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EB23" w14:textId="1E8A0664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Toc491701138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Pokyny pro příjemce ke kontrole</w:t>
      </w:r>
      <w:bookmarkEnd w:id="0"/>
    </w:p>
    <w:p w14:paraId="3C468BA3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967B1AC" w14:textId="77777777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1" w:name="_Toc491701139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  <w:bookmarkEnd w:id="1"/>
    </w:p>
    <w:p w14:paraId="1A17FBF0" w14:textId="32802732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2" w:name="_Toc491701140"/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  <w:bookmarkEnd w:id="2"/>
    </w:p>
    <w:p w14:paraId="2528E1C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C699277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924A18A" w14:textId="6536ED59" w:rsidR="00DD6258" w:rsidRPr="00085486" w:rsidRDefault="0086713F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3" w:name="_Toc491701141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1F35D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8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B47A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22</w:t>
      </w:r>
      <w:r w:rsidR="00E2768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 října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18492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9</w:t>
      </w:r>
      <w:bookmarkEnd w:id="3"/>
    </w:p>
    <w:p w14:paraId="3D5621D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C5C4457" w14:textId="77777777" w:rsidR="001F1EDA" w:rsidRPr="00085486" w:rsidRDefault="001F1EDA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5486">
        <w:fldChar w:fldCharType="begin"/>
      </w:r>
      <w:r w:rsidRPr="00085486">
        <w:instrText xml:space="preserve"> TOC \o "1-3" \h \z \u </w:instrText>
      </w:r>
      <w:r w:rsidRPr="00085486">
        <w:fldChar w:fldCharType="separate"/>
      </w:r>
    </w:p>
    <w:p w14:paraId="6AB68948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2" w:history="1">
        <w:r w:rsidR="001F1EDA" w:rsidRPr="00085486">
          <w:rPr>
            <w:rStyle w:val="Hypertextovodkaz"/>
            <w:noProof/>
          </w:rPr>
          <w:t>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Úvod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</w:t>
        </w:r>
        <w:r w:rsidR="001F1EDA" w:rsidRPr="00085486">
          <w:rPr>
            <w:noProof/>
            <w:webHidden/>
          </w:rPr>
          <w:fldChar w:fldCharType="end"/>
        </w:r>
      </w:hyperlink>
    </w:p>
    <w:p w14:paraId="77BD7A87" w14:textId="77777777" w:rsidR="001F1EDA" w:rsidRPr="00085486" w:rsidRDefault="00320D33" w:rsidP="00D7431D">
      <w:pPr>
        <w:pStyle w:val="Obsah1"/>
        <w:jc w:val="both"/>
        <w:rPr>
          <w:noProof/>
        </w:rPr>
      </w:pPr>
      <w:hyperlink w:anchor="_Toc491701144" w:history="1">
        <w:r w:rsidR="001F1EDA" w:rsidRPr="00085486">
          <w:rPr>
            <w:rStyle w:val="Hypertextovodkaz"/>
            <w:noProof/>
          </w:rPr>
          <w:t>2.</w:t>
        </w:r>
        <w:r w:rsidR="00A46DD8" w:rsidRPr="00085486">
          <w:rPr>
            <w:rStyle w:val="Hypertextovodkaz"/>
            <w:noProof/>
          </w:rPr>
          <w:tab/>
        </w:r>
        <w:r w:rsidR="001F1EDA" w:rsidRPr="00085486">
          <w:rPr>
            <w:rStyle w:val="Hypertextovodkaz"/>
            <w:noProof/>
          </w:rPr>
          <w:t>Předmět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_Toc491701144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5</w:t>
        </w:r>
        <w:r w:rsidR="001F1EDA" w:rsidRPr="00085486">
          <w:rPr>
            <w:noProof/>
            <w:webHidden/>
          </w:rPr>
          <w:fldChar w:fldCharType="end"/>
        </w:r>
      </w:hyperlink>
    </w:p>
    <w:p w14:paraId="3B12720C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6" w:history="1">
        <w:r w:rsidR="001F1EDA" w:rsidRPr="00085486">
          <w:rPr>
            <w:rStyle w:val="Hypertextovodkaz"/>
            <w:noProof/>
          </w:rPr>
          <w:t>3.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Výběr dodavatele, zadávací a výběrová řízení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7</w:t>
        </w:r>
        <w:r w:rsidR="001F1EDA" w:rsidRPr="00085486">
          <w:rPr>
            <w:noProof/>
            <w:webHidden/>
          </w:rPr>
          <w:fldChar w:fldCharType="end"/>
        </w:r>
      </w:hyperlink>
    </w:p>
    <w:p w14:paraId="4DAE0A81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0" w:history="1">
        <w:r w:rsidR="001F1EDA" w:rsidRPr="00085486">
          <w:rPr>
            <w:rStyle w:val="Hypertextovodkaz"/>
            <w:noProof/>
          </w:rPr>
          <w:t>4.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Způsobilost výdajů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_Toc491701150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11</w:t>
        </w:r>
        <w:r w:rsidR="001F1EDA" w:rsidRPr="00085486">
          <w:rPr>
            <w:noProof/>
            <w:webHidden/>
          </w:rPr>
          <w:fldChar w:fldCharType="end"/>
        </w:r>
      </w:hyperlink>
    </w:p>
    <w:p w14:paraId="28D5D008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1" w:history="1">
        <w:r w:rsidR="001F1EDA" w:rsidRPr="00085486">
          <w:rPr>
            <w:rStyle w:val="Hypertextovodkaz"/>
            <w:noProof/>
          </w:rPr>
          <w:t>5.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Publicita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_Toc491701151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15</w:t>
        </w:r>
        <w:r w:rsidR="001F1EDA" w:rsidRPr="00085486">
          <w:rPr>
            <w:noProof/>
            <w:webHidden/>
          </w:rPr>
          <w:fldChar w:fldCharType="end"/>
        </w:r>
      </w:hyperlink>
    </w:p>
    <w:p w14:paraId="2D9A7C3A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2" w:history="1">
        <w:r w:rsidR="001F1EDA" w:rsidRPr="00085486">
          <w:rPr>
            <w:rStyle w:val="Hypertextovodkaz"/>
            <w:noProof/>
          </w:rPr>
          <w:t>6.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Postup předkládání zprávy o průběhu projektu a výdajů ke kontrole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19</w:t>
        </w:r>
        <w:r w:rsidR="001F1EDA" w:rsidRPr="00085486">
          <w:rPr>
            <w:noProof/>
            <w:webHidden/>
          </w:rPr>
          <w:fldChar w:fldCharType="end"/>
        </w:r>
      </w:hyperlink>
    </w:p>
    <w:p w14:paraId="1A9C9530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5" w:history="1">
        <w:r w:rsidR="001F1EDA" w:rsidRPr="00085486">
          <w:rPr>
            <w:rStyle w:val="Hypertextovodkaz"/>
            <w:noProof/>
          </w:rPr>
          <w:t>7.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Účetnictví a povinnost archivace účetních dokladů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_Toc491701155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04141D4B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6" w:history="1">
        <w:r w:rsidR="001F1EDA" w:rsidRPr="00085486">
          <w:rPr>
            <w:rStyle w:val="Hypertextovodkaz"/>
            <w:noProof/>
            <w:lang w:val="pl-PL"/>
          </w:rPr>
          <w:t>8.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Registr smluv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12B48B55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7" w:history="1">
        <w:r w:rsidR="001F1EDA" w:rsidRPr="00085486">
          <w:rPr>
            <w:rStyle w:val="Hypertextovodkaz"/>
            <w:noProof/>
            <w:lang w:val="pl-PL"/>
          </w:rPr>
          <w:t>9.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Veřejná podpora (de minimis)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_Toc491701157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3352017D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8" w:history="1">
        <w:r w:rsidR="001F1EDA" w:rsidRPr="00085486">
          <w:rPr>
            <w:rStyle w:val="Hypertextovodkaz"/>
            <w:noProof/>
            <w:lang w:val="pl-PL"/>
          </w:rPr>
          <w:t>10.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Odvolání se proti výsledku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_Toc491701158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6C0FE86E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9" w:history="1">
        <w:r w:rsidR="001F1EDA" w:rsidRPr="00085486">
          <w:rPr>
            <w:rStyle w:val="Hypertextovodkaz"/>
            <w:noProof/>
            <w:lang w:val="pl-PL"/>
          </w:rPr>
          <w:t>11.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příloh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_Toc491701159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3954C3DD" w14:textId="77777777" w:rsidR="001F1EDA" w:rsidRPr="00085486" w:rsidRDefault="00320D33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66" w:history="1">
        <w:r w:rsidR="001F1EDA" w:rsidRPr="00085486">
          <w:rPr>
            <w:rStyle w:val="Hypertextovodkaz"/>
            <w:noProof/>
            <w:lang w:val="pl-PL"/>
          </w:rPr>
          <w:t>12.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revizí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_Toc491701166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03EAD187" w14:textId="77777777" w:rsidR="00DD6258" w:rsidRPr="00085486" w:rsidRDefault="001F1EDA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274CC28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90980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4DB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7833A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192B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14:paraId="5446272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A127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CENTRAL – 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14:paraId="74831148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14:paraId="633ADDE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14:paraId="645F022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14:paraId="2BE1ED2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14:paraId="1553D55A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14:paraId="4C2C8B8D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F2805B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14:paraId="6932FE9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14:paraId="645EF240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14:paraId="29806EF2" w14:textId="77777777" w:rsidR="00E55137" w:rsidRPr="00085486" w:rsidRDefault="00E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14:paraId="3F2D10C2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14:paraId="3EE8A9F5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D00C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3DE4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26F8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C866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DBFEA" w14:textId="77777777" w:rsidR="00DD6258" w:rsidRPr="00085486" w:rsidRDefault="00DD6258" w:rsidP="00D7431D">
      <w:pPr>
        <w:pStyle w:val="Nadpis1"/>
        <w:numPr>
          <w:ilvl w:val="0"/>
          <w:numId w:val="59"/>
        </w:numPr>
        <w:jc w:val="both"/>
      </w:pPr>
      <w:bookmarkStart w:id="4" w:name="_Toc491701142"/>
      <w:r w:rsidRPr="00085486">
        <w:t>Úvod</w:t>
      </w:r>
      <w:bookmarkEnd w:id="4"/>
    </w:p>
    <w:p w14:paraId="00C85651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420E4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14:paraId="538E9EE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2BB4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kontroly Centrem je pro projektové (PP) i  vedoucí  (LP) partnery bezplatné. Kontaktními místy </w:t>
      </w:r>
      <w:r w:rsidR="00837E80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14:paraId="498678B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2D97B" w14:textId="4B1CF5B7" w:rsidR="00DD6258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Severovýchod se sídlem v Hradci Králové </w:t>
      </w:r>
    </w:p>
    <w:p w14:paraId="21EE0FF6" w14:textId="77777777" w:rsidR="004C0D52" w:rsidRPr="00085486" w:rsidRDefault="004C0D52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4E726C2" w14:textId="310B50C3" w:rsidR="00C16882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</w:t>
      </w:r>
    </w:p>
    <w:p w14:paraId="72C6CADF" w14:textId="77777777" w:rsidR="00185921" w:rsidRPr="00085486" w:rsidRDefault="00185921" w:rsidP="00D7431D">
      <w:pPr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4F61CA84" w14:textId="77777777" w:rsidR="00DD6258" w:rsidRPr="00085486" w:rsidRDefault="00C16882" w:rsidP="00AD59F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regionální rozvoj České republiky pro NUTS II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Jihovýchod se síd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 v Brně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A30D61" w14:textId="77777777" w:rsidR="00D7368C" w:rsidRPr="00085486" w:rsidRDefault="00D7368C" w:rsidP="00DB7B8A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1B0DDA5" w14:textId="5373CC62" w:rsidR="004874A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Přidělení projektů příjemců za jednotlivé programy na jednotlivá oddělení  Centra jsou ke stažení zde</w:t>
      </w:r>
      <w:r w:rsidR="004874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je nutné srolovat na stránce až dolu):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74B361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8808C" w14:textId="548C96CB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https://www.crr.cz/eus/obdobi-2014-2020/interreg-central-eu</w:t>
        </w:r>
        <w:bookmarkStart w:id="5" w:name="_GoBack"/>
        <w:bookmarkEnd w:id="5"/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r</w:t>
        </w:r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ope/</w:t>
        </w:r>
      </w:hyperlink>
    </w:p>
    <w:p w14:paraId="5630192D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D57DA" w14:textId="7CA0CA04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Danube: </w:t>
      </w:r>
      <w:hyperlink r:id="rId9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https://www.crr.cz/eus/obdobi-2014-2020/interreg-danube-2/</w:t>
        </w:r>
      </w:hyperlink>
    </w:p>
    <w:p w14:paraId="7B495869" w14:textId="77777777" w:rsidR="00342CD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CEC49" w14:textId="77777777" w:rsidR="00CA7C75" w:rsidRPr="00085486" w:rsidRDefault="00577C15" w:rsidP="00CA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může Centrum rozhodnout o přesunu některých </w:t>
      </w:r>
      <w:r w:rsidR="00464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 u českých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projektových příjemců na jiná oddělení pro NUTS II. </w:t>
      </w:r>
      <w:r w:rsidR="00CA7C7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přesunu Centrum zveřejní na výšeuvedených odkazech.</w:t>
      </w:r>
    </w:p>
    <w:p w14:paraId="54C99797" w14:textId="1A26162B" w:rsidR="00577C15" w:rsidRPr="00085486" w:rsidRDefault="0057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9601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</w:t>
      </w:r>
      <w:r w:rsidR="003C398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kontrolory jsou uvedeny v </w:t>
      </w:r>
      <w:r w:rsidR="00185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14:paraId="4C78ED5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6BE6F" w14:textId="5B4329C0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4B4F3F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období, tedy</w:t>
      </w:r>
      <w:r w:rsidR="00532416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 měsíčních cyklech.</w:t>
      </w:r>
      <w:r w:rsidR="0000170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/projektové žádosti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</w:t>
      </w:r>
      <w:r w:rsidR="00EF1A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programy CENTRAL a 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34844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2D34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14:paraId="773156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B5C1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14:paraId="0C69075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A9F45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2DCCE2AC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20BAB3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proofErr w:type="spellStart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4" w:history="1">
        <w:r w:rsidR="002C4578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Danube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A7332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63307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748483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14:paraId="2DE6B66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EF6B3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platbu za celý projekt do 3 měsíců od konce každého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F053B4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7E182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22E5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D61448" w14:textId="018DC965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Čeští partneři předkládají výdaje ke kontrole/certifikaci zpravidla za každé </w:t>
      </w:r>
      <w:proofErr w:type="spellStart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6055A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 6-ti měsíčních cyklech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schválené projektové žádosti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za předpokladu, že </w:t>
      </w:r>
      <w:r w:rsidR="00CC6C4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14:paraId="66D4D3D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CFB61A" w14:textId="77777777" w:rsidR="00DD6258" w:rsidRPr="00085486" w:rsidRDefault="00750B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14:paraId="6191B509" w14:textId="77777777" w:rsidR="00DD6258" w:rsidRPr="00085486" w:rsidRDefault="00750B6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14:paraId="2DDB00B3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6921E" w14:textId="77777777" w:rsidR="00DD6258" w:rsidRPr="00085486" w:rsidRDefault="00EC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umožní partnerovi předložit </w:t>
      </w:r>
      <w:r w:rsidR="00A651B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10607E" w14:textId="77777777" w:rsidR="00597385" w:rsidRPr="00085486" w:rsidRDefault="0059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528235" w14:textId="77777777" w:rsidR="00DD6258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mohou příjemci předkládat výdaje ke kontrole každé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bez ohledu na jejich výši.  </w:t>
      </w:r>
    </w:p>
    <w:p w14:paraId="335A338D" w14:textId="77777777" w:rsidR="00BD48BE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86B49" w14:textId="567EFEF6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</w:t>
      </w:r>
      <w:r w:rsidR="0059738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partneři povinnost předložit výdaje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4B898C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CABC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6" w:name="_Toc42540495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6"/>
    </w:p>
    <w:p w14:paraId="44B5085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E0D74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Toc49170114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  <w:bookmarkEnd w:id="7"/>
    </w:p>
    <w:p w14:paraId="66271426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14:paraId="043CDD23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Nařízení Komise v přenesené pravomoci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14:paraId="2DFC2756" w14:textId="77777777" w:rsidR="00DD6258" w:rsidRPr="00085486" w:rsidRDefault="00DD6258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DDABF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14:paraId="203D9653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BCA5D2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3267EB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7B4F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7D8C76D6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B7FA96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14:paraId="7D15164B" w14:textId="77777777" w:rsidR="00DD6258" w:rsidRPr="00085486" w:rsidRDefault="00DD6258" w:rsidP="00D7431D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D05383A" w14:textId="77777777" w:rsidR="00DD6258" w:rsidRPr="00085486" w:rsidRDefault="00DD6258" w:rsidP="00AD59F5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14:paraId="3C4AE203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14:paraId="1FCD57DF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14:paraId="23B0C421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0EFB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9357E" w14:textId="77777777" w:rsidR="00DD6258" w:rsidRPr="00085486" w:rsidRDefault="00E87F7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14:paraId="2BE5FFD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47F26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Danube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8DE9672" w14:textId="140BEFF2" w:rsidR="00DD6258" w:rsidRPr="00085486" w:rsidRDefault="00DD6258" w:rsidP="004509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</w:t>
      </w:r>
      <w:r w:rsidR="00883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15" w:history="1">
        <w:r w:rsidR="0088372F" w:rsidRPr="008837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ke stažení zde</w:t>
        </w:r>
      </w:hyperlink>
      <w:r w:rsidR="0088372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73D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3E4B6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Pokyny pro příjemce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DEE2BE" w14:textId="77777777" w:rsidR="00E978E5" w:rsidRPr="00085486" w:rsidRDefault="00E978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Náležitosti dokladování</w:t>
      </w:r>
      <w:r w:rsidR="00D853F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příloh.</w:t>
      </w:r>
    </w:p>
    <w:p w14:paraId="1FAD5B7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B49F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8" w:name="_Toc425404951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8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14:paraId="587138C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9B54E1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14:paraId="0413EC85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14:paraId="0B656750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14:paraId="4C3915FE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14:paraId="450D9860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B7251" w14:textId="77777777" w:rsidR="00DD6258" w:rsidRPr="00085486" w:rsidRDefault="00DD6258" w:rsidP="00AD59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14:paraId="277D664B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A0F0F" w14:textId="77777777" w:rsidR="004F6DA1" w:rsidRPr="00085486" w:rsidRDefault="004F6DA1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14:paraId="32B074B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94D4B" w14:textId="02155C1D" w:rsidR="00DD6258" w:rsidRPr="00085486" w:rsidRDefault="0043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nesouladu mezi národními a programovými pravidly, mají vždy přednost programová pravidla. </w:t>
      </w:r>
    </w:p>
    <w:p w14:paraId="6697096A" w14:textId="77777777" w:rsidR="00DD6258" w:rsidRPr="00085486" w:rsidRDefault="004A474E" w:rsidP="00D7431D">
      <w:pPr>
        <w:pStyle w:val="Nadpis1"/>
        <w:jc w:val="both"/>
      </w:pPr>
      <w:bookmarkStart w:id="9" w:name="_Toc491701144"/>
      <w:r w:rsidRPr="00085486">
        <w:t xml:space="preserve">2. </w:t>
      </w:r>
      <w:r w:rsidR="00DD6258" w:rsidRPr="00085486">
        <w:t>Předmět kontroly</w:t>
      </w:r>
      <w:bookmarkEnd w:id="9"/>
    </w:p>
    <w:p w14:paraId="4B51192C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13F9BE2" w14:textId="77777777" w:rsidR="00DD6258" w:rsidRPr="00085486" w:rsidRDefault="00DD6258" w:rsidP="00D7431D">
      <w:pPr>
        <w:keepNext/>
        <w:keepLines/>
        <w:numPr>
          <w:ilvl w:val="1"/>
          <w:numId w:val="32"/>
        </w:numPr>
        <w:spacing w:before="40" w:after="0" w:line="259" w:lineRule="auto"/>
        <w:jc w:val="both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bookmarkStart w:id="10" w:name="_Toc491701145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Předmětem kontroly je zejména:</w:t>
      </w:r>
      <w:bookmarkEnd w:id="1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04BD9FD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66AD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06CCA33" w14:textId="77777777" w:rsidR="00DD6258" w:rsidRPr="00085486" w:rsidRDefault="00DD6258" w:rsidP="00DB7B8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14:paraId="0895D4AE" w14:textId="14B6D19D" w:rsidR="00DD6258" w:rsidRPr="00085486" w:rsidRDefault="00DD6258" w:rsidP="00D74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30.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137/2006 Sb., o veřejných zakázkách</w:t>
      </w:r>
      <w:r w:rsidR="00437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vyhlášené do 30.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 pokyn pro oblast zadávání zakázek pro programové období 2014-2020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metodických stanovisek,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 příjemcům podpory, kteří při realizaci projektů spolufinancovaných z Evropských strukturálních a investičních fondů v programovém období 2014-2020 zadávají zakázky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16" w:history="1">
        <w:r w:rsidR="004509E9" w:rsidRPr="004509E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ke stažení zd</w:t>
        </w:r>
        <w:r w:rsidR="004509E9" w:rsidRPr="004509E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</w:t>
        </w:r>
      </w:hyperlink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ustanovení uvedená v těchto Pokynech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70CDBFE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095BC" w14:textId="77777777" w:rsidR="00DD6258" w:rsidRPr="00085486" w:rsidRDefault="00DD6258" w:rsidP="00AD59F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dodržení pravidel publicity: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14:paraId="6B5D2DE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B5EFBF" w14:textId="77777777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14:paraId="0EBB5884" w14:textId="58635490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efektivnosti;</w:t>
      </w:r>
    </w:p>
    <w:p w14:paraId="443F899C" w14:textId="75AFF43F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o projekt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8EEE5A" w14:textId="2709FB6C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r w:rsidR="0059687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14:paraId="0A5AD3E2" w14:textId="77777777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14:paraId="597F28C4" w14:textId="77777777" w:rsidR="00DD6258" w:rsidRPr="00085486" w:rsidRDefault="00AB623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14:paraId="7E4BD2B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DDFF626" w14:textId="77777777" w:rsidR="00DD6258" w:rsidRPr="00085486" w:rsidRDefault="00DD6258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14:paraId="53F2DBDB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E9486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14:paraId="5E8BB48B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085486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14:paraId="309A0E84" w14:textId="589A2400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označit originály účetních dokladů týkající se projektu:</w:t>
      </w:r>
    </w:p>
    <w:p w14:paraId="212BA583" w14:textId="43EE3073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7957FA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14:paraId="2430CCF1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14:paraId="7F32F916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AC264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body platí současně – označení dokladů musí splňovat všechny tři náležitosti</w:t>
      </w:r>
      <w:r w:rsidR="005E57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formou razítka)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Vazbou na projekt musí být označeny všechny originály dokladů (přičemž splnění tohoto požadavku bude kromě jiného předmětem 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14:paraId="23506AD8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Podle článku 140 (3) </w:t>
      </w:r>
      <w:r w:rsidR="008235BF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14:paraId="5F1FA540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musí být zneplatněny povinnou informací.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14:paraId="5C137EB6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0EC9F" w14:textId="77777777" w:rsidR="00DD6258" w:rsidRPr="00085486" w:rsidRDefault="00DD6258" w:rsidP="00D7431D">
      <w:pPr>
        <w:pStyle w:val="Nadpis1"/>
        <w:numPr>
          <w:ilvl w:val="0"/>
          <w:numId w:val="32"/>
        </w:numPr>
        <w:jc w:val="both"/>
      </w:pPr>
      <w:bookmarkStart w:id="11" w:name="_Toc491701146"/>
      <w:r w:rsidRPr="00085486">
        <w:t>Výběr dodavatele, zadávací a výběrová řízení</w:t>
      </w:r>
      <w:bookmarkEnd w:id="11"/>
    </w:p>
    <w:p w14:paraId="1FB28E2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4CB95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árodní legislativou a pravidly p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14:paraId="7302E34D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14:paraId="50D6E873" w14:textId="77777777" w:rsidR="002E3A3B" w:rsidRPr="00085486" w:rsidRDefault="002E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057C5" w14:textId="77777777" w:rsidR="00DD6258" w:rsidRPr="00085486" w:rsidRDefault="00DD625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bookmarkStart w:id="12" w:name="_Toc49170114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3.1. Aplikované předpisy a obecné zásady</w:t>
      </w:r>
      <w:bookmarkEnd w:id="12"/>
    </w:p>
    <w:p w14:paraId="2554122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5497075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14:paraId="0D6C0FE0" w14:textId="165B796B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se zákonem č. 137/2006 Sb., o veřejných zakázkách v platném znění (v případě zakázek vyhlášených do 30.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09.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2016 včetně), resp. se zákonem č. 134/2016 Sb., o zadávání veřejných zakázek, v platném znění (v případě zakázek vyhlášených od 01.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10.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2016</w:t>
      </w:r>
      <w:r w:rsidR="004F6DA1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14:paraId="05A9AFEA" w14:textId="2CDA2A28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 veřejných zakázek, jejichž zadávání tento zákon neupravuje (zejména veřejné zakázky malého rozsahu)</w:t>
      </w:r>
      <w:r w:rsidR="00F42CA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,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je partner povinen postupovat v souladu s Metodickým pokynem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(</w:t>
      </w:r>
      <w:hyperlink r:id="rId17" w:history="1">
        <w:r w:rsidR="00DE55BC" w:rsidRPr="00DE55B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ke stažení zde</w:t>
        </w:r>
      </w:hyperlink>
      <w:r w:rsidR="00437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>)</w:t>
      </w:r>
      <w:r w:rsidR="00DE5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 xml:space="preserve">. </w:t>
      </w:r>
    </w:p>
    <w:p w14:paraId="59CE4593" w14:textId="77777777" w:rsidR="00056D7F" w:rsidRPr="00085486" w:rsidRDefault="00056D7F" w:rsidP="00AD59F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95000A0" w14:textId="455F4FEA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14:paraId="6D34ED5D" w14:textId="50DB243D" w:rsidR="00DD6258" w:rsidRPr="00085486" w:rsidRDefault="00056D7F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14:paraId="5663993E" w14:textId="48901B58" w:rsidR="004376D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programů CENTRAL a DANUBE jsou stanoveny přísnější limity v rámci výběrového/zadávacího řízení. U všech zakázek s hodnotou ≥5000 EUR bez DPH a nepřesahující hodnotu </w:t>
      </w:r>
      <w:r w:rsidR="00E4642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tis. Kč bez DPH, je třeba, aby příjemci provedli a zdokumentovali adekvátní výzkum trhu pro dané plnění (např. obdržením minimálně 3 nabídek, použitím e-tržiště, atd.). </w:t>
      </w:r>
    </w:p>
    <w:p w14:paraId="64470809" w14:textId="5B75DE80" w:rsidR="00CB4F97" w:rsidRPr="0008548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Nicméně, u jakékoliv zakázky bude v průběhu kontroly posuzována adekvátnost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  <w:r w:rsidR="00437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Znamená to, že Kontrolor může na základě vlastního uvážení vyžádat od příjemce podpůrné dokumenty prokazující splnění vyjmenovaných principů (např. vyžádá záznam o provedení průzkumu trhu apod.)</w:t>
      </w:r>
      <w:r w:rsidR="00E87B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746C08" w14:textId="7DA906B7" w:rsidR="00DD6258" w:rsidRPr="00085486" w:rsidRDefault="00DD6258" w:rsidP="00471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</w:t>
      </w:r>
      <w:r w:rsidR="007D410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výdajů).</w:t>
      </w:r>
      <w:r w:rsidR="006335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IE je třeba navíc předložit List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615854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3" w:name="_Toc295893522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Start w:id="14" w:name="_Toc491701148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Hodnotící kritéria</w:t>
      </w:r>
      <w:bookmarkEnd w:id="13"/>
      <w:bookmarkEnd w:id="14"/>
    </w:p>
    <w:p w14:paraId="6E867E28" w14:textId="77777777" w:rsidR="002363D0" w:rsidRPr="00085486" w:rsidRDefault="002363D0" w:rsidP="00AD59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14:paraId="38A2B719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14:paraId="55570994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14:paraId="07176842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5" w:name="_Toc295893523"/>
      <w:bookmarkStart w:id="16" w:name="_Toc49170114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zadávacích/výběrových řízení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5"/>
      </w:r>
      <w:bookmarkEnd w:id="15"/>
      <w:bookmarkEnd w:id="16"/>
    </w:p>
    <w:p w14:paraId="28075843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14:paraId="6F4C8A27" w14:textId="77777777" w:rsidR="00D255F3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 všech zakázek, u kterých bude zadávací řízení vyhlášeno po podpisu Smlouvy o poskytnutí prostředků z ERDF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PP a jejichž hodnota je </w:t>
      </w:r>
    </w:p>
    <w:p w14:paraId="155D7B58" w14:textId="0C59C795" w:rsidR="00D255F3" w:rsidRDefault="00B27479" w:rsidP="004713C5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713C5">
        <w:rPr>
          <w:rFonts w:ascii="Times New Roman" w:hAnsi="Times New Roman"/>
          <w:sz w:val="24"/>
          <w:szCs w:val="24"/>
          <w:lang w:eastAsia="cs-CZ"/>
        </w:rPr>
        <w:t>5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>00 000 Kč bez DPH a vyšší</w:t>
      </w:r>
      <w:r w:rsidRPr="004713C5">
        <w:rPr>
          <w:rFonts w:ascii="Times New Roman" w:hAnsi="Times New Roman"/>
          <w:sz w:val="24"/>
          <w:szCs w:val="24"/>
          <w:lang w:eastAsia="cs-CZ"/>
        </w:rPr>
        <w:t xml:space="preserve"> nebo</w:t>
      </w:r>
    </w:p>
    <w:p w14:paraId="27854B3A" w14:textId="6B4A5753" w:rsidR="00D255F3" w:rsidRDefault="00D255F3" w:rsidP="004713C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CD1C33A" w14:textId="57F98661" w:rsidR="00500EBC" w:rsidRPr="004713C5" w:rsidRDefault="00B27479" w:rsidP="004713C5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713C5">
        <w:rPr>
          <w:rFonts w:ascii="Times New Roman" w:hAnsi="Times New Roman"/>
          <w:sz w:val="24"/>
          <w:szCs w:val="24"/>
          <w:lang w:eastAsia="cs-CZ"/>
        </w:rPr>
        <w:t>2</w:t>
      </w:r>
      <w:r w:rsidR="00D255F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713C5">
        <w:rPr>
          <w:rFonts w:ascii="Times New Roman" w:hAnsi="Times New Roman"/>
          <w:sz w:val="24"/>
          <w:szCs w:val="24"/>
          <w:lang w:eastAsia="cs-CZ"/>
        </w:rPr>
        <w:t>0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>00 000 Kč bez DPH a vyšší v</w:t>
      </w:r>
      <w:r w:rsidR="004D6925" w:rsidRPr="004713C5">
        <w:rPr>
          <w:rFonts w:ascii="Times New Roman" w:hAnsi="Times New Roman"/>
          <w:sz w:val="24"/>
          <w:szCs w:val="24"/>
          <w:lang w:eastAsia="cs-CZ"/>
        </w:rPr>
        <w:t> 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>případě</w:t>
      </w:r>
      <w:r w:rsidR="004D6925" w:rsidRPr="004713C5">
        <w:rPr>
          <w:rFonts w:ascii="Times New Roman" w:hAnsi="Times New Roman"/>
          <w:sz w:val="24"/>
          <w:szCs w:val="24"/>
          <w:lang w:eastAsia="cs-CZ"/>
        </w:rPr>
        <w:t xml:space="preserve"> zakázky na dodávky a/nebo služby nebo 6 000 000 Kč bez DPH</w:t>
      </w:r>
      <w:r w:rsidR="00D255F3">
        <w:rPr>
          <w:rFonts w:ascii="Times New Roman" w:hAnsi="Times New Roman"/>
          <w:sz w:val="24"/>
          <w:szCs w:val="24"/>
          <w:lang w:eastAsia="cs-CZ"/>
        </w:rPr>
        <w:t xml:space="preserve"> a vyšší</w:t>
      </w:r>
      <w:r w:rsidR="00D255F3" w:rsidRPr="004713C5">
        <w:rPr>
          <w:rFonts w:ascii="Times New Roman" w:hAnsi="Times New Roman"/>
          <w:sz w:val="24"/>
          <w:szCs w:val="24"/>
          <w:lang w:eastAsia="cs-CZ"/>
        </w:rPr>
        <w:t xml:space="preserve"> v případě zakázky na stavební</w:t>
      </w:r>
      <w:r w:rsidR="00D255F3">
        <w:rPr>
          <w:rFonts w:ascii="Times New Roman" w:hAnsi="Times New Roman"/>
          <w:sz w:val="24"/>
          <w:szCs w:val="24"/>
          <w:lang w:eastAsia="cs-CZ"/>
        </w:rPr>
        <w:t xml:space="preserve"> práce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D255F3">
        <w:rPr>
          <w:rFonts w:ascii="Times New Roman" w:hAnsi="Times New Roman"/>
          <w:sz w:val="24"/>
          <w:szCs w:val="24"/>
          <w:lang w:eastAsia="cs-CZ"/>
        </w:rPr>
        <w:t xml:space="preserve">pokud je zakázka zadávána příjemcem, který není 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63B6D72" w14:textId="1AA509D0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veřejným nebo sektorovým zadavatelem dle § 2 odst. 2 a 6 zákona č. 137/2006 Sb., o veřejných zakázkách a dotace poskytovaná na danou zakázku není vyšší než 50 %</w:t>
      </w:r>
      <w:r w:rsidRPr="00471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</w:rPr>
        <w:footnoteReference w:id="6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40E2A567" w14:textId="144FCD53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zadavatelem dle § 4 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odst. 1 až 3 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zákona č. 134/2016 Sb., o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 zadávání veřejných zakázek</w:t>
      </w:r>
      <w:r w:rsidR="00D255F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 a zároveň dotace poskytovaná na takovou zakázku není vyšší než 50%</w:t>
      </w:r>
      <w:r w:rsidRPr="00471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</w:rPr>
        <w:footnoteReference w:id="7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51F024F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14:paraId="04C76C62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14:paraId="71958BBE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1EF54F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14:paraId="6BB57FC9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14:paraId="2CF422AE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32CF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13C67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14:paraId="3BB6FD2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19C04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14:paraId="54F2C6E6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Informace o výběru vítězné nabídky musí být spolu s dokumenty uvedenými dále v textu předložena kontrolorovi před podpisem smlouvy s dodavatelem. </w:t>
      </w:r>
    </w:p>
    <w:p w14:paraId="00C554AD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14:paraId="2D4E32A3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14:paraId="2BF95D20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87665AA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14:paraId="1126D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14:paraId="1AD68928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14:paraId="33588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14:paraId="670384FE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14:paraId="0D11E7AB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14:paraId="02F14FC2" w14:textId="77777777" w:rsidR="00500EBC" w:rsidRPr="00085486" w:rsidRDefault="00500EBC" w:rsidP="00AD59F5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14:paraId="7E8D87A2" w14:textId="77777777" w:rsidR="00500EBC" w:rsidRPr="00085486" w:rsidRDefault="00500EBC" w:rsidP="00DB7B8A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14:paraId="169960F8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14:paraId="1529D21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14:paraId="006DF84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A848D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1BD702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14:paraId="76145F7F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14:paraId="06A085CC" w14:textId="77777777" w:rsidR="00500EBC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14:paraId="5739A3EC" w14:textId="77777777" w:rsidR="003A6EAB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výsledku zadávacího řízení zaslaný všem uchazečům, kteří podali nabídku v řádném termínu pro podání nabídek, vč. dokladů prokazujících jejich odeslání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9527325" w14:textId="77777777" w:rsidR="003A6EAB" w:rsidRPr="00085486" w:rsidRDefault="003A6EAB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datovou zprávu s potvrzením o uveřejnění uzavřené smlouvy s vybraným dodavatelem v registru smluv v souladu se zákonem č. 340/2015 Sb., o zvláštních podmínkách účinnosti některých smluv a o registru smluv (zákon o registru smluv), pokud se na českého projektového partnera tato povinnost</w:t>
      </w:r>
      <w:r w:rsidR="00A45B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</w:t>
      </w:r>
      <w:r w:rsidR="000D0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tahuje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§2 odst. 1 tohoto zákona.</w:t>
      </w:r>
    </w:p>
    <w:p w14:paraId="4B18272F" w14:textId="77777777" w:rsidR="003A6EAB" w:rsidRPr="00085486" w:rsidRDefault="003A6EAB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partneři, kteří jsou právnickou osobou uvedenou v čl. 2 odst. 1 zákona o registru smluv, jsou povinni zveřejňovat v registru smluv soukromoprávní smlouvy, tj. i smlouvy uzavírané s dodavateli. Výjimkou jsou případy, kdy hodnota předmětu smlouvy je nižší než 50 000 Kč bez DPH.</w:t>
      </w:r>
    </w:p>
    <w:p w14:paraId="78A4209E" w14:textId="77777777" w:rsidR="003A6EAB" w:rsidRPr="00085486" w:rsidRDefault="003A6EAB" w:rsidP="00D7431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zveřejnit smlouvu, tj. zaslat smlouvu správci registru smlouvu k uveřejnění, je do 30 dní od jejího uzavření. Smlouva, na kterou se vztahuje povinnost zveřejnění v registru smluv, nabývá v souladu s ustanovením §6 tohoto zákona účinnosti nejdříve dnem jejího zveřejnění. </w:t>
      </w:r>
    </w:p>
    <w:p w14:paraId="4B8458D7" w14:textId="77777777" w:rsidR="00A45B1E" w:rsidRPr="00085486" w:rsidRDefault="003A6EAB" w:rsidP="00AD59F5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Nebyla-li smlouva zveřejněna prostřednictvím registru smluv ani do 3 měsíců ode dne, kdy byla uzavřena, je podle ustanovení § 7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zákona smlouva zrušena od počátku. V takovém případě budou jakékoliv výdaje vynaložené v souvislosti s takovou smlouvou považovány za nezpůsobilé.</w:t>
      </w:r>
    </w:p>
    <w:p w14:paraId="2F510B4B" w14:textId="77777777" w:rsidR="00500EBC" w:rsidRPr="00085486" w:rsidRDefault="00A45B1E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je třeba zveřejňovat i objednávky s hodnotou nad 50 000 Kč bez DPH.     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00E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2B1842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14:paraId="374E77EA" w14:textId="5D27B31E" w:rsidR="00500EBC" w:rsidRPr="006F6333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3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Výše uvedené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netýká případů</w:t>
      </w:r>
      <w:r w:rsidR="000D6EE4">
        <w:rPr>
          <w:rStyle w:val="Znakapoznpodarou"/>
          <w:rFonts w:ascii="Times New Roman" w:eastAsia="Times New Roman" w:hAnsi="Times New Roman" w:cs="Times New Roman"/>
          <w:i/>
          <w:sz w:val="24"/>
          <w:szCs w:val="24"/>
          <w:lang w:eastAsia="cs-CZ"/>
        </w:rPr>
        <w:footnoteReference w:id="11"/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došlo k přímému nákupu bez zadávacího řízení (v případě, že to pravidla umožňují). V tomto případě budou kontrolovány pouze účetní doklady se zakázkou související.</w:t>
      </w:r>
    </w:p>
    <w:p w14:paraId="585B20FA" w14:textId="5484B14F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</w:t>
      </w:r>
      <w:r w:rsidRPr="004713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výše uvedené postupy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netýkají zakázek</w:t>
      </w:r>
      <w:r w:rsidR="0083131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2"/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v projektu vykazovány pouze částečně, např. zadávací řízení na spotřební materiál, a to za splnění podmínky, že součet výdajů uplatňovaných v projektu nepřesáhne </w:t>
      </w:r>
      <w:r w:rsidR="00A2136B"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>00 000 Kč (v případě, že je dodavatelem plátce DPH, se jedná o částku bez DPH)</w:t>
      </w:r>
      <w:r w:rsidR="00A2136B"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2 000 000 Kč</w:t>
      </w:r>
      <w:r w:rsidR="00980110"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 dodávky a/nebo služby nebo 6 000 000 Kč na stavební </w:t>
      </w:r>
      <w:r w:rsidR="00226547"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práce, kdy příjemce není zadavatelem podle </w:t>
      </w:r>
      <w:r w:rsidR="00226547" w:rsidRPr="004713C5">
        <w:rPr>
          <w:rFonts w:ascii="Times New Roman" w:eastAsia="Times New Roman" w:hAnsi="Times New Roman" w:cs="Times New Roman"/>
          <w:sz w:val="24"/>
          <w:szCs w:val="24"/>
          <w:lang w:eastAsia="cs-CZ"/>
        </w:rPr>
        <w:t>§ 4 odst. 1 až 3</w:t>
      </w:r>
      <w:r w:rsidR="00226547"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134/2016 Sb. a zároveň dotace poskytnutá na takovou zakázku není vyšší než 50%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14:paraId="3B0CEFE9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C965B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17" w:name="_Toc220322043"/>
      <w:bookmarkStart w:id="18" w:name="_Toc220322510"/>
      <w:bookmarkStart w:id="19" w:name="_Toc220382201"/>
      <w:bookmarkStart w:id="20" w:name="_Toc220322044"/>
      <w:bookmarkStart w:id="21" w:name="_Toc220322511"/>
      <w:bookmarkStart w:id="22" w:name="_Toc220382202"/>
      <w:bookmarkStart w:id="23" w:name="_Toc491701150"/>
      <w:bookmarkEnd w:id="17"/>
      <w:bookmarkEnd w:id="18"/>
      <w:bookmarkEnd w:id="19"/>
      <w:bookmarkEnd w:id="20"/>
      <w:bookmarkEnd w:id="21"/>
      <w:bookmarkEnd w:id="22"/>
      <w:r w:rsidRPr="00085486">
        <w:t>Způsobilost výdajů</w:t>
      </w:r>
      <w:bookmarkEnd w:id="23"/>
    </w:p>
    <w:p w14:paraId="4D0123A8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FC1D4F3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6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24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133DD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8AA4A" w14:textId="37872860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5" w:name="_Toc445447263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EU) č. 1303/2013</w:t>
      </w:r>
      <w:bookmarkEnd w:id="25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BE9A768" w14:textId="7B91E3A5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6" w:name="_Toc445447264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1301/2013</w:t>
      </w:r>
      <w:bookmarkEnd w:id="26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DC82869" w14:textId="3A98AB4A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7" w:name="_Toc445447265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1299/2013</w:t>
      </w:r>
      <w:bookmarkEnd w:id="27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2C2FFA3" w14:textId="5A89866E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8" w:name="_Toc445447266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481/2014</w:t>
      </w:r>
      <w:bookmarkEnd w:id="28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DD5F299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89E17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6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65AF4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1DEE2" w14:textId="606901C2" w:rsidR="00DD6258" w:rsidRPr="00085486" w:rsidRDefault="00DD6258" w:rsidP="0047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6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hyperlink r:id="rId18" w:history="1">
        <w:r w:rsidR="00AE426A" w:rsidRPr="00AE426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Pr="00713C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jsou pro české partnery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0"/>
    </w:p>
    <w:p w14:paraId="3CD03E65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F68E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1" w:name="_Toc44544726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31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CC182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673F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2" w:name="_Toc44544727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32"/>
    </w:p>
    <w:p w14:paraId="045AC91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1E182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7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33"/>
    </w:p>
    <w:p w14:paraId="599503C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DE08D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7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34"/>
    </w:p>
    <w:p w14:paraId="435C481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70734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7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osobní náklady</w:t>
      </w:r>
      <w:bookmarkEnd w:id="35"/>
    </w:p>
    <w:p w14:paraId="2DEC361A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6" w:name="_Toc445447274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36"/>
    </w:p>
    <w:p w14:paraId="59E43F9D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7" w:name="_Toc445447275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37"/>
    </w:p>
    <w:p w14:paraId="24693E68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8" w:name="_Toc445447276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3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8BE37C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9" w:name="_Toc44544727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9"/>
    </w:p>
    <w:p w14:paraId="35A305BB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0" w:name="_Toc44544727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bookmarkEnd w:id="40"/>
    </w:p>
    <w:p w14:paraId="4A1FB02C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66EA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1" w:name="_Toc44544727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4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BF373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5DDD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2" w:name="_Toc44544728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42"/>
    </w:p>
    <w:p w14:paraId="3B0C8F6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E5ED2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Toc44544728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43"/>
    </w:p>
    <w:p w14:paraId="6EC70A37" w14:textId="77777777" w:rsidR="008F402D" w:rsidRPr="00085486" w:rsidRDefault="008F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FCA4D" w14:textId="3775639E" w:rsidR="00120601" w:rsidRPr="00085486" w:rsidRDefault="008F4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hAnsi="Times New Roman" w:cs="Times New Roman"/>
          <w:iCs/>
          <w:sz w:val="24"/>
          <w:szCs w:val="24"/>
        </w:rPr>
        <w:t xml:space="preserve">uvedené </w:t>
      </w:r>
      <w:proofErr w:type="gramStart"/>
      <w:r w:rsidR="00120601" w:rsidRPr="00085486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="00120601" w:rsidRPr="00085486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: </w:t>
      </w:r>
      <w:hyperlink r:id="rId19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https://www.crr.cz/eus/mzdove-sazby-typ-pozic/</w:t>
        </w:r>
      </w:hyperlink>
      <w:r w:rsidR="00120601" w:rsidRPr="00085486">
        <w:rPr>
          <w:rFonts w:ascii="Times New Roman" w:hAnsi="Times New Roman" w:cs="Times New Roman"/>
          <w:iCs/>
          <w:sz w:val="24"/>
          <w:szCs w:val="24"/>
        </w:rPr>
        <w:t>.</w:t>
      </w:r>
      <w:r w:rsidR="00120601" w:rsidRPr="00085486">
        <w:rPr>
          <w:i/>
          <w:iCs/>
        </w:rPr>
        <w:t xml:space="preserve"> 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 může rozhodnout o případném zvýšení maximálních hodinových sazeb v závislosti na meziročním růstu průměrné nominální mzdy v ČR.</w:t>
      </w:r>
    </w:p>
    <w:p w14:paraId="7860E29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15C9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4" w:name="_Toc44544728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v případě delegování pracovníků pro projekt na část jejich úvazku, anebo v podobě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 (vykazování na základě skutečných výdajů nebo paušální sazbou)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5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44"/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14:paraId="5BA94359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89A645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14:paraId="46BC5EF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94D30C" w14:textId="77777777" w:rsidR="00DA68C3" w:rsidRPr="00085486" w:rsidRDefault="006D5EEC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jedním z těchto způsobů:</w:t>
      </w:r>
    </w:p>
    <w:p w14:paraId="3F71439C" w14:textId="77777777" w:rsidR="0095274A" w:rsidRPr="00085486" w:rsidRDefault="0095274A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3B7FC0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40A0DEEA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76947BB7" w14:textId="036C5160" w:rsidR="00745A75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s pružným počtem odpracovaných hodin za měsíc</w:t>
      </w:r>
      <w:r w:rsidR="00FB2FDB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395B0AF9" w14:textId="77777777" w:rsidR="00791022" w:rsidRPr="00085486" w:rsidRDefault="0095274A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lastRenderedPageBreak/>
        <w:t>na hodinovém základě.</w:t>
      </w:r>
    </w:p>
    <w:p w14:paraId="74C0D715" w14:textId="77777777" w:rsidR="006D5EEC" w:rsidRPr="00085486" w:rsidRDefault="00DA68C3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5083EA9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58A0F3" w14:textId="77777777" w:rsidR="00791022" w:rsidRPr="00085486" w:rsidRDefault="00791022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37607" w14:textId="77777777" w:rsidR="007A7D60" w:rsidRPr="00085486" w:rsidRDefault="007A7D60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14:paraId="6A73A5A9" w14:textId="77777777" w:rsidR="00717D18" w:rsidRPr="00085486" w:rsidRDefault="00717D1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zaměstnance pracujícího na plný úvazek (pracovní smlouva/dohoda apod.) musí vyplývat, že zaměstnanec provádí činnosti vztahující se výhradně k projektu.</w:t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14:paraId="71A72A4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0E80A6" w14:textId="77777777" w:rsidR="009C17FC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A2E75" w14:textId="77777777" w:rsidR="005C6D12" w:rsidRPr="00085486" w:rsidRDefault="005C6D12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50349" w14:textId="77777777" w:rsidR="005C6D12" w:rsidRPr="00085486" w:rsidRDefault="002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085486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 (případ b)</w:t>
      </w:r>
    </w:p>
    <w:p w14:paraId="45DBFDFB" w14:textId="77777777" w:rsidR="002B3C5E" w:rsidRPr="00085486" w:rsidRDefault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085486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Zaměstnavatel se zaměstnancem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 w:rsidRPr="00085486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ní</w:t>
      </w:r>
      <w:r w:rsidR="0000154D" w:rsidRPr="00085486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8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9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3AB66C5" w14:textId="77777777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1924C37" w14:textId="0E887EB1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  <w:r w:rsidR="008167E6">
        <w:rPr>
          <w:rStyle w:val="Znakapoznpodarou"/>
          <w:rFonts w:ascii="Times New Roman" w:hAnsi="Times New Roman"/>
          <w:b/>
          <w:sz w:val="24"/>
          <w:szCs w:val="24"/>
          <w:lang w:eastAsia="cs-CZ"/>
        </w:rPr>
        <w:footnoteReference w:id="20"/>
      </w:r>
    </w:p>
    <w:p w14:paraId="648299BE" w14:textId="77777777" w:rsidR="00D06524" w:rsidRPr="00085486" w:rsidRDefault="00B55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150FDF9" w14:textId="77777777" w:rsidR="00D06524" w:rsidRPr="00085486" w:rsidRDefault="00D0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2BE046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14:paraId="7D47945A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32B82" w14:textId="77777777" w:rsidR="00C21691" w:rsidRPr="00085486" w:rsidRDefault="00C21691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085486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1"/>
      </w:r>
      <w:r w:rsidRPr="00085486">
        <w:rPr>
          <w:rFonts w:ascii="Times New Roman" w:hAnsi="Times New Roman"/>
          <w:sz w:val="24"/>
          <w:szCs w:val="24"/>
          <w:lang w:eastAsia="cs-CZ"/>
        </w:rPr>
        <w:t>, nebo</w:t>
      </w:r>
    </w:p>
    <w:p w14:paraId="0078DE31" w14:textId="29018ECE" w:rsidR="00DD6258" w:rsidRPr="00085486" w:rsidRDefault="003930B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085486">
        <w:rPr>
          <w:rFonts w:ascii="Times New Roman" w:hAnsi="Times New Roman"/>
          <w:sz w:val="24"/>
          <w:szCs w:val="24"/>
          <w:lang w:eastAsia="cs-CZ"/>
        </w:rPr>
        <w:t xml:space="preserve">mzdových nákladů (tj. mzdových nákladů za posledních 12 po sobě jdoucích měsíců) a 1720 hodin v souladu s čl. 68, odst. </w:t>
      </w:r>
      <w:r w:rsidR="005C1C77" w:rsidRPr="00085486">
        <w:rPr>
          <w:rFonts w:ascii="Times New Roman" w:hAnsi="Times New Roman"/>
          <w:sz w:val="24"/>
          <w:szCs w:val="24"/>
          <w:lang w:eastAsia="cs-CZ"/>
        </w:rPr>
        <w:lastRenderedPageBreak/>
        <w:t>2, nařízení (EU) č. 1303/2013.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Pokud v době předložení výdajů ke kontrole nejsou k dispozici poslední doložené roční hrubé mzdové náklady</w:t>
      </w:r>
      <w:r w:rsidR="00741372">
        <w:rPr>
          <w:rFonts w:ascii="Times New Roman" w:hAnsi="Times New Roman"/>
          <w:sz w:val="24"/>
          <w:szCs w:val="24"/>
          <w:lang w:eastAsia="cs-CZ"/>
        </w:rPr>
        <w:t>,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je možné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odvodit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(extrapolovat)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roční hrubé mzdové náklady </w:t>
      </w:r>
      <w:r w:rsidR="00741372">
        <w:rPr>
          <w:rFonts w:ascii="Times New Roman" w:hAnsi="Times New Roman"/>
          <w:sz w:val="24"/>
          <w:szCs w:val="24"/>
          <w:lang w:eastAsia="cs-CZ"/>
        </w:rPr>
        <w:t>z dostupných doložených hrubých mzdových nákladů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nebo mzdy/platu</w:t>
      </w:r>
      <w:r w:rsidR="001332D3">
        <w:rPr>
          <w:rFonts w:ascii="Times New Roman" w:hAnsi="Times New Roman"/>
          <w:sz w:val="24"/>
          <w:szCs w:val="24"/>
          <w:lang w:eastAsia="cs-CZ"/>
        </w:rPr>
        <w:t xml:space="preserve"> uvedené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v pracovní smlouvě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332D3">
        <w:rPr>
          <w:rFonts w:ascii="Times New Roman" w:hAnsi="Times New Roman"/>
          <w:sz w:val="24"/>
          <w:szCs w:val="24"/>
          <w:lang w:eastAsia="cs-CZ"/>
        </w:rPr>
        <w:t>a upravené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14CEE">
        <w:rPr>
          <w:rFonts w:ascii="Times New Roman" w:hAnsi="Times New Roman"/>
          <w:sz w:val="24"/>
          <w:szCs w:val="24"/>
          <w:lang w:eastAsia="cs-CZ"/>
        </w:rPr>
        <w:t>na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období 12 měsíců.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C5241">
        <w:rPr>
          <w:rFonts w:ascii="Times New Roman" w:hAnsi="Times New Roman"/>
          <w:sz w:val="24"/>
          <w:szCs w:val="24"/>
          <w:lang w:eastAsia="cs-CZ"/>
        </w:rPr>
        <w:t>Více informací k</w:t>
      </w:r>
      <w:r w:rsidR="00535075">
        <w:rPr>
          <w:rFonts w:ascii="Times New Roman" w:hAnsi="Times New Roman"/>
          <w:sz w:val="24"/>
          <w:szCs w:val="24"/>
          <w:lang w:eastAsia="cs-CZ"/>
        </w:rPr>
        <w:t> </w:t>
      </w:r>
      <w:r w:rsidR="00EC5241">
        <w:rPr>
          <w:rFonts w:ascii="Times New Roman" w:hAnsi="Times New Roman"/>
          <w:sz w:val="24"/>
          <w:szCs w:val="24"/>
          <w:lang w:eastAsia="cs-CZ"/>
        </w:rPr>
        <w:t>výpočtu</w:t>
      </w:r>
      <w:r w:rsidR="00535075">
        <w:rPr>
          <w:rFonts w:ascii="Times New Roman" w:hAnsi="Times New Roman"/>
          <w:sz w:val="24"/>
          <w:szCs w:val="24"/>
          <w:lang w:eastAsia="cs-CZ"/>
        </w:rPr>
        <w:t>, včetně podmínek uplatnění,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naleznete v sekci </w:t>
      </w:r>
      <w:proofErr w:type="gramStart"/>
      <w:r w:rsidR="00EC5241">
        <w:rPr>
          <w:rFonts w:ascii="Times New Roman" w:hAnsi="Times New Roman"/>
          <w:sz w:val="24"/>
          <w:szCs w:val="24"/>
          <w:lang w:eastAsia="cs-CZ"/>
        </w:rPr>
        <w:t>C.2.1.3</w:t>
      </w:r>
      <w:proofErr w:type="gramEnd"/>
      <w:r w:rsidR="00EC5241">
        <w:rPr>
          <w:rFonts w:ascii="Times New Roman" w:hAnsi="Times New Roman"/>
          <w:sz w:val="24"/>
          <w:szCs w:val="24"/>
          <w:lang w:eastAsia="cs-CZ"/>
        </w:rPr>
        <w:t xml:space="preserve">.  Implementačního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Central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), v sekci 5.4.1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Control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Guidelines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(program Danube) nebo v části 7.2.1. Programového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Interreg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Europe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C67AA6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7F0A79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AF327" w14:textId="77777777" w:rsidR="00872264" w:rsidRPr="00085486" w:rsidRDefault="0087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14:paraId="0A2ED831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88C0B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8915D56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66FD3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14:paraId="50ECEBB6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 doloženy, kromě pracovní smlouvy, také výkazy práce/</w:t>
      </w:r>
      <w:proofErr w:type="spellStart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14:paraId="2C1B7AE9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715A9" w14:textId="77777777" w:rsidR="00D40344" w:rsidRPr="00085486" w:rsidRDefault="0043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16C625" w14:textId="77777777" w:rsidR="004302A6" w:rsidRPr="00085486" w:rsidRDefault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BBC3370" w14:textId="77777777" w:rsidR="00DD6258" w:rsidRPr="00085486" w:rsidRDefault="00F5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E0E19CC" w14:textId="77777777" w:rsidR="00ED7C33" w:rsidRPr="00085486" w:rsidRDefault="006D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0063E1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46E22" w14:textId="2D7B6CB5" w:rsidR="00DD6258" w:rsidRPr="00085486" w:rsidRDefault="00CD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 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dokladování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(ke stažení </w:t>
      </w:r>
      <w:hyperlink r:id="rId20" w:history="1">
        <w:r w:rsidR="00DE796D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501B51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D09AB" w14:textId="77777777" w:rsidR="00F565EA" w:rsidRPr="00085486" w:rsidRDefault="00F5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14:paraId="26B8EEE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26259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73B3EC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A1212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2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1123EBE6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D823D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4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" w:history="1"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1A3407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AD088" w14:textId="77777777" w:rsidR="001D7D54" w:rsidRPr="00085486" w:rsidRDefault="001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E98AC" w14:textId="77777777" w:rsidR="001D7D54" w:rsidRPr="00085486" w:rsidRDefault="00F675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Způsobilost dalších výdajů</w:t>
      </w:r>
      <w:r w:rsidR="001D7D54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1D7D54" w:rsidRPr="00085486">
        <w:rPr>
          <w:rFonts w:ascii="Times New Roman" w:hAnsi="Times New Roman" w:cs="Times New Roman"/>
          <w:b/>
          <w:bCs/>
          <w:sz w:val="24"/>
          <w:szCs w:val="24"/>
        </w:rPr>
        <w:t>alkoholické nápoje</w:t>
      </w:r>
    </w:p>
    <w:p w14:paraId="38A3B8DB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7BF77023" w14:textId="77777777" w:rsidR="00F6758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86">
        <w:rPr>
          <w:rFonts w:ascii="Times New Roman" w:hAnsi="Times New Roman" w:cs="Times New Roman"/>
          <w:sz w:val="24"/>
          <w:szCs w:val="24"/>
        </w:rPr>
        <w:t xml:space="preserve">Alkoholické nápoje jsou způsobilé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Danube</w:t>
      </w:r>
      <w:r w:rsidRPr="00085486">
        <w:rPr>
          <w:rFonts w:ascii="Times New Roman" w:hAnsi="Times New Roman" w:cs="Times New Roman"/>
          <w:sz w:val="24"/>
          <w:szCs w:val="24"/>
        </w:rPr>
        <w:t xml:space="preserve"> pouze za následujících podmínek: Způsobilé jsou pouze výdaje související s poskytnutým alkoholickým nápojem, jehož spotřebu lze jednoznačně vztáhnout k zúčastněným osobám/počtu osob na </w:t>
      </w:r>
      <w:r w:rsidR="00182503" w:rsidRPr="00085486">
        <w:rPr>
          <w:rFonts w:ascii="Times New Roman" w:hAnsi="Times New Roman" w:cs="Times New Roman"/>
          <w:sz w:val="24"/>
          <w:szCs w:val="24"/>
        </w:rPr>
        <w:t xml:space="preserve">konkrétní akci. </w:t>
      </w:r>
      <w:r w:rsidRPr="00085486">
        <w:rPr>
          <w:rFonts w:ascii="Times New Roman" w:hAnsi="Times New Roman" w:cs="Times New Roman"/>
          <w:sz w:val="24"/>
          <w:szCs w:val="24"/>
        </w:rPr>
        <w:t xml:space="preserve">Způsobilý je 1 alkoholický nápoj na osobu v případě, že se nejedná o tvrdý alkohol (ten je vždy výdajem nezpůsobilým). Nezpůsobilým výdajem v souvislosti s nákupem alkoholu je takový, který nelze jednoznačně vztáhnout k zúčastněným osobám/počtu.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sz w:val="24"/>
          <w:szCs w:val="24"/>
        </w:rPr>
        <w:t xml:space="preserve"> jsou alkoholické </w:t>
      </w:r>
      <w:r w:rsidR="00F9647B" w:rsidRPr="00085486">
        <w:rPr>
          <w:rFonts w:ascii="Times New Roman" w:hAnsi="Times New Roman" w:cs="Times New Roman"/>
          <w:sz w:val="24"/>
          <w:szCs w:val="24"/>
        </w:rPr>
        <w:t xml:space="preserve">nápoje </w:t>
      </w:r>
      <w:r w:rsidRPr="00085486">
        <w:rPr>
          <w:rFonts w:ascii="Times New Roman" w:hAnsi="Times New Roman" w:cs="Times New Roman"/>
          <w:sz w:val="24"/>
          <w:szCs w:val="24"/>
        </w:rPr>
        <w:t xml:space="preserve">vždy nezpůsobilý výdaj.  </w:t>
      </w:r>
    </w:p>
    <w:p w14:paraId="5E95F2F6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96B823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5" w:name="_Toc491701151"/>
      <w:r w:rsidRPr="00085486">
        <w:t>Publicita</w:t>
      </w:r>
      <w:bookmarkEnd w:id="45"/>
    </w:p>
    <w:p w14:paraId="6622D85A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2D307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14:paraId="6FF6A7A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BACE1" w14:textId="77777777" w:rsidR="00DD6258" w:rsidRPr="00085486" w:rsidRDefault="00DD6258" w:rsidP="00DB7B8A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6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14:paraId="5D741884" w14:textId="77777777" w:rsidR="00DD6258" w:rsidRPr="00085486" w:rsidRDefault="00DD6258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14:paraId="49DD658E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7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4D8DDE1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EDD18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8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</w:t>
        </w:r>
        <w:r w:rsidR="00E74BF2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C2A20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webpage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User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</w:p>
    <w:p w14:paraId="41C4C466" w14:textId="77777777" w:rsidR="0083743C" w:rsidRPr="00085486" w:rsidRDefault="008374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34AF5F5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6EA324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969552" w14:textId="77777777" w:rsidR="00920C9E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8EB3CFD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8F735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14:paraId="11491B71" w14:textId="77777777" w:rsidR="00E46D40" w:rsidRPr="00085486" w:rsidRDefault="00E4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AE661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E4D81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9" w:history="1">
        <w:r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1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14:paraId="3340119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FFC37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085486">
        <w:rPr>
          <w:rFonts w:eastAsia="Times New Roman" w:cs="Times New Roman"/>
          <w:vertAlign w:val="superscript"/>
        </w:rPr>
        <w:footnoteReference w:id="23"/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14:paraId="00AB977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E364D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D5F6CC" w14:textId="77777777" w:rsidR="00F05DAA" w:rsidRPr="00085486" w:rsidRDefault="00F05DA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2F69D8B6" w14:textId="77777777" w:rsidR="00E46D40" w:rsidRPr="00085486" w:rsidRDefault="00E46D4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0AAB877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garantuje splnění všech výše uvedených náležitostí (technické vlastnosti zobrazení znaku Unie je dáno čl. 4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821/2014 ). </w:t>
      </w:r>
    </w:p>
    <w:p w14:paraId="7179002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6BD4A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není v logu uveden odkaz na ERDF, protože program je financován z více fondů. V tomto případě je povinností příjemců uvést odkaz na konkrétní fond (ERDF) nebo alespoň odkaz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„Project co-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funded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Union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funds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(ERDF, IPA, ENI)”. </w:t>
      </w:r>
    </w:p>
    <w:p w14:paraId="7F98AED9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8BB69" w14:textId="77777777" w:rsidR="00DD6258" w:rsidRPr="00085486" w:rsidRDefault="00DD6258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14:paraId="75BA794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14:paraId="0DCC1D6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907BF0" w14:textId="77777777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projektoví partneři mají po dobu realizace projektu povinnost umístit na dobře viditelném místě </w:t>
      </w:r>
      <w:r w:rsidR="00F34B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své instituce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jeden plakát (minimálně velikosti A3), který musí obsahovat: </w:t>
      </w:r>
    </w:p>
    <w:p w14:paraId="43EF94A2" w14:textId="77777777" w:rsidR="00CF75B9" w:rsidRPr="00085486" w:rsidRDefault="00CF75B9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25DAA6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název projektu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 a programu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1C41FD4E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informace o projektu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 xml:space="preserve"> včetně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výše 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>finanční podpory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2A9F5B80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logo EU s odkazy na EU a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>ERDF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E85FFE3" w14:textId="77777777" w:rsidR="00F60F83" w:rsidRPr="00085486" w:rsidRDefault="00F60F83" w:rsidP="00D7431D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5B67EC2" w14:textId="77777777" w:rsidR="009C025E" w:rsidRPr="00085486" w:rsidRDefault="00F60F83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a vzory plakátů za jednotlivé programy naleznete v manuálech pro publicitu uvedených výše. </w:t>
      </w:r>
    </w:p>
    <w:p w14:paraId="3529A368" w14:textId="77777777" w:rsidR="009D2FE5" w:rsidRPr="00085486" w:rsidRDefault="009D2FE5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6E98D6" w14:textId="7391B203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povinni zvolit vhodnou formu propagace odpovídající charakteru projektu tak, aby bylo zajištěno, že cílové skupiny budou informovány o tom, že projekt je realizován v rámci Programu, který je spolufinancován z Evropského fondu pro regionáln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rozvoj, </w:t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loga programu, které obsahuje povinné náležitosti</w:t>
      </w:r>
      <w:r w:rsidR="0000297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5"/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(logo programu, vlajka EU, odkaz na ERDF)</w:t>
      </w:r>
      <w:r w:rsidR="00B10244">
        <w:rPr>
          <w:rFonts w:ascii="Times New Roman" w:eastAsia="Times New Roman" w:hAnsi="Times New Roman" w:cs="Times New Roman"/>
          <w:sz w:val="24"/>
          <w:szCs w:val="24"/>
          <w:lang w:eastAsia="cs-CZ"/>
        </w:rPr>
        <w:t>. Např.</w:t>
      </w:r>
      <w:r w:rsidR="00DE6A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D2D39F9" w14:textId="68A34450" w:rsidR="009C025E" w:rsidRPr="00085486" w:rsidRDefault="009C025E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43013" w14:textId="77777777" w:rsidR="00027A89" w:rsidRDefault="00002973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C067B9">
        <w:rPr>
          <w:rFonts w:ascii="Times New Roman" w:hAnsi="Times New Roman"/>
          <w:sz w:val="24"/>
          <w:szCs w:val="24"/>
          <w:lang w:eastAsia="cs-CZ"/>
        </w:rPr>
        <w:t xml:space="preserve"> případě seminářů, workshopů, školení, konferencí, výstav, veletrhů použitím plakátu, </w:t>
      </w:r>
      <w:proofErr w:type="spellStart"/>
      <w:r w:rsidRPr="00C067B9">
        <w:rPr>
          <w:rFonts w:ascii="Times New Roman" w:hAnsi="Times New Roman"/>
          <w:sz w:val="24"/>
          <w:szCs w:val="24"/>
          <w:lang w:eastAsia="cs-CZ"/>
        </w:rPr>
        <w:t>roll-upu</w:t>
      </w:r>
      <w:proofErr w:type="spellEnd"/>
      <w:r w:rsidRPr="00C067B9">
        <w:rPr>
          <w:rFonts w:ascii="Times New Roman" w:hAnsi="Times New Roman"/>
          <w:sz w:val="24"/>
          <w:szCs w:val="24"/>
          <w:lang w:eastAsia="cs-CZ"/>
        </w:rPr>
        <w:t>, označením vystavovaných objektů, polepu stánku apod.</w:t>
      </w:r>
    </w:p>
    <w:p w14:paraId="2116A64D" w14:textId="1EAB81ED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 případě menších infrastrukturních projektů použitím informační cedule v průběhu realizace projektu a pamětní desky po skončení realizace projektu v místě infrastruktury apod.),</w:t>
      </w:r>
    </w:p>
    <w:p w14:paraId="2A90F54E" w14:textId="27AAD566" w:rsidR="00DE6A64" w:rsidRPr="00085486" w:rsidRDefault="00535075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3DD1">
        <w:rPr>
          <w:rFonts w:ascii="Times New Roman" w:hAnsi="Times New Roman"/>
          <w:sz w:val="24"/>
          <w:szCs w:val="24"/>
          <w:lang w:eastAsia="cs-CZ"/>
        </w:rPr>
        <w:t>na akcích (např. konference), je nutno instalovat vlajku Evropské unie</w:t>
      </w:r>
      <w:r w:rsidR="00DE6A6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161F6ACF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internetové stránky projektu, </w:t>
      </w:r>
    </w:p>
    <w:p w14:paraId="4E5146E3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inzerce (v novinách, rozhlase, TV), </w:t>
      </w:r>
    </w:p>
    <w:p w14:paraId="242F4EDD" w14:textId="77777777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informační a komunikační materiál vyrobený v rámci realizovaného projektu (plakát, leták, brožura, skládačka, informační sdělení, zpravodaj, studie, atd.),</w:t>
      </w:r>
    </w:p>
    <w:p w14:paraId="5A80A56D" w14:textId="77777777" w:rsidR="00DE6A64" w:rsidRPr="00085486" w:rsidRDefault="00DE6A64" w:rsidP="00C067B9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p w14:paraId="0B15DDF3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F07A9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14:paraId="049C8985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54547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14:paraId="32380B1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14:paraId="2B0ECA0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A13E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14:paraId="0D89CA0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82B0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14:paraId="0C36DBF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196D5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14:paraId="652425C5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6C9DFD7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14:paraId="799D1CC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1B672C02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14:paraId="6010177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461797C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14:paraId="0A7E85E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3D26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14:paraId="690C5B7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DC31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D2218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14:paraId="525DC9AE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0EFF8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14:paraId="216E2E1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EC1EC6" w14:textId="0F3A4D9A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EU vč. odkazu na Evropskou unii </w:t>
      </w:r>
    </w:p>
    <w:p w14:paraId="6F655EA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ED2CDF" w14:textId="4ABFCCB5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uvedení odkazu na ERDF</w:t>
      </w:r>
      <w:r w:rsidRPr="00085486">
        <w:rPr>
          <w:vertAlign w:val="superscript"/>
          <w:lang w:eastAsia="cs-CZ"/>
        </w:rPr>
        <w:footnoteReference w:id="26"/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14:paraId="0BDF38C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914AD6" w14:textId="3B1D2BB3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programu </w:t>
      </w:r>
    </w:p>
    <w:p w14:paraId="19F0BDD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AFF9F6" w14:textId="692233BD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14:paraId="51151AD2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1B2DCE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14:paraId="35D26CD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A6D197" w14:textId="6027BEF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dodrženy grafické standardy a pravidla pro barevné provedení loga, </w:t>
      </w:r>
      <w:r w:rsidR="00765901" w:rsidRPr="00085486">
        <w:rPr>
          <w:rFonts w:ascii="Times New Roman" w:hAnsi="Times New Roman"/>
          <w:color w:val="000000"/>
          <w:sz w:val="24"/>
          <w:szCs w:val="24"/>
          <w:lang w:eastAsia="cs-CZ"/>
        </w:rPr>
        <w:t>používání fontů</w:t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písma </w:t>
      </w:r>
    </w:p>
    <w:p w14:paraId="6EC38B5C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C62BC6" w14:textId="6FD5D362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nejsou dodržena pravidla pro umístění loga</w:t>
      </w:r>
    </w:p>
    <w:p w14:paraId="738A45BC" w14:textId="791B45A4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A23256" w14:textId="264BAC4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dodržena pravidla týkající se velikosti loga a v případě dočasných billboardů a trvalých pamětních desek podílu plochy, které mají informace o projektu vč. loga zaujímat </w:t>
      </w:r>
    </w:p>
    <w:p w14:paraId="5B71DC9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287468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08548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7"/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3D0694A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824AA0" w14:textId="401CD179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5 %,</w:t>
      </w:r>
    </w:p>
    <w:p w14:paraId="6175A22E" w14:textId="2C9CD2D8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DBB88B" w14:textId="175171AD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(nesplňuje všechny náležitosti uvedené v čl. 2.2, Přílohy XII Nařízení (EU) č. 1303/2013 – způsobilé výdaje se krátí ve výši 3 %, </w:t>
      </w:r>
    </w:p>
    <w:p w14:paraId="204393AD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B850BF8" w14:textId="2A82BF15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14:paraId="1A2904CF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AA3944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14:paraId="4763A4C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5D756" w14:textId="74E95C2C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úplně chybí – způsobilé výdaje se krátí ve výši 50 %, </w:t>
      </w:r>
    </w:p>
    <w:p w14:paraId="5F12E50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E9B8ED" w14:textId="3781F221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25 %, </w:t>
      </w:r>
    </w:p>
    <w:p w14:paraId="0B68457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D0F3D" w14:textId="0F32B66E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14:paraId="537E756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6B770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14:paraId="76C2AD6C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83EC91" w14:textId="278D56A8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100 %,</w:t>
      </w:r>
    </w:p>
    <w:p w14:paraId="5117328B" w14:textId="74422373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FADD5C" w14:textId="2856EA5D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50 %, </w:t>
      </w:r>
    </w:p>
    <w:p w14:paraId="100AC44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179D14" w14:textId="2969C7BB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14:paraId="5E6CDD28" w14:textId="77777777" w:rsidR="003B5C84" w:rsidRPr="00085486" w:rsidRDefault="003B5C84" w:rsidP="00D7431D">
      <w:pPr>
        <w:pStyle w:val="Odstavecseseznamem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41DE08" w14:textId="77777777" w:rsidR="003B5C84" w:rsidRPr="00085486" w:rsidRDefault="003B5C84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F1B9DF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6" w:name="_Toc491701152"/>
      <w:r w:rsidRPr="00085486">
        <w:t>Postup předkládání zprávy o průběhu projektu a výdajů ke kontrole</w:t>
      </w:r>
      <w:bookmarkEnd w:id="46"/>
    </w:p>
    <w:p w14:paraId="30745CEE" w14:textId="77777777" w:rsidR="00DD6258" w:rsidRPr="00085486" w:rsidRDefault="00DD6258" w:rsidP="00AD59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B1DE3C9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7" w:name="_Toc491701153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  <w:bookmarkEnd w:id="47"/>
    </w:p>
    <w:p w14:paraId="44B8813E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2FEAA" w14:textId="77777777" w:rsidR="00DD6258" w:rsidRPr="00085486" w:rsidRDefault="00DD6258" w:rsidP="00DB7B8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</w:t>
      </w:r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7E62DB" w14:textId="7B299894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rozpočet jednotlivého projektového partnera dle rozpočtových kapitol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CENTRAL i dle WP, pokud nebyl předložen jako součást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FF7D9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1A3611F" w14:textId="0B1C2721" w:rsidR="009A3A2A" w:rsidRPr="00085486" w:rsidRDefault="009A3A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  <w:r w:rsidR="009915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A2FA71" w14:textId="77777777" w:rsidR="009915CA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</w:t>
      </w:r>
      <w:r w:rsidR="009915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D1BBF4" w14:textId="19729AED" w:rsidR="00DD6258" w:rsidRPr="00085486" w:rsidRDefault="009915C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3C5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 účtů analytické evidence, které partner používá při účtování v účetnictví projektu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(blíže popsáno na str. 39 </w:t>
      </w:r>
      <w:hyperlink r:id="rId32" w:history="1">
        <w:r w:rsidRPr="009915C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Náležitostí doklado</w:t>
        </w:r>
        <w:r w:rsidRPr="009915C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</w:t>
        </w:r>
        <w:r w:rsidRPr="009915C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ání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20244361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99B82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7F0F97B3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43BA730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8" w:name="_Toc491701154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</w:t>
      </w:r>
      <w:bookmarkEnd w:id="48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4F89AB56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054211D9" w14:textId="72274889" w:rsidR="009F17D5" w:rsidRDefault="009F17D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Doložení </w:t>
      </w:r>
      <w:r w:rsidR="00EC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souhrnného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čestného prohlášení partnera, které je přílohou Náležitostí dokladování (ke stažení </w:t>
      </w:r>
      <w:hyperlink r:id="rId33" w:history="1">
        <w:r w:rsidRPr="009F17D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</w:t>
        </w:r>
        <w:r w:rsidRPr="009F17D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 </w:t>
      </w:r>
    </w:p>
    <w:p w14:paraId="6F7EE658" w14:textId="36F23759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předložit  aktuální verzi těchto dokumentů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57B195" w14:textId="77777777" w:rsidR="00DD6258" w:rsidRPr="00085486" w:rsidRDefault="009A3A2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 změny aktualizovanou p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2944857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C0BBBC" w14:textId="010EED07" w:rsidR="00D11BB7" w:rsidRPr="00085486" w:rsidRDefault="00863480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</w:t>
      </w:r>
      <w:r w:rsidR="00294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</w:t>
      </w:r>
      <w:proofErr w:type="spellStart"/>
      <w:r w:rsidR="00294E90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="00294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</w:t>
      </w:r>
      <w:r w:rsidR="004458CB">
        <w:rPr>
          <w:rFonts w:ascii="Times New Roman" w:eastAsia="Times New Roman" w:hAnsi="Times New Roman" w:cs="Times New Roman"/>
          <w:sz w:val="24"/>
          <w:szCs w:val="24"/>
          <w:lang w:eastAsia="cs-CZ"/>
        </w:rPr>
        <w:t>7).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58CB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příjemce předkládá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</w:t>
      </w:r>
      <w:r w:rsidR="004458C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3310D7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8"/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vat s účelem a aktivitou uvedených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Soupisce výdajů/List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EEFA28" w14:textId="37B4BA12" w:rsidR="00DD6258" w:rsidRPr="00085486" w:rsidRDefault="00D11BB7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FFA8B8" w14:textId="2B5D27F8" w:rsidR="00280043" w:rsidRPr="00085486" w:rsidRDefault="00280043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je třeba předložit zprávu o průběhu projektu/Partner report, jejíž součástí je i soupiska 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</w:t>
      </w:r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6B6C9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0"/>
      </w:r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korespondovat s účelem a aktivitou uvedené v Soupisce výdajů/List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64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F89308" w14:textId="77777777" w:rsidR="00DD6258" w:rsidRPr="00085486" w:rsidRDefault="00DD625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085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14:paraId="072D5ADF" w14:textId="77777777" w:rsidR="00A93188" w:rsidRPr="00085486" w:rsidRDefault="009D671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IE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soupiska výdajů/List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 -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03E2FE" w14:textId="77777777" w:rsidR="00DD6258" w:rsidRPr="00085486" w:rsidRDefault="0078093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281D24" w14:textId="77777777" w:rsidR="00A023C5" w:rsidRPr="00085486" w:rsidRDefault="00A023C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DANUBE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partner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nepředkládá výdaje ke kontrole, má povinnost </w:t>
      </w:r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předložit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následujícím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862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 aktuálním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a List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2x partner report + 2 x list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období zvlášť).</w:t>
      </w:r>
    </w:p>
    <w:p w14:paraId="0FF2B317" w14:textId="27799844" w:rsidR="00DD6258" w:rsidRDefault="006E04A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roztříděné ve složce podle rozpočtových kapitol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opatřených </w:t>
      </w:r>
      <w:r w:rsidR="0075368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číslem, názvem (akronymem) projektu a názvem programu.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předkládá doklady dle pokynů uveden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dokladování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(ke stažení </w:t>
      </w:r>
      <w:hyperlink r:id="rId34" w:history="1"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</w:t>
        </w:r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</w:t>
        </w:r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</w:t>
        </w:r>
      </w:hyperlink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700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1"/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14:paraId="3D6C18A9" w14:textId="77777777" w:rsidR="00A5177D" w:rsidRPr="00A5177D" w:rsidRDefault="00A5177D" w:rsidP="00A5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EA7D0" w14:textId="4E71D8F4" w:rsidR="00A5177D" w:rsidRPr="00085486" w:rsidRDefault="00A5177D" w:rsidP="00A5177D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3C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výdajů na Externí</w:t>
      </w:r>
      <w:r w:rsidR="00D62D4B" w:rsidRPr="00D62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odborné poradenství a služby</w:t>
      </w:r>
      <w:r w:rsidR="00D62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71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na vybavení a </w:t>
      </w:r>
      <w:r w:rsidR="00D62D4B">
        <w:rPr>
          <w:rFonts w:ascii="Times New Roman" w:eastAsia="Times New Roman" w:hAnsi="Times New Roman" w:cs="Times New Roman"/>
          <w:sz w:val="24"/>
          <w:szCs w:val="24"/>
          <w:lang w:eastAsia="cs-CZ"/>
        </w:rPr>
        <w:t>infrastrukturu a práce</w:t>
      </w:r>
      <w:r w:rsidRPr="00471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nepředkládají doklady, pokud hodnota jednoho konkrétní výdaje/účetního dokladu je nižší než 400 EUR (takové výdaje se pouze uvedou do soupisky výdajů), respektive doklady jsou předkládány až na výzvu Kontrolora v rámci tzv. formální kontroly (kontrola výdajů pod 400 EUR je prováděna na vzorku; viz Náležitosti dokladování). Pokud bude mít Kontrolor pochybnosti o způsobilosti jakéhokoliv výdaje, vyžádá si od partnera v průběhu kontroly doklady nad rámec stanoveného vzorku.</w:t>
      </w:r>
    </w:p>
    <w:p w14:paraId="6CCD37FE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14:paraId="17EA05C9" w14:textId="06A31328" w:rsidR="00DD6258" w:rsidRPr="00085486" w:rsidRDefault="00DD6258" w:rsidP="00D7431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hyperlink r:id="rId35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https://www.crr.cz/eus/archiv-eus/cil-3/n</w:t>
        </w:r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lezitosti-dokladovani/</w:t>
        </w:r>
      </w:hyperlink>
      <w:r w:rsidR="00B10244">
        <w:t xml:space="preserve"> 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podkladem pro vyhotovení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dodržení postupů uvedených v Náležitostech dokladování a řádného vyplnění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C3211D8" w14:textId="7CB9D166" w:rsidR="00DD6258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překročení rozpočtu, rozpočtových kapitol - souhlas LP se změnou rozpočtu, apod.</w:t>
      </w:r>
      <w:r w:rsidR="009F17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71E0FBF" w14:textId="64A878B5" w:rsidR="009915CA" w:rsidRPr="00085486" w:rsidRDefault="009915C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nový Rozvrh účtů analytické evidence (blíže popsáno na str. </w:t>
      </w:r>
      <w:hyperlink r:id="rId36" w:history="1"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39 N</w:t>
        </w:r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á</w:t>
        </w:r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ležitostí dokladová</w:t>
        </w:r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</w:t>
        </w:r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47E35F77" w14:textId="77777777" w:rsidR="00DD6258" w:rsidRPr="00085486" w:rsidRDefault="00DD62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22375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6.C.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14:paraId="30A7276E" w14:textId="77777777" w:rsidR="00DD6258" w:rsidRPr="00085486" w:rsidRDefault="00DD6258" w:rsidP="00AD59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14:paraId="17A07E68" w14:textId="77777777" w:rsidR="00DD6258" w:rsidRPr="00085486" w:rsidRDefault="00DD6258" w:rsidP="00DB7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E0E49" w14:textId="7FA332CF" w:rsidR="00DD6258" w:rsidRPr="00085486" w:rsidRDefault="00557E04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(resp. vložte do elektronického systému)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či přivezte všechny potřebné podklady k provedení kontroly (viz výše, včetně dokumentů uvedených v Náležitostech dokladování).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Informujte příslušnou pobočku</w:t>
      </w:r>
      <w:r w:rsidR="00831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emailem, že jste </w:t>
      </w:r>
      <w:r w:rsidR="005A221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o průběhu projektu/Partner report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předložili prostřednictvím elektronického systému programu.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37" w:history="1"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</w:t>
        </w:r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</w:t>
        </w:r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rr.cz</w:t>
        </w:r>
      </w:hyperlink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316CA55" w14:textId="6E82A6D1" w:rsidR="00DD6258" w:rsidRPr="00085486" w:rsidRDefault="00DD6258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ani v tomto případě není nedostatek odstraněn, je výdaj odložen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07B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krácen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CE11F" w14:textId="77777777" w:rsidR="00F00FFA" w:rsidRPr="00085486" w:rsidRDefault="006B6B4B" w:rsidP="00DB7B8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6E2F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14:paraId="2A89DA15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r w:rsidR="001202F4" w:rsidRPr="00085486">
        <w:t>http://www.crr.cz/cs/eus/nalezitosti-dokladovani/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případě, že při druhé kontrole znovu předložené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8023C3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85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14:paraId="1FE891EF" w14:textId="77777777" w:rsidR="00DD6258" w:rsidRPr="00085486" w:rsidRDefault="006762F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8334A1A" w14:textId="77777777" w:rsidR="005A05E4" w:rsidRPr="00085486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2AE9DD7" w14:textId="77777777" w:rsidR="00EB1389" w:rsidRPr="00085486" w:rsidRDefault="00D0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49" w:name="_Toc221601315"/>
      <w:bookmarkStart w:id="50" w:name="_Toc221601316"/>
      <w:bookmarkStart w:id="51" w:name="_Toc221601317"/>
      <w:bookmarkStart w:id="52" w:name="_Toc221601318"/>
      <w:bookmarkEnd w:id="49"/>
      <w:bookmarkEnd w:id="50"/>
      <w:bookmarkEnd w:id="51"/>
      <w:bookmarkEnd w:id="52"/>
    </w:p>
    <w:p w14:paraId="1FEA0525" w14:textId="77777777" w:rsidR="00EB31D4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3" w:name="_Toc491701155"/>
      <w:r w:rsidRPr="00085486">
        <w:t>Účetnictví a povinnost archivace účetních dokladů</w:t>
      </w:r>
      <w:bookmarkEnd w:id="53"/>
    </w:p>
    <w:p w14:paraId="6FD40D38" w14:textId="77777777" w:rsidR="004A474E" w:rsidRPr="00085486" w:rsidRDefault="004A474E" w:rsidP="00AD59F5">
      <w:pPr>
        <w:pStyle w:val="Odstavecseseznamem"/>
        <w:spacing w:after="0" w:line="240" w:lineRule="auto"/>
        <w:jc w:val="both"/>
        <w:rPr>
          <w:rFonts w:eastAsiaTheme="minorHAnsi"/>
          <w:sz w:val="24"/>
          <w:szCs w:val="20"/>
          <w:lang w:eastAsia="cs-CZ"/>
        </w:rPr>
      </w:pPr>
    </w:p>
    <w:p w14:paraId="350C00B3" w14:textId="77777777" w:rsidR="00EB31D4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14:paraId="2883A779" w14:textId="77777777" w:rsidR="00EB31D4" w:rsidRPr="00085486" w:rsidRDefault="00EB31D4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BC9BA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0854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32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 Každý partner je povinen z účetnictví poskytnout všem kontrolním orgánům požadované údaje související s projektem, a to nejpozději od data registrace projektu.</w:t>
      </w:r>
    </w:p>
    <w:p w14:paraId="27AB650D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14:paraId="75507D55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14:paraId="2BE52F60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14:paraId="12573558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14:paraId="36A61EAD" w14:textId="77777777" w:rsidR="00DD6258" w:rsidRPr="00085486" w:rsidRDefault="00DD6258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Partneři jsou povinni uschovat (archivovat) originální doklady, tzn. všechny účetní doklady, doklady o zaplacení a všechny ostatní podklady a smlouvy související 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14:paraId="1DF3A50C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14:paraId="270F7AC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6E237" w14:textId="77777777" w:rsidR="00DD6258" w:rsidRPr="00085486" w:rsidRDefault="00664EB3" w:rsidP="00D7431D">
      <w:pPr>
        <w:pStyle w:val="Nadpis1"/>
        <w:numPr>
          <w:ilvl w:val="0"/>
          <w:numId w:val="16"/>
        </w:numPr>
        <w:jc w:val="both"/>
      </w:pPr>
      <w:bookmarkStart w:id="54" w:name="_Toc491701156"/>
      <w:r w:rsidRPr="00085486">
        <w:t>Registr smluv</w:t>
      </w:r>
      <w:bookmarkEnd w:id="54"/>
      <w:r w:rsidR="006F4447" w:rsidRPr="00085486">
        <w:t xml:space="preserve"> </w:t>
      </w:r>
    </w:p>
    <w:p w14:paraId="0F81265C" w14:textId="77777777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94ABF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Platí pouze pro české vedoucí partnery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1A56B7C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955AF" w14:textId="77777777" w:rsidR="006F4447" w:rsidRPr="00085486" w:rsidRDefault="006F4447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Příslušný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3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partner je po podpisu Smlouvy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Řídicím orgánem povinen zveřejnit tuto Smlouvu v Registru smluv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4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jenž je dle zákona č. 340/2015 Sb., o registru smluv podmínkou její účinnosti. Povinnost uveřejnění v registru smluv se týká také nových</w:t>
      </w:r>
      <w:r w:rsidR="000F751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/aktualizovaných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verzí příslušné Smlouvy. </w:t>
      </w:r>
    </w:p>
    <w:p w14:paraId="20F8C1B0" w14:textId="794992B3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tí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partneři, kteří jsou právnickou osobou uvedenou v § 2 odst. 1 zákona č. 340/2015 Sb.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nevztahuje se na ně jedna z výjimek uvedených v </w:t>
      </w:r>
      <w:r w:rsidR="0000297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§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>3,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povinni dle §5 odst. 2 tohoto zákona zaslat smlouvu správci registru smluv k uveřejnění prostřednictvím registru smluv bez zbytečného odkladu, nejpozději však do 30 dnů od uzavření smlouvy. Datovou zprávu s potvrzením o uveřejnění zaš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le</w:t>
      </w:r>
      <w:r w:rsidR="000D08E5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český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edoucí partner zpět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Národnímu koordinátoru programu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pro místní rozvoj (</w:t>
      </w:r>
      <w:hyperlink r:id="rId38" w:history="1">
        <w:r w:rsidR="00645798" w:rsidRPr="00085486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nadnarodni@mmr.cz</w:t>
        </w:r>
      </w:hyperlink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14:paraId="022B4FBD" w14:textId="77777777" w:rsidR="000D1CBF" w:rsidRPr="00085486" w:rsidRDefault="000D1CB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9EC520" w14:textId="77777777" w:rsidR="000D1CBF" w:rsidRPr="00085486" w:rsidRDefault="000D1CBF" w:rsidP="00D7431D">
      <w:pPr>
        <w:pStyle w:val="Nadpis1"/>
        <w:numPr>
          <w:ilvl w:val="0"/>
          <w:numId w:val="16"/>
        </w:numPr>
        <w:jc w:val="both"/>
      </w:pPr>
      <w:bookmarkStart w:id="55" w:name="_Toc491701157"/>
      <w:r w:rsidRPr="00085486">
        <w:t xml:space="preserve">Veřejná podpora (de </w:t>
      </w:r>
      <w:proofErr w:type="spellStart"/>
      <w:r w:rsidRPr="00085486">
        <w:t>minimis</w:t>
      </w:r>
      <w:proofErr w:type="spellEnd"/>
      <w:r w:rsidRPr="00085486">
        <w:t>)</w:t>
      </w:r>
      <w:bookmarkEnd w:id="55"/>
      <w:r w:rsidRPr="00085486">
        <w:t xml:space="preserve"> </w:t>
      </w:r>
    </w:p>
    <w:p w14:paraId="2FFD30B3" w14:textId="77777777" w:rsidR="000D1CBF" w:rsidRPr="00085486" w:rsidRDefault="000D1CBF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F4205DE" w14:textId="77777777" w:rsidR="00B365A3" w:rsidRPr="00085486" w:rsidRDefault="006736D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rámci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(implementace pilotních aktivit) mohou některé aktivity realizované v rámci projektu zavdávat nedovolenou veřejnou podporu. U všech projektů je již při jejich schvalování a následném uzavírání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uvedeno, které aktivity v rámci projektu mají znaky nedovolené veřejné podpory, a kterých projektových 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partnerů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tato nedovolená veřejná podpora týká.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2E7CA06" w14:textId="77777777" w:rsidR="00CE650A" w:rsidRPr="00085486" w:rsidRDefault="00CE650A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3E20BF" w14:textId="77777777" w:rsidR="00FB37DA" w:rsidRPr="00085486" w:rsidRDefault="00B365A3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programů se rozlišuje mezi dvěma typy veřejné podpory: </w:t>
      </w:r>
    </w:p>
    <w:p w14:paraId="577B0DB0" w14:textId="77777777" w:rsidR="00CE650A" w:rsidRPr="00085486" w:rsidRDefault="00CE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8EBA9" w14:textId="77777777" w:rsidR="0030672D" w:rsidRPr="00085486" w:rsidRDefault="00FB37D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Přímá veřejná podpora</w:t>
      </w:r>
    </w:p>
    <w:p w14:paraId="05057A41" w14:textId="77777777" w:rsidR="0030672D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Projektoví partneři jsou přímými příjemci veřejné podpory (příjemci 1. stupně) v rámci režimu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. Veřejná podpora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 je poskytována partnerů</w:t>
      </w:r>
      <w:r w:rsidR="004A4AC9" w:rsidRPr="00085486">
        <w:rPr>
          <w:rFonts w:ascii="Times New Roman" w:hAnsi="Times New Roman"/>
          <w:sz w:val="24"/>
          <w:szCs w:val="20"/>
          <w:lang w:eastAsia="cs-CZ"/>
        </w:rPr>
        <w:t>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společným sekretariátem</w:t>
      </w:r>
      <w:r w:rsidR="00206039" w:rsidRPr="00085486">
        <w:rPr>
          <w:rFonts w:ascii="Times New Roman" w:hAnsi="Times New Roman"/>
          <w:sz w:val="24"/>
          <w:szCs w:val="20"/>
          <w:lang w:eastAsia="cs-CZ"/>
        </w:rPr>
        <w:t>/řídícím orgánem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, který i výši této podpory monitoruje a eviduje. </w:t>
      </w:r>
    </w:p>
    <w:p w14:paraId="3E2FCA82" w14:textId="77777777" w:rsidR="00CE650A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A78AE39" w14:textId="77777777" w:rsidR="0030672D" w:rsidRPr="00085486" w:rsidRDefault="0030672D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Nepřímá/přenesená veřejná podpora</w:t>
      </w:r>
    </w:p>
    <w:p w14:paraId="12C0A81C" w14:textId="77777777" w:rsidR="00007AE2" w:rsidRPr="00085486" w:rsidRDefault="00007A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Jedná se o veřejnou podporu, kterou poskytuje projektový partner dalším subjektům a tím je zvýhodňuje oproti ostatním subjektům na trhu (přenesená veřejná podpora/ podpora 2. stupně). Typickým příkladem je organizace školení, seminářů pro vybranou skupinu subjektů. V tomto případě je povinností projektového partnera evidovat/registrovat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poskytnut</w:t>
      </w:r>
      <w:r w:rsidRPr="00085486">
        <w:rPr>
          <w:rFonts w:ascii="Times New Roman" w:hAnsi="Times New Roman"/>
          <w:sz w:val="24"/>
          <w:szCs w:val="20"/>
          <w:lang w:eastAsia="cs-CZ"/>
        </w:rPr>
        <w:t>ou nepřímou veřejnou podporu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v registru de </w:t>
      </w:r>
      <w:proofErr w:type="spellStart"/>
      <w:r w:rsidR="00C353A4"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>.</w:t>
      </w:r>
    </w:p>
    <w:p w14:paraId="03FE0721" w14:textId="77777777" w:rsidR="00007AE2" w:rsidRPr="00085486" w:rsidRDefault="00007AE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3641F01" w14:textId="77777777" w:rsidR="00CE650A" w:rsidRPr="00085486" w:rsidRDefault="00FA178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Více informací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o problematice veřejné podpory naleznete v Metodickém doporučení pro oblast veřejné podpory (ke stažení </w:t>
      </w:r>
      <w:hyperlink r:id="rId39" w:history="1"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z</w:t>
        </w:r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d</w:t>
        </w:r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e</w:t>
        </w:r>
      </w:hyperlink>
      <w:r w:rsidR="00090ED6" w:rsidRPr="00085486">
        <w:rPr>
          <w:rFonts w:ascii="Times New Roman" w:hAnsi="Times New Roman"/>
          <w:sz w:val="24"/>
          <w:szCs w:val="20"/>
          <w:lang w:eastAsia="cs-CZ"/>
        </w:rPr>
        <w:t>)  a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v příloze č. 10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těchto Pokynů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. </w:t>
      </w:r>
      <w:r w:rsidR="00007AE2" w:rsidRPr="00085486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14:paraId="73065508" w14:textId="77777777" w:rsidR="006736DF" w:rsidRPr="00085486" w:rsidRDefault="006736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  </w:t>
      </w:r>
    </w:p>
    <w:p w14:paraId="54F914C8" w14:textId="77777777" w:rsidR="006F4447" w:rsidRPr="00085486" w:rsidRDefault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9F26AD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6" w:name="_Toc221601320"/>
      <w:bookmarkStart w:id="57" w:name="_Toc221601321"/>
      <w:bookmarkStart w:id="58" w:name="_Toc220322049"/>
      <w:bookmarkStart w:id="59" w:name="_Toc220322516"/>
      <w:bookmarkStart w:id="60" w:name="_Toc220382207"/>
      <w:bookmarkStart w:id="61" w:name="_Toc220322050"/>
      <w:bookmarkStart w:id="62" w:name="_Toc220322517"/>
      <w:bookmarkStart w:id="63" w:name="_Toc220382208"/>
      <w:bookmarkStart w:id="64" w:name="_Toc220322051"/>
      <w:bookmarkStart w:id="65" w:name="_Toc220322518"/>
      <w:bookmarkStart w:id="66" w:name="_Toc220382209"/>
      <w:bookmarkStart w:id="67" w:name="_Toc4917011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085486">
        <w:t>Odvolání se proti výsledku kontroly</w:t>
      </w:r>
      <w:bookmarkEnd w:id="67"/>
    </w:p>
    <w:p w14:paraId="5E9BBBDF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14:paraId="17835220" w14:textId="271C96A5" w:rsidR="00DD6258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14:paraId="0ECC0199" w14:textId="168DE6F9" w:rsidR="008D6B75" w:rsidRPr="00027A89" w:rsidRDefault="00534E2D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RN</w:t>
      </w:r>
      <w:r w:rsidR="008D6B75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Dr. Jiří Horáček</w:t>
      </w:r>
    </w:p>
    <w:p w14:paraId="7E5937B7" w14:textId="4CC04DA3" w:rsidR="008D6B75" w:rsidRPr="00027A89" w:rsidRDefault="008D6B75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odboru</w:t>
      </w:r>
      <w:r w:rsidR="00A2221D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Evropské územní spolupráce</w:t>
      </w:r>
    </w:p>
    <w:p w14:paraId="23F24F9F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14:paraId="21E550D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14:paraId="755C20C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14:paraId="6A623AB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14:paraId="5574A41A" w14:textId="5CE2A15E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68" w:name="_Toc445447289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68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Zástupci Ministerstva pro místní rozvoj, v procesu odvolání se proti výsledku kontroly, posuzují, zda Kontrolor postupoval v souladu s platnou legislativou a programovou/národní dokumentací na základě podkladů, které měl od příjemce v době kontroly k dispozici. Dokumenty nebo informace, které neměl Kontrolor v průběhu kontroly od příjemce k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dispozici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nebu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dou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průběhu odvolání,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brány v potaz.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Ministerstvo pro místní rozvoj má 30 dní na odpověď od data doručení odvolání se proti výsledku kontroly na Odbor evropské územní spolupráce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Ministerstva pro místní rozvoj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6C856C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B7031C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69" w:name="_Toc491701159"/>
      <w:r w:rsidRPr="00085486">
        <w:t>Seznam příloh</w:t>
      </w:r>
      <w:bookmarkEnd w:id="69"/>
    </w:p>
    <w:p w14:paraId="4DFF4720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14:paraId="3ED38066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0" w:name="_Toc49170116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3 – Kontakty na kontrolory</w:t>
      </w:r>
      <w:bookmarkEnd w:id="70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</w:p>
    <w:p w14:paraId="52F1AE48" w14:textId="77777777" w:rsidR="00DD6258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1" w:name="_Toc491701162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  <w:bookmarkEnd w:id="71"/>
    </w:p>
    <w:p w14:paraId="1CB7E935" w14:textId="05FEB351" w:rsidR="00A93B6E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2" w:name="_Toc491701163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  <w:bookmarkEnd w:id="72"/>
    </w:p>
    <w:p w14:paraId="567A630E" w14:textId="569716E8" w:rsidR="00115A7E" w:rsidRDefault="00A9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3" w:name="_Toc491701164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  <w:bookmarkEnd w:id="73"/>
    </w:p>
    <w:p w14:paraId="7D56A45C" w14:textId="32445BBC" w:rsidR="0083131E" w:rsidRPr="00085486" w:rsidRDefault="008313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7 – Zpráva o průběhu projektu (Interreg Europe) </w:t>
      </w:r>
    </w:p>
    <w:p w14:paraId="3036F0E5" w14:textId="77777777" w:rsidR="0001266F" w:rsidRPr="00085486" w:rsidRDefault="00012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4" w:name="_Toc491701165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  <w:bookmarkEnd w:id="74"/>
    </w:p>
    <w:p w14:paraId="46C44EBE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740DA8C9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75" w:name="_Toc491701166"/>
      <w:r w:rsidRPr="00085486">
        <w:lastRenderedPageBreak/>
        <w:t>Seznam revizí</w:t>
      </w:r>
      <w:bookmarkEnd w:id="75"/>
    </w:p>
    <w:p w14:paraId="4B111816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488"/>
        <w:gridCol w:w="1992"/>
      </w:tblGrid>
      <w:tr w:rsidR="00DD6258" w:rsidRPr="00085486" w14:paraId="741FA2E5" w14:textId="77777777" w:rsidTr="00347050">
        <w:trPr>
          <w:trHeight w:val="403"/>
        </w:trPr>
        <w:tc>
          <w:tcPr>
            <w:tcW w:w="1269" w:type="dxa"/>
          </w:tcPr>
          <w:p w14:paraId="69D5E193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488" w:type="dxa"/>
          </w:tcPr>
          <w:p w14:paraId="4D3BBF95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1992" w:type="dxa"/>
          </w:tcPr>
          <w:p w14:paraId="0831A8A6" w14:textId="39CE2675" w:rsidR="00DD6258" w:rsidRPr="00085486" w:rsidRDefault="006506D3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Strana</w:t>
            </w:r>
          </w:p>
        </w:tc>
      </w:tr>
      <w:tr w:rsidR="00DD6258" w:rsidRPr="00085486" w14:paraId="26C92ACC" w14:textId="77777777" w:rsidTr="00347050">
        <w:tc>
          <w:tcPr>
            <w:tcW w:w="1269" w:type="dxa"/>
          </w:tcPr>
          <w:p w14:paraId="7CB92D0A" w14:textId="34A6367D" w:rsidR="00DD6258" w:rsidRPr="00085486" w:rsidRDefault="006506D3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488" w:type="dxa"/>
          </w:tcPr>
          <w:p w14:paraId="6701D097" w14:textId="7A376500" w:rsidR="00DD6258" w:rsidRPr="00085486" w:rsidRDefault="006506D3" w:rsidP="009F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odkazu na Metodický pokyn pro způsobilost výdajů</w:t>
            </w:r>
            <w:r w:rsidR="00000BC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– verze 6</w:t>
            </w:r>
          </w:p>
        </w:tc>
        <w:tc>
          <w:tcPr>
            <w:tcW w:w="1992" w:type="dxa"/>
          </w:tcPr>
          <w:p w14:paraId="4BAC29B7" w14:textId="3A2A9DF2" w:rsidR="00DD6258" w:rsidRPr="00085486" w:rsidRDefault="006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4 </w:t>
            </w:r>
          </w:p>
        </w:tc>
      </w:tr>
      <w:tr w:rsidR="00267CA6" w:rsidRPr="00085486" w14:paraId="4FD8C70F" w14:textId="77777777" w:rsidTr="00347050">
        <w:tc>
          <w:tcPr>
            <w:tcW w:w="1269" w:type="dxa"/>
          </w:tcPr>
          <w:p w14:paraId="0E7B9B5F" w14:textId="0FFA2AF4" w:rsidR="00267CA6" w:rsidRPr="00085486" w:rsidRDefault="006D1EEF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2 </w:t>
            </w:r>
          </w:p>
        </w:tc>
        <w:tc>
          <w:tcPr>
            <w:tcW w:w="5488" w:type="dxa"/>
          </w:tcPr>
          <w:p w14:paraId="37043506" w14:textId="0B4E848C" w:rsidR="00267CA6" w:rsidRPr="00085486" w:rsidRDefault="003C1CA0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online odkaz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na</w:t>
            </w:r>
            <w:r w:rsidR="00623B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aktualizovaný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Metodický pokyn pro oblast zadávání zakázek pro programové období 2014-2020</w:t>
            </w:r>
            <w:r w:rsidR="00623B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(MPZVZ)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, včetně metodických stanovisek </w:t>
            </w:r>
            <w:r w:rsidR="0089613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 odstraněna příloha č. 1</w:t>
            </w:r>
          </w:p>
        </w:tc>
        <w:tc>
          <w:tcPr>
            <w:tcW w:w="1992" w:type="dxa"/>
          </w:tcPr>
          <w:p w14:paraId="3772F2C8" w14:textId="5E3FA149" w:rsidR="00267CA6" w:rsidRPr="00085486" w:rsidRDefault="00EE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D8583B" w:rsidRPr="00085486" w14:paraId="6C0DBE73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254" w14:textId="483B0803" w:rsidR="00D8583B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48B" w14:textId="6B26111B" w:rsidR="00D8583B" w:rsidRDefault="003C1CA0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Doplněno</w:t>
            </w:r>
            <w:r w:rsidR="0062146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upřesnění týkající se kontroly 3E u jakékoliv zakázky. </w:t>
            </w:r>
            <w:r w:rsidR="00D858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524" w14:textId="6C9D5949" w:rsidR="00D8583B" w:rsidRDefault="0062146E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</w:tr>
      <w:tr w:rsidR="00D8583B" w:rsidRPr="00085486" w14:paraId="68242B20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1A1" w14:textId="0305045D" w:rsidR="00D8583B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A8C" w14:textId="77897014" w:rsidR="00D8583B" w:rsidRDefault="002450A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 požadavek na dodání samostatného prohlášení k DPH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DA1" w14:textId="30926B06" w:rsidR="00D8583B" w:rsidRDefault="002450A1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531764" w:rsidRPr="00085486" w14:paraId="6D6CAD64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D94" w14:textId="3D64B9E7" w:rsidR="00531764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FEF" w14:textId="654FA23C" w:rsidR="00531764" w:rsidRDefault="0053176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požadavek na dodání souhr</w:t>
            </w:r>
            <w:r w:rsidR="003C1C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ného čestného prohlášení a odkaz na formulář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45E" w14:textId="6E7A46CD" w:rsidR="00531764" w:rsidRDefault="00531764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867592" w:rsidRPr="00085486" w14:paraId="7094B395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55B" w14:textId="399D530B" w:rsidR="00867592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E80" w14:textId="18E46C77" w:rsidR="00867592" w:rsidRDefault="0086759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povinnost předkládat rozvrh účtů analytické evidence 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132" w14:textId="7FA5468F" w:rsidR="00867592" w:rsidRDefault="00867592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A57B2D" w:rsidRPr="00085486" w14:paraId="6213EA68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393" w14:textId="4A1B50B9" w:rsidR="00A57B2D" w:rsidRPr="00085486" w:rsidRDefault="00867592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  <w:r w:rsidR="0089613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2C" w14:textId="14F4B5EE" w:rsidR="00A57B2D" w:rsidRPr="00085486" w:rsidRDefault="00623B0A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V souvislosti s aktualizací MPZVZ – navýšeny limity pro zadávání zákazek  malého rozsahu.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AB" w14:textId="0AF43472" w:rsidR="00A57B2D" w:rsidRPr="00085486" w:rsidRDefault="00623B0A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8, 9, 11</w:t>
            </w:r>
          </w:p>
        </w:tc>
      </w:tr>
      <w:tr w:rsidR="009C2736" w:rsidRPr="00085486" w14:paraId="4323F139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420" w14:textId="5F8733DF"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B9B" w14:textId="4ACB8D4E" w:rsidR="009C2736" w:rsidRDefault="009C273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 postup pro dokladování výdajů na externí poradenství, vybavení a investice nepřesahující hodnotu 400 Eur.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B0C" w14:textId="3AC9D1DA" w:rsidR="009C2736" w:rsidRDefault="009C273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22 (bod 13)</w:t>
            </w:r>
          </w:p>
        </w:tc>
      </w:tr>
      <w:tr w:rsidR="009C2736" w:rsidRPr="00085486" w14:paraId="4BA3B7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854" w14:textId="0C072D00"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E63" w14:textId="0B99D7D8" w:rsidR="009C2736" w:rsidRDefault="009C273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Doplněno doporučení informovat kontrolora emailem o vložen</w:t>
            </w:r>
            <w:r w:rsidR="003C1C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í dokumentace pro kontrolu do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nitorovacího systému.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DEE" w14:textId="009B95DF" w:rsidR="009C2736" w:rsidRDefault="009C273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22</w:t>
            </w:r>
          </w:p>
        </w:tc>
      </w:tr>
      <w:tr w:rsidR="00A57B2D" w:rsidRPr="00085486" w14:paraId="58B609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463" w14:textId="558CA9BE" w:rsidR="00A57B2D" w:rsidRPr="00085486" w:rsidRDefault="009C2736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66C" w14:textId="377B407C" w:rsidR="00A57B2D" w:rsidRPr="00085486" w:rsidRDefault="00623B0A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Přílohy č. 3 Kontakty na kontrolory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FB" w14:textId="0E65938A" w:rsidR="00A57B2D" w:rsidRPr="00085486" w:rsidRDefault="006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34617C" w:rsidRPr="00085486" w14:paraId="0937D4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597" w14:textId="69D9DB57" w:rsidR="0034617C" w:rsidRPr="00085486" w:rsidRDefault="009C2736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7B0" w14:textId="65C07A03" w:rsidR="0034617C" w:rsidRPr="00085486" w:rsidRDefault="007D098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příloha č. 1, nahrazení online odkazem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8A4" w14:textId="2415A407" w:rsidR="0034617C" w:rsidRPr="00085486" w:rsidRDefault="007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1</w:t>
            </w:r>
          </w:p>
        </w:tc>
      </w:tr>
      <w:tr w:rsidR="001D3981" w:rsidRPr="00085486" w14:paraId="19466558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685" w14:textId="6D425956" w:rsidR="001D3981" w:rsidRPr="00085486" w:rsidRDefault="00E73705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40F" w14:textId="7532941C" w:rsidR="001D3981" w:rsidRPr="00085486" w:rsidDel="00E07DD5" w:rsidRDefault="00E73705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příloha č. 7 – Zpráva o průběhu projektu (Interreg Europe)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1D3" w14:textId="3068E5F7" w:rsidR="001D3981" w:rsidRPr="00085486" w:rsidRDefault="00E7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7</w:t>
            </w:r>
          </w:p>
        </w:tc>
      </w:tr>
      <w:tr w:rsidR="001D3981" w:rsidRPr="00085486" w14:paraId="47212DFA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B4" w14:textId="434B0EDF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F05" w14:textId="31864832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6A7" w14:textId="078C6F13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2048CBD0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C94" w14:textId="318DD544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505" w14:textId="293B4F5F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4E" w14:textId="6360B5CB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4FAD9745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010" w14:textId="102B1520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3D1" w14:textId="5FD62113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C7" w14:textId="34BFB570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74147726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1D3" w14:textId="39A053DE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BD" w14:textId="5B79E9B8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64" w14:textId="6F082ADB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6FE5F0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41" w14:textId="480E24DD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08C" w14:textId="3399187B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DD9" w14:textId="134CF36A" w:rsidR="001D3981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526E9C41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BC3" w14:textId="77777777" w:rsidR="001D3981" w:rsidRPr="00D358BC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D40" w14:textId="77777777" w:rsidR="001D3981" w:rsidRPr="00D358BC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24B" w14:textId="77777777" w:rsidR="001D3981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14:paraId="786D4E9D" w14:textId="77777777" w:rsidR="00802A64" w:rsidRDefault="00802A64" w:rsidP="00D7431D">
      <w:pPr>
        <w:jc w:val="both"/>
      </w:pPr>
    </w:p>
    <w:sectPr w:rsidR="00802A64" w:rsidSect="00644F4C">
      <w:footerReference w:type="even" r:id="rId40"/>
      <w:footerReference w:type="default" r:id="rId41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2C45" w14:textId="77777777" w:rsidR="00320D33" w:rsidRDefault="00320D33" w:rsidP="00DD6258">
      <w:pPr>
        <w:spacing w:after="0" w:line="240" w:lineRule="auto"/>
      </w:pPr>
      <w:r>
        <w:separator/>
      </w:r>
    </w:p>
  </w:endnote>
  <w:endnote w:type="continuationSeparator" w:id="0">
    <w:p w14:paraId="5E8601F9" w14:textId="77777777" w:rsidR="00320D33" w:rsidRDefault="00320D33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053" w14:textId="77777777" w:rsidR="00320D33" w:rsidRDefault="00320D33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1247C" w14:textId="77777777" w:rsidR="00320D33" w:rsidRDefault="00320D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3FE" w14:textId="184CF534" w:rsidR="00320D33" w:rsidRDefault="00320D33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13C5">
      <w:rPr>
        <w:rStyle w:val="slostrnky"/>
        <w:noProof/>
      </w:rPr>
      <w:t>21</w:t>
    </w:r>
    <w:r>
      <w:rPr>
        <w:rStyle w:val="slostrnky"/>
      </w:rPr>
      <w:fldChar w:fldCharType="end"/>
    </w:r>
  </w:p>
  <w:p w14:paraId="17970A07" w14:textId="77777777" w:rsidR="00320D33" w:rsidRDefault="00320D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351D" w14:textId="77777777" w:rsidR="00320D33" w:rsidRDefault="00320D33" w:rsidP="00DD6258">
      <w:pPr>
        <w:spacing w:after="0" w:line="240" w:lineRule="auto"/>
      </w:pPr>
      <w:r>
        <w:separator/>
      </w:r>
    </w:p>
  </w:footnote>
  <w:footnote w:type="continuationSeparator" w:id="0">
    <w:p w14:paraId="288F1BAE" w14:textId="77777777" w:rsidR="00320D33" w:rsidRDefault="00320D33" w:rsidP="00DD6258">
      <w:pPr>
        <w:spacing w:after="0" w:line="240" w:lineRule="auto"/>
      </w:pPr>
      <w:r>
        <w:continuationSeparator/>
      </w:r>
    </w:p>
  </w:footnote>
  <w:footnote w:id="1">
    <w:p w14:paraId="09EEC1C5" w14:textId="77777777" w:rsidR="00320D33" w:rsidRDefault="00320D33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14:paraId="278C6A20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14:paraId="50D01302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14:paraId="59761535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14:paraId="22187829" w14:textId="27610CCB" w:rsidR="00320D33" w:rsidRDefault="00320D33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Posouzením zadávacího/výběrového řízení nepřechází odpovědnost za to, že zadávací/výběrové řízení bude zadán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0456C">
        <w:rPr>
          <w:rFonts w:ascii="Times New Roman" w:hAnsi="Times New Roman" w:cs="Times New Roman"/>
          <w:sz w:val="20"/>
          <w:szCs w:val="20"/>
        </w:rPr>
        <w:t xml:space="preserve">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0456C">
        <w:rPr>
          <w:rFonts w:ascii="Times New Roman" w:hAnsi="Times New Roman" w:cs="Times New Roman"/>
          <w:sz w:val="20"/>
          <w:szCs w:val="20"/>
        </w:rPr>
        <w:t xml:space="preserve">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14:paraId="1FC67192" w14:textId="239C4839" w:rsidR="00320D33" w:rsidRPr="00E2565B" w:rsidRDefault="00320D33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do 30. 09. 2016 včetně.</w:t>
      </w:r>
    </w:p>
  </w:footnote>
  <w:footnote w:id="7">
    <w:p w14:paraId="1AFFBC1E" w14:textId="0247007C" w:rsidR="00320D33" w:rsidRPr="00E2565B" w:rsidRDefault="00320D33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od 01. 10. 2016 včetně.</w:t>
      </w:r>
    </w:p>
  </w:footnote>
  <w:footnote w:id="8">
    <w:p w14:paraId="5FE088B6" w14:textId="77777777" w:rsidR="00320D33" w:rsidRPr="00FA43EE" w:rsidRDefault="00320D33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14:paraId="43E9A8B3" w14:textId="51349DB0" w:rsidR="00320D33" w:rsidRPr="00FA43EE" w:rsidRDefault="00320D33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 xml:space="preserve">artner v rámci zadávací dokumentace mimo jiné stanoví (a) </w:t>
      </w:r>
      <w:r w:rsidRPr="004713C5">
        <w:rPr>
          <w:i/>
        </w:rPr>
        <w:t>fakturační podmínky</w:t>
      </w:r>
      <w:r w:rsidRPr="00FA43EE">
        <w:t xml:space="preserve">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 xml:space="preserve">a (b) v případě, kdy Partner nezajistí adekvátní publicitu vlastními silami i </w:t>
      </w:r>
      <w:r w:rsidRPr="004713C5">
        <w:rPr>
          <w:i/>
        </w:rPr>
        <w:t xml:space="preserve">povinnost </w:t>
      </w:r>
      <w:r w:rsidRPr="00F42CA8">
        <w:t>vybraného dodavatele zajistit projektu dostatečnou publicitu</w:t>
      </w:r>
      <w:r w:rsidRPr="00FA43EE">
        <w:t xml:space="preserve"> dle náležitostí uvedených v</w:t>
      </w:r>
      <w:r>
        <w:t> kapitole 5</w:t>
      </w:r>
      <w:r w:rsidRPr="00FA43EE">
        <w:t xml:space="preserve"> </w:t>
      </w:r>
      <w:r>
        <w:t xml:space="preserve">a informovat </w:t>
      </w:r>
      <w:r w:rsidRPr="00FA43EE">
        <w:t>veřejnost vhodným způsobem o tom, že projekt je spolufinancován z prostředků EU.</w:t>
      </w:r>
    </w:p>
  </w:footnote>
  <w:footnote w:id="10">
    <w:p w14:paraId="75F9BB28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Ustanovení §6 a 7 zákona č. 340/2016 Sb. platí pro smlouvy uzavřené </w:t>
      </w:r>
      <w:r w:rsidRPr="00633580">
        <w:t xml:space="preserve">od </w:t>
      </w:r>
      <w:proofErr w:type="gramStart"/>
      <w:r w:rsidRPr="00633580">
        <w:t>1.7.2017</w:t>
      </w:r>
      <w:proofErr w:type="gramEnd"/>
      <w:r>
        <w:rPr>
          <w:rFonts w:ascii="Trebuchet MS" w:hAnsi="Trebuchet MS" w:cs="Trebuchet MS"/>
        </w:rPr>
        <w:t xml:space="preserve"> </w:t>
      </w:r>
      <w:r>
        <w:t xml:space="preserve"> </w:t>
      </w:r>
    </w:p>
  </w:footnote>
  <w:footnote w:id="11">
    <w:p w14:paraId="570F6C66" w14:textId="77777777" w:rsidR="00320D33" w:rsidRDefault="00320D33" w:rsidP="000D6EE4">
      <w:pPr>
        <w:pStyle w:val="Textpoznpodarou"/>
      </w:pPr>
      <w:r>
        <w:rPr>
          <w:rStyle w:val="Znakapoznpodarou"/>
        </w:rPr>
        <w:footnoteRef/>
      </w:r>
      <w:r>
        <w:t xml:space="preserve"> Povinnosti vycházející ze zákona č. 340/2015 Sb. (registr smluv) je třeba dodržovat vždy u všech zakázek/objednávek přesahujících 50 000 Kč bez DPH. </w:t>
      </w:r>
    </w:p>
  </w:footnote>
  <w:footnote w:id="12">
    <w:p w14:paraId="2A920652" w14:textId="47D248F4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Dtto. </w:t>
      </w:r>
    </w:p>
  </w:footnote>
  <w:footnote w:id="13">
    <w:p w14:paraId="088DEF76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4">
    <w:p w14:paraId="48283425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5">
    <w:p w14:paraId="496544B6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6">
    <w:p w14:paraId="6D7A77A9" w14:textId="1572FAB4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17">
    <w:p w14:paraId="4D09C8B7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8">
    <w:p w14:paraId="0B660314" w14:textId="77777777" w:rsidR="00320D33" w:rsidRDefault="00320D33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9">
    <w:p w14:paraId="6390CDA3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20">
    <w:p w14:paraId="257105B3" w14:textId="0943308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21">
    <w:p w14:paraId="452DC8F8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22">
    <w:p w14:paraId="0883BB5F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23">
    <w:p w14:paraId="40B7E6DB" w14:textId="77777777" w:rsidR="00320D33" w:rsidRPr="0020456C" w:rsidRDefault="00320D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24">
    <w:p w14:paraId="6A203400" w14:textId="77777777" w:rsidR="00320D33" w:rsidRDefault="00320D33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5">
    <w:p w14:paraId="727278EF" w14:textId="6BF30E2E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0CA0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 tomto </w:t>
      </w:r>
      <w:r w:rsidRPr="004A0CA0">
        <w:rPr>
          <w:rFonts w:ascii="Arial" w:hAnsi="Arial" w:cs="Arial"/>
          <w:sz w:val="14"/>
          <w:szCs w:val="14"/>
        </w:rPr>
        <w:t xml:space="preserve">případě, </w:t>
      </w:r>
      <w:r>
        <w:rPr>
          <w:rFonts w:ascii="Arial" w:hAnsi="Arial" w:cs="Arial"/>
          <w:sz w:val="14"/>
          <w:szCs w:val="14"/>
        </w:rPr>
        <w:t xml:space="preserve">pokud </w:t>
      </w:r>
      <w:r w:rsidRPr="004A0CA0">
        <w:rPr>
          <w:rFonts w:ascii="Arial" w:hAnsi="Arial" w:cs="Arial"/>
          <w:sz w:val="14"/>
          <w:szCs w:val="14"/>
        </w:rPr>
        <w:t xml:space="preserve">na nějakém dokumentu </w:t>
      </w:r>
      <w:r>
        <w:rPr>
          <w:rFonts w:ascii="Arial" w:hAnsi="Arial" w:cs="Arial"/>
          <w:sz w:val="14"/>
          <w:szCs w:val="14"/>
        </w:rPr>
        <w:t xml:space="preserve">nebo jiném prostředku komunikace s veřejností a s cílovými skupinami </w:t>
      </w:r>
      <w:r w:rsidRPr="004A0CA0">
        <w:rPr>
          <w:rFonts w:ascii="Arial" w:hAnsi="Arial" w:cs="Arial"/>
          <w:sz w:val="14"/>
          <w:szCs w:val="14"/>
        </w:rPr>
        <w:t xml:space="preserve">je uvedena publicita chybně nebo zcela chybí, nemusí to ještě automaticky vést k udělení sankce, pokud příjemce doloží, že byla veřejnost nebo účastníci </w:t>
      </w:r>
      <w:r>
        <w:rPr>
          <w:rFonts w:ascii="Arial" w:hAnsi="Arial" w:cs="Arial"/>
          <w:sz w:val="14"/>
          <w:szCs w:val="14"/>
        </w:rPr>
        <w:t>dané</w:t>
      </w:r>
      <w:r w:rsidRPr="004A0CA0">
        <w:rPr>
          <w:rFonts w:ascii="Arial" w:hAnsi="Arial" w:cs="Arial"/>
          <w:sz w:val="14"/>
          <w:szCs w:val="14"/>
        </w:rPr>
        <w:t xml:space="preserve"> akce prostřednictvím jiných forem publicity dostatečně informováni</w:t>
      </w:r>
      <w:r>
        <w:rPr>
          <w:rFonts w:ascii="Arial" w:hAnsi="Arial" w:cs="Arial"/>
          <w:sz w:val="14"/>
          <w:szCs w:val="14"/>
        </w:rPr>
        <w:t xml:space="preserve"> (např. je-li v rámci </w:t>
      </w:r>
      <w:r w:rsidRPr="007C5089">
        <w:rPr>
          <w:rFonts w:ascii="Arial" w:hAnsi="Arial" w:cs="Arial"/>
          <w:sz w:val="14"/>
          <w:szCs w:val="14"/>
        </w:rPr>
        <w:t>seminářů, workshopů,</w:t>
      </w:r>
      <w:r>
        <w:rPr>
          <w:rFonts w:ascii="Arial" w:hAnsi="Arial" w:cs="Arial"/>
          <w:sz w:val="14"/>
          <w:szCs w:val="14"/>
        </w:rPr>
        <w:t xml:space="preserve"> školení, </w:t>
      </w:r>
      <w:r w:rsidRPr="007C5089">
        <w:rPr>
          <w:rFonts w:ascii="Arial" w:hAnsi="Arial" w:cs="Arial"/>
          <w:sz w:val="14"/>
          <w:szCs w:val="14"/>
        </w:rPr>
        <w:t xml:space="preserve">konferencí, výstav, veletrhů </w:t>
      </w:r>
      <w:r>
        <w:rPr>
          <w:rFonts w:ascii="Arial" w:hAnsi="Arial" w:cs="Arial"/>
          <w:sz w:val="14"/>
          <w:szCs w:val="14"/>
        </w:rPr>
        <w:t>zajištěna</w:t>
      </w:r>
      <w:r w:rsidRPr="007C50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správným způsobem </w:t>
      </w:r>
      <w:r w:rsidRPr="007C5089">
        <w:rPr>
          <w:rFonts w:ascii="Arial" w:hAnsi="Arial" w:cs="Arial"/>
          <w:sz w:val="14"/>
          <w:szCs w:val="14"/>
        </w:rPr>
        <w:t>vizuální identit</w:t>
      </w:r>
      <w:r>
        <w:rPr>
          <w:rFonts w:ascii="Arial" w:hAnsi="Arial" w:cs="Arial"/>
          <w:sz w:val="14"/>
          <w:szCs w:val="14"/>
        </w:rPr>
        <w:t>a</w:t>
      </w:r>
      <w:r w:rsidRPr="007C5089">
        <w:rPr>
          <w:rFonts w:ascii="Arial" w:hAnsi="Arial" w:cs="Arial"/>
          <w:sz w:val="14"/>
          <w:szCs w:val="14"/>
        </w:rPr>
        <w:t xml:space="preserve"> programu</w:t>
      </w:r>
      <w:r>
        <w:rPr>
          <w:rFonts w:ascii="Arial" w:hAnsi="Arial" w:cs="Arial"/>
          <w:sz w:val="14"/>
          <w:szCs w:val="14"/>
        </w:rPr>
        <w:t xml:space="preserve"> použitím plakátu, </w:t>
      </w:r>
      <w:proofErr w:type="spellStart"/>
      <w:r>
        <w:rPr>
          <w:rFonts w:ascii="Arial" w:hAnsi="Arial" w:cs="Arial"/>
          <w:sz w:val="14"/>
          <w:szCs w:val="14"/>
        </w:rPr>
        <w:t>roll-upu</w:t>
      </w:r>
      <w:proofErr w:type="spellEnd"/>
      <w:r>
        <w:rPr>
          <w:rFonts w:ascii="Arial" w:hAnsi="Arial" w:cs="Arial"/>
          <w:sz w:val="14"/>
          <w:szCs w:val="14"/>
        </w:rPr>
        <w:t>, označením vystavovaných objektů nebo polepu stánku apod., není nutné dávat sankci za chybějící publicitu na nějaké prezentaci nebo prezenční listině spojené s danou akcí).</w:t>
      </w:r>
    </w:p>
  </w:footnote>
  <w:footnote w:id="26">
    <w:p w14:paraId="7077D909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7">
    <w:p w14:paraId="40CE23D5" w14:textId="682A1C0A" w:rsidR="00320D33" w:rsidRPr="00633580" w:rsidRDefault="00320D33" w:rsidP="00DD625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7D87">
        <w:rPr>
          <w:rStyle w:val="Znakapoznpodarou"/>
        </w:rPr>
        <w:footnoteRef/>
      </w:r>
      <w:r w:rsidRPr="00633580">
        <w:rPr>
          <w:rStyle w:val="Znakapoznpodarou"/>
        </w:rPr>
        <w:t xml:space="preserve"> 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>Pokud nelze výdaje spojené s daným výstupem jednoznačně oddělit, uplatňuje se uvedená sankce v % na celkové způsobilé výdaje daného partnera.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067B9">
        <w:rPr>
          <w:rFonts w:ascii="Times New Roman" w:hAnsi="Times New Roman" w:cs="Times New Roman"/>
          <w:color w:val="auto"/>
          <w:sz w:val="20"/>
          <w:szCs w:val="20"/>
        </w:rPr>
        <w:t>Je-li výstupem seminář, workshop, školení, konference, výstava či veletrh, uplatňuje se uvedená sankce v % ze způsobilých výdajů na zajištění publicity dané akce.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417C12" w14:textId="77777777" w:rsidR="00320D33" w:rsidRDefault="00320D33" w:rsidP="00DD6258">
      <w:pPr>
        <w:pStyle w:val="Default"/>
      </w:pPr>
    </w:p>
  </w:footnote>
  <w:footnote w:id="28">
    <w:p w14:paraId="4E418246" w14:textId="065A55BE" w:rsidR="00320D33" w:rsidRDefault="00320D33" w:rsidP="003310D7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iOLF</w:t>
      </w:r>
      <w:proofErr w:type="spellEnd"/>
      <w:r>
        <w:t xml:space="preserve"> naleznete na tomto odkazu: </w:t>
      </w:r>
      <w:hyperlink r:id="rId1" w:history="1">
        <w:r w:rsidRPr="009239E7">
          <w:rPr>
            <w:rStyle w:val="Hypertextovodkaz"/>
          </w:rPr>
          <w:t>https://www.iolf.eu/Account/Login?ReturnUrl=%2f</w:t>
        </w:r>
      </w:hyperlink>
      <w:r>
        <w:t xml:space="preserve"> </w:t>
      </w:r>
    </w:p>
  </w:footnote>
  <w:footnote w:id="29">
    <w:p w14:paraId="422F9910" w14:textId="52981152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CENTRAL EUROPE naleznete na tomto odkazu: </w:t>
      </w:r>
      <w:hyperlink r:id="rId2" w:history="1">
        <w:r w:rsidRPr="00D61F76">
          <w:rPr>
            <w:rStyle w:val="Hypertextovodkaz"/>
          </w:rPr>
          <w:t>https://ems.interreg-central.eu/app/main?execution=e1s1</w:t>
        </w:r>
      </w:hyperlink>
    </w:p>
  </w:footnote>
  <w:footnote w:id="30">
    <w:p w14:paraId="370FC84A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DANUBE naleznete na tomto odkazu: </w:t>
      </w:r>
      <w:hyperlink r:id="rId3" w:history="1">
        <w:r w:rsidRPr="002B5826">
          <w:rPr>
            <w:rStyle w:val="Hypertextovodkaz"/>
          </w:rPr>
          <w:t>https://ems.allamkincstar.gov.hu/ems/app/main?execution=e1s1</w:t>
        </w:r>
      </w:hyperlink>
      <w:r>
        <w:t xml:space="preserve"> </w:t>
      </w:r>
    </w:p>
  </w:footnote>
  <w:footnote w:id="31">
    <w:p w14:paraId="19788F0A" w14:textId="77777777" w:rsidR="00320D33" w:rsidRDefault="00320D33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32">
    <w:p w14:paraId="41142968" w14:textId="77777777" w:rsidR="00320D33" w:rsidRDefault="00320D33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  <w:footnote w:id="33">
    <w:p w14:paraId="3D854C27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Tato povinnost se vztahuje na všechny státní a veřejnoprávní instituce, územně samosprávné celky, státní podniky, právnické osoby, v nichž má většinovou majetkovou účast stát nebo územní samosprávný celek a další instituce definované § 2 odst. 1 zákona č. 340/2015 Sb. </w:t>
      </w:r>
      <w:r>
        <w:t xml:space="preserve"> </w:t>
      </w:r>
    </w:p>
  </w:footnote>
  <w:footnote w:id="34">
    <w:p w14:paraId="3DC7580C" w14:textId="77777777" w:rsidR="00320D33" w:rsidRDefault="00320D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https://smlouvy.gov.cz/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BDF"/>
    <w:multiLevelType w:val="multilevel"/>
    <w:tmpl w:val="AB00AB56"/>
    <w:numStyleLink w:val="Aufzhlung"/>
  </w:abstractNum>
  <w:abstractNum w:abstractNumId="6" w15:restartNumberingAfterBreak="0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3D0F"/>
    <w:multiLevelType w:val="hybridMultilevel"/>
    <w:tmpl w:val="5CFE0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E77EB"/>
    <w:multiLevelType w:val="multilevel"/>
    <w:tmpl w:val="89A28D30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72CF1"/>
    <w:multiLevelType w:val="hybridMultilevel"/>
    <w:tmpl w:val="EE6E749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CCC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3A37FC"/>
    <w:multiLevelType w:val="hybridMultilevel"/>
    <w:tmpl w:val="DC368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C6208"/>
    <w:multiLevelType w:val="multilevel"/>
    <w:tmpl w:val="1FC65FD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BDE6CE3"/>
    <w:multiLevelType w:val="multilevel"/>
    <w:tmpl w:val="078CFE0C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 w15:restartNumberingAfterBreak="0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63578A"/>
    <w:multiLevelType w:val="hybridMultilevel"/>
    <w:tmpl w:val="DD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148CA"/>
    <w:multiLevelType w:val="hybridMultilevel"/>
    <w:tmpl w:val="79AEA62E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7673F"/>
    <w:multiLevelType w:val="hybridMultilevel"/>
    <w:tmpl w:val="E5E40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F3FE3"/>
    <w:multiLevelType w:val="hybridMultilevel"/>
    <w:tmpl w:val="32B8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26C6A"/>
    <w:multiLevelType w:val="hybridMultilevel"/>
    <w:tmpl w:val="59C69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D1F6BA9"/>
    <w:multiLevelType w:val="hybridMultilevel"/>
    <w:tmpl w:val="8D2E88A6"/>
    <w:lvl w:ilvl="0" w:tplc="CD5E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686E13"/>
    <w:multiLevelType w:val="hybridMultilevel"/>
    <w:tmpl w:val="591A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431181F"/>
    <w:multiLevelType w:val="hybridMultilevel"/>
    <w:tmpl w:val="511CF366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4E35CE"/>
    <w:multiLevelType w:val="hybridMultilevel"/>
    <w:tmpl w:val="D33C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B725B5B"/>
    <w:multiLevelType w:val="hybridMultilevel"/>
    <w:tmpl w:val="C872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5924DB"/>
    <w:multiLevelType w:val="hybridMultilevel"/>
    <w:tmpl w:val="2F5C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A97611"/>
    <w:multiLevelType w:val="hybridMultilevel"/>
    <w:tmpl w:val="A776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6B150EF"/>
    <w:multiLevelType w:val="hybridMultilevel"/>
    <w:tmpl w:val="4920DD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F72E22"/>
    <w:multiLevelType w:val="hybridMultilevel"/>
    <w:tmpl w:val="7F766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0E3097"/>
    <w:multiLevelType w:val="multilevel"/>
    <w:tmpl w:val="00E0DB5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6D534EA6"/>
    <w:multiLevelType w:val="hybridMultilevel"/>
    <w:tmpl w:val="24B0BD7C"/>
    <w:lvl w:ilvl="0" w:tplc="A650ED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C710E"/>
    <w:multiLevelType w:val="hybridMultilevel"/>
    <w:tmpl w:val="CB4A6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4647F"/>
    <w:multiLevelType w:val="hybridMultilevel"/>
    <w:tmpl w:val="2EF4C9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A033BC"/>
    <w:multiLevelType w:val="hybridMultilevel"/>
    <w:tmpl w:val="020E34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553FC4"/>
    <w:multiLevelType w:val="multilevel"/>
    <w:tmpl w:val="E872FAE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66" w15:restartNumberingAfterBreak="0">
    <w:nsid w:val="7E2B1221"/>
    <w:multiLevelType w:val="hybridMultilevel"/>
    <w:tmpl w:val="3BCC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31"/>
  </w:num>
  <w:num w:numId="5">
    <w:abstractNumId w:val="35"/>
  </w:num>
  <w:num w:numId="6">
    <w:abstractNumId w:val="54"/>
  </w:num>
  <w:num w:numId="7">
    <w:abstractNumId w:val="16"/>
  </w:num>
  <w:num w:numId="8">
    <w:abstractNumId w:val="14"/>
  </w:num>
  <w:num w:numId="9">
    <w:abstractNumId w:val="27"/>
  </w:num>
  <w:num w:numId="10">
    <w:abstractNumId w:val="40"/>
  </w:num>
  <w:num w:numId="11">
    <w:abstractNumId w:val="11"/>
  </w:num>
  <w:num w:numId="12">
    <w:abstractNumId w:val="28"/>
  </w:num>
  <w:num w:numId="13">
    <w:abstractNumId w:val="4"/>
  </w:num>
  <w:num w:numId="14">
    <w:abstractNumId w:val="62"/>
  </w:num>
  <w:num w:numId="15">
    <w:abstractNumId w:val="50"/>
  </w:num>
  <w:num w:numId="16">
    <w:abstractNumId w:val="25"/>
  </w:num>
  <w:num w:numId="17">
    <w:abstractNumId w:val="7"/>
  </w:num>
  <w:num w:numId="18">
    <w:abstractNumId w:val="19"/>
  </w:num>
  <w:num w:numId="19">
    <w:abstractNumId w:val="15"/>
  </w:num>
  <w:num w:numId="20">
    <w:abstractNumId w:val="3"/>
  </w:num>
  <w:num w:numId="21">
    <w:abstractNumId w:val="51"/>
  </w:num>
  <w:num w:numId="22">
    <w:abstractNumId w:val="47"/>
  </w:num>
  <w:num w:numId="23">
    <w:abstractNumId w:val="24"/>
  </w:num>
  <w:num w:numId="24">
    <w:abstractNumId w:val="21"/>
  </w:num>
  <w:num w:numId="25">
    <w:abstractNumId w:val="39"/>
  </w:num>
  <w:num w:numId="26">
    <w:abstractNumId w:val="43"/>
  </w:num>
  <w:num w:numId="27">
    <w:abstractNumId w:val="2"/>
  </w:num>
  <w:num w:numId="28">
    <w:abstractNumId w:val="10"/>
  </w:num>
  <w:num w:numId="29">
    <w:abstractNumId w:val="9"/>
  </w:num>
  <w:num w:numId="30">
    <w:abstractNumId w:val="45"/>
  </w:num>
  <w:num w:numId="31">
    <w:abstractNumId w:val="0"/>
  </w:num>
  <w:num w:numId="32">
    <w:abstractNumId w:val="65"/>
  </w:num>
  <w:num w:numId="33">
    <w:abstractNumId w:val="67"/>
  </w:num>
  <w:num w:numId="34">
    <w:abstractNumId w:val="30"/>
  </w:num>
  <w:num w:numId="35">
    <w:abstractNumId w:val="1"/>
  </w:num>
  <w:num w:numId="36">
    <w:abstractNumId w:val="34"/>
  </w:num>
  <w:num w:numId="37">
    <w:abstractNumId w:val="37"/>
  </w:num>
  <w:num w:numId="38">
    <w:abstractNumId w:val="63"/>
  </w:num>
  <w:num w:numId="39">
    <w:abstractNumId w:val="55"/>
  </w:num>
  <w:num w:numId="40">
    <w:abstractNumId w:val="32"/>
  </w:num>
  <w:num w:numId="41">
    <w:abstractNumId w:val="49"/>
  </w:num>
  <w:num w:numId="42">
    <w:abstractNumId w:val="26"/>
  </w:num>
  <w:num w:numId="43">
    <w:abstractNumId w:val="52"/>
  </w:num>
  <w:num w:numId="44">
    <w:abstractNumId w:val="53"/>
  </w:num>
  <w:num w:numId="45">
    <w:abstractNumId w:val="42"/>
  </w:num>
  <w:num w:numId="46">
    <w:abstractNumId w:val="33"/>
  </w:num>
  <w:num w:numId="47">
    <w:abstractNumId w:val="61"/>
  </w:num>
  <w:num w:numId="48">
    <w:abstractNumId w:val="13"/>
  </w:num>
  <w:num w:numId="49">
    <w:abstractNumId w:val="12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7"/>
  </w:num>
  <w:num w:numId="52">
    <w:abstractNumId w:val="57"/>
  </w:num>
  <w:num w:numId="53">
    <w:abstractNumId w:val="23"/>
  </w:num>
  <w:num w:numId="54">
    <w:abstractNumId w:val="22"/>
  </w:num>
  <w:num w:numId="55">
    <w:abstractNumId w:val="6"/>
  </w:num>
  <w:num w:numId="56">
    <w:abstractNumId w:val="16"/>
    <w:lvlOverride w:ilvl="0">
      <w:startOverride w:val="8"/>
    </w:lvlOverride>
  </w:num>
  <w:num w:numId="57">
    <w:abstractNumId w:val="29"/>
  </w:num>
  <w:num w:numId="58">
    <w:abstractNumId w:val="46"/>
  </w:num>
  <w:num w:numId="59">
    <w:abstractNumId w:val="56"/>
  </w:num>
  <w:num w:numId="60">
    <w:abstractNumId w:val="58"/>
  </w:num>
  <w:num w:numId="61">
    <w:abstractNumId w:val="41"/>
  </w:num>
  <w:num w:numId="62">
    <w:abstractNumId w:val="60"/>
  </w:num>
  <w:num w:numId="63">
    <w:abstractNumId w:val="64"/>
  </w:num>
  <w:num w:numId="64">
    <w:abstractNumId w:val="48"/>
  </w:num>
  <w:num w:numId="65">
    <w:abstractNumId w:val="38"/>
  </w:num>
  <w:num w:numId="66">
    <w:abstractNumId w:val="44"/>
  </w:num>
  <w:num w:numId="67">
    <w:abstractNumId w:val="59"/>
  </w:num>
  <w:num w:numId="68">
    <w:abstractNumId w:val="66"/>
  </w:num>
  <w:num w:numId="69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58"/>
    <w:rsid w:val="00000BCD"/>
    <w:rsid w:val="0000154D"/>
    <w:rsid w:val="0000170E"/>
    <w:rsid w:val="00002973"/>
    <w:rsid w:val="00002AF7"/>
    <w:rsid w:val="00004E6B"/>
    <w:rsid w:val="00006EC1"/>
    <w:rsid w:val="0000752E"/>
    <w:rsid w:val="00007AE2"/>
    <w:rsid w:val="00011164"/>
    <w:rsid w:val="00011EA5"/>
    <w:rsid w:val="0001266F"/>
    <w:rsid w:val="00013912"/>
    <w:rsid w:val="00016FD9"/>
    <w:rsid w:val="00024D55"/>
    <w:rsid w:val="00025BD3"/>
    <w:rsid w:val="00027A89"/>
    <w:rsid w:val="000355EA"/>
    <w:rsid w:val="000358D9"/>
    <w:rsid w:val="000411F5"/>
    <w:rsid w:val="00047B2E"/>
    <w:rsid w:val="00051E38"/>
    <w:rsid w:val="00056D7F"/>
    <w:rsid w:val="00060351"/>
    <w:rsid w:val="0006683D"/>
    <w:rsid w:val="00070411"/>
    <w:rsid w:val="00071935"/>
    <w:rsid w:val="00074C20"/>
    <w:rsid w:val="00076D6F"/>
    <w:rsid w:val="0008427B"/>
    <w:rsid w:val="00085486"/>
    <w:rsid w:val="000875BA"/>
    <w:rsid w:val="000907C3"/>
    <w:rsid w:val="00090ED6"/>
    <w:rsid w:val="000940F5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C6640"/>
    <w:rsid w:val="000D08E5"/>
    <w:rsid w:val="000D1943"/>
    <w:rsid w:val="000D1CBF"/>
    <w:rsid w:val="000D6EE4"/>
    <w:rsid w:val="000E04DE"/>
    <w:rsid w:val="000E1231"/>
    <w:rsid w:val="000E61B4"/>
    <w:rsid w:val="000F7517"/>
    <w:rsid w:val="00102894"/>
    <w:rsid w:val="00110B08"/>
    <w:rsid w:val="001126E3"/>
    <w:rsid w:val="00115A7E"/>
    <w:rsid w:val="00116B0B"/>
    <w:rsid w:val="00117535"/>
    <w:rsid w:val="001202F4"/>
    <w:rsid w:val="00120601"/>
    <w:rsid w:val="0012747A"/>
    <w:rsid w:val="00132837"/>
    <w:rsid w:val="001332D3"/>
    <w:rsid w:val="00133BFE"/>
    <w:rsid w:val="00136009"/>
    <w:rsid w:val="001508F4"/>
    <w:rsid w:val="0015138F"/>
    <w:rsid w:val="00153FED"/>
    <w:rsid w:val="001609AD"/>
    <w:rsid w:val="00163548"/>
    <w:rsid w:val="00163843"/>
    <w:rsid w:val="00163E0F"/>
    <w:rsid w:val="0016667E"/>
    <w:rsid w:val="00166DF4"/>
    <w:rsid w:val="00171683"/>
    <w:rsid w:val="00171DBD"/>
    <w:rsid w:val="00173265"/>
    <w:rsid w:val="00177D0E"/>
    <w:rsid w:val="00182503"/>
    <w:rsid w:val="00183971"/>
    <w:rsid w:val="00184924"/>
    <w:rsid w:val="0018560D"/>
    <w:rsid w:val="00185921"/>
    <w:rsid w:val="0018750C"/>
    <w:rsid w:val="001936EF"/>
    <w:rsid w:val="001964D2"/>
    <w:rsid w:val="001A0892"/>
    <w:rsid w:val="001A150A"/>
    <w:rsid w:val="001A1E8C"/>
    <w:rsid w:val="001B4C40"/>
    <w:rsid w:val="001B7B1B"/>
    <w:rsid w:val="001C2B06"/>
    <w:rsid w:val="001C3200"/>
    <w:rsid w:val="001D00A7"/>
    <w:rsid w:val="001D1D36"/>
    <w:rsid w:val="001D3981"/>
    <w:rsid w:val="001D7D54"/>
    <w:rsid w:val="001E1DB3"/>
    <w:rsid w:val="001F03B6"/>
    <w:rsid w:val="001F1EDA"/>
    <w:rsid w:val="001F31E2"/>
    <w:rsid w:val="001F35D2"/>
    <w:rsid w:val="001F4A9E"/>
    <w:rsid w:val="001F4F81"/>
    <w:rsid w:val="00200046"/>
    <w:rsid w:val="0020456C"/>
    <w:rsid w:val="00205E65"/>
    <w:rsid w:val="00206039"/>
    <w:rsid w:val="00207C87"/>
    <w:rsid w:val="00212CEF"/>
    <w:rsid w:val="0021461A"/>
    <w:rsid w:val="00214D54"/>
    <w:rsid w:val="00222F2F"/>
    <w:rsid w:val="0022316B"/>
    <w:rsid w:val="00226547"/>
    <w:rsid w:val="00226951"/>
    <w:rsid w:val="0022696C"/>
    <w:rsid w:val="00230F5E"/>
    <w:rsid w:val="00234128"/>
    <w:rsid w:val="00234289"/>
    <w:rsid w:val="00234901"/>
    <w:rsid w:val="002363D0"/>
    <w:rsid w:val="00243544"/>
    <w:rsid w:val="00243F07"/>
    <w:rsid w:val="002450A1"/>
    <w:rsid w:val="00252399"/>
    <w:rsid w:val="00260076"/>
    <w:rsid w:val="00264E2B"/>
    <w:rsid w:val="00265BB9"/>
    <w:rsid w:val="00267CA6"/>
    <w:rsid w:val="00274096"/>
    <w:rsid w:val="0027734F"/>
    <w:rsid w:val="0027765C"/>
    <w:rsid w:val="00280043"/>
    <w:rsid w:val="00285199"/>
    <w:rsid w:val="00286C98"/>
    <w:rsid w:val="00287378"/>
    <w:rsid w:val="0029227B"/>
    <w:rsid w:val="00294E90"/>
    <w:rsid w:val="0029695C"/>
    <w:rsid w:val="002A26CA"/>
    <w:rsid w:val="002A7674"/>
    <w:rsid w:val="002A7995"/>
    <w:rsid w:val="002B3059"/>
    <w:rsid w:val="002B3C5E"/>
    <w:rsid w:val="002B6531"/>
    <w:rsid w:val="002B7293"/>
    <w:rsid w:val="002C453B"/>
    <w:rsid w:val="002C4578"/>
    <w:rsid w:val="002E3A3B"/>
    <w:rsid w:val="002E7A1F"/>
    <w:rsid w:val="002E7DDB"/>
    <w:rsid w:val="002F6D60"/>
    <w:rsid w:val="00303EAC"/>
    <w:rsid w:val="00305ADF"/>
    <w:rsid w:val="0030672D"/>
    <w:rsid w:val="00314501"/>
    <w:rsid w:val="0031532C"/>
    <w:rsid w:val="00315D29"/>
    <w:rsid w:val="00320D33"/>
    <w:rsid w:val="003217A0"/>
    <w:rsid w:val="003310D7"/>
    <w:rsid w:val="00332FC5"/>
    <w:rsid w:val="0033481E"/>
    <w:rsid w:val="00342CD0"/>
    <w:rsid w:val="0034617C"/>
    <w:rsid w:val="00347050"/>
    <w:rsid w:val="00347ED4"/>
    <w:rsid w:val="003520BF"/>
    <w:rsid w:val="0035343C"/>
    <w:rsid w:val="003544EC"/>
    <w:rsid w:val="0035662C"/>
    <w:rsid w:val="00362421"/>
    <w:rsid w:val="00371138"/>
    <w:rsid w:val="003748E9"/>
    <w:rsid w:val="00380506"/>
    <w:rsid w:val="003820AB"/>
    <w:rsid w:val="00384D4E"/>
    <w:rsid w:val="0038544F"/>
    <w:rsid w:val="003913FB"/>
    <w:rsid w:val="003930B3"/>
    <w:rsid w:val="0039592F"/>
    <w:rsid w:val="003A2E6F"/>
    <w:rsid w:val="003A6EAB"/>
    <w:rsid w:val="003B36E2"/>
    <w:rsid w:val="003B5C84"/>
    <w:rsid w:val="003C1CA0"/>
    <w:rsid w:val="003C3981"/>
    <w:rsid w:val="003C46F6"/>
    <w:rsid w:val="003C4AFE"/>
    <w:rsid w:val="003C5EEC"/>
    <w:rsid w:val="003D3CE0"/>
    <w:rsid w:val="003D42DF"/>
    <w:rsid w:val="003D4DEF"/>
    <w:rsid w:val="003D4E63"/>
    <w:rsid w:val="003D6B13"/>
    <w:rsid w:val="003D7434"/>
    <w:rsid w:val="003E1042"/>
    <w:rsid w:val="003E51B2"/>
    <w:rsid w:val="003E5BF7"/>
    <w:rsid w:val="003E5E1E"/>
    <w:rsid w:val="003E7378"/>
    <w:rsid w:val="003F0A4B"/>
    <w:rsid w:val="00400EA0"/>
    <w:rsid w:val="00416386"/>
    <w:rsid w:val="0042467C"/>
    <w:rsid w:val="004302A6"/>
    <w:rsid w:val="00430D33"/>
    <w:rsid w:val="00431DBF"/>
    <w:rsid w:val="00432BA6"/>
    <w:rsid w:val="004376D6"/>
    <w:rsid w:val="00442484"/>
    <w:rsid w:val="004458CB"/>
    <w:rsid w:val="00447146"/>
    <w:rsid w:val="0044723C"/>
    <w:rsid w:val="004509E9"/>
    <w:rsid w:val="00450ED7"/>
    <w:rsid w:val="00452C55"/>
    <w:rsid w:val="00455E1A"/>
    <w:rsid w:val="00456383"/>
    <w:rsid w:val="0045763E"/>
    <w:rsid w:val="00464AC7"/>
    <w:rsid w:val="00464FF3"/>
    <w:rsid w:val="004670E0"/>
    <w:rsid w:val="004713C5"/>
    <w:rsid w:val="00474377"/>
    <w:rsid w:val="004833E9"/>
    <w:rsid w:val="004874A0"/>
    <w:rsid w:val="0049266E"/>
    <w:rsid w:val="00493276"/>
    <w:rsid w:val="00495464"/>
    <w:rsid w:val="004A474E"/>
    <w:rsid w:val="004A4AC9"/>
    <w:rsid w:val="004B088B"/>
    <w:rsid w:val="004B1B3D"/>
    <w:rsid w:val="004B1F59"/>
    <w:rsid w:val="004B4F3F"/>
    <w:rsid w:val="004C0D52"/>
    <w:rsid w:val="004C64C6"/>
    <w:rsid w:val="004D2371"/>
    <w:rsid w:val="004D3DAC"/>
    <w:rsid w:val="004D6925"/>
    <w:rsid w:val="004D7531"/>
    <w:rsid w:val="004E146F"/>
    <w:rsid w:val="004E1C24"/>
    <w:rsid w:val="004F6DA1"/>
    <w:rsid w:val="00500EBC"/>
    <w:rsid w:val="00502637"/>
    <w:rsid w:val="005028B7"/>
    <w:rsid w:val="00504230"/>
    <w:rsid w:val="00505376"/>
    <w:rsid w:val="0050568D"/>
    <w:rsid w:val="00505AC0"/>
    <w:rsid w:val="00507BEB"/>
    <w:rsid w:val="00512575"/>
    <w:rsid w:val="00512A15"/>
    <w:rsid w:val="00516563"/>
    <w:rsid w:val="00525DE6"/>
    <w:rsid w:val="005268CB"/>
    <w:rsid w:val="00531764"/>
    <w:rsid w:val="00531974"/>
    <w:rsid w:val="00532416"/>
    <w:rsid w:val="00534E2D"/>
    <w:rsid w:val="00534FC4"/>
    <w:rsid w:val="00535075"/>
    <w:rsid w:val="00537284"/>
    <w:rsid w:val="00541AA7"/>
    <w:rsid w:val="00550A06"/>
    <w:rsid w:val="005533A3"/>
    <w:rsid w:val="005538BC"/>
    <w:rsid w:val="00557E04"/>
    <w:rsid w:val="00563F7A"/>
    <w:rsid w:val="00565AAB"/>
    <w:rsid w:val="00567B2B"/>
    <w:rsid w:val="0057179F"/>
    <w:rsid w:val="00577C15"/>
    <w:rsid w:val="0058259D"/>
    <w:rsid w:val="00582964"/>
    <w:rsid w:val="00586295"/>
    <w:rsid w:val="005923FE"/>
    <w:rsid w:val="00596879"/>
    <w:rsid w:val="00597385"/>
    <w:rsid w:val="005978BE"/>
    <w:rsid w:val="005A05E4"/>
    <w:rsid w:val="005A2217"/>
    <w:rsid w:val="005A53B0"/>
    <w:rsid w:val="005B279E"/>
    <w:rsid w:val="005B3CA5"/>
    <w:rsid w:val="005B3F0C"/>
    <w:rsid w:val="005C0327"/>
    <w:rsid w:val="005C0C9B"/>
    <w:rsid w:val="005C1C77"/>
    <w:rsid w:val="005C6D12"/>
    <w:rsid w:val="005D227A"/>
    <w:rsid w:val="005D22B5"/>
    <w:rsid w:val="005D2A04"/>
    <w:rsid w:val="005D2CFA"/>
    <w:rsid w:val="005D4BDA"/>
    <w:rsid w:val="005D531C"/>
    <w:rsid w:val="005D703B"/>
    <w:rsid w:val="005E2365"/>
    <w:rsid w:val="005E57E1"/>
    <w:rsid w:val="005F05A1"/>
    <w:rsid w:val="006003F5"/>
    <w:rsid w:val="00602D3B"/>
    <w:rsid w:val="006055A4"/>
    <w:rsid w:val="006061FA"/>
    <w:rsid w:val="0060792C"/>
    <w:rsid w:val="00613518"/>
    <w:rsid w:val="0062054C"/>
    <w:rsid w:val="0062146E"/>
    <w:rsid w:val="00623B0A"/>
    <w:rsid w:val="006261BE"/>
    <w:rsid w:val="00627004"/>
    <w:rsid w:val="00633580"/>
    <w:rsid w:val="006405D4"/>
    <w:rsid w:val="0064129E"/>
    <w:rsid w:val="0064415B"/>
    <w:rsid w:val="00644F4C"/>
    <w:rsid w:val="00645798"/>
    <w:rsid w:val="006506D3"/>
    <w:rsid w:val="00653607"/>
    <w:rsid w:val="0065639B"/>
    <w:rsid w:val="00657F91"/>
    <w:rsid w:val="006605B8"/>
    <w:rsid w:val="0066116B"/>
    <w:rsid w:val="00662BFC"/>
    <w:rsid w:val="00664244"/>
    <w:rsid w:val="00664EB3"/>
    <w:rsid w:val="006736DF"/>
    <w:rsid w:val="00674302"/>
    <w:rsid w:val="00675464"/>
    <w:rsid w:val="006762F9"/>
    <w:rsid w:val="0068490D"/>
    <w:rsid w:val="00685BC3"/>
    <w:rsid w:val="006870B1"/>
    <w:rsid w:val="006962FF"/>
    <w:rsid w:val="006A0C71"/>
    <w:rsid w:val="006A15AD"/>
    <w:rsid w:val="006B0E32"/>
    <w:rsid w:val="006B158F"/>
    <w:rsid w:val="006B606B"/>
    <w:rsid w:val="006B6B4B"/>
    <w:rsid w:val="006B6C93"/>
    <w:rsid w:val="006C31DA"/>
    <w:rsid w:val="006C4129"/>
    <w:rsid w:val="006C5576"/>
    <w:rsid w:val="006D1535"/>
    <w:rsid w:val="006D1EEF"/>
    <w:rsid w:val="006D2265"/>
    <w:rsid w:val="006D4345"/>
    <w:rsid w:val="006D5EEC"/>
    <w:rsid w:val="006D68C9"/>
    <w:rsid w:val="006D6AFF"/>
    <w:rsid w:val="006E04A6"/>
    <w:rsid w:val="006E0B7F"/>
    <w:rsid w:val="006E0E76"/>
    <w:rsid w:val="006E2FD7"/>
    <w:rsid w:val="006F4447"/>
    <w:rsid w:val="006F60C3"/>
    <w:rsid w:val="006F6333"/>
    <w:rsid w:val="006F6434"/>
    <w:rsid w:val="0070073E"/>
    <w:rsid w:val="007014F9"/>
    <w:rsid w:val="0070235D"/>
    <w:rsid w:val="00704F6F"/>
    <w:rsid w:val="0071165A"/>
    <w:rsid w:val="00713CC0"/>
    <w:rsid w:val="0071602F"/>
    <w:rsid w:val="00717D18"/>
    <w:rsid w:val="00725383"/>
    <w:rsid w:val="00725A14"/>
    <w:rsid w:val="00727002"/>
    <w:rsid w:val="007270B9"/>
    <w:rsid w:val="00727B4B"/>
    <w:rsid w:val="00733506"/>
    <w:rsid w:val="007345DD"/>
    <w:rsid w:val="00735D76"/>
    <w:rsid w:val="00737365"/>
    <w:rsid w:val="0074039F"/>
    <w:rsid w:val="0074125A"/>
    <w:rsid w:val="00741372"/>
    <w:rsid w:val="00743272"/>
    <w:rsid w:val="007434E5"/>
    <w:rsid w:val="00745A75"/>
    <w:rsid w:val="00746956"/>
    <w:rsid w:val="00746BA9"/>
    <w:rsid w:val="00750B6F"/>
    <w:rsid w:val="00752C63"/>
    <w:rsid w:val="0075368F"/>
    <w:rsid w:val="00753B63"/>
    <w:rsid w:val="0076099C"/>
    <w:rsid w:val="007611FE"/>
    <w:rsid w:val="007613F1"/>
    <w:rsid w:val="0076145E"/>
    <w:rsid w:val="00762A13"/>
    <w:rsid w:val="00763704"/>
    <w:rsid w:val="00765901"/>
    <w:rsid w:val="0077003A"/>
    <w:rsid w:val="00776E02"/>
    <w:rsid w:val="00780935"/>
    <w:rsid w:val="00781B5C"/>
    <w:rsid w:val="00786082"/>
    <w:rsid w:val="00791022"/>
    <w:rsid w:val="00793AC8"/>
    <w:rsid w:val="007A5277"/>
    <w:rsid w:val="007A7D60"/>
    <w:rsid w:val="007B1F0F"/>
    <w:rsid w:val="007B350F"/>
    <w:rsid w:val="007B36B0"/>
    <w:rsid w:val="007C2A20"/>
    <w:rsid w:val="007D0984"/>
    <w:rsid w:val="007D0B49"/>
    <w:rsid w:val="007D113B"/>
    <w:rsid w:val="007D17DA"/>
    <w:rsid w:val="007D410D"/>
    <w:rsid w:val="007D5D93"/>
    <w:rsid w:val="007F525C"/>
    <w:rsid w:val="007F68AD"/>
    <w:rsid w:val="00802A64"/>
    <w:rsid w:val="00803636"/>
    <w:rsid w:val="008040ED"/>
    <w:rsid w:val="008045F0"/>
    <w:rsid w:val="0080504C"/>
    <w:rsid w:val="00811EF4"/>
    <w:rsid w:val="008142AC"/>
    <w:rsid w:val="00814CEE"/>
    <w:rsid w:val="008167E6"/>
    <w:rsid w:val="008235BF"/>
    <w:rsid w:val="00823A93"/>
    <w:rsid w:val="0082457B"/>
    <w:rsid w:val="00826A51"/>
    <w:rsid w:val="00826BDB"/>
    <w:rsid w:val="008273F4"/>
    <w:rsid w:val="0083131E"/>
    <w:rsid w:val="00833813"/>
    <w:rsid w:val="00834E4D"/>
    <w:rsid w:val="0083706B"/>
    <w:rsid w:val="0083743C"/>
    <w:rsid w:val="00837E80"/>
    <w:rsid w:val="0084260D"/>
    <w:rsid w:val="00844C68"/>
    <w:rsid w:val="00847585"/>
    <w:rsid w:val="00852AC7"/>
    <w:rsid w:val="00857E69"/>
    <w:rsid w:val="00857F13"/>
    <w:rsid w:val="00863480"/>
    <w:rsid w:val="00864119"/>
    <w:rsid w:val="008661DE"/>
    <w:rsid w:val="0086713F"/>
    <w:rsid w:val="00867592"/>
    <w:rsid w:val="00872264"/>
    <w:rsid w:val="00875BD3"/>
    <w:rsid w:val="0088372F"/>
    <w:rsid w:val="00887F85"/>
    <w:rsid w:val="00890F7D"/>
    <w:rsid w:val="00891762"/>
    <w:rsid w:val="00891FD5"/>
    <w:rsid w:val="008931F5"/>
    <w:rsid w:val="00893BA7"/>
    <w:rsid w:val="00895B73"/>
    <w:rsid w:val="00896132"/>
    <w:rsid w:val="008A2FBB"/>
    <w:rsid w:val="008A3971"/>
    <w:rsid w:val="008A4919"/>
    <w:rsid w:val="008B021B"/>
    <w:rsid w:val="008C3FA7"/>
    <w:rsid w:val="008D6B75"/>
    <w:rsid w:val="008E0B32"/>
    <w:rsid w:val="008E64BD"/>
    <w:rsid w:val="008E6CF1"/>
    <w:rsid w:val="008F2C97"/>
    <w:rsid w:val="008F402D"/>
    <w:rsid w:val="008F515F"/>
    <w:rsid w:val="00900175"/>
    <w:rsid w:val="0091105C"/>
    <w:rsid w:val="009200D2"/>
    <w:rsid w:val="00920C9E"/>
    <w:rsid w:val="0092707F"/>
    <w:rsid w:val="00933BCC"/>
    <w:rsid w:val="009409AD"/>
    <w:rsid w:val="00940FCC"/>
    <w:rsid w:val="00943C2E"/>
    <w:rsid w:val="00943D73"/>
    <w:rsid w:val="00944A8E"/>
    <w:rsid w:val="00952248"/>
    <w:rsid w:val="0095274A"/>
    <w:rsid w:val="00957FDB"/>
    <w:rsid w:val="00961E4A"/>
    <w:rsid w:val="00962B1E"/>
    <w:rsid w:val="009647E6"/>
    <w:rsid w:val="00964F20"/>
    <w:rsid w:val="0096601E"/>
    <w:rsid w:val="00973D00"/>
    <w:rsid w:val="00975344"/>
    <w:rsid w:val="00976811"/>
    <w:rsid w:val="00976C97"/>
    <w:rsid w:val="00980110"/>
    <w:rsid w:val="009818B6"/>
    <w:rsid w:val="00984FCF"/>
    <w:rsid w:val="00986E2B"/>
    <w:rsid w:val="009875BB"/>
    <w:rsid w:val="009915CA"/>
    <w:rsid w:val="0099220F"/>
    <w:rsid w:val="0099451E"/>
    <w:rsid w:val="00997A6B"/>
    <w:rsid w:val="009A3A2A"/>
    <w:rsid w:val="009A4D8D"/>
    <w:rsid w:val="009B066E"/>
    <w:rsid w:val="009B0CA6"/>
    <w:rsid w:val="009B225D"/>
    <w:rsid w:val="009B6CCF"/>
    <w:rsid w:val="009C025E"/>
    <w:rsid w:val="009C0750"/>
    <w:rsid w:val="009C17FC"/>
    <w:rsid w:val="009C2736"/>
    <w:rsid w:val="009C4EDB"/>
    <w:rsid w:val="009C6CD6"/>
    <w:rsid w:val="009D016A"/>
    <w:rsid w:val="009D2FE5"/>
    <w:rsid w:val="009D3DF0"/>
    <w:rsid w:val="009D6716"/>
    <w:rsid w:val="009E154F"/>
    <w:rsid w:val="009E291E"/>
    <w:rsid w:val="009E36D8"/>
    <w:rsid w:val="009E61F1"/>
    <w:rsid w:val="009E6549"/>
    <w:rsid w:val="009F17D5"/>
    <w:rsid w:val="009F4BDE"/>
    <w:rsid w:val="009F799B"/>
    <w:rsid w:val="00A023C5"/>
    <w:rsid w:val="00A04D67"/>
    <w:rsid w:val="00A071FE"/>
    <w:rsid w:val="00A07BBA"/>
    <w:rsid w:val="00A2029E"/>
    <w:rsid w:val="00A20D17"/>
    <w:rsid w:val="00A2136B"/>
    <w:rsid w:val="00A22180"/>
    <w:rsid w:val="00A2221D"/>
    <w:rsid w:val="00A32481"/>
    <w:rsid w:val="00A33434"/>
    <w:rsid w:val="00A34AFB"/>
    <w:rsid w:val="00A35F0D"/>
    <w:rsid w:val="00A364FA"/>
    <w:rsid w:val="00A36B74"/>
    <w:rsid w:val="00A437AB"/>
    <w:rsid w:val="00A45020"/>
    <w:rsid w:val="00A45B1E"/>
    <w:rsid w:val="00A46567"/>
    <w:rsid w:val="00A46DD8"/>
    <w:rsid w:val="00A5177D"/>
    <w:rsid w:val="00A52EF8"/>
    <w:rsid w:val="00A57B2D"/>
    <w:rsid w:val="00A64783"/>
    <w:rsid w:val="00A651B5"/>
    <w:rsid w:val="00A72EEB"/>
    <w:rsid w:val="00A834B1"/>
    <w:rsid w:val="00A87087"/>
    <w:rsid w:val="00A87E21"/>
    <w:rsid w:val="00A90258"/>
    <w:rsid w:val="00A92064"/>
    <w:rsid w:val="00A93188"/>
    <w:rsid w:val="00A935C5"/>
    <w:rsid w:val="00A93B6E"/>
    <w:rsid w:val="00AA015B"/>
    <w:rsid w:val="00AA2986"/>
    <w:rsid w:val="00AA6B47"/>
    <w:rsid w:val="00AA6E19"/>
    <w:rsid w:val="00AB4B97"/>
    <w:rsid w:val="00AB623E"/>
    <w:rsid w:val="00AC22C5"/>
    <w:rsid w:val="00AD026D"/>
    <w:rsid w:val="00AD3249"/>
    <w:rsid w:val="00AD38E4"/>
    <w:rsid w:val="00AD59F5"/>
    <w:rsid w:val="00AE426A"/>
    <w:rsid w:val="00AF5E19"/>
    <w:rsid w:val="00AF7EB9"/>
    <w:rsid w:val="00B02AE5"/>
    <w:rsid w:val="00B10244"/>
    <w:rsid w:val="00B10323"/>
    <w:rsid w:val="00B1160C"/>
    <w:rsid w:val="00B11745"/>
    <w:rsid w:val="00B12749"/>
    <w:rsid w:val="00B14C67"/>
    <w:rsid w:val="00B16616"/>
    <w:rsid w:val="00B16703"/>
    <w:rsid w:val="00B26DD5"/>
    <w:rsid w:val="00B27479"/>
    <w:rsid w:val="00B31CCD"/>
    <w:rsid w:val="00B31E5C"/>
    <w:rsid w:val="00B3265E"/>
    <w:rsid w:val="00B35F64"/>
    <w:rsid w:val="00B365A3"/>
    <w:rsid w:val="00B40853"/>
    <w:rsid w:val="00B51990"/>
    <w:rsid w:val="00B52F61"/>
    <w:rsid w:val="00B532EB"/>
    <w:rsid w:val="00B5538E"/>
    <w:rsid w:val="00B555C7"/>
    <w:rsid w:val="00B60AE2"/>
    <w:rsid w:val="00B66643"/>
    <w:rsid w:val="00B72B58"/>
    <w:rsid w:val="00B765E0"/>
    <w:rsid w:val="00B76810"/>
    <w:rsid w:val="00B8205B"/>
    <w:rsid w:val="00B85C14"/>
    <w:rsid w:val="00B878FD"/>
    <w:rsid w:val="00B87C00"/>
    <w:rsid w:val="00B93E4D"/>
    <w:rsid w:val="00B953D1"/>
    <w:rsid w:val="00BA195E"/>
    <w:rsid w:val="00BA41B9"/>
    <w:rsid w:val="00BB16EE"/>
    <w:rsid w:val="00BC3DEE"/>
    <w:rsid w:val="00BC43EE"/>
    <w:rsid w:val="00BD1AAB"/>
    <w:rsid w:val="00BD48BE"/>
    <w:rsid w:val="00BD5BAA"/>
    <w:rsid w:val="00BD72E1"/>
    <w:rsid w:val="00BE62F8"/>
    <w:rsid w:val="00BE77B3"/>
    <w:rsid w:val="00BF1FAE"/>
    <w:rsid w:val="00BF2E62"/>
    <w:rsid w:val="00C067B9"/>
    <w:rsid w:val="00C078EB"/>
    <w:rsid w:val="00C15DBF"/>
    <w:rsid w:val="00C1627D"/>
    <w:rsid w:val="00C167AB"/>
    <w:rsid w:val="00C16882"/>
    <w:rsid w:val="00C16A72"/>
    <w:rsid w:val="00C16B06"/>
    <w:rsid w:val="00C17BCE"/>
    <w:rsid w:val="00C2148E"/>
    <w:rsid w:val="00C21691"/>
    <w:rsid w:val="00C247FD"/>
    <w:rsid w:val="00C26F8C"/>
    <w:rsid w:val="00C307C9"/>
    <w:rsid w:val="00C353A4"/>
    <w:rsid w:val="00C35DD3"/>
    <w:rsid w:val="00C419C9"/>
    <w:rsid w:val="00C43CEB"/>
    <w:rsid w:val="00C52C6C"/>
    <w:rsid w:val="00C52FD7"/>
    <w:rsid w:val="00C55A11"/>
    <w:rsid w:val="00C56FF0"/>
    <w:rsid w:val="00C67AA6"/>
    <w:rsid w:val="00C80B2F"/>
    <w:rsid w:val="00C81AC0"/>
    <w:rsid w:val="00C83F64"/>
    <w:rsid w:val="00C87917"/>
    <w:rsid w:val="00C93CD4"/>
    <w:rsid w:val="00CA4048"/>
    <w:rsid w:val="00CA60E5"/>
    <w:rsid w:val="00CA7C75"/>
    <w:rsid w:val="00CB4F97"/>
    <w:rsid w:val="00CC1821"/>
    <w:rsid w:val="00CC63E2"/>
    <w:rsid w:val="00CC6A24"/>
    <w:rsid w:val="00CC6C47"/>
    <w:rsid w:val="00CC70E5"/>
    <w:rsid w:val="00CD3979"/>
    <w:rsid w:val="00CD3D4A"/>
    <w:rsid w:val="00CD4078"/>
    <w:rsid w:val="00CD60E5"/>
    <w:rsid w:val="00CD6F61"/>
    <w:rsid w:val="00CD7137"/>
    <w:rsid w:val="00CE45E8"/>
    <w:rsid w:val="00CE650A"/>
    <w:rsid w:val="00CF2568"/>
    <w:rsid w:val="00CF559C"/>
    <w:rsid w:val="00CF75B9"/>
    <w:rsid w:val="00CF7FCD"/>
    <w:rsid w:val="00D015DC"/>
    <w:rsid w:val="00D021B0"/>
    <w:rsid w:val="00D058C9"/>
    <w:rsid w:val="00D06524"/>
    <w:rsid w:val="00D07059"/>
    <w:rsid w:val="00D10B62"/>
    <w:rsid w:val="00D11BB7"/>
    <w:rsid w:val="00D17477"/>
    <w:rsid w:val="00D24CA4"/>
    <w:rsid w:val="00D255F3"/>
    <w:rsid w:val="00D26217"/>
    <w:rsid w:val="00D2678A"/>
    <w:rsid w:val="00D3286B"/>
    <w:rsid w:val="00D358BC"/>
    <w:rsid w:val="00D40344"/>
    <w:rsid w:val="00D475BB"/>
    <w:rsid w:val="00D50C7B"/>
    <w:rsid w:val="00D54979"/>
    <w:rsid w:val="00D573F0"/>
    <w:rsid w:val="00D61251"/>
    <w:rsid w:val="00D62D4B"/>
    <w:rsid w:val="00D716C6"/>
    <w:rsid w:val="00D7228E"/>
    <w:rsid w:val="00D7368C"/>
    <w:rsid w:val="00D7431D"/>
    <w:rsid w:val="00D824C0"/>
    <w:rsid w:val="00D853F9"/>
    <w:rsid w:val="00D8583B"/>
    <w:rsid w:val="00D9016C"/>
    <w:rsid w:val="00D92ECF"/>
    <w:rsid w:val="00D94D86"/>
    <w:rsid w:val="00D9539F"/>
    <w:rsid w:val="00D960A2"/>
    <w:rsid w:val="00D973F6"/>
    <w:rsid w:val="00DA1C2C"/>
    <w:rsid w:val="00DA68C3"/>
    <w:rsid w:val="00DB47AA"/>
    <w:rsid w:val="00DB7B8A"/>
    <w:rsid w:val="00DB7E52"/>
    <w:rsid w:val="00DC301E"/>
    <w:rsid w:val="00DC3449"/>
    <w:rsid w:val="00DD34F1"/>
    <w:rsid w:val="00DD60C1"/>
    <w:rsid w:val="00DD6258"/>
    <w:rsid w:val="00DE09D2"/>
    <w:rsid w:val="00DE55BC"/>
    <w:rsid w:val="00DE61E2"/>
    <w:rsid w:val="00DE6A64"/>
    <w:rsid w:val="00DE716D"/>
    <w:rsid w:val="00DE796D"/>
    <w:rsid w:val="00DF4DAD"/>
    <w:rsid w:val="00DF5391"/>
    <w:rsid w:val="00DF5494"/>
    <w:rsid w:val="00DF6313"/>
    <w:rsid w:val="00E001AA"/>
    <w:rsid w:val="00E00731"/>
    <w:rsid w:val="00E018D7"/>
    <w:rsid w:val="00E07DD5"/>
    <w:rsid w:val="00E126DE"/>
    <w:rsid w:val="00E137FE"/>
    <w:rsid w:val="00E15BB1"/>
    <w:rsid w:val="00E23B03"/>
    <w:rsid w:val="00E27687"/>
    <w:rsid w:val="00E31EFC"/>
    <w:rsid w:val="00E35A14"/>
    <w:rsid w:val="00E363DE"/>
    <w:rsid w:val="00E36581"/>
    <w:rsid w:val="00E37ACD"/>
    <w:rsid w:val="00E42D64"/>
    <w:rsid w:val="00E4447A"/>
    <w:rsid w:val="00E46421"/>
    <w:rsid w:val="00E469B1"/>
    <w:rsid w:val="00E46D40"/>
    <w:rsid w:val="00E527EF"/>
    <w:rsid w:val="00E55137"/>
    <w:rsid w:val="00E61E0F"/>
    <w:rsid w:val="00E62193"/>
    <w:rsid w:val="00E63107"/>
    <w:rsid w:val="00E660EE"/>
    <w:rsid w:val="00E73705"/>
    <w:rsid w:val="00E73ADE"/>
    <w:rsid w:val="00E74355"/>
    <w:rsid w:val="00E74BF2"/>
    <w:rsid w:val="00E74FAB"/>
    <w:rsid w:val="00E80D7E"/>
    <w:rsid w:val="00E84DFD"/>
    <w:rsid w:val="00E86081"/>
    <w:rsid w:val="00E87BBE"/>
    <w:rsid w:val="00E87F70"/>
    <w:rsid w:val="00E91868"/>
    <w:rsid w:val="00E936B1"/>
    <w:rsid w:val="00E9559C"/>
    <w:rsid w:val="00E95A6E"/>
    <w:rsid w:val="00E97461"/>
    <w:rsid w:val="00E978E5"/>
    <w:rsid w:val="00EA4AF8"/>
    <w:rsid w:val="00EA6E86"/>
    <w:rsid w:val="00EB1389"/>
    <w:rsid w:val="00EB15FA"/>
    <w:rsid w:val="00EB2022"/>
    <w:rsid w:val="00EB31D4"/>
    <w:rsid w:val="00EB46DC"/>
    <w:rsid w:val="00EB778B"/>
    <w:rsid w:val="00EC06A7"/>
    <w:rsid w:val="00EC1E39"/>
    <w:rsid w:val="00EC2066"/>
    <w:rsid w:val="00EC337A"/>
    <w:rsid w:val="00EC38B5"/>
    <w:rsid w:val="00EC5241"/>
    <w:rsid w:val="00EC52C9"/>
    <w:rsid w:val="00ED0851"/>
    <w:rsid w:val="00ED1328"/>
    <w:rsid w:val="00ED6139"/>
    <w:rsid w:val="00ED70D7"/>
    <w:rsid w:val="00ED7C33"/>
    <w:rsid w:val="00EE0070"/>
    <w:rsid w:val="00EE47F3"/>
    <w:rsid w:val="00EE6EB1"/>
    <w:rsid w:val="00EF11A2"/>
    <w:rsid w:val="00EF1A9B"/>
    <w:rsid w:val="00F00FFA"/>
    <w:rsid w:val="00F05DAA"/>
    <w:rsid w:val="00F11FEB"/>
    <w:rsid w:val="00F15AB7"/>
    <w:rsid w:val="00F15C42"/>
    <w:rsid w:val="00F16785"/>
    <w:rsid w:val="00F2237E"/>
    <w:rsid w:val="00F2335D"/>
    <w:rsid w:val="00F2732F"/>
    <w:rsid w:val="00F30181"/>
    <w:rsid w:val="00F32426"/>
    <w:rsid w:val="00F34BA5"/>
    <w:rsid w:val="00F42CA8"/>
    <w:rsid w:val="00F468D5"/>
    <w:rsid w:val="00F46D52"/>
    <w:rsid w:val="00F52FA7"/>
    <w:rsid w:val="00F565EA"/>
    <w:rsid w:val="00F57027"/>
    <w:rsid w:val="00F60F83"/>
    <w:rsid w:val="00F62ABE"/>
    <w:rsid w:val="00F64080"/>
    <w:rsid w:val="00F657C0"/>
    <w:rsid w:val="00F67584"/>
    <w:rsid w:val="00F71DB9"/>
    <w:rsid w:val="00F731FE"/>
    <w:rsid w:val="00F760B1"/>
    <w:rsid w:val="00F9647B"/>
    <w:rsid w:val="00FA0910"/>
    <w:rsid w:val="00FA0FB0"/>
    <w:rsid w:val="00FA1787"/>
    <w:rsid w:val="00FA50B9"/>
    <w:rsid w:val="00FB27DF"/>
    <w:rsid w:val="00FB2FDB"/>
    <w:rsid w:val="00FB37DA"/>
    <w:rsid w:val="00FB6547"/>
    <w:rsid w:val="00FB733E"/>
    <w:rsid w:val="00FC12F8"/>
    <w:rsid w:val="00FC18E5"/>
    <w:rsid w:val="00FC1FD9"/>
    <w:rsid w:val="00FC7353"/>
    <w:rsid w:val="00FD5E96"/>
    <w:rsid w:val="00FD6FB1"/>
    <w:rsid w:val="00FE2BAD"/>
    <w:rsid w:val="00FE34EA"/>
    <w:rsid w:val="00FE5A20"/>
    <w:rsid w:val="00FF1C16"/>
    <w:rsid w:val="00FF25F6"/>
    <w:rsid w:val="00FF7D8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6A0F"/>
  <w15:docId w15:val="{A9122ECE-F4D8-42B6-BD0F-C4FCED9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  <w:style w:type="paragraph" w:styleId="Obsah2">
    <w:name w:val="toc 2"/>
    <w:basedOn w:val="Normln"/>
    <w:next w:val="Normln"/>
    <w:autoRedefine/>
    <w:uiPriority w:val="39"/>
    <w:unhideWhenUsed/>
    <w:rsid w:val="001F1ED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EDA"/>
    <w:pPr>
      <w:spacing w:after="100"/>
      <w:ind w:left="440"/>
    </w:pPr>
  </w:style>
  <w:style w:type="paragraph" w:styleId="Nadpisobsahu">
    <w:name w:val="TOC Heading"/>
    <w:basedOn w:val="Nadpis1"/>
    <w:next w:val="Normln"/>
    <w:uiPriority w:val="39"/>
    <w:unhideWhenUsed/>
    <w:qFormat/>
    <w:rsid w:val="001F1E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r.cz/eus/obdobi-2014-2020/interreg-central-europe/" TargetMode="External"/><Relationship Id="rId13" Type="http://schemas.openxmlformats.org/officeDocument/2006/relationships/hyperlink" Target="http://www.interreg-danube.eu/relevant-documents/documents-for-project-implementation" TargetMode="External"/><Relationship Id="rId18" Type="http://schemas.openxmlformats.org/officeDocument/2006/relationships/hyperlink" Target="https://www.dotaceeu.cz/getmedia/59ea7bb3-fb62-4e40-8168-9e3f05915c18/MP-zpusobile-vydaje_v6.pdf.aspx?ext=.pdf" TargetMode="External"/><Relationship Id="rId26" Type="http://schemas.openxmlformats.org/officeDocument/2006/relationships/hyperlink" Target="http://www.interregeurope.eu/about-us/logo/" TargetMode="External"/><Relationship Id="rId39" Type="http://schemas.openxmlformats.org/officeDocument/2006/relationships/hyperlink" Target="http://www.dotaceeu.cz/cs/Fondy-EU/2014-2020/Metodicke-pokyny/Metodika-rizeni-programu/Metodicke-doporuceni-pro-oblast-verejne-podpo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europe.eu/projects/project-development/" TargetMode="External"/><Relationship Id="rId34" Type="http://schemas.openxmlformats.org/officeDocument/2006/relationships/hyperlink" Target="https://www.crr.cz/eus/archiv-eus/cil-3/nalezitosti-dokladovani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reg-central.eu/Content.Node/apply/documents.html" TargetMode="External"/><Relationship Id="rId17" Type="http://schemas.openxmlformats.org/officeDocument/2006/relationships/hyperlink" Target="https://dotaceeu.cz/cs/Evropske-fondy-v-CR/2014-2020/Metodicke-pokyny/metodika-rizeni-programu/Metodika-zadavani-zakazek" TargetMode="External"/><Relationship Id="rId25" Type="http://schemas.openxmlformats.org/officeDocument/2006/relationships/hyperlink" Target="http://www.interreg-danube.eu/relevant-documents/programme-main-documents" TargetMode="External"/><Relationship Id="rId33" Type="http://schemas.openxmlformats.org/officeDocument/2006/relationships/hyperlink" Target="https://www.crr.cz/eus/archiv-eus/cil-3/nalezitosti-dokladovani/" TargetMode="External"/><Relationship Id="rId38" Type="http://schemas.openxmlformats.org/officeDocument/2006/relationships/hyperlink" Target="mailto:nadnarodni@mm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taceeu.cz/cs/Evropske-fondy-v-CR/2014-2020/Metodicke-pokyny/metodika-rizeni-programu/Metodika-zadavani-zakazek" TargetMode="External"/><Relationship Id="rId20" Type="http://schemas.openxmlformats.org/officeDocument/2006/relationships/hyperlink" Target="https://www.crr.cz/eus/archiv-eus/cil-3/nalezitosti-dokladovani/" TargetMode="External"/><Relationship Id="rId29" Type="http://schemas.openxmlformats.org/officeDocument/2006/relationships/hyperlink" Target="http://www.interregeurope.e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central.eu/Content.Node/implement/documents.html" TargetMode="External"/><Relationship Id="rId24" Type="http://schemas.openxmlformats.org/officeDocument/2006/relationships/hyperlink" Target="http://www.interreg-danube.eu/relevant-documents/documents-for-project-implementation" TargetMode="External"/><Relationship Id="rId32" Type="http://schemas.openxmlformats.org/officeDocument/2006/relationships/hyperlink" Target="https://www.crr.cz/eus/archiv-eus/cil-3/nalezitosti-dokladovani/" TargetMode="External"/><Relationship Id="rId37" Type="http://schemas.openxmlformats.org/officeDocument/2006/relationships/hyperlink" Target="http://www.crr.cz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otaceeu.cz/getmedia/59ea7bb3-fb62-4e40-8168-9e3f05915c18/MP-zpusobile-vydaje_v6.pdf.aspx?ext=.pdf" TargetMode="External"/><Relationship Id="rId23" Type="http://schemas.openxmlformats.org/officeDocument/2006/relationships/hyperlink" Target="http://www.interreg-central.eu/Content.Node/apply/documents.html" TargetMode="External"/><Relationship Id="rId28" Type="http://schemas.openxmlformats.org/officeDocument/2006/relationships/hyperlink" Target="http://www.interreg-danube.eu/relevant-documents/documents-for-project-implementation" TargetMode="External"/><Relationship Id="rId36" Type="http://schemas.openxmlformats.org/officeDocument/2006/relationships/hyperlink" Target="https://www.crr.cz/eus/archiv-eus/cil-3/nalezitosti-dokladovani/" TargetMode="External"/><Relationship Id="rId10" Type="http://schemas.openxmlformats.org/officeDocument/2006/relationships/hyperlink" Target="http://www.interregeurope.eu/projects/project-development/" TargetMode="External"/><Relationship Id="rId19" Type="http://schemas.openxmlformats.org/officeDocument/2006/relationships/hyperlink" Target="https://www.crr.cz/eus/mzdove-sazby-typ-pozic/" TargetMode="External"/><Relationship Id="rId31" Type="http://schemas.openxmlformats.org/officeDocument/2006/relationships/hyperlink" Target="http://www.interreg-danub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r.cz/eus/obdobi-2014-2020/interreg-danube-2/" TargetMode="External"/><Relationship Id="rId14" Type="http://schemas.openxmlformats.org/officeDocument/2006/relationships/hyperlink" Target="http://www.interreg-danube.eu/relevant-documents/programme-main-documents" TargetMode="External"/><Relationship Id="rId22" Type="http://schemas.openxmlformats.org/officeDocument/2006/relationships/hyperlink" Target="http://www.interreg-central.eu/Content.Node/implement/documents.html" TargetMode="External"/><Relationship Id="rId27" Type="http://schemas.openxmlformats.org/officeDocument/2006/relationships/hyperlink" Target="http://www.interreg-central.eu/Content.Node/implement/documents.html" TargetMode="External"/><Relationship Id="rId30" Type="http://schemas.openxmlformats.org/officeDocument/2006/relationships/hyperlink" Target="http://www.interreg-central.eu" TargetMode="External"/><Relationship Id="rId35" Type="http://schemas.openxmlformats.org/officeDocument/2006/relationships/hyperlink" Target="https://www.crr.cz/eus/archiv-eus/cil-3/nalezitosti-dokladovani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ms.allamkincstar.gov.hu/ems/app/main?execution=e1s1" TargetMode="External"/><Relationship Id="rId2" Type="http://schemas.openxmlformats.org/officeDocument/2006/relationships/hyperlink" Target="https://ems.interreg-central.eu/app/main?execution=e1s1" TargetMode="External"/><Relationship Id="rId1" Type="http://schemas.openxmlformats.org/officeDocument/2006/relationships/hyperlink" Target="https://www.iolf.eu/Account/Login?ReturnUrl=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3132-6A39-4287-A4CB-6DEFFF13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10455</Words>
  <Characters>61685</Characters>
  <Application>Microsoft Office Word</Application>
  <DocSecurity>0</DocSecurity>
  <Lines>514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Lukeš Pavel</cp:lastModifiedBy>
  <cp:revision>3</cp:revision>
  <cp:lastPrinted>2017-04-25T07:58:00Z</cp:lastPrinted>
  <dcterms:created xsi:type="dcterms:W3CDTF">2019-10-22T06:40:00Z</dcterms:created>
  <dcterms:modified xsi:type="dcterms:W3CDTF">2019-10-22T06:41:00Z</dcterms:modified>
</cp:coreProperties>
</file>