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58" w:rsidRPr="00B10323" w:rsidRDefault="006C5576" w:rsidP="00D72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="00DD6258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Pokyny pro příjemce ke kontrole </w:t>
      </w:r>
    </w:p>
    <w:p w:rsidR="00DD6258" w:rsidRPr="00B10323" w:rsidRDefault="00DD6258" w:rsidP="00D72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pro programy:</w:t>
      </w:r>
    </w:p>
    <w:p w:rsidR="00DD6258" w:rsidRPr="00B10323" w:rsidRDefault="00DD6258" w:rsidP="002045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CENTRAL EUROPE, </w:t>
      </w:r>
      <w:proofErr w:type="spellStart"/>
      <w:r w:rsidRPr="00B10323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DANUBE a </w:t>
      </w:r>
      <w:proofErr w:type="spellStart"/>
      <w:r w:rsidRPr="00B10323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b/>
          <w:sz w:val="36"/>
          <w:szCs w:val="40"/>
          <w:lang w:eastAsia="cs-CZ"/>
        </w:rPr>
        <w:t xml:space="preserve"> EUROPE</w:t>
      </w:r>
    </w:p>
    <w:p w:rsidR="00DD6258" w:rsidRPr="00B10323" w:rsidRDefault="00DD6258" w:rsidP="002045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gramStart"/>
      <w:r w:rsidR="0086713F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</w:t>
      </w:r>
      <w:r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erze</w:t>
      </w:r>
      <w:r w:rsidR="00532416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="00006EC1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4</w:t>
      </w:r>
      <w:r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– </w:t>
      </w:r>
      <w:r w:rsidR="00D3286B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="000D1943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1</w:t>
      </w:r>
      <w:r w:rsidR="00D3286B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. </w:t>
      </w:r>
      <w:r w:rsidR="00006EC1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května</w:t>
      </w:r>
      <w:proofErr w:type="gramEnd"/>
      <w:r w:rsidR="00006EC1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201</w:t>
      </w:r>
      <w:r w:rsidR="000D1943" w:rsidRPr="00B1032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7</w:t>
      </w:r>
    </w:p>
    <w:p w:rsidR="00DD6258" w:rsidRPr="00B10323" w:rsidRDefault="00DD6258" w:rsidP="002045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DD6258" w:rsidRPr="00B10323" w:rsidRDefault="00DD6258" w:rsidP="002045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DD6258" w:rsidRPr="00B10323" w:rsidRDefault="00DD6258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TOC \h \z \t "Styl1;1" </w:instrTex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hyperlink w:anchor="_Toc445447258" w:history="1">
        <w:r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1.</w:t>
        </w:r>
        <w:r w:rsidRPr="00B10323">
          <w:rPr>
            <w:rFonts w:eastAsiaTheme="minorEastAsia" w:cs="Times New Roman"/>
            <w:noProof/>
            <w:lang w:eastAsia="cs-CZ"/>
          </w:rPr>
          <w:tab/>
        </w:r>
        <w:r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Úvod</w:t>
        </w:r>
        <w:r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_Toc445447258 \h </w:instrText>
        </w:r>
        <w:r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2</w:t>
        </w:r>
        <w:r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B93E4D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hyperlink w:anchor="_Toc445447259" w:history="1">
        <w:r w:rsidR="00DD6258" w:rsidRPr="00B10323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eastAsia="cs-CZ"/>
          </w:rPr>
          <w:t>2.</w:t>
        </w:r>
        <w:r w:rsidR="00DD6258" w:rsidRPr="00B10323">
          <w:rPr>
            <w:rFonts w:eastAsiaTheme="minorEastAsia" w:cs="Times New Roman"/>
            <w:noProof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eastAsia="cs-CZ"/>
          </w:rPr>
          <w:t>Předmět kontroly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_Toc445447259 \h </w:instrTex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5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B93E4D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hyperlink w:anchor="_Toc445447260" w:history="1"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3.</w:t>
        </w:r>
        <w:r w:rsidR="00DD6258" w:rsidRPr="00B10323">
          <w:rPr>
            <w:rFonts w:eastAsiaTheme="minorEastAsia" w:cs="Times New Roman"/>
            <w:noProof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Výběr dodavatele, zadávací a výběrová řízení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_Toc445447260 \h </w:instrTex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6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B93E4D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hyperlink w:anchor="_Toc445447261" w:history="1"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4.</w:t>
        </w:r>
        <w:r w:rsidR="00DD6258" w:rsidRPr="00B10323">
          <w:rPr>
            <w:rFonts w:eastAsiaTheme="minorEastAsia" w:cs="Times New Roman"/>
            <w:noProof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Způsobilost výdajů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_Toc445447261 \h </w:instrTex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11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B93E4D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hyperlink w:anchor="_Toc445447285" w:history="1"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5.</w:t>
        </w:r>
        <w:r w:rsidR="00DD6258" w:rsidRPr="00B10323">
          <w:rPr>
            <w:rFonts w:eastAsiaTheme="minorEastAsia" w:cs="Times New Roman"/>
            <w:noProof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Publicita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_Toc445447285 \h </w:instrTex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15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B93E4D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hyperlink w:anchor="_Toc445447286" w:history="1"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6.</w:t>
        </w:r>
        <w:r w:rsidR="00DD6258" w:rsidRPr="00B10323">
          <w:rPr>
            <w:rFonts w:eastAsiaTheme="minorEastAsia" w:cs="Times New Roman"/>
            <w:noProof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Postup předkládání zprávy o průběhu projektu a výdajů ke kontrole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_Toc445447286 \h </w:instrTex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18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B93E4D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hyperlink w:anchor="_Toc445447287" w:history="1"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7.</w:t>
        </w:r>
        <w:r w:rsidR="00DD6258" w:rsidRPr="00B10323">
          <w:rPr>
            <w:rFonts w:eastAsiaTheme="minorEastAsia" w:cs="Times New Roman"/>
            <w:noProof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Účetnictví a povinnost archivace účetních dokladů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_Toc445447287 \h </w:instrTex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22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B93E4D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hyperlink w:anchor="_Toc445447288" w:history="1"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pl-PL" w:eastAsia="cs-CZ"/>
          </w:rPr>
          <w:t>8.</w:t>
        </w:r>
        <w:r w:rsidR="00DD6258" w:rsidRPr="00B10323">
          <w:rPr>
            <w:rFonts w:eastAsiaTheme="minorEastAsia" w:cs="Times New Roman"/>
            <w:noProof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pl-PL" w:eastAsia="cs-CZ"/>
          </w:rPr>
          <w:t>Odvolání se proti výsledku kontroly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_Toc445447288 \h </w:instrTex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24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B93E4D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hyperlink w:anchor="_Toc445447290" w:history="1"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pl-PL" w:eastAsia="cs-CZ"/>
          </w:rPr>
          <w:t>9.</w:t>
        </w:r>
        <w:r w:rsidR="00DD6258" w:rsidRPr="00B10323">
          <w:rPr>
            <w:rFonts w:eastAsiaTheme="minorEastAsia" w:cs="Times New Roman"/>
            <w:noProof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pl-PL" w:eastAsia="cs-CZ"/>
          </w:rPr>
          <w:t>Seznam příloh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_Toc445447290 \h </w:instrTex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24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B93E4D" w:rsidP="0020456C">
      <w:pPr>
        <w:tabs>
          <w:tab w:val="left" w:pos="426"/>
          <w:tab w:val="right" w:leader="dot" w:pos="9469"/>
        </w:tabs>
        <w:spacing w:after="0" w:line="240" w:lineRule="auto"/>
        <w:rPr>
          <w:rFonts w:eastAsiaTheme="minorEastAsia" w:cs="Times New Roman"/>
          <w:noProof/>
          <w:lang w:eastAsia="cs-CZ"/>
        </w:rPr>
      </w:pPr>
      <w:hyperlink w:anchor="_Toc445447291" w:history="1"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pl-PL" w:eastAsia="cs-CZ"/>
          </w:rPr>
          <w:t>10.</w:t>
        </w:r>
        <w:r w:rsidR="00DD6258" w:rsidRPr="00B10323">
          <w:rPr>
            <w:rFonts w:eastAsiaTheme="minorEastAsia" w:cs="Times New Roman"/>
            <w:noProof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pl-PL" w:eastAsia="cs-CZ"/>
          </w:rPr>
          <w:t>Seznam revizí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ab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begin"/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instrText xml:space="preserve"> PAGEREF _Toc445447291 \h </w:instrTex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separate"/>
        </w:r>
        <w:r w:rsidR="00C167AB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t>25</w:t>
        </w:r>
        <w:r w:rsidR="00DD6258" w:rsidRPr="00B1032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cs-CZ"/>
          </w:rPr>
          <w:fldChar w:fldCharType="end"/>
        </w:r>
      </w:hyperlink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Zkratky: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 –  program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Nadnárodní spolupráce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CENTRAL EUROPE</w:t>
      </w:r>
    </w:p>
    <w:p w:rsidR="00644F4C" w:rsidRPr="00B10323" w:rsidRDefault="00644F4C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</w:t>
      </w:r>
      <w:r w:rsidR="00893BA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/Kontrolor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Centrum pro regionální rozvoj České republiky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DANUBE – program Nadnárodní spolupráce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DANUBE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EFRR/ERDF – Evropský fond pro regionální rozvoj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 – program Meziregionální spolupráce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EUROPE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LP- vedoucí partner (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Partner)</w:t>
      </w:r>
    </w:p>
    <w:p w:rsidR="00644F4C" w:rsidRPr="00B10323" w:rsidRDefault="00644F4C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MMR – Ministerstvo pro místní rozvoj</w:t>
      </w:r>
      <w:r w:rsidR="005C0C9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4E6B" w:rsidRPr="00B10323" w:rsidRDefault="00004E6B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MV – monitorovací výbor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PP – projektový partner</w:t>
      </w:r>
    </w:p>
    <w:p w:rsidR="00733506" w:rsidRPr="00B10323" w:rsidRDefault="00733506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ŘO – řídící orgán</w:t>
      </w:r>
    </w:p>
    <w:p w:rsidR="00E55137" w:rsidRPr="00B10323" w:rsidRDefault="00E55137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WP –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(pracovní balíček)</w:t>
      </w:r>
    </w:p>
    <w:p w:rsidR="00004E6B" w:rsidRPr="00B10323" w:rsidRDefault="00004E6B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ZŘ – zadávací řízení</w:t>
      </w:r>
    </w:p>
    <w:p w:rsidR="00733506" w:rsidRPr="00B10323" w:rsidRDefault="00733506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Toc445447258"/>
      <w:r w:rsidRPr="00B1032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>Úvod</w:t>
      </w:r>
      <w:bookmarkEnd w:id="0"/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 pro regionální rozvoj České Republiky (</w:t>
      </w:r>
      <w:r w:rsidR="00837E8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</w:t>
      </w:r>
      <w:r w:rsidR="00893BA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/Kontrolor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 je Ministerstvem pro místní rozvoj (</w:t>
      </w:r>
      <w:r w:rsidR="006C557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národním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koordinátorem) pověřeno výkonem tzv. kontroly u CZ partnerů dle čl. 23 Nařízení EP a Rady (EU) č. 1299/2013 pro programy CENTRAL, DANUBE a IE.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Systém kontroly je v České republice centralizovaný,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provádění kontroly Centrem je pro projektové (</w:t>
      </w:r>
      <w:proofErr w:type="gramStart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PP) i  vedoucí</w:t>
      </w:r>
      <w:proofErr w:type="gramEnd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(LP) partnery bezplatné. Kontaktními místy </w:t>
      </w:r>
      <w:r w:rsidR="00837E80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Centra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příjemce jsou tato oddělení pro NUTS II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Centra pro regionální rozvoj České republiky pro NUTS II Severovýchod se sídlem v Hradci Králové (pro partnery z Čech)</w:t>
      </w:r>
    </w:p>
    <w:p w:rsidR="004C0D52" w:rsidRPr="00B10323" w:rsidRDefault="004C0D52" w:rsidP="00532416">
      <w:pPr>
        <w:spacing w:after="160" w:line="259" w:lineRule="auto"/>
        <w:ind w:left="780"/>
        <w:contextualSpacing/>
        <w:jc w:val="both"/>
        <w:rPr>
          <w:rFonts w:eastAsia="Times New Roman" w:cs="Times New Roman"/>
        </w:rPr>
      </w:pPr>
    </w:p>
    <w:p w:rsidR="00DD6258" w:rsidRPr="00B10323" w:rsidRDefault="00DD6258" w:rsidP="0020456C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Centra pro regionální rozvoj České republiky pro NUTS II </w:t>
      </w:r>
      <w:proofErr w:type="spellStart"/>
      <w:r w:rsidR="0053241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Moravskoslezsko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sídlem v Ostravě (pro partnery z Moravy a Slezska) </w:t>
      </w:r>
    </w:p>
    <w:p w:rsidR="00D7368C" w:rsidRPr="00B10323" w:rsidRDefault="00D7368C" w:rsidP="0020456C">
      <w:pPr>
        <w:spacing w:after="160" w:line="259" w:lineRule="auto"/>
        <w:ind w:left="780"/>
        <w:contextualSpacing/>
        <w:jc w:val="both"/>
        <w:rPr>
          <w:rFonts w:eastAsia="Times New Roman" w:cs="Times New Roman"/>
        </w:rPr>
      </w:pPr>
    </w:p>
    <w:p w:rsidR="00DD6258" w:rsidRPr="00B10323" w:rsidRDefault="00DD6258" w:rsidP="00D7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Kontakty na jednotlivé poboč</w:t>
      </w:r>
      <w:r w:rsidR="003C398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ky a kontrolory jsou uvedeny v </w:t>
      </w:r>
      <w:r w:rsidR="0018560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říloze č. 3.</w:t>
      </w:r>
    </w:p>
    <w:p w:rsidR="00DD6258" w:rsidRPr="00B10323" w:rsidRDefault="00DD6258" w:rsidP="00D7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D7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Kontrola bude prováděna zpravidla </w:t>
      </w:r>
      <w:r w:rsidR="0000170E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 každé </w:t>
      </w:r>
      <w:proofErr w:type="spellStart"/>
      <w:r w:rsidR="0000170E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reportovací</w:t>
      </w:r>
      <w:proofErr w:type="spellEnd"/>
      <w:r w:rsidR="0000170E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období, </w:t>
      </w:r>
      <w:proofErr w:type="gramStart"/>
      <w:r w:rsidR="0000170E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tedy</w:t>
      </w:r>
      <w:r w:rsidR="00532416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0170E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6-ti</w:t>
      </w:r>
      <w:proofErr w:type="gramEnd"/>
      <w:r w:rsidR="0000170E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měsíčních cyklech.</w:t>
      </w:r>
      <w:r w:rsidR="0000170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období se určují v závislosti na datu schválení projektu monitorovacím výborem</w:t>
      </w:r>
      <w:r w:rsidR="00004E6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MV)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příslušného programu. V souladu s požadavky jednotlivých programů na podávání zpráv o průběhu projektu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tzv.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</w:t>
      </w:r>
      <w:r w:rsidR="0073350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3350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o průběhu projektu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periods</w:t>
      </w:r>
      <w:proofErr w:type="spellEnd"/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(Finanční zpráva)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 ve smlouvě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splněna i další pravidla (týkající se objemu nárokovaných výdajů)</w:t>
      </w:r>
      <w:r w:rsidR="00837E8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Tyto Pokyny nemají za cíl opakovat požadavky uvedené v dokumentaci jednotlivých programů, ale řeší oblasti, které nejsou v </w:t>
      </w:r>
      <w:r w:rsidR="007D17D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programových dokumentech blíže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popsány. Pokyny </w:t>
      </w:r>
      <w:r w:rsidR="009D016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určují </w:t>
      </w:r>
      <w:r w:rsidR="009D016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vycházející z národních specifik. Kromě Pokynů a jejich příloh je nutné seznámit</w:t>
      </w:r>
      <w:r w:rsidR="0061351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77B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 těmito základními dokumenty: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EUROPE: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9" w:history="1"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Programový manuál</w:t>
        </w:r>
      </w:hyperlink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(zvláště část 6 a 7)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CENTRAL EUROPE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0" w:history="1">
        <w:proofErr w:type="spellStart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  <w:r w:rsidR="00493276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hyperlink>
      <w:r w:rsidR="0049327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history="1">
        <w:proofErr w:type="spellStart"/>
        <w:r w:rsidR="00493276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Application</w:t>
        </w:r>
        <w:proofErr w:type="spellEnd"/>
        <w:r w:rsidR="00493276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493276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</w:p>
    <w:p w:rsidR="00DD6258" w:rsidRPr="00B10323" w:rsidRDefault="00DD6258" w:rsidP="0020456C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DANUBE: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2" w:history="1">
        <w:proofErr w:type="spellStart"/>
        <w:r w:rsidR="006D434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="006D434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D9539F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  <w:r w:rsidR="00D9539F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2C4578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Danube </w:t>
      </w:r>
      <w:proofErr w:type="spellStart"/>
      <w:r w:rsidR="00D9539F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="00D9539F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9539F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programech CENTRAL, DANUBE a IE platí pravidlo tzv. zpětného financování – ex-post. To znamená, že dotace se proplácí za výdaje, které byly příjemci již vynaloženy a následně </w:t>
      </w:r>
      <w:r w:rsidR="006D434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ontrolorem zkontrolovány. Zálohové platby z prostředků strukturálních fondů ani státního rozpočtu ČR se v programovém období 2014-2020 neposkytují. Zároveň se českým příjemcům neposkytuje spolufinancování projektu ze státního rozpočtu ČR.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Důležité upozornění: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není povinno vyzývat české partnery </w:t>
      </w:r>
      <w:r w:rsidR="006D434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apojené do těchto programů k předložení dokladů ke kontrole. Ukončení kontroly je garantováno do 60 kalendářních dnů od předložení </w:t>
      </w:r>
      <w:r w:rsidRPr="00B1032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všech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podkladů a podpůrných dokumentů vztahujících se k předmětné kontrol</w:t>
      </w:r>
      <w:r w:rsidR="004C64C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</w:t>
      </w:r>
      <w:r w:rsidR="003D4DE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4DE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povinnost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předložit všechny dokumenty a podklady ke kontrole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15 dní od konce každého </w:t>
      </w:r>
      <w:proofErr w:type="spellStart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reportovacího</w:t>
      </w:r>
      <w:proofErr w:type="spellEnd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období,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aby LP mohl předložit souhrnnou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žádost o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platbu za celý projekt do 3 měsíců od konce každého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3D4DE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nepředložení</w:t>
      </w:r>
      <w:r w:rsidR="003E5BF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</w:t>
      </w:r>
      <w:r w:rsidR="003D4DE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podkladů a dokumentů ke kontrole ze strany příjemců do 15 dní od konce </w:t>
      </w:r>
      <w:proofErr w:type="spellStart"/>
      <w:r w:rsidR="003D4DE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3D4DE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  <w:r w:rsidR="005538B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D4DE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neručí</w:t>
      </w:r>
      <w:r w:rsidR="005538B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Centrum, že bude kontrola ukončena do 3 měsíců od konce </w:t>
      </w:r>
      <w:proofErr w:type="spellStart"/>
      <w:r w:rsidR="005538B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5538B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  <w:r w:rsidR="00212CE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D026D" w:rsidRPr="00B10323" w:rsidRDefault="00AD026D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026D" w:rsidRPr="00B10323" w:rsidRDefault="00AD026D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 programu CENTRAL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LP povinnost předložit celkovou zprávu za projekt (Joint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Report) do 2 měsíců od konce jednotlivého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</w:t>
      </w:r>
      <w:r w:rsidR="002E7A1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však nejsou dotčeny lhůty uvedené výše pro CZ partnery. LP může předložit „neúplnou Joint </w:t>
      </w:r>
      <w:proofErr w:type="spellStart"/>
      <w:r w:rsidR="002E7A1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="002E7A1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Report“, která může být v rámci lhůt uvedených výše doplněna o podklady od CZ partnerů.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Čeští partneři předkládají výdaje ke kontrole/certifikaci zpravidla za každé monitorovací období</w:t>
      </w:r>
      <w:r w:rsidR="006055A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6055A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tedy v 6-ti</w:t>
      </w:r>
      <w:proofErr w:type="gramEnd"/>
      <w:r w:rsidR="006055A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měsíčních cyklech,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(uvedená v 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 to za předpokladu, že </w:t>
      </w:r>
      <w:r w:rsidR="00CC6C4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byly vynaloženy a za podmínky, že: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750B6F" w:rsidP="0020456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uvedené v příslušné 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inanční zprávě budou &gt; 7.500 € pro CENTRAL;</w:t>
      </w:r>
    </w:p>
    <w:p w:rsidR="00DD6258" w:rsidRPr="00B10323" w:rsidRDefault="00750B6F" w:rsidP="0020456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uvedené v příslušné 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inanční zprávě budou &gt; 7.500 € pro DANUBE;</w:t>
      </w:r>
    </w:p>
    <w:p w:rsidR="00DD6258" w:rsidRPr="00B10323" w:rsidRDefault="00750B6F" w:rsidP="0020456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nárokované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uvedené v příslušné 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inanční zprávě budou &gt; </w:t>
      </w:r>
      <w:r w:rsidR="00267CA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67CA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00 € pro IE.</w:t>
      </w:r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EC38B5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 odůvodněných případech Centrum</w:t>
      </w:r>
      <w:r w:rsidR="004F6DA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respektive příslušný kontrolor,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umožní partnerovi předložit </w:t>
      </w:r>
      <w:r w:rsidR="00A651B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kontrole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 výdaje, které jsou nižší než uvedené limity.</w:t>
      </w:r>
      <w:r w:rsidR="00C35DD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ohledu na výše uvedené finanční limity mají partneři povinnost předložit výdaje ke kontrole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minimálně jednou do roka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 Tím není dotčena povinnost</w:t>
      </w:r>
      <w:r w:rsidR="00C35DD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partnerů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předložit 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právu o průběhu projektu</w:t>
      </w:r>
      <w:r w:rsidR="00222F2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(Partner </w:t>
      </w:r>
      <w:proofErr w:type="spellStart"/>
      <w:r w:rsidR="00222F2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="00222F2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</w:t>
      </w:r>
      <w:r w:rsidR="009E36D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část popisující aktivity</w:t>
      </w:r>
      <w:r w:rsidR="00222F2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každém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 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_Toc425404950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1.1 Právní rámec</w:t>
      </w:r>
      <w:bookmarkEnd w:id="1"/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finančního řízení a v rámci kontroly je třeba postupovat v souladu s nařízeními EU, a to zejména s:</w:t>
      </w:r>
    </w:p>
    <w:p w:rsidR="00DD6258" w:rsidRPr="00B10323" w:rsidRDefault="00DD6258" w:rsidP="0020456C">
      <w:pPr>
        <w:numPr>
          <w:ilvl w:val="0"/>
          <w:numId w:val="14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(EU, Euratom) č. 966/2012 Evropského parlamentu a Rady (finanční nařízení) o finančních pravidlech platných pro souhrnný rozpočet Unie a zrušující nařízení Rady (ES, Euratom) č. 1605/2002;</w:t>
      </w:r>
    </w:p>
    <w:p w:rsidR="00DD6258" w:rsidRPr="00B10323" w:rsidRDefault="00DD6258" w:rsidP="0020456C">
      <w:pPr>
        <w:numPr>
          <w:ilvl w:val="0"/>
          <w:numId w:val="14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Komise v přenesené pravomoci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(EU) č 1268/2012 o prováděcích pravidlech k nařízení Evropského parlamentu a Rady (EU, Euratom) č. 966/2012, platná pro finanční pravidla pro souhrnný rozpočet Unie.</w:t>
      </w:r>
    </w:p>
    <w:p w:rsidR="00DD6258" w:rsidRPr="00B10323" w:rsidRDefault="00DD6258" w:rsidP="0020456C">
      <w:pPr>
        <w:spacing w:before="120"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 ohledem na skutečnost, že jde o programy spolufinancované z ERDF, platí pro ně také všechna obecná pravidla týkající se způsobilosti výdajů pro strukturální fondy: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Evropského parlamentu a Rady (EU) č. 1299/2013 ze dne 17. prosince 2013 o zvláštních ustanoveních týkajících se podpory z Evropského fondu pro regionální rozvoj pro cíl Evropská územní spolupráce (dále také „nařízení o EÚS“)</w:t>
      </w:r>
      <w:r w:rsidR="00E87F7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regionální rozvoj, Evropském sociálním fondu, Fondu soudržnosti a Evropském námořním a rybářském fondu a o zrušení nařízení Rady (ES) č. 1083/2006 (dále také „obecné nařízení“);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Evropského parlamentu a Rady (EU) č. 1301/2013 o Evropském fondu pro regionální rozvoj ze dne 17. prosince 2013, o zvláštních ustanoveních týkajících se cíle Investice pro růst a zaměstnanost a o zrušení nařízení (ES) č. 1080/2006 (dále také „nařízení o ERDF“);</w:t>
      </w:r>
    </w:p>
    <w:p w:rsidR="00DD6258" w:rsidRPr="00B10323" w:rsidRDefault="00DD6258" w:rsidP="0020456C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DD6258" w:rsidRPr="00B10323" w:rsidRDefault="00DD6258" w:rsidP="0020456C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Komise v přenesené pravomoci (EU) č. 481/2014 ze dne 4. března 2014, kterým se doplňuje nařízení Evropského parlamentu a Rady (EU) č. 1299/2013, pokud jde o zvláštní pravidla způsobilosti výdajů pro programy spolupráce;</w:t>
      </w:r>
    </w:p>
    <w:p w:rsidR="00DD6258" w:rsidRPr="00B10323" w:rsidRDefault="00DD6258" w:rsidP="0020456C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Komise v přenesené pravomoci (EU) č. 480/2014 ze dne 3. března 2014, kterým se doplňuje nařízení Evropského parlamentu a Rady (EU) č. 1303/2013 o společných ustanoveních o Evropském fondu pro regionální rozvoj, Evropském sociálním fondu, Fondu soudržnosti, Evropském zemědělském fondu pro rozvoj venkova a Evropském námořním a rybářském fondu a o obecných ustanoveních o Evropském fondu pro regionální rozvoj, Evropském sociálním fondu, Fondu soudržnosti a Evropském námořním a rybářském fondu;</w:t>
      </w:r>
    </w:p>
    <w:p w:rsidR="00DD6258" w:rsidRPr="00B10323" w:rsidRDefault="00DD6258" w:rsidP="0020456C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nařízení a směrnice platné pro implementaci projektů spolufinancovaných ERDF.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E87F70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postupuje při kontrole v souladu s: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006EC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programovou dokumentací pro jednotlivé programy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uveřejněnou na stránkách příslušného programu (zvláště Programme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pro 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6605B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6605B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="006605B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5B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CENTRAL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2C457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="002C457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457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2C457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C457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="002C457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457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006EC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Danube </w:t>
      </w:r>
      <w:proofErr w:type="spellStart"/>
      <w:r w:rsidR="00006EC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="00006EC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6EC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6EC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DANUBE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DD6258" w:rsidRPr="00B10323" w:rsidRDefault="00DD6258" w:rsidP="005B3F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národní legislativou a metodikami -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Metodickým pokynem pro způsobilost výdajů a jejich vykazování v programovém období 2014-2020 (</w:t>
      </w:r>
      <w:hyperlink r:id="rId13" w:history="1">
        <w:r w:rsidR="00CF7FCD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http://www.dotaceeu.cz/getmedia/7be05f88-01dc-46bc-96fd-fee5b45aac41/MP_zpusobile-vydaje-v4_cista.pdf?ext=.pdf</w:t>
        </w:r>
      </w:hyperlink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F7FC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DD6258" w:rsidRPr="00B10323" w:rsidRDefault="00DD6258" w:rsidP="002045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Pokyny pro příjemce</w:t>
      </w:r>
      <w:r w:rsidR="00CF7FC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příloh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978E5" w:rsidRPr="00B10323" w:rsidRDefault="00E978E5" w:rsidP="002045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Náležitosti dokladování</w:t>
      </w:r>
      <w:r w:rsidR="00D853F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příloh.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fr-FR"/>
        </w:rPr>
      </w:pPr>
      <w:bookmarkStart w:id="2" w:name="_Toc425404951"/>
      <w:r w:rsidRPr="00B103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fr-FR"/>
        </w:rPr>
        <w:t>1.2. Hierarchie pravidel</w:t>
      </w:r>
      <w:bookmarkEnd w:id="2"/>
      <w:r w:rsidRPr="00B103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fr-FR"/>
        </w:rPr>
        <w:t xml:space="preserve"> způsobilosti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D6258" w:rsidRPr="00B10323" w:rsidRDefault="00DD6258" w:rsidP="0020456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 projekty financované v rámci cíle Evropské územní spolupráce Politiky soudržnosti 2014-2020 je uvedena jasná definice hierarchie pravidel způsobilosti v článku 18 nařízení (EU) č. 1299/2013. Hierarchie pravidel způsobilosti je definována takto:</w:t>
      </w:r>
    </w:p>
    <w:p w:rsidR="00DD6258" w:rsidRPr="00B10323" w:rsidRDefault="00DD6258" w:rsidP="00532416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EU: zahrnují příslušná ustanovení evropského práva</w:t>
      </w:r>
      <w:r w:rsidR="002B729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 ty, jež jsou uvedena v kapitole 1.1 Právní rámec;</w:t>
      </w:r>
    </w:p>
    <w:p w:rsidR="00DD6258" w:rsidRPr="00B10323" w:rsidRDefault="00DD6258" w:rsidP="0020456C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Programová pravidla: pravidla způsobilosti výdajů</w:t>
      </w:r>
      <w:r w:rsidR="002B729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definovaná v dokumentech jednotlivých programů a schválená MV daného programu; </w:t>
      </w:r>
    </w:p>
    <w:p w:rsidR="00DD6258" w:rsidRPr="00B10323" w:rsidRDefault="00DD6258" w:rsidP="0020456C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Vnitrostátní právo (včetně institucionálního) a/nebo relevantní “pravidla”: vztahuje se jen na záležitosti, které nezahrnují pravidla stanovená ve výše uvedených programových pravidlech a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pravidlech EU. Jedná se především o ustanovení uvedených v těchto Pokynech, včetně jejich příloh a metodické pokyny vydané Národním orgánem pro koordinaci (dále jen „NOK“).</w:t>
      </w:r>
    </w:p>
    <w:p w:rsidR="00DD6258" w:rsidRPr="00B10323" w:rsidRDefault="00DD6258" w:rsidP="0020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právní předpisy je třeba používat v platném znění, jednotlivé novelizace zde nebudou uváděny.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6DA1" w:rsidRPr="00B10323" w:rsidRDefault="004F6DA1" w:rsidP="004F6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fr-FR"/>
        </w:rPr>
        <w:t>Hierarchie všech ostatních pravidel jiných než jsou pravidla způsobilosti, např. pravidel týkajících se veřejných zakázek, je stanovena v tomto pořadí (dle nadřazenosti): 1. Pravidla EU, 2. Vnitrostátní právo, 3. Programová pravidla.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7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3" w:name="_Toc445447259"/>
      <w:r w:rsidRPr="00B1032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Předmět kontroly</w:t>
      </w:r>
      <w:bookmarkEnd w:id="3"/>
    </w:p>
    <w:p w:rsidR="00DD6258" w:rsidRPr="00B10323" w:rsidRDefault="00DD6258" w:rsidP="002045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DD6258" w:rsidRPr="00B10323" w:rsidRDefault="00DD6258" w:rsidP="0020456C">
      <w:pPr>
        <w:keepNext/>
        <w:keepLines/>
        <w:numPr>
          <w:ilvl w:val="1"/>
          <w:numId w:val="32"/>
        </w:numPr>
        <w:spacing w:before="40" w:after="0" w:line="259" w:lineRule="auto"/>
        <w:outlineLvl w:val="1"/>
        <w:rPr>
          <w:rFonts w:asciiTheme="majorHAnsi" w:eastAsia="Times New Roman" w:hAnsiTheme="majorHAnsi" w:cs="Arial"/>
          <w:b/>
          <w:bCs/>
          <w:color w:val="365F91" w:themeColor="accent1" w:themeShade="BF"/>
          <w:sz w:val="26"/>
          <w:szCs w:val="26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Předmětem kontroly je zejména: </w:t>
      </w:r>
    </w:p>
    <w:p w:rsidR="00DD6258" w:rsidRPr="00B10323" w:rsidRDefault="00DD6258" w:rsidP="0020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způsobilost žadatele/příjemce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 zda jsou údaje uvedené o žadateli na </w:t>
      </w:r>
      <w:r w:rsidR="00004E6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předložených dokladech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faktuře správné a zda je tento subjekt oprávněn čerpat prostředky z </w:t>
      </w:r>
      <w:r w:rsidR="00004E6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realizaci projektu - příjemce musí být uveden v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D6258" w:rsidRPr="00B10323" w:rsidRDefault="00DD6258" w:rsidP="0020456C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zda realizace projektu popsaná ve zprávě o průběhu projektu probíhá v souladu s podmínkami příslušné programové dokumentace a</w:t>
      </w:r>
      <w:r w:rsidRPr="00B1032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Subsidy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Contract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Application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Form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Partnership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Agreement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, Pokynů aj</w:t>
      </w:r>
      <w:r w:rsidR="00CE45E8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B1032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DD6258" w:rsidRPr="00B10323" w:rsidRDefault="00DD6258" w:rsidP="002045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dodržení pravidel pro zadávání veřejných zakázek: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13</w:t>
      </w:r>
      <w:r w:rsidR="005B279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5B279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6 Sb., o</w:t>
      </w:r>
      <w:r w:rsidR="005B279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zadávání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veřejných zakáz</w:t>
      </w:r>
      <w:r w:rsidR="005B279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 w:rsidR="00222F2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zakázky vyhlášené po </w:t>
      </w:r>
      <w:proofErr w:type="gramStart"/>
      <w:r w:rsidR="00222F2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30.9. 2016</w:t>
      </w:r>
      <w:proofErr w:type="gramEnd"/>
      <w:r w:rsidR="00222F2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zákon č. 137/2006 Sb., o veřejných zakázkách vyhlášené do 30.9. 2016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Metodický pokyn pro oblast zadávání zakázek pro programové období 2014-2020 určený příjemcům podpory, kteří při realizaci projektů spolufinancovaných z Evropských strukturálních a investičních fondů v programovém období 2014-2020 zadávají zakázky</w:t>
      </w:r>
      <w:r w:rsidR="006605B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142A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605B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říloha č. 1)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ustanovení uvedená v těchto Pokynech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dodržení pravidel publicity: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článků 115 Nařízení Evropského parlamentu a Rady (EU) č. 1303/2013 a přílohou XII tohoto nařízení, Prováděcího nařízení Komise (EU) č. 821/2014 a programové dokumentace</w:t>
      </w:r>
    </w:p>
    <w:p w:rsidR="00DD6258" w:rsidRPr="00B10323" w:rsidRDefault="00DD6258" w:rsidP="0020456C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časová a věcná způsobilost výdajů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 s legislativou EU, programovou dokumentací a národní legislativou;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"/>
      </w:r>
    </w:p>
    <w:p w:rsidR="00DD6258" w:rsidRPr="00B10323" w:rsidRDefault="00DD6258" w:rsidP="0020456C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přiměřenost (výdaje musí odpovídat cenám v místě a čase obvyklém) a musí být vynaloženy v souladu s principy hospodárnosti, účelnosti, efektivnosti);</w:t>
      </w:r>
    </w:p>
    <w:p w:rsidR="00DD6258" w:rsidRPr="00B10323" w:rsidRDefault="00DD6258" w:rsidP="0020456C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zda deklarované výdaje byly vynaloženy v souvislosti s projektem a aktivitami uvedené v žádosti o projekt (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), v souladu s platným rozpočtem projektu a se smlouvou/partnerskou dohodou (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DD6258" w:rsidRPr="00B10323" w:rsidRDefault="00DD6258" w:rsidP="0020456C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musí být identifikovatelné (originály dokladů projektového partnera musí být řádně označené číslem, akronymem/názvem projektu a názvem programu), prokazatelné, doložitelné pot</w:t>
      </w:r>
      <w:r w:rsidR="0029695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vrzenými účetními doklady, </w:t>
      </w:r>
      <w:proofErr w:type="gramStart"/>
      <w:r w:rsidR="0029695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tzn.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musí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definitivní, zachyceny v účetnictví partnera odděleně pro projekt, uhrazeny;  </w:t>
      </w:r>
    </w:p>
    <w:p w:rsidR="00DD6258" w:rsidRPr="00B10323" w:rsidRDefault="00DD6258" w:rsidP="0020456C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spolufinancované produkty a služby byly dodány, a že výdaje, jež příjemce vykazuje, byly skutečně zaplaceny (dle dodacích listů, ukázek výstupů, prezenčních listin atd.).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3"/>
      </w:r>
    </w:p>
    <w:p w:rsidR="00DD6258" w:rsidRPr="00B10323" w:rsidRDefault="00AB623E" w:rsidP="0020456C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dodržení</w:t>
      </w:r>
      <w:r w:rsidR="00DD6258" w:rsidRPr="00B103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 podmín</w:t>
      </w:r>
      <w:r w:rsidRPr="00B103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e</w:t>
      </w:r>
      <w:r w:rsidR="00DD6258" w:rsidRPr="00B103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k veřejné podpory, ochrany životního prostředí a rovných příležitostí a nediskriminace</w:t>
      </w:r>
      <w:r w:rsidR="00EC337A" w:rsidRPr="00B103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, tak jak je uvedeno ve schválené žádosti</w:t>
      </w:r>
    </w:p>
    <w:p w:rsidR="00DD6258" w:rsidRPr="00B10323" w:rsidRDefault="00DD6258" w:rsidP="002045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1"/>
          <w:numId w:val="32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Financování z více zdrojů</w:t>
      </w:r>
    </w:p>
    <w:p w:rsidR="00EC52C9" w:rsidRPr="00B10323" w:rsidRDefault="00EC52C9" w:rsidP="0020456C">
      <w:pPr>
        <w:spacing w:after="12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6258" w:rsidRPr="00B10323" w:rsidRDefault="00DD6258" w:rsidP="00D722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Jakýkoliv výdaj, který byl již </w:t>
      </w: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12747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100% uhrazen z jiných veřejných zdrojů (fondy EU, národní nebo krajské dotace, případně jejich kombinace…atd.) je považován za nezpůsobilý. </w:t>
      </w:r>
    </w:p>
    <w:p w:rsidR="00DD6258" w:rsidRPr="00B10323" w:rsidRDefault="00DD6258" w:rsidP="00D722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z jiných národních/krajských zdrojů, které překračuje míru spolufinancování partnera (15%</w:t>
      </w:r>
      <w:r w:rsidR="0050537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0537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25% z daného výdaje)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4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povede ke snížení příspěvku z </w:t>
      </w:r>
      <w:r w:rsidRPr="00B10323" w:rsidDel="00785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ERDF o částku převyšující podíl příspěvku příjemce na konkrétním výdaji.</w:t>
      </w:r>
    </w:p>
    <w:p w:rsidR="00DD6258" w:rsidRPr="00B10323" w:rsidRDefault="00DD6258" w:rsidP="00D722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účelem předcházet dvojímu financování jednotlivého výdaje je povinností projektového partnera označit originály účetních dokladů týkající se projektu:</w:t>
      </w:r>
    </w:p>
    <w:p w:rsidR="00DD6258" w:rsidRPr="00B10323" w:rsidRDefault="00DD6258" w:rsidP="00D7228E">
      <w:pPr>
        <w:numPr>
          <w:ilvl w:val="0"/>
          <w:numId w:val="43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razítkem s</w:t>
      </w:r>
      <w:r w:rsidR="004C0D5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číslem</w:t>
      </w:r>
      <w:r w:rsidR="004C0D5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numPr>
          <w:ilvl w:val="0"/>
          <w:numId w:val="43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názvem (akronymem) projektu a </w:t>
      </w:r>
    </w:p>
    <w:p w:rsidR="00DD6258" w:rsidRPr="00B10323" w:rsidRDefault="00DD6258" w:rsidP="0020456C">
      <w:pPr>
        <w:numPr>
          <w:ilvl w:val="0"/>
          <w:numId w:val="43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názvem programu </w:t>
      </w:r>
    </w:p>
    <w:p w:rsidR="00EC52C9" w:rsidRPr="00B10323" w:rsidRDefault="00EC52C9" w:rsidP="0020456C">
      <w:pPr>
        <w:spacing w:after="12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D722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body platí současně – označení dokladů musí splňovat všechny tři náležitosti. Vazbou na projekt musí být označeny všechny originály dokladů (přičemž splnění tohoto požadavku bude kromě jiného předmětem kontroly na místě). V případě účetních dokladů generovaných elektronicky (neexistence originálů), je nutné zajistit, aby výše uvedené požadavky na vazbu k projektu a programu byly již obsaženy v elektronické verz</w:t>
      </w:r>
      <w:r w:rsidR="00EC52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dokladu. </w:t>
      </w:r>
    </w:p>
    <w:p w:rsidR="00DD6258" w:rsidRPr="00B10323" w:rsidRDefault="00DD6258" w:rsidP="00D722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Podle článku 140 (3) </w:t>
      </w:r>
      <w:r w:rsidR="008235BF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</w:t>
      </w: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becného nařízení se doklady uchovávají buď ve formě originálů nebo ověřených kopií originálů na běžně akceptovaných datových nosičích včetně elektronických verzí originálních dokladů či dokladů, které existují pouze v elektronické verzi.</w:t>
      </w:r>
    </w:p>
    <w:p w:rsidR="00DD6258" w:rsidRPr="00B10323" w:rsidRDefault="00DD6258" w:rsidP="0020456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případě, že ta</w:t>
      </w:r>
      <w:r w:rsidR="00D9016C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</w:t>
      </w: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</w:t>
      </w:r>
      <w:r w:rsidR="00D9016C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označená</w:t>
      </w: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dokume</w:t>
      </w:r>
      <w:r w:rsidR="00287378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ntace není k dispozici, mohou být Kontrolorům předloženy</w:t>
      </w: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originální faktury</w:t>
      </w:r>
      <w:r w:rsidR="00287378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které </w:t>
      </w: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musí být zneplatněny povinnou informací.</w:t>
      </w:r>
      <w:r w:rsidR="00287378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Tím ovšem není partner zbaven</w:t>
      </w:r>
      <w:r w:rsidR="00234901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povinnost</w:t>
      </w:r>
      <w:r w:rsidR="00287378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</w:t>
      </w:r>
      <w:r w:rsidR="00234901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vést kompletní složku projektu obsahující všechny originály účetních dokladů spojené s</w:t>
      </w:r>
      <w:r w:rsidR="00C17BCE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234901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projektem</w:t>
      </w:r>
      <w:r w:rsidR="00C17BCE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případně jejich ověřené kopie</w:t>
      </w:r>
      <w:r w:rsidR="00957FDB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všechny ostatní dokumenty spojené s projektem tj. </w:t>
      </w:r>
      <w:r w:rsidR="008E6CF1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="00957FDB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právy o průběhu projektů</w:t>
      </w:r>
      <w:r w:rsidR="00975344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/Partner report</w:t>
      </w:r>
      <w:r w:rsidR="00957FDB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8E6CF1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</w:t>
      </w:r>
      <w:r w:rsidR="00957FDB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inanční zprávy</w:t>
      </w:r>
      <w:r w:rsidR="00975344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/List </w:t>
      </w:r>
      <w:proofErr w:type="spellStart"/>
      <w:r w:rsidR="00975344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="00975344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975344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expenditure</w:t>
      </w:r>
      <w:proofErr w:type="spellEnd"/>
      <w:r w:rsidR="00957FDB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="008E6CF1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957FDB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artnership</w:t>
      </w:r>
      <w:proofErr w:type="spellEnd"/>
      <w:r w:rsidR="00957FDB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8E6CF1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957FDB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greement</w:t>
      </w:r>
      <w:proofErr w:type="spellEnd"/>
      <w:r w:rsidR="003E51B2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certifikáty</w:t>
      </w:r>
      <w:r w:rsidR="00957FDB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…atd. </w:t>
      </w:r>
    </w:p>
    <w:p w:rsidR="00DD6258" w:rsidRPr="00B10323" w:rsidRDefault="00DD6258" w:rsidP="002045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4" w:name="_Toc445447260"/>
      <w:r w:rsidRPr="00B1032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Výběr dodavatele, zadávací a výběrová řízení</w:t>
      </w:r>
      <w:bookmarkEnd w:id="4"/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3A3B" w:rsidRPr="00B10323" w:rsidRDefault="002E3A3B" w:rsidP="005324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případě, že část aktivit nebude zabezpečena partnerem, ale bude realizována na základě jedné nebo více smluv o dodávce zboží, služeb či stavebních prací, musí partner při uzavírání takových smluv postupovat v souladu s n</w:t>
      </w:r>
      <w:r w:rsidR="00BF1FAE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árodní legislativou a pravidly p</w:t>
      </w: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rogramu, přičemž toto platí i u veřejných zakázek zadávaných ve fázi přípravy projektu a projektové žádosti.</w:t>
      </w:r>
    </w:p>
    <w:p w:rsidR="002E3A3B" w:rsidRPr="00B10323" w:rsidRDefault="002E3A3B" w:rsidP="005324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Hlavním smyslem zadávacích řízení je umožnit rovný přístup všem potenciálním dodavatelům a zajistit hospodárné nakládání s veřejnými prostředky. Z toho důvodu je nutné klást důraz nejen na dodržování procedur, ale i na naplnění základních zásad a principů (zásady transparentnosti, přiměřenosti, rovného zacházení a zákazu diskriminace, princip hospodárnosti, efektivnosti a účelnosti).</w:t>
      </w:r>
    </w:p>
    <w:p w:rsidR="002E3A3B" w:rsidRPr="00B10323" w:rsidRDefault="002E3A3B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B10323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ab/>
      </w:r>
      <w:r w:rsidRPr="00B103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3.1. Aplikované předpisy a obecné zásady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056D7F" w:rsidRPr="00B10323" w:rsidRDefault="00056D7F" w:rsidP="0053241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 českých partnerů je povinnost při zadávání veřejných zakázek postupovat v souladu:</w:t>
      </w:r>
    </w:p>
    <w:p w:rsidR="00056D7F" w:rsidRPr="00B10323" w:rsidRDefault="00056D7F" w:rsidP="00532416">
      <w:pPr>
        <w:pStyle w:val="01AufzhlungEbene1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se zákonem č. 137/2006 Sb., o veřejných zakázkách v platném znění (v případě zakázek vyhlášených do </w:t>
      </w:r>
      <w:proofErr w:type="gramStart"/>
      <w:r w:rsidRPr="00B103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30.09.2016</w:t>
      </w:r>
      <w:proofErr w:type="gramEnd"/>
      <w:r w:rsidRPr="00B103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 včetně), resp. se zákonem č. 134/2016 Sb., o zadávání veřejných zakázek, v platném znění (v případě zakázek vyhlášených od 01.10.2016</w:t>
      </w:r>
      <w:r w:rsidR="004F6DA1" w:rsidRPr="00B103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 včetně</w:t>
      </w:r>
      <w:r w:rsidRPr="00B103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) a s nimi souvisejícími zákony, vyhláškami a metodickými postupy;</w:t>
      </w:r>
    </w:p>
    <w:p w:rsidR="00056D7F" w:rsidRPr="00B10323" w:rsidRDefault="00056D7F" w:rsidP="00532416">
      <w:pPr>
        <w:pStyle w:val="01AufzhlungEbene1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v případě, veřejných zakázek, jejichž zadávání tento zákon neupravuje (zejména veřejné zakázky malého rozsahu) je partner povinen postupovat v souladu s Metodickým pokynem pro oblast zadávání zakázek pro programové období 2014-2020</w:t>
      </w:r>
      <w:r w:rsidR="00455E1A" w:rsidRPr="00B103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 xml:space="preserve"> - </w:t>
      </w:r>
      <w:proofErr w:type="spellStart"/>
      <w:r w:rsidR="00455E1A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příloha</w:t>
      </w:r>
      <w:proofErr w:type="spellEnd"/>
      <w:r w:rsidR="00455E1A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č. 1</w:t>
      </w:r>
      <w:r w:rsidRPr="00B103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cs-CZ" w:eastAsia="cs-CZ"/>
        </w:rPr>
        <w:t>.</w:t>
      </w:r>
    </w:p>
    <w:p w:rsidR="00056D7F" w:rsidRPr="00B10323" w:rsidRDefault="00056D7F" w:rsidP="0053241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případě, že v organizaci partnera platí vlastní postupy pro zadávání veřejných zakázek, může je partner aplikovat, pokud splňují minimálně požadavky stanovené v zákoně, resp. v Metodickém pokynu pro oblast zadávání zakázek pro programové období 2014-2020</w:t>
      </w:r>
      <w:r w:rsidR="00455E1A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V</w:t>
      </w: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tomto případě doporučujeme předem konzultovat postup s příslušným Kontrolorem, který bude posuzovat, zda vlastní postupy uplatňované v organizaci partnera splňují minimálně požadavky stanovené v zákoně, resp. postupy uvedené v Metodickém pokynu pro oblast zadávání zakázek </w:t>
      </w:r>
      <w:r w:rsidR="00455E1A"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programové období 2014-2020</w:t>
      </w: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056D7F" w:rsidRPr="00B10323" w:rsidRDefault="00056D7F" w:rsidP="0053241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Upozorňujeme, že zadávací řízení musí být realizována tak, aby umožnila rovný přístup všem potenciálním dodavatelům, zajistila hospodárné nakládání s veřejnými prostředky a vedla k výběru takové nabídky, která respektuje principy hospodárnosti, efektivnosti a účelnosti tak, jak jsou tyto pojmy vymezeny v § 2 zákona č. 320/2001 Sb. (zákon o finanční kontrole) v platném znění, a zároveň zásady uváděné v § 6 zákona č. 137/2006 Sb., resp. zákona č. 134/2016 Sb. (zákon o veřejných zakázkách) v platném znění.  Z toho důvodu je nutné klást důraz nejen na dodržování procedur, ale i na zmíněné principy a zásady.</w:t>
      </w:r>
    </w:p>
    <w:p w:rsidR="00DD6258" w:rsidRPr="00B10323" w:rsidRDefault="00056D7F" w:rsidP="00D722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Zásady transparentnosti, rovného zacházení a zákazu diskriminace a stejně tak principy hospodárnosti, efektivnosti, účelnosti a zásada přiměřenosti, se vztahují na všechny veřejné zakázky bez ohledu na to, zda jsou postupy pro jejich zadávání upraveny přímo zákonem č. 137/2006 Sb., resp. zákonem č. 134/2016 o veřejných zakázkách nebo jinými pravidly, a jejich dodržení je předmětem posouzení zadávacích řízení kontrolorem.</w:t>
      </w:r>
    </w:p>
    <w:p w:rsidR="00200046" w:rsidRPr="00B10323" w:rsidRDefault="00DD6258" w:rsidP="0020456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programů CENTRAL a DANUBE jsou stanoveny přísnější limity v rámci výběrového/zadávacího řízení. U všech zakázek s hodnotou ≥5000 EUR bez DPH a nepřesahující hodnotu 400 tis. Kč bez DPH, je třeba, aby příjemci provedli a zdokumentovali adekvátní výzkum trhu pro dané plnění (např. obdržením minimálně 3 nabídek, použitím e-tržiště, atd.). Nicméně, u jakékoliv zakázky bude v průběhu kontroly posuzována adekvátnost</w:t>
      </w:r>
      <w:r w:rsidR="003520B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hospodárnost</w:t>
      </w:r>
      <w:r w:rsidR="003520B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účelnost a efektivnost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vynaložených prostředků.</w:t>
      </w:r>
    </w:p>
    <w:p w:rsidR="00200046" w:rsidRPr="00B10323" w:rsidRDefault="00200046" w:rsidP="0020456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5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 </w:t>
      </w:r>
      <w:r w:rsidR="00662BF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žádostí o certifikaci (kontrolou výdajů)</w:t>
      </w:r>
      <w:r w:rsidR="00662BF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předložit formulář s přehledem realizovaných a předpokládaných výběrových řízení (přílohu </w:t>
      </w:r>
      <w:r w:rsidR="0020004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č. 4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662BF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změny je třeba </w:t>
      </w:r>
      <w:r w:rsidR="00303EA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předložit</w:t>
      </w:r>
      <w:r w:rsidR="00662BF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aktualizovaný formulář s přehledem realizovaných a předpokládaných výběrových řízení </w:t>
      </w:r>
      <w:r w:rsidR="00303EA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s nejbližší žádostí o certifikaci (kontrolu výdajů).</w:t>
      </w:r>
      <w:r w:rsidR="0063358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7B2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IE je třeba navíc předložit List </w:t>
      </w:r>
      <w:proofErr w:type="spellStart"/>
      <w:r w:rsidR="00A57B2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A57B2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57B2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="00A57B2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D6258" w:rsidRPr="00B10323" w:rsidRDefault="00DD6258" w:rsidP="0020456C">
      <w:pPr>
        <w:keepNext/>
        <w:numPr>
          <w:ilvl w:val="1"/>
          <w:numId w:val="16"/>
        </w:num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5" w:name="_Toc295893522"/>
      <w:r w:rsidRPr="00B1032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Hodnotící kritéria</w:t>
      </w:r>
      <w:bookmarkEnd w:id="5"/>
    </w:p>
    <w:p w:rsidR="002363D0" w:rsidRPr="00B10323" w:rsidRDefault="002363D0" w:rsidP="00532416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hodnotící kritérium pro výběr nabídky může být ekonomická výhodnost nabídky, nebo nejnižší nabídková cena. </w:t>
      </w:r>
    </w:p>
    <w:p w:rsidR="002363D0" w:rsidRPr="00B10323" w:rsidRDefault="002363D0" w:rsidP="00532416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Dílčí hodnotící kritéria se musí vztahovat k nabízenému plnění zakázky. Mohou jimi být zejména nabídková cena, kvalita, technická úroveň nabízeného plnění, estetické a funkční vlastnosti.</w:t>
      </w:r>
    </w:p>
    <w:p w:rsidR="002363D0" w:rsidRPr="00B10323" w:rsidRDefault="002363D0" w:rsidP="00532416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ohledem na výše uvedené principy hospodárnosti efektivnosti, účelnosti a zásadu přiměřenosti platí, že v případě použití kritéria ekonomická výhodnost nabídky, musí být stanoven takový poměr vah dílčích kritérií nabídková cena (případně náklady životního cyklu) a kvalita (obdobně technická úroveň nabízeného plnění nebo estetické a funkční vlastnosti), který umožní získat plnění na odůvodnitelné úrovni potřebné pro dosažení účelu předmětné veřejné zakázky. </w:t>
      </w:r>
    </w:p>
    <w:p w:rsidR="00DD6258" w:rsidRPr="00B10323" w:rsidRDefault="00DD6258" w:rsidP="0020456C">
      <w:pPr>
        <w:keepNext/>
        <w:numPr>
          <w:ilvl w:val="1"/>
          <w:numId w:val="16"/>
        </w:num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6" w:name="_Toc295893523"/>
      <w:r w:rsidRPr="00B1032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Posouzení zadávacích/výběrových řízení</w:t>
      </w:r>
      <w:r w:rsidRPr="00B103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cs-CZ"/>
        </w:rPr>
        <w:footnoteReference w:id="5"/>
      </w:r>
      <w:bookmarkEnd w:id="6"/>
    </w:p>
    <w:p w:rsidR="00DD6258" w:rsidRPr="00B10323" w:rsidRDefault="00DD6258" w:rsidP="0020456C">
      <w:pPr>
        <w:numPr>
          <w:ilvl w:val="0"/>
          <w:numId w:val="18"/>
        </w:numPr>
        <w:spacing w:before="60" w:after="6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 vyhlášením zadávacího/výběrového řízení</w:t>
      </w:r>
    </w:p>
    <w:p w:rsidR="00500EBC" w:rsidRPr="00B10323" w:rsidRDefault="00500EBC" w:rsidP="005324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 všech zakázek, u kterých bude zadávací řízení vyhlášeno po podpisu Smlouvy o poskytnutí prostředků z ERDF (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 mezi LP a řídícím orgánem, případně partnerské smlouvy (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mezi LP a PP a jejichž hodnota je 400 000 Kč bez DPH a vyšší, resp. 500 000 Kč bez DPH a vyšší v případě, že Partner </w:t>
      </w:r>
    </w:p>
    <w:p w:rsidR="00500EBC" w:rsidRPr="00B10323" w:rsidRDefault="00500EBC" w:rsidP="00532416">
      <w:pPr>
        <w:pStyle w:val="01AufzhlungEbene1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</w:pPr>
      <w:r w:rsidRPr="00B10323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není veřejným nebo sektorovým zadavatelem dle § 2 odst. 2 a 6 zákona č. 137/2006 Sb., o veřejných zakázkách a dotace poskytovaná na danou zakázku není vyšší než 50 %</w:t>
      </w:r>
      <w:r w:rsidRPr="00B103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footnoteReference w:id="6"/>
      </w:r>
      <w:r w:rsidRPr="00B10323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, </w:t>
      </w:r>
    </w:p>
    <w:p w:rsidR="00500EBC" w:rsidRPr="00B10323" w:rsidRDefault="00500EBC" w:rsidP="00532416">
      <w:pPr>
        <w:pStyle w:val="01AufzhlungEbene1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</w:pPr>
      <w:r w:rsidRPr="00B10323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>resp. není zadavatelem dle § 4 zákona č. 134/2016 Sb., o veřejných zakázkách</w:t>
      </w:r>
      <w:r w:rsidRPr="00B103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footnoteReference w:id="7"/>
      </w:r>
      <w:r w:rsidRPr="00B10323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  <w:t xml:space="preserve">, </w:t>
      </w:r>
    </w:p>
    <w:p w:rsidR="00500EBC" w:rsidRPr="00B10323" w:rsidRDefault="00500EBC" w:rsidP="005324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Partner před vyhlášením zadávacího řízení povinen předložit svému kontrolorovi ke kontrole následující dokumenty (dokumenty stačí předložit v elektronické podobě): </w:t>
      </w:r>
    </w:p>
    <w:p w:rsidR="00500EBC" w:rsidRPr="00B10323" w:rsidRDefault="00500EBC" w:rsidP="00532416">
      <w:pPr>
        <w:numPr>
          <w:ilvl w:val="0"/>
          <w:numId w:val="5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zadávací dokumentaci, příp. výzvu (pokud zároveň plní funkci zadávací dokumentace);</w:t>
      </w:r>
    </w:p>
    <w:p w:rsidR="00500EBC" w:rsidRPr="00B10323" w:rsidRDefault="00500EBC" w:rsidP="00532416">
      <w:pPr>
        <w:numPr>
          <w:ilvl w:val="0"/>
          <w:numId w:val="5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kalkulaci předpokládané hodnoty veřejné zakázky vč. zdůvodnění této kalkulace (uvedení z jakých údajů a informací partner vycházel při stanovování předpokládaných cen)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8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00EBC" w:rsidRPr="00B10323" w:rsidRDefault="00500EBC" w:rsidP="005324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Kontrolor vydá k uvedeným dokumentům stanovisko do 10 pracovních dní od jejich obdržení. V případě, že dokumentace předložená partnerem není kompletní, nebo kontrolor potřebuje k posouzení předložené dokumentace další doplňující informace, běh této lhůty se pozastavuje. Běh lhůty pokračuje v okamžiku, kdy partner dodá chybějící podklady/požadované informace.</w:t>
      </w:r>
    </w:p>
    <w:p w:rsidR="00500EBC" w:rsidRPr="00B10323" w:rsidRDefault="00500EBC" w:rsidP="005324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Zadávací řízení je možné vyhlásit až po obdržení souhlasného stanoviska Kontrolora a Partner je povinen při vyhlášení zadávacího řízení použít ty verze dokumentů, které byly posouzeny Kontrolorem.</w:t>
      </w:r>
    </w:p>
    <w:p w:rsidR="00DD6258" w:rsidRPr="00B10323" w:rsidRDefault="00DD6258" w:rsidP="0020456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18"/>
        </w:numPr>
        <w:spacing w:before="60" w:after="6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 podpisem smlouvy s dodavatelem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0EBC" w:rsidRPr="00B10323" w:rsidRDefault="00500EBC" w:rsidP="005324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je povinen uchovávat veškerou dokumentaci o zakázce a záznamy (vč. elektronických) o úkonech souvisejících s realizací zakázky. Dokumentací o zakázce se rozumí souhrn všech dokumentů v listinné či elektronické podobě, jejichž pořízení v průběhu zadávacího řízení, popř. po jeho ukončení, vyžaduje zákon (u veřejných zakázek, na které se vztahují ustanovení zákona), resp. postupy stanovené v Metodickém pokynu pro oblast zadávání zakázek (u veřejných zakázek, na které se zákon nevztahuje). </w:t>
      </w:r>
    </w:p>
    <w:p w:rsidR="00500EBC" w:rsidRPr="00B10323" w:rsidRDefault="00500EBC" w:rsidP="005324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výběru vítězné nabídky musí být spolu s dokumenty uvedenými dále v textu předložena kontrolorovi před podpisem smlouvy s dodavatelem. </w:t>
      </w:r>
    </w:p>
    <w:p w:rsidR="00500EBC" w:rsidRPr="00B10323" w:rsidRDefault="00500EBC" w:rsidP="005324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 v případě veřejných zakázek, u kterých je postup zadávání upraven přímo zákonem o veřejných zakázkách, zákon stanovuje lhůtu pro uzavření smlouvy. Zároveň lhůta pro provedení kontroly průběhu zadávacího řízení kontrolorem činí 10 pracovních dní. Z toho důvodu je nutné dokumenty předložit vždy co nejdříve po uzavření jednotlivých procesních kroků stanovených zákonem (tj. po rozhodnutí o výběru nejvhodnější nabídky – dokumenty uvedené níže pod body a) - g) a po vypořádání námitek – dokumenty uvedené níže pod bodem h)).</w:t>
      </w:r>
    </w:p>
    <w:p w:rsidR="00500EBC" w:rsidRPr="00B10323" w:rsidRDefault="00500EBC" w:rsidP="005324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účely posouzení správnosti postupu zadavatele při zadávání zakázky budou vyžadovány následující základní dokumenty: </w:t>
      </w:r>
    </w:p>
    <w:p w:rsidR="00500EBC" w:rsidRPr="00B10323" w:rsidRDefault="00500EBC" w:rsidP="00532416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text oznámení o zahájení zadávacího řízení, resp. výzvy zaslané požadovanému počtu potenciálních dodavatelů k podání nabídky a dalších dokumentů vymezujících předmět zakázky (např. zadávací dokumentace, je-li povinnost ji zpracovat) vč. dokladů prokazujících jejich odeslání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9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00EBC" w:rsidRPr="00B10323" w:rsidRDefault="00500EBC" w:rsidP="00532416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vítěznou nabídku podanou uchazečem na základě oznámení o zahájení zadávacího řízení, resp. výzvy zadavatele nebo jiné informace či ceníky, z nichž vyplývá plnění nabízené uchazečem;</w:t>
      </w:r>
    </w:p>
    <w:p w:rsidR="00500EBC" w:rsidRPr="00B10323" w:rsidRDefault="00500EBC" w:rsidP="00532416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 o otevírání obálek (není vyžadován, pokud jsou informace o otevírání obálek zahrnuty ve zprávě/protokolu o posouzení a hodnocení nabídek) podepsaný členy komise pro otevírání obálek;</w:t>
      </w:r>
    </w:p>
    <w:p w:rsidR="00500EBC" w:rsidRPr="00B10323" w:rsidRDefault="00500EBC" w:rsidP="00532416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zpráva/protokol o posouzení a hodnocení podaných nabídek podepsaný členy hodnotící komise, včetně dokladů o jmenování hodnotící komise a prohlášeních o nepodjatosti všech jejich členů;</w:t>
      </w:r>
    </w:p>
    <w:p w:rsidR="00500EBC" w:rsidRPr="00B10323" w:rsidRDefault="00500EBC" w:rsidP="00532416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zadavatele o přidělení zakázky, vč. dokumentů prokazujících jeho odeslání všem dotčeným uchazečům a zájemcům;</w:t>
      </w:r>
    </w:p>
    <w:p w:rsidR="00500EBC" w:rsidRPr="00B10323" w:rsidRDefault="00500EBC" w:rsidP="00532416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smlouvy s dodavatelem.</w:t>
      </w:r>
    </w:p>
    <w:p w:rsidR="00500EBC" w:rsidRPr="00B10323" w:rsidRDefault="00500EBC" w:rsidP="005324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Nad rámec těchto dokumentů Partner kontrolorovi dále předloží:</w:t>
      </w:r>
    </w:p>
    <w:p w:rsidR="00500EBC" w:rsidRPr="00B10323" w:rsidRDefault="00500EBC" w:rsidP="00532416">
      <w:pPr>
        <w:numPr>
          <w:ilvl w:val="0"/>
          <w:numId w:val="5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nabídky, které byly v průběhu zadávacího řízení vyřazeny, pokud k vyřazení nějaké nabídky došlo;</w:t>
      </w:r>
    </w:p>
    <w:p w:rsidR="00500EBC" w:rsidRPr="00B10323" w:rsidRDefault="00500EBC" w:rsidP="00532416">
      <w:pPr>
        <w:numPr>
          <w:ilvl w:val="0"/>
          <w:numId w:val="5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písemnou informaci o způsobu vyřešení námitek (odvolání) podaných některými uchazeči, pokud v rámci zadávacího řízení nějaké námitky (odvolání) byly podány.</w:t>
      </w:r>
    </w:p>
    <w:p w:rsidR="00500EBC" w:rsidRPr="00B10323" w:rsidRDefault="00500EBC" w:rsidP="005324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Kontrolor posoudí dokumenty ve lhůtě 10 pracovních dní. V případě, že dokumentace předložená Partnerem není kompletní, nebo Kontrolor potřebuje k posouzení předložené dokumentace další doplňující informace, běh této lhůty se pozastavuje. Běh lhůty pokračuje v okamžiku, kdy Partner dodá chybějící podklady / požadované informace.</w:t>
      </w:r>
    </w:p>
    <w:p w:rsidR="00500EBC" w:rsidRPr="00B10323" w:rsidRDefault="00500EBC" w:rsidP="005324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 může uzavřít smlouvu s dodavatelem až poté, co obdrží souhlasné stanovisko Kontrolora k průběhu zadávacího řízení.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18"/>
        </w:numPr>
        <w:spacing w:before="60" w:after="6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 podpisu smlouvy s dodavatelem</w:t>
      </w:r>
    </w:p>
    <w:p w:rsidR="00500EBC" w:rsidRPr="00B10323" w:rsidRDefault="00500EBC" w:rsidP="005324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Po podpisu smlouvy s dodavatelem, nejpozději však při předložení nejblíže následující soupisky dokladů, předloží Partner svému kontrolorovi k posouzení následující dokumenty:</w:t>
      </w:r>
    </w:p>
    <w:p w:rsidR="00500EBC" w:rsidRPr="00B10323" w:rsidRDefault="00500EBC" w:rsidP="00532416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uzavřenou smlouvu s vybraným dodavatelem, vč. případných dodatků k ní;</w:t>
      </w:r>
    </w:p>
    <w:p w:rsidR="003A6EAB" w:rsidRPr="00B10323" w:rsidRDefault="00500EBC" w:rsidP="00532416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text oznámení o výsledku zadávacího řízení zaslaný všem uchazečům, kteří podali nabídku v řádném termínu pro podání nabídek, vč. dokladů prokazujících jejich odeslání</w:t>
      </w:r>
      <w:r w:rsidR="003A6EA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3A6EAB" w:rsidRPr="00B10323" w:rsidRDefault="003A6EAB" w:rsidP="00532416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datovou zprávu s potvrzením o uveřejnění uzavřené smlouvy s vybraným dodavatelem v registru smluv v souladu se zákonem č. 340/2015 Sb., o zvláštních podmínkách účinnosti některých smluv a o registru smluv (zákon o registru smluv), pokud se na českého projektového partnera tato povinnost</w:t>
      </w:r>
      <w:r w:rsidR="00A45B1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</w:t>
      </w:r>
      <w:r w:rsidR="000D08E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tahuje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§2 odst. 1 tohoto zákona.</w:t>
      </w:r>
    </w:p>
    <w:p w:rsidR="003A6EAB" w:rsidRPr="00B10323" w:rsidRDefault="003A6EAB" w:rsidP="00633580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Projektoví partneři, kteří jsou právnickou osobou uvedenou v čl. 2 odst. 1 zákona o registru smluv, jsou povinni zveřejňovat v registru smluv soukromoprávní smlouvy, tj. i smlouvy uzavírané s dodavateli. Výjimkou jsou případy, kdy hodnota předmětu smlouvy je nižší než 50 000 Kč bez DPH.</w:t>
      </w:r>
    </w:p>
    <w:p w:rsidR="003A6EAB" w:rsidRPr="00B10323" w:rsidRDefault="003A6EAB" w:rsidP="00633580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 zveřejnit smlouvu, tj. zaslat smlouvu správci registru smlouvu k uveřejnění, je do 30 dní od jejího uzavření. Smlouva, na kterou se vztahuje povinnost zveřejnění v registru smluv, nabývá v souladu s ustanovením §6 tohoto zákona účinnosti nejdříve dnem jejího zveřejnění. </w:t>
      </w:r>
    </w:p>
    <w:p w:rsidR="00A45B1E" w:rsidRPr="00B10323" w:rsidRDefault="003A6EAB" w:rsidP="00633580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Nebyla-li smlouva zveřejněna prostřednictvím registru smluv ani do 3 měsíců ode dne, kdy byla uzavřena, je podle ustanovení § 7</w:t>
      </w:r>
      <w:r w:rsidRPr="00B1032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0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zákona smlouva zrušena od počátku. V takovém případě budou jakékoliv výdaje vynaložené v souvislosti s takovou smlouvou považovány za nezpůsobilé.</w:t>
      </w:r>
    </w:p>
    <w:p w:rsidR="00500EBC" w:rsidRPr="00B10323" w:rsidRDefault="00A45B1E" w:rsidP="00633580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registru smluv je třeba zveřejňovat i objednávky s hodnotou nad 50 000 Kč bez DPH.     </w:t>
      </w:r>
      <w:r w:rsidR="003A6EA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00EB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0EBC" w:rsidRPr="00B10323" w:rsidRDefault="00500EBC" w:rsidP="005324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Kontrolor si může vyžádat další dokumenty nezbytné pro provedení kontroly zadávacího řízení. </w:t>
      </w:r>
    </w:p>
    <w:p w:rsidR="00500EBC" w:rsidRPr="00B10323" w:rsidRDefault="00500EBC" w:rsidP="005324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se netýká případů, kdy došlo k přímému nákupu bez zadávacího řízení (v případě, že to pravidla umožňují). V tomto případě budou kontrolovány pouze účetní doklady se zakázkou související.</w:t>
      </w:r>
    </w:p>
    <w:p w:rsidR="00500EBC" w:rsidRPr="00B10323" w:rsidRDefault="00500EBC" w:rsidP="005324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Dále se výše uvedené postupy netýkají zakázek, které jsou v projektu vykazovány pouze částečně, např. zadávací řízení na spotřební materiál, a to za splnění podmínky, že součet výdajů uplatňovaných v projektu nepřesáhne 400 000 Kč (v případě, že je dodavatelem plátce DPH, se jedná o částku bez DPH). V případě, že součet výdajů uplatňovaných v projektu tuto částku přesáhne, ale zároveň nepřekročí v rámci projektu 25 % celkových způsobilých výdajů schváleného rozpočtu partnera a v rámci zakázky 50 % celkové hodnoty zakázky, musí zadavatel k deklarovaným výdajům doložit, že veřejná zakázka byla zadána v souladu se zákonem č. 137/2006 Sb., o veřejných zakázkách v platném znění, resp. zákonem č. 134/2016 Sb., o zadávání veřejných zakázek, v platném znění u zakázek vyhlašovaných od 1. 10. 2016, případně s pravidly pro zadávání veřejných zakázek mimo režim zákona stanovenými v pravidlech Programu a to buď zprávou externího auditora, případně Zprávou o výsledku přezkoumání hospodaření podle zákona č. 420/2004 Sb., o přezkoumávání hospodaření územních samosprávných celků a dobrovolných svazků obcí, pokud předmětem přezkoumání byla i daná veřejná zakázka. V případě, že výdaje z veřejné zakázky byly uplatněny i v rámci projektu realizovaného z jiného operačního programu, může příjemce doložit zprávu o výsledku kontroly veřejné zakázky zpracovanou subjektem, který je pro daný operační program odpovědný za provádění ověřování dle čl. 125 odst. 4 písm. a) Obecného nařízení.</w:t>
      </w:r>
    </w:p>
    <w:p w:rsidR="00DD6258" w:rsidRPr="00B10323" w:rsidRDefault="00DD6258" w:rsidP="005324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7" w:name="_Toc220322043"/>
      <w:bookmarkStart w:id="8" w:name="_Toc220322510"/>
      <w:bookmarkStart w:id="9" w:name="_Toc220382201"/>
      <w:bookmarkStart w:id="10" w:name="_Toc220322044"/>
      <w:bookmarkStart w:id="11" w:name="_Toc220322511"/>
      <w:bookmarkStart w:id="12" w:name="_Toc220382202"/>
      <w:bookmarkStart w:id="13" w:name="_Toc445447261"/>
      <w:bookmarkEnd w:id="7"/>
      <w:bookmarkEnd w:id="8"/>
      <w:bookmarkEnd w:id="9"/>
      <w:bookmarkEnd w:id="10"/>
      <w:bookmarkEnd w:id="11"/>
      <w:bookmarkEnd w:id="12"/>
      <w:r w:rsidRPr="00B1032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Způsobilost výdajů</w:t>
      </w:r>
      <w:bookmarkEnd w:id="13"/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4" w:name="_Toc445447262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Způsobilé výdaje rámcově upravují:</w:t>
      </w:r>
      <w:bookmarkEnd w:id="14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5" w:name="_Toc445447263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- Nařízení Evropského parlamentu a Rady EU) č. 1303/2013</w:t>
      </w:r>
      <w:bookmarkEnd w:id="15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6" w:name="_Toc445447264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- Nařízení Evropského parlamentu a Rady (EU) č. 1301/2013</w:t>
      </w:r>
      <w:bookmarkEnd w:id="16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7" w:name="_Toc445447265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- Nařízení Evropského parlamentu a Rady (EU) č. 1299/2013</w:t>
      </w:r>
      <w:bookmarkEnd w:id="17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8" w:name="_Toc445447266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- Nařízení Evropského parlamentu a Rady (EU) č. 481/2014</w:t>
      </w:r>
      <w:bookmarkEnd w:id="18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9" w:name="_Toc445447267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právní předpisy je třeba používat v platném znění, jednotlivé novelizace zde nebudou uváděny. Při určování způsobilosti výdajů je dále nutno respektovat další související právní předpisy EU a ČR v platném znění.</w:t>
      </w:r>
      <w:bookmarkEnd w:id="19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0" w:name="_Toc445447268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účelem vysvětlení ustanovení o způsobilých výdajích, která jsou uvedena ve výše zmíněných nařízeních, vydalo Ministerstvo pro místní rozvoj dokument nazvaný „Metodický pokyn pro způsobilost výdajů a jejich vykazování v programovém období 2014-2020“, dále jen „Metodický pokyn ZV“. Jeho aktuální znění naleznete </w:t>
      </w:r>
      <w:r w:rsidRPr="00B10323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na </w:t>
      </w:r>
      <w:hyperlink r:id="rId14" w:history="1">
        <w:r w:rsidR="00013912" w:rsidRPr="00B10323">
          <w:rPr>
            <w:rStyle w:val="Hypertextovodkaz"/>
            <w:rFonts w:ascii="Times New Roman" w:hAnsi="Times New Roman" w:cs="Times New Roman"/>
            <w:sz w:val="24"/>
          </w:rPr>
          <w:t>http://www.dotaceeu.cz/getmedia/7be05f88-01dc-46bc-96fd-fee5b45aac41/MP_zpusobile-vydaje-v4_cista.pdf?ext=.pdf</w:t>
        </w:r>
      </w:hyperlink>
      <w:r w:rsidR="00013912" w:rsidRPr="00B10323"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Metodický pokyn ZV představuje podpůrný a výkladový materiál, který má doporučující charakter, jehož cílem je pomoci partnerům se orientovat v problematice způsobilých výdajů. Součástí Metodického pokynu ZV je úprava pravidel způsobilých výdajů, která jsou pro české partnery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doporučující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20"/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21" w:name="_Toc445447269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Řídící orgány a členské státy se s ohledem na specifika jednotlivých programů spolupráce dále rozhodly v některých případech podrobněji pravidla způsobilých výdajů upravit. Tato pravidla jsou pro české partnery závazná a jsou uvedena v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programové dokumentaci jednotlivých programů (viz. </w:t>
      </w:r>
      <w:proofErr w:type="gramStart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kap.</w:t>
      </w:r>
      <w:proofErr w:type="gramEnd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Úvod).</w:t>
      </w:r>
      <w:bookmarkEnd w:id="21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22" w:name="_Toc445447270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Doporučujeme všem českým partnerům se před vlastním předložením projektové žádosti seznámit s níže uvedenými pravidly způsobilosti výdajů v rámci jednotlivých programů i s Metodickým pokynem ZV.</w:t>
      </w:r>
      <w:bookmarkEnd w:id="22"/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3" w:name="_Toc445447271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Způsobilost uskutečněných výdajů bude kontrolována Kontrolorem v průběhu realizace projektu na základě předkládání podkladů pro kontrolu a s tím souvisejících dokladů a dokumentace. Na výdaje uvedené v projektové žádosti a odsouhlasené </w:t>
      </w:r>
      <w:r w:rsidR="00004E6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MV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nevzniká automaticky nárok. V této souvislosti může dojít k přehodnocení způsobilosti jednotlivých výdajů oproti předložené projektové žádosti. Rozhodující je posouzení Kontrolorů při vlastní realizaci projektu a při potvrzování legality a řádnosti uskutečněných výdajů.</w:t>
      </w:r>
      <w:bookmarkEnd w:id="23"/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4" w:name="_Toc445447272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programů CENTRAL, DANUBE a IE jsou způsobilé následující výdaje:</w:t>
      </w:r>
      <w:bookmarkEnd w:id="24"/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5" w:name="_Toc445447273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náklady</w:t>
      </w:r>
      <w:bookmarkEnd w:id="25"/>
    </w:p>
    <w:p w:rsidR="00DD6258" w:rsidRPr="00B10323" w:rsidRDefault="00DD6258" w:rsidP="0020456C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6" w:name="_Toc445447274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administrativní náklady</w:t>
      </w:r>
      <w:bookmarkEnd w:id="26"/>
    </w:p>
    <w:p w:rsidR="00DD6258" w:rsidRPr="00B10323" w:rsidRDefault="00DD6258" w:rsidP="0020456C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7" w:name="_Toc445447275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cestování a ubytování</w:t>
      </w:r>
      <w:bookmarkEnd w:id="27"/>
    </w:p>
    <w:p w:rsidR="00DD6258" w:rsidRPr="00B10323" w:rsidRDefault="00DD6258" w:rsidP="0020456C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8" w:name="_Toc445447276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externí odborné poradenství a služby</w:t>
      </w:r>
      <w:bookmarkEnd w:id="28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9" w:name="_Toc445447277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vybavení</w:t>
      </w:r>
      <w:bookmarkEnd w:id="29"/>
    </w:p>
    <w:p w:rsidR="00DD6258" w:rsidRPr="00B10323" w:rsidRDefault="00DD6258" w:rsidP="0020456C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0" w:name="_Toc445447278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infrastrukturu a práce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1"/>
      </w:r>
      <w:bookmarkEnd w:id="30"/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1" w:name="_Toc445447279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Vykazování jednotlivých typů výdajů je popsáno v programové dokumentaci uvedených programů (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24354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24354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="0024354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4354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="001126E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="00D9539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D9539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="00D9539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9539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program DANUBE a Program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program IE).</w:t>
      </w:r>
      <w:bookmarkEnd w:id="31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2" w:name="_Toc445447280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náklady</w:t>
      </w:r>
      <w:bookmarkEnd w:id="32"/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3" w:name="_Toc445447281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 České republice jsou osobní náklady omezeny na celkové (hrubé) mzdové náklady zaměstnavatele na zaměstnance včetně zákonem předepsaných náhrad a příplatků. Kromě hlavního pracovního poměru jsou dále uznatelnými druhy pracovně právních vztahů: dohoda o provedení práce a dohoda o pracovní činnosti (§75 a 76 zákona č. 262/2006 Sb.).</w:t>
      </w:r>
      <w:bookmarkEnd w:id="33"/>
    </w:p>
    <w:p w:rsidR="008F402D" w:rsidRPr="00B10323" w:rsidRDefault="008F402D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0601" w:rsidRPr="00B10323" w:rsidRDefault="008F402D" w:rsidP="001206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náklady nesmí přesáhnout obvyklou výši platnou v organizaci zaměstnance pro danou pozici. V případě, že se jedná o nově vytvořenou pozici, vychází se z výše osobních nákladů na obdobnou pracovní pozici</w:t>
      </w:r>
      <w:r w:rsidR="00BF2E6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F2E6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organizaci. V případě, že obdobná pozice v organizaci neexistuje, vychází se při stanovení výše maximálních osobních nákladů z obvyklé výše osobních nákladů v daném oboru, čase a místě. V tomto případě jsou stanoveny maximální limity pro základní typové pozice</w:t>
      </w:r>
      <w:r w:rsidR="0012060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601" w:rsidRPr="00B10323">
        <w:rPr>
          <w:rFonts w:ascii="Times New Roman" w:hAnsi="Times New Roman" w:cs="Times New Roman"/>
          <w:iCs/>
        </w:rPr>
        <w:t xml:space="preserve">uvedené </w:t>
      </w:r>
      <w:proofErr w:type="gramStart"/>
      <w:r w:rsidR="00120601" w:rsidRPr="00B10323">
        <w:rPr>
          <w:rFonts w:ascii="Times New Roman" w:hAnsi="Times New Roman" w:cs="Times New Roman"/>
          <w:iCs/>
        </w:rPr>
        <w:t>na</w:t>
      </w:r>
      <w:proofErr w:type="gramEnd"/>
      <w:r w:rsidR="00120601" w:rsidRPr="00B10323">
        <w:rPr>
          <w:rFonts w:ascii="Times New Roman" w:hAnsi="Times New Roman" w:cs="Times New Roman"/>
          <w:iCs/>
          <w:color w:val="0000FF"/>
        </w:rPr>
        <w:t xml:space="preserve">: </w:t>
      </w:r>
      <w:hyperlink r:id="rId15" w:history="1">
        <w:r w:rsidR="00120601" w:rsidRPr="00B10323">
          <w:rPr>
            <w:rStyle w:val="Hypertextovodkaz"/>
            <w:rFonts w:ascii="Times New Roman" w:hAnsi="Times New Roman" w:cs="Times New Roman"/>
            <w:iCs/>
          </w:rPr>
          <w:t>http://www.crr.cz/cs/eus/mzdove-sazby-typovych-pozic/</w:t>
        </w:r>
      </w:hyperlink>
      <w:r w:rsidR="00120601" w:rsidRPr="00B10323">
        <w:rPr>
          <w:rFonts w:ascii="Times New Roman" w:hAnsi="Times New Roman" w:cs="Times New Roman"/>
          <w:iCs/>
        </w:rPr>
        <w:t>.</w:t>
      </w:r>
      <w:r w:rsidR="00120601" w:rsidRPr="00B10323">
        <w:rPr>
          <w:i/>
          <w:iCs/>
        </w:rPr>
        <w:t xml:space="preserve"> 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60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Ministerstvo pro místní rozvoj může rozhodnout o případném zvýšení maximálních hodinových sazeb v závislosti na meziročním růstu průměrné nominální mzdy v ČR.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4" w:name="_Toc445447282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Proplácení osobních nákladů probíhá</w:t>
      </w:r>
      <w:r w:rsidR="00B31E5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buď na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skutečných výdajů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včetně proplácení na hodinovém základě v případě delegování pracovníků pro projekt na část jejich úvazku, anebo v podobě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paušální sazby osobních nákladů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2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 O tom, která metoda se uplatní</w:t>
      </w:r>
      <w:r w:rsidR="00BE62F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celou dobu trvání projektu (vykazování na základě skutečných výdajů nebo paušální sazbou)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rozhodne žadatel při podání žádosti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3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34"/>
      <w:r w:rsidR="00BE62F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 je třeba používat vybranou metodu vykazování osobních nákladů po celou dobu trvání projektu.</w:t>
      </w:r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Skutečné osobní náklady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68C3" w:rsidRPr="00B10323" w:rsidRDefault="006D5EEC" w:rsidP="00204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Náklady na zaměstnance</w:t>
      </w:r>
      <w:r w:rsidR="00DA68C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skládají z hrubých mzdových výdajů na zaměstnance zaměstnané příjemcem jedním z těchto způsobů:</w:t>
      </w:r>
    </w:p>
    <w:p w:rsidR="0095274A" w:rsidRPr="00B10323" w:rsidRDefault="0095274A" w:rsidP="00204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0851" w:rsidRPr="00B10323" w:rsidRDefault="00ED0851" w:rsidP="0020456C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t>na plný úvazek</w:t>
      </w:r>
      <w:r w:rsidR="0095274A" w:rsidRPr="00B10323">
        <w:rPr>
          <w:rFonts w:ascii="Times New Roman" w:hAnsi="Times New Roman"/>
          <w:sz w:val="24"/>
          <w:szCs w:val="24"/>
          <w:lang w:eastAsia="cs-CZ"/>
        </w:rPr>
        <w:t>;</w:t>
      </w:r>
    </w:p>
    <w:p w:rsidR="00ED0851" w:rsidRPr="00B10323" w:rsidRDefault="00ED0851" w:rsidP="0020456C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t>na částečný úvazek s pevně stanoveným procentním podílem odpracované doby za měsíc</w:t>
      </w:r>
      <w:r w:rsidR="0095274A" w:rsidRPr="00B10323">
        <w:rPr>
          <w:rFonts w:ascii="Times New Roman" w:hAnsi="Times New Roman"/>
          <w:sz w:val="24"/>
          <w:szCs w:val="24"/>
          <w:lang w:eastAsia="cs-CZ"/>
        </w:rPr>
        <w:t>;</w:t>
      </w:r>
    </w:p>
    <w:p w:rsidR="00745A75" w:rsidRPr="00B10323" w:rsidRDefault="00ED0851" w:rsidP="0020456C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t xml:space="preserve">na částečný úvazek </w:t>
      </w:r>
      <w:r w:rsidR="0095274A" w:rsidRPr="00B10323">
        <w:rPr>
          <w:rFonts w:ascii="Times New Roman" w:hAnsi="Times New Roman"/>
          <w:sz w:val="24"/>
          <w:szCs w:val="24"/>
          <w:lang w:eastAsia="cs-CZ"/>
        </w:rPr>
        <w:t>s pružným počtem odpracovaných hodin za měsíc;</w:t>
      </w:r>
    </w:p>
    <w:p w:rsidR="00791022" w:rsidRPr="00B10323" w:rsidRDefault="0095274A" w:rsidP="0020456C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t>na hodinovém základě.</w:t>
      </w:r>
    </w:p>
    <w:p w:rsidR="006D5EEC" w:rsidRPr="00B10323" w:rsidRDefault="00DA68C3" w:rsidP="0020456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D5EEC" w:rsidRPr="00B10323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náklady mohou být k projektu přiřazeny úplně</w:t>
      </w:r>
      <w:r w:rsidR="0041638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a)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 alikvotní části</w:t>
      </w:r>
      <w:r w:rsidR="0041638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b a c)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91022" w:rsidRPr="00B10323" w:rsidRDefault="00791022" w:rsidP="00204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7D60" w:rsidRPr="00B10323" w:rsidRDefault="007A7D60" w:rsidP="00204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Plný úvazek na projekt (případ a)</w:t>
      </w:r>
    </w:p>
    <w:p w:rsidR="00717D18" w:rsidRPr="00B10323" w:rsidRDefault="00717D1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se zaměstnanec podílí na realizaci projektu celým svým pracovním úvazkem, nemusí povinně vyplňovat výkazy práce/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 Z dokladu o zaměstnání zaměstnance pracujícího na plný úvazek (pracovní smlouva/dohoda apod.) musí vyplývat, že zaměstnanec provádí činnosti vztahující se výhradně k projektu.</w:t>
      </w:r>
      <w:r w:rsidR="000C0F6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dokladu o zaměstnání musí být také uveden popis činností, které bude daný zaměstnanec na projektu vykonávat a v jakých pracovních balíčcích – </w:t>
      </w:r>
      <w:proofErr w:type="spellStart"/>
      <w:r w:rsidR="000C0F6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="000C0F6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C0F6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packages</w:t>
      </w:r>
      <w:proofErr w:type="spellEnd"/>
      <w:r w:rsidR="000C0F6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WP</w:t>
      </w:r>
      <w:r w:rsidR="00025BD3" w:rsidRPr="00B1032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4"/>
      </w:r>
      <w:r w:rsidR="000C0F6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17FC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se zaměstnanec nepodílí na realizaci projektu celým svým pracovním úvazkem, je způsobilá alikvotní část mzdových nákladů a povinných odvodů zaměstnavatele za zaměstnance odpovídající míře zapojení zaměstnance do realizace projektu</w:t>
      </w:r>
      <w:r w:rsidR="005C6D1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b a c)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C6D12" w:rsidRPr="00B10323" w:rsidRDefault="005C6D12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6D12" w:rsidRPr="00B10323" w:rsidRDefault="002B3C5E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Částečný </w:t>
      </w:r>
      <w:r w:rsidRPr="00B10323">
        <w:rPr>
          <w:rFonts w:ascii="Times New Roman" w:hAnsi="Times New Roman"/>
          <w:b/>
          <w:sz w:val="24"/>
          <w:szCs w:val="24"/>
          <w:lang w:eastAsia="cs-CZ"/>
        </w:rPr>
        <w:t>úvazek s pevně stanoveným procentním podílem odpracované doby za měsíc (případ b)</w:t>
      </w:r>
    </w:p>
    <w:p w:rsidR="002B3C5E" w:rsidRPr="00B10323" w:rsidRDefault="00E97461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t>V tomto případě nevzniká povinnost zřídit separátní systém evidence pracovní doby (výkazy práce/</w:t>
      </w:r>
      <w:proofErr w:type="spellStart"/>
      <w:r w:rsidRPr="00B10323">
        <w:rPr>
          <w:rFonts w:ascii="Times New Roman" w:hAnsi="Times New Roman"/>
          <w:sz w:val="24"/>
          <w:szCs w:val="24"/>
          <w:lang w:eastAsia="cs-CZ"/>
        </w:rPr>
        <w:t>timesheet</w:t>
      </w:r>
      <w:proofErr w:type="spellEnd"/>
      <w:r w:rsidRPr="00B10323">
        <w:rPr>
          <w:rFonts w:ascii="Times New Roman" w:hAnsi="Times New Roman"/>
          <w:sz w:val="24"/>
          <w:szCs w:val="24"/>
          <w:lang w:eastAsia="cs-CZ"/>
        </w:rPr>
        <w:t xml:space="preserve">). </w:t>
      </w:r>
      <w:r w:rsidR="00AC22C5" w:rsidRPr="00B10323">
        <w:rPr>
          <w:rFonts w:ascii="Times New Roman" w:hAnsi="Times New Roman"/>
          <w:sz w:val="24"/>
          <w:szCs w:val="24"/>
          <w:lang w:eastAsia="cs-CZ"/>
        </w:rPr>
        <w:t>Zaměstnavatel se zaměstnancem</w:t>
      </w:r>
      <w:r w:rsidR="00B51990" w:rsidRPr="00B10323">
        <w:rPr>
          <w:rFonts w:ascii="Times New Roman" w:hAnsi="Times New Roman"/>
          <w:sz w:val="24"/>
          <w:szCs w:val="24"/>
          <w:lang w:eastAsia="cs-CZ"/>
        </w:rPr>
        <w:t xml:space="preserve"> však musí vystavit dokument</w:t>
      </w:r>
      <w:r w:rsidR="00944A8E" w:rsidRPr="00B10323">
        <w:rPr>
          <w:rFonts w:ascii="Times New Roman" w:hAnsi="Times New Roman"/>
          <w:sz w:val="24"/>
          <w:szCs w:val="24"/>
          <w:lang w:eastAsia="cs-CZ"/>
        </w:rPr>
        <w:t xml:space="preserve"> (doklad o zaměstná</w:t>
      </w:r>
      <w:r w:rsidR="00AC22C5" w:rsidRPr="00B10323">
        <w:rPr>
          <w:rFonts w:ascii="Times New Roman" w:hAnsi="Times New Roman"/>
          <w:sz w:val="24"/>
          <w:szCs w:val="24"/>
          <w:lang w:eastAsia="cs-CZ"/>
        </w:rPr>
        <w:t>ní</w:t>
      </w:r>
      <w:r w:rsidR="0000154D" w:rsidRPr="00B10323">
        <w:rPr>
          <w:rFonts w:ascii="Times New Roman" w:hAnsi="Times New Roman"/>
          <w:sz w:val="24"/>
          <w:szCs w:val="24"/>
          <w:lang w:eastAsia="cs-CZ"/>
        </w:rPr>
        <w:t xml:space="preserve"> – pracovní smlouva, dohoda apod.)</w:t>
      </w:r>
      <w:r w:rsidR="00B51990" w:rsidRPr="00B10323">
        <w:rPr>
          <w:rFonts w:ascii="Times New Roman" w:hAnsi="Times New Roman"/>
          <w:sz w:val="24"/>
          <w:szCs w:val="24"/>
          <w:lang w:eastAsia="cs-CZ"/>
        </w:rPr>
        <w:t>, v němž bude jednoznačně stanoven procentní podíl pracovní doby odpracované na projektu.</w:t>
      </w:r>
      <w:r w:rsidR="006405D4" w:rsidRPr="00B1032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405D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dokladu o zaměstnání musí být také uveden popis činností, které bude daný zaměstnanec na projektu vykonávat a v jakých pracovních balíčcích – </w:t>
      </w:r>
      <w:proofErr w:type="spellStart"/>
      <w:r w:rsidR="006405D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="006405D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05D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packages</w:t>
      </w:r>
      <w:proofErr w:type="spellEnd"/>
      <w:r w:rsidR="006405D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WP</w:t>
      </w:r>
      <w:r w:rsidR="006405D4" w:rsidRPr="00B1032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5"/>
      </w:r>
      <w:r w:rsidR="006405D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 V případě, že daný zaměstnanec pracuje ještě na jiném projektu, je třeba v dokumentu uvést i název tohoto projektu a zdroj financování, včetně procentuálního rozdělení času na jedno</w:t>
      </w:r>
      <w:r w:rsidR="009E291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tlivé projekty</w:t>
      </w:r>
      <w:r w:rsidR="006405D4" w:rsidRPr="00B1032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6"/>
      </w:r>
      <w:r w:rsidR="006405D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F5391" w:rsidRPr="00B10323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51990" w:rsidRPr="00B10323" w:rsidRDefault="00B51990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51990" w:rsidRPr="00B10323" w:rsidRDefault="00B51990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hAnsi="Times New Roman"/>
          <w:b/>
          <w:sz w:val="24"/>
          <w:szCs w:val="24"/>
          <w:lang w:eastAsia="cs-CZ"/>
        </w:rPr>
        <w:t>Částečný úvazek s pružným počtem odpracovaných hodin za měsíc (případ c)</w:t>
      </w:r>
    </w:p>
    <w:p w:rsidR="00D06524" w:rsidRPr="00B10323" w:rsidRDefault="00B5538E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D0652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vyúčtování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těchto osobních nákladů je nezbytně nutné, aby výsledky a pracovní hodiny odpracované na projektu byly kromě pracovní smlouvy doloženy navíc také výkazy práce/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(podepsanými </w:t>
      </w:r>
      <w:r w:rsidR="00B765E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osobou, která práci vykonala, i příjemcem</w:t>
      </w:r>
      <w:r w:rsidR="005533A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/zaměstnavatelem</w:t>
      </w:r>
      <w:r w:rsidR="00B765E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Výkazy</w:t>
      </w:r>
      <w:r w:rsidR="00B765E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práce/</w:t>
      </w:r>
      <w:proofErr w:type="spellStart"/>
      <w:r w:rsidR="00B765E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timesheety</w:t>
      </w:r>
      <w:proofErr w:type="spellEnd"/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pokrývat 100% pracovní doby daného zaměstnance pro danou organizaci (tedy i odpracované hodiny</w:t>
      </w:r>
      <w:r w:rsidR="00D0652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na projekt nevztahují</w:t>
      </w:r>
      <w:r w:rsidR="005533A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 hodiny odpracované na jiném projektu</w:t>
      </w:r>
      <w:r w:rsidR="00D0652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6F60C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4D4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programu CENTRAL je třeba, aby v </w:t>
      </w:r>
      <w:proofErr w:type="spellStart"/>
      <w:r w:rsidR="00384D4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timesheetu</w:t>
      </w:r>
      <w:proofErr w:type="spellEnd"/>
      <w:r w:rsidR="00384D4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 rozděleny odpracované hodiny i podle jednotlivých </w:t>
      </w:r>
      <w:proofErr w:type="spellStart"/>
      <w:r w:rsidR="00384D4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="00384D4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84D4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Packages</w:t>
      </w:r>
      <w:proofErr w:type="spellEnd"/>
      <w:r w:rsidR="00E74FA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/WP</w:t>
      </w:r>
      <w:r w:rsidR="00384D4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C22C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Vzor </w:t>
      </w:r>
      <w:proofErr w:type="spellStart"/>
      <w:r w:rsidR="00AC22C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timesheetu</w:t>
      </w:r>
      <w:proofErr w:type="spellEnd"/>
      <w:r w:rsidR="00AC22C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součástí </w:t>
      </w:r>
      <w:r w:rsidR="00E31EF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44A8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řílohy</w:t>
      </w:r>
      <w:r w:rsidR="00AC22C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Náležitostí dokladování</w:t>
      </w:r>
      <w:r w:rsidR="00E31EF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84D4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06524" w:rsidRPr="00B10323" w:rsidRDefault="00D06524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A15" w:rsidRPr="00B10323" w:rsidRDefault="00512A15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Proplácení osobních nákladů </w:t>
      </w:r>
      <w:r w:rsidR="006E0B7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(pro případ c)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probíhá na základě hodinové </w:t>
      </w:r>
      <w:r w:rsidR="00DE716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sazby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stanoví jedním z těchto způsobů:</w:t>
      </w:r>
    </w:p>
    <w:p w:rsidR="00512A15" w:rsidRPr="00B10323" w:rsidRDefault="00512A15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1691" w:rsidRPr="00B10323" w:rsidRDefault="00C21691" w:rsidP="0020456C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lastRenderedPageBreak/>
        <w:t>podílem měsíčních hrubých mzdových nákladů a měsíční pracovní doby stanovené v pracovní smlouvě (dokladu o zaměstnání) a vyjádřené v hodinách</w:t>
      </w:r>
      <w:r w:rsidR="006B606B" w:rsidRPr="00B10323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7"/>
      </w:r>
      <w:r w:rsidRPr="00B10323">
        <w:rPr>
          <w:rFonts w:ascii="Times New Roman" w:hAnsi="Times New Roman"/>
          <w:sz w:val="24"/>
          <w:szCs w:val="24"/>
          <w:lang w:eastAsia="cs-CZ"/>
        </w:rPr>
        <w:t>, nebo</w:t>
      </w:r>
    </w:p>
    <w:p w:rsidR="00DD6258" w:rsidRPr="00B10323" w:rsidRDefault="003930B3" w:rsidP="0020456C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t xml:space="preserve">podílem posledních doložených ročních hrubých </w:t>
      </w:r>
      <w:r w:rsidR="005C1C77" w:rsidRPr="00B10323">
        <w:rPr>
          <w:rFonts w:ascii="Times New Roman" w:hAnsi="Times New Roman"/>
          <w:sz w:val="24"/>
          <w:szCs w:val="24"/>
          <w:lang w:eastAsia="cs-CZ"/>
        </w:rPr>
        <w:t>mzdových nákladů (tj. mzdových nákladů za posledních 12 po sobě jdoucích měsíců) a 1720 hodin v souladu s čl. 68, odst. 2, nařízení (EU) č. 1303/2013.</w:t>
      </w:r>
      <w:r w:rsidR="00C67AA6" w:rsidRPr="00B10323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D7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2264" w:rsidRPr="00B10323" w:rsidRDefault="00872264" w:rsidP="00D7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Takto stanovená hodinová sazba se poté vynásobí počtem hodin skutečně odpracovaných na projektu.</w:t>
      </w:r>
    </w:p>
    <w:p w:rsidR="00EF11A2" w:rsidRPr="00B10323" w:rsidRDefault="00EF11A2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11A2" w:rsidRPr="00B10323" w:rsidRDefault="00EF11A2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povinen si</w:t>
      </w:r>
      <w:r w:rsidR="00E73AD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nákladů na zaměstnance pracující na projektu na částečný úvazek s pružným podílem hrubých mzdových nákladů v souladu s počtem hodin odpracovaných na projektu a měnících se každý měsíc</w:t>
      </w:r>
      <w:r w:rsidR="00E73AD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vybrat pro každého zaměstnance podílejícího se na realizaci projektu, jednu z tě</w:t>
      </w:r>
      <w:r w:rsidR="00AA015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chto dvou uvedených metod a tu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používat po celou dobu realizace projektu</w:t>
      </w:r>
      <w:r w:rsidRPr="00B1032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8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F11A2" w:rsidRPr="00B10323" w:rsidRDefault="00EF11A2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09D2" w:rsidRPr="00B10323" w:rsidRDefault="00DE09D2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Hodinová sazba (případ d)</w:t>
      </w:r>
    </w:p>
    <w:p w:rsidR="00DE09D2" w:rsidRPr="00B10323" w:rsidRDefault="00DE09D2" w:rsidP="00BD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Hodinová sazba uvedená v pracovní smlouvě (dokladu o zaměstnání) se vynásobí skutečně odpracovanou dobou na projektu. </w:t>
      </w:r>
      <w:r w:rsidR="00FB27D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 vyúčtování těchto osobních nákladů je nezbytně nutné, aby byly doloženy, kromě pracovní smlouvy, také výkazy práce/</w:t>
      </w:r>
      <w:proofErr w:type="spellStart"/>
      <w:r w:rsidR="00FB27D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timesheety</w:t>
      </w:r>
      <w:proofErr w:type="spellEnd"/>
      <w:r w:rsidR="00FB27D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(podepsanými osobou, která práci vykonala, i příjemcem).</w:t>
      </w:r>
    </w:p>
    <w:p w:rsidR="00ED7C33" w:rsidRPr="00B10323" w:rsidRDefault="00ED7C33" w:rsidP="005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40344" w:rsidRPr="00B10323" w:rsidRDefault="004302A6" w:rsidP="005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programu CENTRAL je u všech výše uvedených metod</w:t>
      </w:r>
      <w:r w:rsidR="00CD60E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(případ a) </w:t>
      </w:r>
      <w:proofErr w:type="gramStart"/>
      <w:r w:rsidR="00CD60E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až d) 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vykazování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mzdových výdajů</w:t>
      </w:r>
      <w:r w:rsidR="00D4034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nutné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dodat i tzv.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</w:t>
      </w:r>
      <w:r w:rsidR="00D4034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</w:t>
      </w:r>
      <w:r w:rsidR="00BD72E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přílohou č. 4b Implementačního manuálu. </w:t>
      </w:r>
      <w:proofErr w:type="spellStart"/>
      <w:r w:rsidR="00BD72E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</w:t>
      </w:r>
      <w:proofErr w:type="spellEnd"/>
      <w:r w:rsidR="00BD72E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D72E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="00BD72E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</w:t>
      </w:r>
      <w:r w:rsidR="00D4034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BD72E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usí obsahovat shrnutí práce jednotlivého zaměstnance na projektu, včetně dosažených výstupů za dané </w:t>
      </w:r>
      <w:proofErr w:type="spellStart"/>
      <w:r w:rsidR="00BD72E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BD72E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Tento dokument musí být podepsán zaměstnancem a jeho nadřízeným</w:t>
      </w:r>
      <w:r w:rsidR="00D4034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pracovníkem</w:t>
      </w:r>
      <w:r w:rsidR="00BD72E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302A6" w:rsidRPr="00B10323" w:rsidRDefault="00BD72E1" w:rsidP="005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D6258" w:rsidRPr="00B10323" w:rsidRDefault="00F57027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Paušální sazba</w:t>
      </w:r>
      <w:r w:rsidR="00DD6258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ED7C33" w:rsidRPr="00B10323" w:rsidRDefault="006D1535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náklady </w:t>
      </w:r>
      <w:r w:rsidR="00A8708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 nárokovat paušální sazbou u programů D</w:t>
      </w:r>
      <w:r w:rsidR="004E146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ANUBE a CENTRAL. Její výše činí 20 % z</w:t>
      </w:r>
      <w:r w:rsidR="001F4A9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E146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nárokovaných</w:t>
      </w:r>
      <w:r w:rsidR="001F4A9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přímých výdajů z těchto rozpočtových položek: cestovné a ubytování,</w:t>
      </w:r>
      <w:r w:rsidR="004E146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62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na exter</w:t>
      </w:r>
      <w:r w:rsidR="001F4A9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ní odborné poradenství a služby,</w:t>
      </w:r>
      <w:r w:rsidR="0035662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výdaje na vybavení a výdaje na infrastrukturu a práce</w:t>
      </w:r>
      <w:r w:rsidR="00ED7C3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D7C33" w:rsidRPr="00B10323" w:rsidRDefault="00ED7C33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CD3979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Detailní p</w:t>
      </w:r>
      <w:r w:rsidR="008E0B3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ožadavky na dokládání mzdových výdajů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jednotlivé programy jsou uvedeny v programových dokumentech uvedených v úvodu těchto Pokynů. Dále</w:t>
      </w:r>
      <w:r w:rsidR="008E0B3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požadavky na dokladování</w:t>
      </w:r>
      <w:r w:rsidR="008E0B3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uvedeny v  </w:t>
      </w:r>
      <w:r w:rsidR="008E0B32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Náležitost</w:t>
      </w:r>
      <w:r w:rsidR="00DE796D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ech</w:t>
      </w:r>
      <w:r w:rsidR="008E0B32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dokladování</w:t>
      </w:r>
      <w:r w:rsidR="00DE796D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E796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(ke stažení </w:t>
      </w:r>
      <w:hyperlink r:id="rId16" w:history="1">
        <w:r w:rsidR="00DE796D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 w:rsidR="00DE796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57F9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Partneři mají povinnost se s těmito požadavky seznámit.</w:t>
      </w:r>
      <w:r w:rsidR="0035662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D6258" w:rsidRPr="00B10323" w:rsidRDefault="00DD6258" w:rsidP="00D7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65EA" w:rsidRPr="00B10323" w:rsidRDefault="00F565EA" w:rsidP="00D7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Příklady výpočtu</w:t>
      </w:r>
      <w:r w:rsidR="00A071F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jednotlivé výše uvedené metody najdete v programových dokumentech: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71FE" w:rsidRPr="00B10323" w:rsidRDefault="00A071FE" w:rsidP="00A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EUROPE: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7" w:history="1"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Programový manuál</w:t>
        </w:r>
      </w:hyperlink>
      <w:r w:rsidR="00D475B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071FE" w:rsidRPr="00B10323" w:rsidRDefault="00A071FE" w:rsidP="00A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71FE" w:rsidRPr="00B10323" w:rsidRDefault="00A071FE" w:rsidP="00A071FE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CENTRAL EUROPE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8" w:history="1">
        <w:proofErr w:type="spellStart"/>
        <w:r w:rsidR="00024D5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="00024D5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024D5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  <w:r w:rsidR="00024D5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hyperlink>
      <w:r w:rsidR="00024D5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" w:history="1">
        <w:proofErr w:type="spellStart"/>
        <w:r w:rsidR="00024D5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Application</w:t>
        </w:r>
        <w:proofErr w:type="spellEnd"/>
        <w:r w:rsidR="00024D5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024D5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</w:p>
    <w:p w:rsidR="00A071FE" w:rsidRPr="00B10323" w:rsidRDefault="00A071FE" w:rsidP="00A071FE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71FE" w:rsidRPr="00B10323" w:rsidRDefault="00A071FE" w:rsidP="00A071FE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Program </w:t>
      </w:r>
      <w:proofErr w:type="spellStart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DANUBE: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20" w:history="1"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</w:t>
        </w:r>
        <w:r w:rsidR="00E63107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ject</w:t>
        </w:r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Implementation</w:t>
        </w:r>
        <w:proofErr w:type="spellEnd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="00E31EFC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  <w:r w:rsidR="00E31EFC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hyperlink>
      <w:r w:rsidR="00E31EFC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31EFC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="00E31EFC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31EFC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071FE" w:rsidRPr="00B10323" w:rsidRDefault="00A071FE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35" w:name="_Toc445447285"/>
      <w:r w:rsidRPr="00B1032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Publicita</w:t>
      </w:r>
      <w:bookmarkEnd w:id="35"/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partneři jsou povinni dostatečně zviditelňovat a prezentovat finanční účast evropských prostředků na realizaci projektu. Pravidla pro propagaci projektů financovaných v rámci Programu se řídí čl. 115 Nařízení Evropského parlamentu a Rady (EU) č. 1303/2013 a přílohou č. XII (čl. 2.2) tohoto Nařízení. Dále pak Prováděcím nařízením Komise (EU) č. 821/2014, kapitolou II a přílohou č. II tohoto Nařízení.  Zároveň každý program vypracoval manuál publicity, který je pro všechny příjemce klíčovým dokumentem v této oblasti a je třeba se jim řídit.  Jedná se o tyto dokumenty: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1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EUROPE – </w:t>
      </w:r>
      <w:hyperlink r:id="rId21" w:history="1">
        <w:proofErr w:type="spellStart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Interreg</w:t>
        </w:r>
        <w:proofErr w:type="spellEnd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Europe</w:t>
        </w:r>
        <w:proofErr w:type="spellEnd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Graphic</w:t>
        </w:r>
        <w:proofErr w:type="spellEnd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r w:rsidR="00943C2E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Identity</w:t>
        </w:r>
      </w:hyperlink>
      <w:r w:rsidR="00943C2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43C2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Guide</w:t>
      </w:r>
      <w:proofErr w:type="spellEnd"/>
    </w:p>
    <w:p w:rsidR="00DD6258" w:rsidRPr="00B10323" w:rsidRDefault="00DD6258" w:rsidP="0020456C">
      <w:pPr>
        <w:autoSpaceDE w:val="0"/>
        <w:autoSpaceDN w:val="0"/>
        <w:adjustRightInd w:val="0"/>
        <w:spacing w:after="160" w:line="259" w:lineRule="auto"/>
        <w:ind w:left="1080"/>
        <w:contextualSpacing/>
        <w:jc w:val="both"/>
        <w:rPr>
          <w:rFonts w:eastAsia="Times New Roman" w:cs="Times New Roman"/>
        </w:rPr>
      </w:pPr>
    </w:p>
    <w:p w:rsidR="00DD6258" w:rsidRPr="00B10323" w:rsidRDefault="00DD6258" w:rsidP="0020456C">
      <w:pPr>
        <w:numPr>
          <w:ilvl w:val="1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hyperlink r:id="rId22" w:history="1"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Project Brand </w:t>
        </w:r>
        <w:proofErr w:type="spellStart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1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Danube – </w:t>
      </w:r>
      <w:hyperlink r:id="rId23" w:history="1">
        <w:proofErr w:type="spellStart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Visual</w:t>
        </w:r>
        <w:proofErr w:type="spellEnd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Identity</w:t>
        </w:r>
        <w:r w:rsidR="007C2A20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Manual</w:t>
        </w:r>
        <w:proofErr w:type="spellEnd"/>
      </w:hyperlink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DTP </w:t>
      </w:r>
      <w:proofErr w:type="spellStart"/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projects</w:t>
      </w:r>
      <w:proofErr w:type="spellEnd"/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DTP </w:t>
      </w:r>
      <w:proofErr w:type="spellStart"/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webpage</w:t>
      </w:r>
      <w:proofErr w:type="spellEnd"/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User </w:t>
      </w:r>
      <w:proofErr w:type="spellStart"/>
      <w:r w:rsidR="007C2A20" w:rsidRPr="00B10323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</w:p>
    <w:p w:rsidR="0083743C" w:rsidRPr="00B10323" w:rsidRDefault="0083743C" w:rsidP="0020456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</w:p>
    <w:p w:rsidR="00DD6258" w:rsidRPr="00B10323" w:rsidRDefault="00DD6258" w:rsidP="00D7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jsou povinnosti v oblasti publicity ošetřeny v 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D6258" w:rsidRPr="00B10323" w:rsidRDefault="00DD6258" w:rsidP="00D7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20C9E" w:rsidRPr="00B10323" w:rsidRDefault="00DD6258" w:rsidP="002045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Každý projektový partner zodpovídá za zajištění propagace své části projektu</w:t>
      </w:r>
      <w:r w:rsidR="000C33D2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DD6258" w:rsidRPr="00B10323" w:rsidRDefault="00DD6258" w:rsidP="002045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Veškerá informační a propagační opatření musí zahrnovat tyto údaje:</w:t>
      </w:r>
    </w:p>
    <w:p w:rsidR="00E46D40" w:rsidRPr="00B10323" w:rsidRDefault="00E46D40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 programu (loga jednotlivých programů jsou uveřejněna na internetových stránkách </w:t>
      </w:r>
      <w:hyperlink r:id="rId24" w:history="1">
        <w:r w:rsidRPr="00B10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www.interregeurope.eu</w:t>
        </w:r>
      </w:hyperlink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5" w:history="1">
        <w:r w:rsidR="00920C9E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www.interreg-central.eu</w:t>
        </w:r>
      </w:hyperlink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6" w:history="1">
        <w:r w:rsidR="00920C9E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www.interreg-danube.eu</w:t>
        </w:r>
      </w:hyperlink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symbol Evropské unie v souladu s grafickými normami stanovenými v příloze II </w:t>
      </w: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Komise (EU) č. 821/2014, kterým se stanoví pravidla pro uplatňování nařízení (EU) č. 1303/2013 a odkaz</w:t>
      </w:r>
      <w:r w:rsidRPr="00B10323">
        <w:rPr>
          <w:rFonts w:eastAsia="Times New Roman" w:cs="Times New Roman"/>
          <w:vertAlign w:val="superscript"/>
        </w:rPr>
        <w:footnoteReference w:id="19"/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na Evropskou unii;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odkaz na Evropský fond pro regionální rozvoj (</w:t>
      </w:r>
      <w:proofErr w:type="spellStart"/>
      <w:r w:rsidR="00C247F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="00C247F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7F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</w:t>
      </w:r>
      <w:proofErr w:type="spellEnd"/>
      <w:r w:rsidR="00C247F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7F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  <w:r w:rsidR="00C247F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7F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Fund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F05DAA" w:rsidRPr="00B10323" w:rsidRDefault="00F05DAA" w:rsidP="0020456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</w:p>
    <w:p w:rsidR="00E46D40" w:rsidRPr="00B10323" w:rsidRDefault="00E46D40" w:rsidP="0020456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</w:p>
    <w:p w:rsidR="00DD6258" w:rsidRPr="00B10323" w:rsidRDefault="00DD6258" w:rsidP="00D7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všech výše uvedených programů </w:t>
      </w:r>
      <w:r w:rsidR="005C0C9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ídící orgány zapracoval</w:t>
      </w:r>
      <w:r w:rsidR="006D226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logo EU a odkaz na ERDF do programového loga, které tak splňuje požadavky na publicitu. Na stránkách Programů jsou k dispozici (ke stažení) loga programu s logem EU, </w:t>
      </w:r>
      <w:r w:rsidR="006D226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jejichž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 garantuje splnění všech výše uvedených náležitostí (technické vlastnosti zobrazení znaku Unie je dáno čl. 4 </w:t>
      </w: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Komise (EU) č. 821/2014 ). </w:t>
      </w:r>
    </w:p>
    <w:p w:rsidR="00DD6258" w:rsidRPr="00B10323" w:rsidRDefault="00DD6258" w:rsidP="00D7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6D6F" w:rsidRPr="00B10323" w:rsidRDefault="00076D6F" w:rsidP="0007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DANUBE není v logu uveden odkaz na ERDF, protože program je financován z více fondů. V tomto případě je povinností příjemců uvést odkaz na konkrétní fond (ERDF) nebo alespoň odkaz „Project co-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funded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Union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funds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(ERDF, IPA, ENI)”. </w:t>
      </w:r>
    </w:p>
    <w:p w:rsidR="00076D6F" w:rsidRPr="00B10323" w:rsidRDefault="00076D6F" w:rsidP="00D7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D7228E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 věnovat pozornost také barevnému provedení propagačních opatření. Použitá loga mají přesné barevné náležitosti a to jak ve verzi barevné</w:t>
      </w:r>
      <w:r w:rsidR="006D226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černobílé. Předepsané barvy a grafické normy jsou uvedené v příloze č. II </w:t>
      </w: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Komise (EU) č. 821/2014 nebo na stránkách Programů.</w:t>
      </w:r>
    </w:p>
    <w:p w:rsidR="00DD6258" w:rsidRPr="00B10323" w:rsidRDefault="00DD6258" w:rsidP="00D7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jde o malé propagační předměty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0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(tužky, USB apod.)</w:t>
      </w:r>
      <w:r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povinné použití odkazu na ERDF.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6D40" w:rsidRPr="00B10323" w:rsidRDefault="00E46D40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Pravidla pro správné zajištění publicity projektu </w:t>
      </w:r>
    </w:p>
    <w:p w:rsidR="00E46D40" w:rsidRPr="00B10323" w:rsidRDefault="00E46D40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Projektoví partneři zvolí vhodnou formu propagace odpovídající charakteru projektu tak, aby bylo zajištěno, že cílové skupiny budou informovány o tom, že projekt je realizován v rámci Programu, který je spolufinancován z Evropského fondu pro regionální rozvoj.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na publicitu jsou způsobilé k financování z ERDF, pokud jsou zahrnuty v rozpočtu projektu a splňují pravidla výše uvedená.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partner je povinen Kontrolorovi doložit, jakým způsobem propagoval svou část projektu. Ke kontrole výdajů je</w:t>
      </w:r>
      <w:r w:rsidR="0074695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třeba předložit fotodokumentaci pořízenou v průběhu konání akcí (na CD) a ukázky propagačních materiálů/předmětů. Veškeré propagační aktivity budou popsány ve zprávě o průběhu projektu.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Publicita se posuzuje z následujících hledisek: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jednotlivých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výstupů projektu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výstupem projektu se rozumí to, co slouží k naplnění cílů projektu (např. vydaná publikace, mapa, kulturní akce, školení, postavená infrastruktura, pořízené zařízení apod.). Projekt může mít více výstupů a v tom případě se povinná publicita posuzuje u každého samostatně. Cílem je posoudit, zda byla veřejnost či účastníci akce informováni o zdrojích financování daného výstupu projektu, a pokud ano, zda tyto informace splňovaly veškeré náležitosti povinné publicity;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jednotlivých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prostředků (nosičů) publicity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prostředkem publicity se rozumí např. plakáty, letáky, pozvánky apod., tj. předměty, jejichž cílem je upoutat pozornost veřejnosti a potenciálních účastníků na daný projekt, resp. jeho dílčí výstupy. Posuzuje se, zda tyto prostředky publicity obsahují veškeré náležitosti povinné publicity;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propagačních předmětů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propagačním předmětem se rozumí předměty, které nejsou z hlediska naplnění cílů projektů nezbytné, ale jejich přidaná hodnota spočívá v posílení povědomí o projektu. Opět se posuzuje, zda obsahují veškeré náležitosti povinné publicity. Stejným způsobem jako propagační předměty se posuzují i dary, ceny v soutěžích apod.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 za nedodržení pravidel publicity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nedodržení pravidel publicity může být na příslušného partnera uvalena sankce. Pro účely sankcí jsou porušení rozdělena do 3 kategorií: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Arial" w:eastAsia="Times New Roman" w:hAnsi="Arial" w:cs="Arial"/>
          <w:color w:val="000000"/>
          <w:sz w:val="16"/>
          <w:szCs w:val="16"/>
          <w:lang w:eastAsia="cs-CZ"/>
        </w:rPr>
        <w:lastRenderedPageBreak/>
        <w:t xml:space="preserve">- </w:t>
      </w:r>
      <w:r w:rsidRPr="00B1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publicita úplně chybí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tj. nejsou provedena žádná z výše uvedených opatření, která mají informovat o finanční podpoře z Programu;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B1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publicita je nekompletní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opatření zajišťující informovanost o finanční podpoře z Programu jsou provedena, ovšem neobsahují veškeré náležitosti, které jsou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stanoveny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2.2, Přílohy XII Nařízení (EU) č. 1303/2013 rozšířené o požadavky Programu, tj.: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uvedení loga EU vč. odkazu na Evropskou unii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uvedení odkazu na ERDF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footnoteReference w:id="21"/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(pokud se nejedná o malý propagační předmět),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uvedení loga programu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uvedení názvu projektu, cílů projektu, případně dalších informací o projektu, pokud jsou vyžadovány (v případě dočasného billboardu, trvalé pamětní desky, plakátu A3, internetových stran – viz programová dokumentace jednotlivých programů)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B1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publicita je nepředpisová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opatření zajišťující informovanost o finanční podpoře z Programu nesplňují náležitosti uvedené v čl. 4 </w:t>
      </w:r>
      <w:proofErr w:type="gramStart"/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(EU) č. 821/2014 a Příloze II tohoto Nařízení, tj.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nejsou dodrženy grafické standardy a pravidla pro barevné provedení loga, </w:t>
      </w:r>
      <w:r w:rsidR="00765901"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používání fontů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písma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nejsou dodržena pravidla pro umístění loga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nejsou dodržena pravidla týkající se velikosti loga a v případě dočasných billboardů a trvalých pamětních desek podílu plochy, které mají informace o projektu vč. loga zaujímat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sankce v případě nedodržení publicity u konkrétního </w:t>
      </w:r>
      <w:r w:rsidRPr="00B1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výstupu projektu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pochybení je rozděleno dle závažnosti na 3 skupiny a ke každé skupině je stanoveno %, o které se krátí způsobilé výdaje přímo vynaložené v souvislosti s pořízením výstupu</w:t>
      </w:r>
      <w:r w:rsidRPr="00B1032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footnoteReference w:id="22"/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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publicita úplně chybí – způsobilé výdaje se krátí ve výši 5 %,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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publicita je nekompletní (nesplňuje všechny náležitosti uvedené v čl. 2.2, Přílohy XII Nařízení (EU) č. 1303/2013 – způsobilé výdaje se krátí ve výši 3 %,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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publicita je nepředpisová (nesplňuje náležitosti uvedené v čl. 4 </w:t>
      </w:r>
      <w:proofErr w:type="gramStart"/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(EU) č. 821/2014 a Příloze II tohoto Nařízení – způsobilé výdaje se krátí o 1 %.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b) sankce v případě nedodržení publicity u konkrétního </w:t>
      </w:r>
      <w:r w:rsidRPr="00B1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prostředku (nosiče) publicity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pochybení je rozděleno dle závažnosti na 3 skupiny a ke každé skupině je stanoveno %, o které se krátí způsobilé výdaje na daný prostředek publicity: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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publicita úplně chybí – způsobilé výdaje se krátí ve výši 50 %,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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publicita je nekompletní (tj. nesplňuje všechny náležitosti uvedené čl. 2.2, Přílohy XII Nařízení (EU) č. 1303/2013 – způsobilé výdaje se krátí ve výši 25 %,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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publicita je nepředpisová (tj. nesplňuje náležitosti uvedené v čl. 4 </w:t>
      </w:r>
      <w:proofErr w:type="gramStart"/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(EU) č. 821/2014 a Příloze II tohoto Nařízení – způsobilé výdaje se krátí ve výši 15 %.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c) sankce v případě nedodržení publicity u </w:t>
      </w:r>
      <w:r w:rsidRPr="00B1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propagačního předmětu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pochybení je rozděleno dle závažnosti na 3 skupiny a ke každé skupině je stanoveno %, o které se krátí způsobilé výdaje na daný propagační předmět: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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publicita úplně chybí – způsobilé výdaje se krátí ve výši 100 %,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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publicita je nekompletní (tj. nesplňuje všechny náležitosti uvedené čl. 2.2, Přílohy XII Nařízení (EU) č. 1303/2013 – způsobilé výdaje se krátí ve výši 50 %, 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258" w:rsidRPr="00B10323" w:rsidRDefault="00DD6258" w:rsidP="00532416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 </w:t>
      </w:r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publicita je nepředpisová (tj. nesplňuje náležitosti uvedené v čl. 4 </w:t>
      </w:r>
      <w:proofErr w:type="gramStart"/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Prováděcího</w:t>
      </w:r>
      <w:proofErr w:type="gramEnd"/>
      <w:r w:rsidRPr="00B10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(EU) č. 821/2014 a Příloze II tohoto Nařízení – způsobilé výdaje se krátí ve výši 25 %. </w:t>
      </w:r>
    </w:p>
    <w:p w:rsidR="00DD6258" w:rsidRPr="00B10323" w:rsidRDefault="00DD6258" w:rsidP="002045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36" w:name="_Toc445447286"/>
      <w:r w:rsidRPr="00B1032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Postup předkládání zprávy o průběhu projektu a výdajů ke kontrole</w:t>
      </w:r>
      <w:bookmarkEnd w:id="36"/>
    </w:p>
    <w:p w:rsidR="00DD6258" w:rsidRPr="00B10323" w:rsidRDefault="00DD6258" w:rsidP="0020456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proofErr w:type="gramStart"/>
      <w:r w:rsidRPr="00B10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6.A.</w:t>
      </w:r>
      <w:proofErr w:type="gramEnd"/>
      <w:r w:rsidRPr="00B10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K vaší první kontrole předložte: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Kopii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příloh, kopii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kopii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="0013283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nejsou aktuální verze nahrány v monitorovacím systému programu</w:t>
      </w:r>
      <w:r w:rsidR="000940F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0940F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="000940F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940F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iOLF</w:t>
      </w:r>
      <w:proofErr w:type="spellEnd"/>
      <w:r w:rsidR="000940F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3283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20456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a) u neplátců DPH: Čestné prohlášení, že nejste plátci DPH</w:t>
      </w:r>
    </w:p>
    <w:p w:rsidR="00DD6258" w:rsidRPr="00B10323" w:rsidRDefault="00DD6258" w:rsidP="0020456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b) u plátců DPH: Registraci plátce DPH (stačí kopie); v případě nárokování DPH, jako způsobilého výdaje, prohlášení, že nemá nárok na odpočet DPH v rámci svého daňového přiznání. </w:t>
      </w:r>
    </w:p>
    <w:p w:rsidR="00DD6258" w:rsidRPr="00B10323" w:rsidRDefault="00DD6258" w:rsidP="0042467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Detailní rozpočet jednotlivého projektového partnera dle rozpočtových kapitol a u programu CENTRAL i dle WP, pokud nebyl předložen jako součást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Agreementu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není součástí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(vzorový formát viz </w:t>
      </w:r>
      <w:r w:rsidR="0022696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říloha č. </w:t>
      </w:r>
      <w:r w:rsidR="00FF7D9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A3A2A" w:rsidRPr="00B10323" w:rsidRDefault="009A3A2A" w:rsidP="0020456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Přílohu č. </w:t>
      </w:r>
      <w:r w:rsidR="00116B0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Přehled realizovaných a předpokládaných ZŘ</w:t>
      </w:r>
    </w:p>
    <w:p w:rsidR="00DD6258" w:rsidRPr="00B10323" w:rsidRDefault="00DD6258" w:rsidP="0020456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Předložit Přehled zaměstnanců projektu (vzorový formát </w:t>
      </w:r>
      <w:r w:rsidR="0022696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říloha č. </w:t>
      </w:r>
      <w:r w:rsidR="0022696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příp. jiný vlastní formát se stejnou vypovídací schopností)    </w:t>
      </w:r>
    </w:p>
    <w:p w:rsidR="00DD6258" w:rsidRPr="00B10323" w:rsidRDefault="00DD6258" w:rsidP="0020456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DD6258" w:rsidRPr="00B10323" w:rsidRDefault="00DD6258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proofErr w:type="gramStart"/>
      <w:r w:rsidRPr="00B10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6.B.</w:t>
      </w:r>
      <w:proofErr w:type="gramEnd"/>
      <w:r w:rsidRPr="00B10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Při první a každé další kontrole projektového partnera budeme požadovat: </w:t>
      </w:r>
    </w:p>
    <w:p w:rsidR="00DD6258" w:rsidRPr="00B10323" w:rsidRDefault="00DD6258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cs-CZ"/>
        </w:rPr>
      </w:pPr>
    </w:p>
    <w:p w:rsidR="00DD6258" w:rsidRPr="00B10323" w:rsidRDefault="00DD6258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byly schváleny změny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Subsidy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ontract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greement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třeba </w:t>
      </w: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předložit  aktuální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verzi těchto dokumentů</w:t>
      </w:r>
      <w:r w:rsidR="00811EF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4D6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1EF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tyto aktualizované dokumenty nejsou</w:t>
      </w:r>
      <w:r w:rsidR="00A04D6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uložen</w:t>
      </w:r>
      <w:r w:rsidR="00811EF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A04D6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monitorovacím systému programu</w:t>
      </w:r>
      <w:r w:rsidR="006962F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je třeba doložit</w:t>
      </w:r>
      <w:r w:rsidR="00811EF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</w:t>
      </w:r>
      <w:r w:rsidR="006962F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kopii</w:t>
      </w:r>
      <w:r w:rsidR="00A04D6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D6258" w:rsidRPr="00B10323" w:rsidRDefault="009A3A2A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změny aktualizovanou p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řílohu č. </w:t>
      </w:r>
      <w:r w:rsidR="00E137F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Přehled realizovaných a předpokládaných ZŘ</w:t>
      </w:r>
    </w:p>
    <w:p w:rsidR="00DD6258" w:rsidRPr="00B10323" w:rsidRDefault="00DD6258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změny aktualizovanou </w:t>
      </w:r>
      <w:r w:rsidR="00E137F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řílohu č. </w:t>
      </w:r>
      <w:r w:rsidR="00E137F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6 – přehled zaměstnanců projektu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11BB7" w:rsidRPr="00B10323" w:rsidRDefault="00863480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 programu IE</w:t>
      </w:r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třeba předložit zprávu o průběhu projektu/Partner report, jejíž součástí je i soupiska/List </w:t>
      </w:r>
      <w:proofErr w:type="spellStart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List </w:t>
      </w:r>
      <w:proofErr w:type="spellStart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monitorovacího systému programu – </w:t>
      </w:r>
      <w:proofErr w:type="spellStart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iOLF</w:t>
      </w:r>
      <w:proofErr w:type="spellEnd"/>
      <w:r w:rsidR="003310D7" w:rsidRPr="00B1032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3"/>
      </w:r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 Popis aktivit  uvedených v </w:t>
      </w:r>
      <w:proofErr w:type="gramStart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</w:t>
      </w:r>
      <w:proofErr w:type="gramEnd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musí korespondo</w:t>
      </w:r>
      <w:r w:rsidR="00A57B2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vat s účelem a aktivitou uvedených</w:t>
      </w:r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Soupisce výdajů/List </w:t>
      </w:r>
      <w:proofErr w:type="spellStart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Partner report projektu předkládá partner vždy za každé </w:t>
      </w:r>
      <w:proofErr w:type="spellStart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3310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a to i v případě, že v daném období neuplatňuje žádné výdaje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11BB7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třeba předložit zprávu o průběhu projektu/Partner report, jejíž součástí je</w:t>
      </w:r>
      <w:r w:rsidR="006003F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soupiska/List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monitorovacího systému programu –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="000A1769" w:rsidRPr="00B1032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4"/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 Popis aktivit  uvedených v </w:t>
      </w: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</w:t>
      </w:r>
      <w:r w:rsidR="006003F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korespondovat s účelem a aktivitou uvedené v Soupisce výdajů/List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Partner report projektu předkládá partner vždy za každé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a to i v případě, že v daném období neuplatňuje žádné výdaje.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80043" w:rsidRPr="00B10323" w:rsidRDefault="00280043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programu DANUBE je třeba předložit zprávu o průběhu projektu/Partner report, jejíž součástí je i soupiska /List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monitorovacího systému programu</w:t>
      </w:r>
      <w:r w:rsidR="003D6B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 Popis aktivit  uvedených v </w:t>
      </w:r>
      <w:proofErr w:type="gramStart"/>
      <w:r w:rsidR="003D6B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</w:t>
      </w:r>
      <w:proofErr w:type="gramEnd"/>
      <w:r w:rsidR="003D6B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musí korespondovat s účelem a aktivitou uvedené v Soupisce výdajů/List </w:t>
      </w:r>
      <w:proofErr w:type="spellStart"/>
      <w:r w:rsidR="003D6B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D6B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D6B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3D6B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C664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report projektu předkládá partner vždy za každé </w:t>
      </w:r>
      <w:proofErr w:type="spellStart"/>
      <w:r w:rsidR="000C664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0C664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a to i v případě, že v daném období neuplatňuje žádné výdaje</w:t>
      </w:r>
      <w:r w:rsidR="00A023C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D6258" w:rsidRPr="00B10323" w:rsidRDefault="00DD6258" w:rsidP="0020456C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změnách kontaktních údajů partnera, statutárního zástupce nebo kontaktní osoby, </w:t>
      </w:r>
      <w:r w:rsidRPr="00B103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aktuálně platný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podle rozpočtových kapitol a u programu CENTRAL i dle WP (v případě změn). Pokud dojde k překročení v některé </w:t>
      </w:r>
      <w:r w:rsidR="0029227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kapitole nebo WP u programu CENTRAL, je třeba doložit i písemný souhlas LP s překročením. </w:t>
      </w:r>
    </w:p>
    <w:p w:rsidR="00A93188" w:rsidRPr="00B10323" w:rsidRDefault="009D6716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IE </w:t>
      </w:r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soupiska výdajů/List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Partner report. List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předkládá jako součást Partner report prostřednictvím monitorovacího systému programu -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iOLF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List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seznam všech výdajů předkládaných ke kontrole, které byly v daném monitorovacím období uskutečněny. V případě, že partner předkládá </w:t>
      </w:r>
      <w:r w:rsidR="008A491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ist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dvě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bude </w:t>
      </w:r>
      <w:r w:rsidR="008A491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ist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obsahovat výdaje za obě období.  </w:t>
      </w:r>
      <w:r w:rsidR="00252399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252399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5239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780935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program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soupiska výdajů/List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Partner report. 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předkládá jako </w:t>
      </w:r>
      <w:r w:rsidR="00852AC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 Partner report prostřednictvím monitorovacího systému programu - </w:t>
      </w:r>
      <w:proofErr w:type="spellStart"/>
      <w:r w:rsidR="00852AC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eMS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seznam všech výdajů předkládaných ke kontrole, které byly v daném monitorovacím období uskutečněny. V případě, že partner předkládá </w:t>
      </w:r>
      <w:r w:rsidR="00852AC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852AC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52AC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52AC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dvě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bude 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obsahovat výdaje za obě období. 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D6258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023C5" w:rsidRPr="00B10323" w:rsidRDefault="00A023C5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program DANUBE je soupiska výdajů/List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Partner report 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předkládá jako součást Partner report prostřednictvím monitorovacího systému programu. List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seznam všech výdajů předkládaných ke kontrole, které byly v daném monitorovacím období uskutečněny. </w:t>
      </w:r>
      <w:r w:rsidR="00011EA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partner </w:t>
      </w:r>
      <w:r w:rsidR="0099220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jednom </w:t>
      </w:r>
      <w:proofErr w:type="spellStart"/>
      <w:r w:rsidR="0099220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="0099220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nepředkládá výdaje ke kontrole, má povinnost </w:t>
      </w:r>
      <w:r w:rsidR="00CD3D4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předložit </w:t>
      </w:r>
      <w:r w:rsidR="0099220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následujícím </w:t>
      </w:r>
      <w:proofErr w:type="spellStart"/>
      <w:r w:rsidR="0099220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="00CD3D4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  <w:r w:rsidR="0058629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 s aktuálním</w:t>
      </w:r>
      <w:r w:rsidR="00011EA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report a List </w:t>
      </w:r>
      <w:proofErr w:type="spellStart"/>
      <w:r w:rsidR="00011EA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011EA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11EA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E80D7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7D0B4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tzn.</w:t>
      </w:r>
      <w:r w:rsidR="00E80D7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partner report + 2 x list </w:t>
      </w:r>
      <w:proofErr w:type="spellStart"/>
      <w:r w:rsidR="00E80D7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80D7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80D7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7D0B4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80D7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každé období zvlášť).</w:t>
      </w:r>
    </w:p>
    <w:p w:rsidR="00DD6258" w:rsidRPr="00B10323" w:rsidRDefault="006E04A6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Kopie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originálů účetních dokladů, včetně podpůrné dokumentace (dle možnosti a druhu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kopie, v relevantních případech i originál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 roztříděné ve složce podle rozpočtových kapitol a opatřených razítkem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5"/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identifikací projektu. Partner předkládá doklady dle pokynů uveden</w:t>
      </w:r>
      <w:r w:rsidR="00E978E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Náležitost</w:t>
      </w:r>
      <w:r w:rsidR="00E978E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dokladování</w:t>
      </w:r>
      <w:r w:rsidR="00E978E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(ke stažení </w:t>
      </w:r>
      <w:hyperlink r:id="rId27" w:history="1">
        <w:r w:rsidR="00E978E5" w:rsidRPr="00B1032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 w:rsidR="00E978E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2700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programové dokumentac</w:t>
      </w:r>
      <w:r w:rsidR="00E978E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</w:t>
      </w:r>
      <w:bookmarkStart w:id="37" w:name="_GoBack"/>
      <w:bookmarkEnd w:id="37"/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jsou specifikovány pro jednotlivé druhy výdajů. Z každé kopie dokladu musí být identifikovatelné, že jeho originál byl projektovým partnerem označen názvem programu, číslem a akronymem/názvem projektu, dále pod jakým číslem je originál evidován v účetnictví příjemce a na které středisko (oddělenou účetní evidenci) je zaúčtován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6"/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 Kopie dokladů musí být uspořádány ve složkách (šanonech) tak, aby bylo možné snadno vyjímat jednotlivé doklady. Kopie dokladů musí být číslované v souladu s předloženou Soupiskou výdajů</w:t>
      </w:r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takto seřazeny a roztříděny dle rozpočtových kapitol. Pokud složka neobsahuje předepsané uspořádání, je pobočka oprávněna vrátit žádost o certifikaci partnerovi.</w:t>
      </w:r>
    </w:p>
    <w:p w:rsidR="00DD6258" w:rsidRPr="00B10323" w:rsidRDefault="00DD6258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Výstupní sestavu dokládající zaúčtování účetních dokladů analyticky na projekt (oddělený účetní systém pro projekt, např. na středisko). Jednotlivé doklady uvedené v</w:t>
      </w:r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oupisce</w:t>
      </w:r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identifikovatelné na této sestavě. Postačí odevzdat jednu kopii podepsanou odpovědným pracovníkem. </w:t>
      </w:r>
    </w:p>
    <w:p w:rsidR="00DD6258" w:rsidRPr="00B10323" w:rsidRDefault="00DD6258" w:rsidP="00B93E4D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předložením výdajů </w:t>
      </w:r>
      <w:r w:rsidR="008235B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ontrolorovi se doporučuje si výdaje nechat předem odsouhlasit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partnerem zejména dle roztřídění na WP u programu CENTRAL, aby nedocházelo k dodatečným požadavkům na opravy certifikace na základě požadavku LP. Opravy již vydaných certifikátů budou prováděny jen na základě stanoviska – písemného požadavku </w:t>
      </w:r>
      <w:r w:rsidR="008E6CF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sekretariátu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(stačí zaslat mailem tzv. „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clarification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request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 Pro účely předkládání výdajů ke kontrole jsou uveřejněny Náležitosti dokladování na webových stránkách </w:t>
      </w:r>
      <w:r w:rsidR="00E978E5" w:rsidRPr="00B10323">
        <w:t>http://</w:t>
      </w:r>
      <w:proofErr w:type="gramStart"/>
      <w:r w:rsidR="00E978E5" w:rsidRPr="00B10323">
        <w:t>www</w:t>
      </w:r>
      <w:proofErr w:type="gramEnd"/>
      <w:r w:rsidR="00E978E5" w:rsidRPr="00B10323">
        <w:t>.</w:t>
      </w:r>
      <w:proofErr w:type="gramStart"/>
      <w:r w:rsidR="00E978E5" w:rsidRPr="00B10323">
        <w:t>crr</w:t>
      </w:r>
      <w:proofErr w:type="gramEnd"/>
      <w:r w:rsidR="00E978E5" w:rsidRPr="00B10323">
        <w:t>.cz/cs/eus/nalezitosti-dokladovani/</w:t>
      </w:r>
      <w:r w:rsidR="008F2C9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978E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podkladem pro vyhotovení Soupisky výdajů</w:t>
      </w:r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doložení způsobilosti výdajů. Českým partnerům se doporučuje při prvním zpracování Finanční Soupisky výdajů</w:t>
      </w:r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kontaktovat/navštívit místně příslušného Kontrolora za účelem ověření dodržení postupů uvedených v Náležitostech dokladování a řádného vyplnění Soupisky výdajů</w:t>
      </w:r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D6258" w:rsidRPr="00B10323" w:rsidRDefault="00DD6258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o shodě kopií účetních dokladů a podpůrné dokumentace s originály těchto dokumentů</w:t>
      </w:r>
    </w:p>
    <w:p w:rsidR="00DD6258" w:rsidRPr="00B10323" w:rsidRDefault="00DD6258" w:rsidP="0020456C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došlo ke změně některých podstatných skutečností, např. změna z neplátce na plátce DPH a naopak - doklad o novém stavu. V případě překročení rozpočtu, rozpočtových kapitol - souhlas LP se změnou rozpočtu, apod.</w:t>
      </w:r>
    </w:p>
    <w:p w:rsidR="00DD6258" w:rsidRPr="00B10323" w:rsidRDefault="00DD6258" w:rsidP="002045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DD6258" w:rsidP="002045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proofErr w:type="gramStart"/>
      <w:r w:rsidRPr="00B10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6.C.</w:t>
      </w:r>
      <w:proofErr w:type="gramEnd"/>
      <w:r w:rsidRPr="00B10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Postup</w:t>
      </w:r>
    </w:p>
    <w:p w:rsidR="00DD6258" w:rsidRPr="00B10323" w:rsidRDefault="00DD6258" w:rsidP="002045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DD6258" w:rsidRPr="00B10323" w:rsidRDefault="00DD6258" w:rsidP="002045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557E04" w:rsidP="00557E04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Zašlete či přivezte všechny potřebné podklady k provedení kontroly (viz výše, včetně dokumentů uvedených v Náležitostech </w:t>
      </w: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dokladování ).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Kontakty</w:t>
      </w:r>
      <w:proofErr w:type="gramEnd"/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naleznete na webových stránkách </w:t>
      </w:r>
      <w:hyperlink r:id="rId28" w:history="1">
        <w:r w:rsidR="00DD6258" w:rsidRPr="00B10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www.crr.cz</w:t>
        </w:r>
      </w:hyperlink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 v Příloze č. 3 těchto Pokynů. Partne</w:t>
      </w:r>
      <w:r w:rsidR="007B350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ři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31D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povinnost předložit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podklady ke kontrole </w:t>
      </w:r>
      <w:r w:rsidR="00DD6258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nejpozději 15 dní po skončení každého </w:t>
      </w:r>
      <w:proofErr w:type="spellStart"/>
      <w:r w:rsidR="00DD6258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reportovacího</w:t>
      </w:r>
      <w:proofErr w:type="spellEnd"/>
      <w:r w:rsidR="00DD6258"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období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 aby LP mohl předložit podklady za celý projekt společnému sekretariátu/řídícímu orgánu do 3 měsíců od konce </w:t>
      </w:r>
      <w:proofErr w:type="spellStart"/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84260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nepředložení všech podkladů a dokumentů ke kontrole ze strany příjemců do 15 dní od konce </w:t>
      </w:r>
      <w:proofErr w:type="spellStart"/>
      <w:r w:rsidR="0084260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84260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období, neručí Centrum, že bude kontrola ukončena do 3 měsíců od konce </w:t>
      </w:r>
      <w:proofErr w:type="spellStart"/>
      <w:r w:rsidR="0084260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84260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3820A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Dodržení lhůty z velké části závisí</w:t>
      </w:r>
      <w:r w:rsidR="0074125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="003820A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kompletnosti a kvalitě předložených dokumentů ze strany partnerů. V případě, kdy předložené dokumenty vykazují řadu nedostatků</w:t>
      </w:r>
      <w:r w:rsidR="0070073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4125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nemůže Centrum/Kontrolor zaručit, že výdaje budou </w:t>
      </w:r>
      <w:proofErr w:type="spellStart"/>
      <w:r w:rsidR="0074125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odkontrolovány</w:t>
      </w:r>
      <w:proofErr w:type="spellEnd"/>
      <w:r w:rsidR="0074125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 měsíců od konce </w:t>
      </w:r>
      <w:proofErr w:type="spellStart"/>
      <w:r w:rsidR="0074125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reportovacího</w:t>
      </w:r>
      <w:proofErr w:type="spellEnd"/>
      <w:r w:rsidR="0074125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 </w:t>
      </w:r>
      <w:r w:rsidR="003820A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E8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zajištění včasného potvrzení výdajů ze strany Kontrolorů je nezbytné, aby příjemci předkládali dokumentaci kompletní a včas. </w:t>
      </w:r>
      <w:r w:rsidR="003820A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260D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D6258" w:rsidRPr="00B10323" w:rsidRDefault="00DD6258" w:rsidP="0020456C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Kontrolora výdajů musí být provedena </w:t>
      </w:r>
      <w:r w:rsidR="00733506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ontrolorem maximálně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60 dní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jejich kompletního předložení partnerem.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předložení výdajů ke kontrole provede </w:t>
      </w:r>
      <w:r w:rsidR="006C31D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ontrolor nejdříve kontrolu kompletnosti podkladů do 5 </w:t>
      </w:r>
      <w:r w:rsidR="00F657C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pracovních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dní od jejich obdržení. V případě, že podklady nejsou kompletní, vyzve </w:t>
      </w:r>
      <w:r w:rsidR="006C31D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ontrolor partnera k doložení chybějících dokumentů a lhůta pro kontrolu začíná běžet až v okamžiku, kdy je dokumentace úplná.  Pokud nastanou při kontrole nejasnosti</w:t>
      </w:r>
      <w:r w:rsidR="00DC301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 které není možné některé výdaje schválit jako způsobilé, požádá kontrolor partnera o doplnění/vysvětlení ve lhůtě 5 </w:t>
      </w:r>
      <w:r w:rsidR="00F657C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</w:t>
      </w:r>
      <w:r w:rsidR="00DC301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dní. Pokud v této lhůtě</w:t>
      </w:r>
      <w:r w:rsidR="00400EA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nedostatek neodstr</w:t>
      </w:r>
      <w:r w:rsidR="0074125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aní, vyzve jej Kontrolor opakovaně</w:t>
      </w:r>
      <w:r w:rsidR="00400EA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doplnění/vysvětlení, a to ve lhůtě 5 </w:t>
      </w:r>
      <w:r w:rsidR="00F657C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</w:t>
      </w:r>
      <w:r w:rsidR="00400EA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dní. Pokud </w:t>
      </w:r>
      <w:r w:rsidR="00F00FF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ani v tomto případě není nedostatek odstraněn, je výdaj odložen.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Kontrolor</w:t>
      </w:r>
      <w:r w:rsidR="00F00FF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</w:t>
      </w:r>
      <w:r w:rsidR="003B36E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0FF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ví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Certifikát pouze na výdaje, u kterých nedostatky nejsou, pokud je možné na jejich základě Certifikát výdajů vystavit.</w:t>
      </w:r>
      <w:r w:rsidR="00016FD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0FFA" w:rsidRPr="00B10323" w:rsidRDefault="006B6B4B" w:rsidP="0020456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byl výdaj odložen, má partner možnost uplatnit takový výdaj v následujícím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reportovacím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období.</w:t>
      </w:r>
      <w:r w:rsidR="00857F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tomto případě má partner povinnost přepočítat</w:t>
      </w:r>
      <w:r w:rsidR="003A2E6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</w:t>
      </w:r>
      <w:r w:rsidR="00857F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kurzem aktuální </w:t>
      </w:r>
      <w:r w:rsidR="000907C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57F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oupisky/</w:t>
      </w:r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6E2FD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7F1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(tedy ne původním kurzem, ale kurzem z aktuálního období)</w:t>
      </w:r>
      <w:r w:rsidR="003A2E6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v následující </w:t>
      </w:r>
      <w:r w:rsidR="000907C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oupisce/</w:t>
      </w:r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D132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výdaj doložen správně, nebude partner vyzýván k nápravě a výdaj bude označen za nezpůsobilý.</w:t>
      </w:r>
    </w:p>
    <w:p w:rsidR="00DD6258" w:rsidRPr="00B10323" w:rsidRDefault="00DD6258" w:rsidP="00D7228E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provedení kontroly bude projektovému partnerovi příslušnou </w:t>
      </w:r>
      <w:r w:rsidR="006B0E3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pobočkou Centra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zaslán  </w:t>
      </w:r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originál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formulář</w:t>
      </w:r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Certifikátu dle příslušné programové dokumentace (např.</w:t>
      </w:r>
      <w:r w:rsidR="00F657C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IE „Independent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level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certificate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„Independent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level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report“ včetně kontrolního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checklistu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="00F71DB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 </w:t>
      </w:r>
      <w:proofErr w:type="gram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gram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Report“, „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-list“ a „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Certificate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“) a včetně schválené průběžné zprávy/</w:t>
      </w:r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 report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sestavené Rekapitulace rozpočtu</w:t>
      </w:r>
      <w:r w:rsidR="00286C9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1202F4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českých partnerů se kontrola výdajů bude skládat ze dvou fází kontroly. </w:t>
      </w:r>
      <w:r w:rsidRPr="00B1032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první fázi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kontroly bude posuzována věcná a formální správnost, dodržení </w:t>
      </w:r>
      <w:r w:rsidR="00704F6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 programu</w:t>
      </w:r>
      <w:r w:rsidR="00A34AF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EU</w:t>
      </w:r>
      <w:r w:rsidR="00A34AF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národní legislativy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Tato kontrola bude provedena u 100% výdajů na </w:t>
      </w:r>
      <w:r w:rsidR="000907C3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Soupisce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výdajů/</w:t>
      </w:r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 </w:t>
      </w:r>
      <w:proofErr w:type="spellStart"/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0875B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tzn., půjde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kontrolu způsobilosti výdajů ve vztahu k pravidlům způsobilosti definovaným pro Program a ve vztahu k projektu, včetně předepsaných náležitostí dokladování uveřejněných na </w:t>
      </w:r>
      <w:r w:rsidR="001202F4" w:rsidRPr="00B10323">
        <w:t>http://www.crr.cz/cs/eus/nalezitosti-dokladovani/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B1032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Druhá fáze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kontroly, která bude probíhat již na vybraném vzorku výdajů (tzv. namátková kontrola), bude zaměřena na dodržování národní legislativy (zejm. účetní, daňové, mzdové a smluvní legislativy), za kterou je zodpovědný partner jako účetní jednotka. V případě, že v rámci této kontroly dojde při první kontrole Soupisky výdajů</w:t>
      </w:r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dané období ke zjištění chybovosti v dodržování národní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legislativy u určitých typů výdajů, bude český partner na toto upozorněn a vyzván k nápravným opatřením. Po vypořádání nápravných opatření může být výdaj uznán za způsobilý. V případě, že při druhé kontrole znovu předložené Soupisky výdajů</w:t>
      </w:r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/List </w:t>
      </w:r>
      <w:proofErr w:type="spellStart"/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48E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Kontrolor přesvědčen o provedení nápravy partnerem, bude daný druh výdaje považován za nezpůsobilý</w:t>
      </w:r>
      <w:r w:rsidR="007611F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258" w:rsidRPr="00B10323" w:rsidRDefault="00DD6258" w:rsidP="00D7228E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B103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případě, že nebyla provedena dokladová kontrola v rámci 2. 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kontroly, může se Kontrolor rozhodnout provést kontrolu výdajů formou kontroly na místě. Kontrola bude provedena na originální složce projektu vlastněné příslušným LP/PP předložené ke kontrole. V rámci dokladové kontroly na místě se též provádí namátkové ověření, zda identifikace projektu na kopiích dokladů souhlasí s originály v účetnictví partnera. </w:t>
      </w:r>
      <w:r w:rsidR="00C83F64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Partner má povinnost zajistit </w:t>
      </w:r>
      <w:r w:rsidR="00844C6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přístupnost všech originálů dokumentů (nejen účetních) spojených s projektem pro kontrolu na místě. </w:t>
      </w:r>
    </w:p>
    <w:p w:rsidR="00DD6258" w:rsidRPr="00B10323" w:rsidRDefault="006762F9" w:rsidP="0020456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Povinností všech partnerů je poskytnout součinnost při prováděné kontrole na místě.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ověřování na místě je ověření, zda výrobky, služby nebo díla byly skutečně dodány, které deklaruje projektový partner ve Finanční zprávě</w:t>
      </w:r>
      <w:r w:rsidR="00541AA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3D3CE0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41AA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právě o průběhu projektu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.  O provedení kontroly na místě bude příjemce informován vždy minimálně 48 hodin předem. Kontrola na místě se provádí v průběhu realizace projektu. Nejdříve však po předložení prvních výdajů ke kontrole a nejpozději do data</w:t>
      </w:r>
      <w:r w:rsidR="00541AA7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poslední certifikace. Vzorek projektů je vybrán na základě analýzy rizik, která je navržena Kontrolory daného členského státu.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A05E4" w:rsidRPr="00B10323" w:rsidRDefault="00DD6258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kontroly 1. stupně jsou všechny výdaje deklarované projektovým partnerem vynaložené na realizaci projektu schváleného v rámci příslušného programu</w:t>
      </w:r>
      <w:r w:rsidR="00984FC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s výjimkou</w:t>
      </w:r>
      <w:r w:rsidR="00D015D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4FC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výdajů </w:t>
      </w:r>
      <w:r w:rsidR="00D015D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vykazovaných paušální sazbou, kde se </w:t>
      </w:r>
      <w:r w:rsidR="00984FC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kontroluje pouze</w:t>
      </w:r>
      <w:r w:rsidR="00D015D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správnost</w:t>
      </w:r>
      <w:r w:rsidR="0022316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125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zvoleného výpočtu</w:t>
      </w:r>
      <w:r w:rsidR="000875BA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paušální sazby</w:t>
      </w:r>
      <w:r w:rsidR="00D61251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D6258" w:rsidRPr="00B10323" w:rsidRDefault="00D015DC" w:rsidP="005324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4FCF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195E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6258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D6258" w:rsidRPr="00B10323" w:rsidRDefault="00DD6258" w:rsidP="005324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D6258" w:rsidRPr="00B10323" w:rsidRDefault="00DD6258" w:rsidP="0053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31D4" w:rsidRPr="00B10323" w:rsidRDefault="005A05E4" w:rsidP="00532416">
      <w:pPr>
        <w:rPr>
          <w:sz w:val="24"/>
          <w:szCs w:val="20"/>
          <w:lang w:eastAsia="cs-CZ"/>
        </w:rPr>
      </w:pPr>
      <w:bookmarkStart w:id="38" w:name="_Toc221601315"/>
      <w:bookmarkStart w:id="39" w:name="_Toc221601316"/>
      <w:bookmarkStart w:id="40" w:name="_Toc221601317"/>
      <w:bookmarkStart w:id="41" w:name="_Toc221601318"/>
      <w:bookmarkStart w:id="42" w:name="_Toc445447287"/>
      <w:bookmarkEnd w:id="38"/>
      <w:bookmarkEnd w:id="39"/>
      <w:bookmarkEnd w:id="40"/>
      <w:bookmarkEnd w:id="41"/>
      <w:r w:rsidRPr="00B10323">
        <w:rPr>
          <w:rFonts w:ascii="Times New Roman" w:hAnsi="Times New Roman"/>
          <w:b/>
          <w:sz w:val="32"/>
          <w:szCs w:val="32"/>
          <w:lang w:val="pl-PL" w:eastAsia="cs-CZ"/>
        </w:rPr>
        <w:t xml:space="preserve">7. </w:t>
      </w:r>
      <w:r w:rsidR="00DD6258" w:rsidRPr="00B10323">
        <w:rPr>
          <w:rFonts w:ascii="Times New Roman" w:hAnsi="Times New Roman"/>
          <w:b/>
          <w:sz w:val="32"/>
          <w:szCs w:val="32"/>
          <w:lang w:val="pl-PL" w:eastAsia="cs-CZ"/>
        </w:rPr>
        <w:t>Účetnictví a povinnost archivace účetních dokladů</w:t>
      </w:r>
      <w:bookmarkEnd w:id="42"/>
    </w:p>
    <w:p w:rsidR="00EB31D4" w:rsidRPr="00B10323" w:rsidRDefault="00EB31D4" w:rsidP="00863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EB31D4" w:rsidRPr="00B10323" w:rsidRDefault="00DD6258" w:rsidP="0053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Projektoví partneři vedou účetnictví v souladu s národní legislativou upravující účetnictví. V případě českých partnerů v souladu se zákonem č. 563/1991 Sb., o účetnictví ve znění pozdějších předpisů v platném znění. </w:t>
      </w:r>
    </w:p>
    <w:p w:rsidR="00EB31D4" w:rsidRPr="00B10323" w:rsidRDefault="00EB31D4" w:rsidP="0053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258" w:rsidRPr="00B10323" w:rsidRDefault="00DD6258" w:rsidP="0053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Veškeré účetnictví spojené s realizací projektu musí být (nejpozději od data registrace projektu) v účetnictví každého českého partnera vedeno odděleně od ostatního účetnictví (tj. je nutné vést pro projekt oddělenou analytickou evidenci). Kopie účetních dokladů týkajících se projektu musí být vedeny v samostatné složce</w:t>
      </w:r>
      <w:r w:rsidRPr="00B1032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footnoteReference w:id="27"/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. Každý partner je povinen z účetnictví poskytnout všem kontrolním orgánům požadované údaje související s projektem, a to nejpozději od data registrace projektu.</w:t>
      </w:r>
    </w:p>
    <w:p w:rsidR="00DD6258" w:rsidRPr="00B10323" w:rsidRDefault="00DD6258" w:rsidP="0020456C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případě, že některý český partner není povinen vést účetnictví, povede pro projekt v souladu s národní legislativou tzv. daňovou evidenci rozšířenou tak, aby:</w:t>
      </w:r>
    </w:p>
    <w:p w:rsidR="00DD6258" w:rsidRPr="00B10323" w:rsidRDefault="00DD6258" w:rsidP="00532416">
      <w:pPr>
        <w:pStyle w:val="Odstavecseseznamem"/>
        <w:numPr>
          <w:ilvl w:val="0"/>
          <w:numId w:val="34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t>veškeré příslušné doklady vztahující se k projektu splňovaly náležitosti účetního dokladu ve smyslu národní legislativy upravující účetnictví;</w:t>
      </w:r>
    </w:p>
    <w:p w:rsidR="00DD6258" w:rsidRPr="00B10323" w:rsidRDefault="00DD6258" w:rsidP="00532416">
      <w:pPr>
        <w:pStyle w:val="Odstavecseseznamem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lastRenderedPageBreak/>
        <w:t>předmětné doklady byly správné, úplné, průkazné, srozumitelné, vedené v písemné formě chronologicky a způsobem zajišťujícím trvanlivost údajů;</w:t>
      </w:r>
    </w:p>
    <w:p w:rsidR="00DD6258" w:rsidRPr="00B10323" w:rsidRDefault="00DD6258" w:rsidP="00532416">
      <w:pPr>
        <w:pStyle w:val="Odstavecseseznamem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0323">
        <w:rPr>
          <w:rFonts w:ascii="Times New Roman" w:hAnsi="Times New Roman"/>
          <w:sz w:val="24"/>
          <w:szCs w:val="24"/>
          <w:lang w:eastAsia="cs-CZ"/>
        </w:rPr>
        <w:t>uskutečněné příjmy a výdaje byly vedeny analyticky ve vztahu k příslušnému projektu, ke kterému se vážou, tzn., že na dokladech musí být jednoznačně uvedeno, ke kterému projektu se vztahují.</w:t>
      </w:r>
    </w:p>
    <w:p w:rsidR="00DD6258" w:rsidRPr="00B10323" w:rsidRDefault="00DD6258" w:rsidP="0020456C">
      <w:pPr>
        <w:spacing w:before="120"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Partneři jsou povinni uschovat (archivovat) originální doklady, tzn. všechny účetní doklady, doklady o zaplacení a všechny ostatní podklady a smlouvy související s</w:t>
      </w:r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dotací</w:t>
      </w:r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C63E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ubsidy</w:t>
      </w:r>
      <w:proofErr w:type="spellEnd"/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ontract</w:t>
      </w:r>
      <w:proofErr w:type="spellEnd"/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C63E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artnership</w:t>
      </w:r>
      <w:proofErr w:type="spellEnd"/>
      <w:r w:rsidR="0022316B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C63E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greement</w:t>
      </w:r>
      <w:proofErr w:type="spellEnd"/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certifikáty, </w:t>
      </w:r>
      <w:r w:rsidR="00CC63E2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D058C9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právy o průběhu projektu…atd.)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, po ukončení projektu po minimální dobu, která bude partnerům sdělena v</w:t>
      </w:r>
      <w:r w:rsidR="00DA1C2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dopise</w:t>
      </w:r>
      <w:r w:rsidR="00DA1C2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řídícího orgánu</w:t>
      </w:r>
      <w:r w:rsidR="005B3CA5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/sekretariátu</w:t>
      </w:r>
      <w:r w:rsidR="00DA1C2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ŘO</w:t>
      </w:r>
      <w:r w:rsidR="00DA1C2C"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informující o ukončení projektu, pokud z daňových či dalších národních, případně evropských předpisů nevyplývá delší archivační povinnost. Během lhůty pro archivaci dokladů jsou tyto originální doklady uchovávány u partnera. Povinností partnera je zajistit, aby byly originální doklady na výzvu k dispozici.</w:t>
      </w:r>
    </w:p>
    <w:p w:rsidR="00DD6258" w:rsidRPr="00B10323" w:rsidRDefault="00DD6258" w:rsidP="0020456C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Archivace dokumentace a zodpovědnost za její vedení podléhá kontrolám prováděným orgány zapojenými do implementace Programu (např.  ŘO, </w:t>
      </w:r>
      <w:r w:rsidR="00733506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ontrolor dle čl. 23, </w:t>
      </w:r>
      <w:r w:rsidR="00EA4AF8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uditní orgán, </w:t>
      </w:r>
      <w:r w:rsidR="00EA4AF8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c</w:t>
      </w:r>
      <w:r w:rsidR="00DA1C2C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ertifikační orgán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) i dalšími kontrolními orgány (např. EK). Porušení výše uvedených pravidel může mít za následek nevyplacení finančních prostředků, resp. požadavek na vrácení již poskytnutých finančních prostředků.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258" w:rsidRPr="00B10323" w:rsidRDefault="00664EB3" w:rsidP="00633580">
      <w:pPr>
        <w:pStyle w:val="Styl1"/>
        <w:numPr>
          <w:ilvl w:val="0"/>
          <w:numId w:val="56"/>
        </w:numPr>
        <w:tabs>
          <w:tab w:val="clear" w:pos="720"/>
          <w:tab w:val="num" w:pos="426"/>
        </w:tabs>
        <w:ind w:left="426" w:hanging="426"/>
        <w:rPr>
          <w:lang w:val="pl-PL"/>
        </w:rPr>
      </w:pPr>
      <w:r w:rsidRPr="00B10323">
        <w:rPr>
          <w:rFonts w:eastAsiaTheme="minorHAnsi" w:cstheme="minorBidi"/>
          <w:lang w:val="pl-PL"/>
        </w:rPr>
        <w:t>Registr smluv</w:t>
      </w:r>
      <w:r w:rsidR="006F4447" w:rsidRPr="00B10323">
        <w:rPr>
          <w:rFonts w:eastAsiaTheme="minorHAnsi" w:cstheme="minorBidi"/>
          <w:lang w:val="pl-PL"/>
        </w:rPr>
        <w:t xml:space="preserve"> </w:t>
      </w:r>
    </w:p>
    <w:p w:rsidR="006F4447" w:rsidRPr="00B10323" w:rsidRDefault="006F4447" w:rsidP="006F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4447" w:rsidRPr="00B10323" w:rsidRDefault="006F4447" w:rsidP="006F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Platí pouze pro české vedoucí partnery</w:t>
      </w:r>
      <w:r w:rsidRPr="00B1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F4447" w:rsidRPr="00B10323" w:rsidRDefault="006F4447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4447" w:rsidRPr="00B10323" w:rsidRDefault="006F4447" w:rsidP="006F4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Příslušný</w:t>
      </w:r>
      <w:r w:rsidRPr="00B10323">
        <w:rPr>
          <w:rStyle w:val="Znakapoznpodarou"/>
          <w:rFonts w:ascii="Times New Roman" w:eastAsia="Times New Roman" w:hAnsi="Times New Roman" w:cs="Times New Roman"/>
          <w:sz w:val="24"/>
          <w:szCs w:val="20"/>
          <w:lang w:eastAsia="cs-CZ"/>
        </w:rPr>
        <w:footnoteReference w:id="28"/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D6AFF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český v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edoucí partner je po podpisu Smlouvy</w:t>
      </w:r>
      <w:r w:rsidR="006D6AFF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</w:t>
      </w:r>
      <w:proofErr w:type="spellStart"/>
      <w:r w:rsidR="006D6AFF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Subsidy</w:t>
      </w:r>
      <w:proofErr w:type="spellEnd"/>
      <w:r w:rsidR="006D6AFF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="006D6AFF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Contract</w:t>
      </w:r>
      <w:proofErr w:type="spellEnd"/>
      <w:r w:rsidR="006D6AFF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 Řídicím orgánem povinen zveřejnit tuto Smlouvu v Registru smluv</w:t>
      </w:r>
      <w:r w:rsidRPr="00B10323">
        <w:rPr>
          <w:rStyle w:val="Znakapoznpodarou"/>
          <w:rFonts w:ascii="Times New Roman" w:eastAsia="Times New Roman" w:hAnsi="Times New Roman" w:cs="Times New Roman"/>
          <w:sz w:val="24"/>
          <w:szCs w:val="20"/>
          <w:lang w:eastAsia="cs-CZ"/>
        </w:rPr>
        <w:footnoteReference w:id="29"/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jenž je dle zákona č. 340/2015 Sb., o registru smluv podmínkou její účinnosti. Povinnost uveřejnění v registru smluv se týká také nových verzí příslušné Smlouvy. </w:t>
      </w:r>
    </w:p>
    <w:p w:rsidR="006F4447" w:rsidRPr="00B10323" w:rsidRDefault="006F4447" w:rsidP="006F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Češ</w:t>
      </w:r>
      <w:r w:rsidR="006D6AFF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tí v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edoucí partneři, kteří jsou právnickou osobou uvedenou v § 2 odst. 1 zákona č. 340/2015 Sb., jsou povinni dle §5 odst. 2 tohoto zákona zaslat smlouvu správci registru smluv k uveřejnění prostřednictvím registru smluv bez zbytečného odkladu, nejpozději však do 30 dnů od uzavření smlouvy. Datovou zprávu s potvrzením o uveřejnění zaš</w:t>
      </w:r>
      <w:r w:rsidR="006D6AFF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le</w:t>
      </w:r>
      <w:r w:rsidR="000D08E5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český</w:t>
      </w:r>
      <w:r w:rsidR="006D6AFF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edoucí partner zpět </w:t>
      </w:r>
      <w:r w:rsidR="00645798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Národnímu koordinátoru programu 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</w:t>
      </w:r>
      <w:r w:rsidR="00645798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Ministerstvu pro místní rozvoj (</w:t>
      </w:r>
      <w:hyperlink r:id="rId29" w:history="1">
        <w:r w:rsidR="00645798" w:rsidRPr="00B10323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nadnarodni@mmr.cz</w:t>
        </w:r>
      </w:hyperlink>
      <w:r w:rsidR="00645798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). </w:t>
      </w:r>
    </w:p>
    <w:p w:rsidR="000D1CBF" w:rsidRPr="00B10323" w:rsidRDefault="000D1CBF" w:rsidP="006F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D1CBF" w:rsidRPr="00B10323" w:rsidRDefault="000D1CBF" w:rsidP="000D1CBF">
      <w:pPr>
        <w:pStyle w:val="Styl1"/>
        <w:numPr>
          <w:ilvl w:val="0"/>
          <w:numId w:val="56"/>
        </w:numPr>
        <w:tabs>
          <w:tab w:val="clear" w:pos="720"/>
          <w:tab w:val="num" w:pos="426"/>
        </w:tabs>
        <w:ind w:left="426" w:hanging="426"/>
        <w:rPr>
          <w:rFonts w:eastAsiaTheme="minorHAnsi" w:cstheme="minorBidi"/>
          <w:lang w:val="pl-PL"/>
        </w:rPr>
      </w:pPr>
      <w:r w:rsidRPr="00B10323">
        <w:rPr>
          <w:rFonts w:eastAsiaTheme="minorHAnsi" w:cstheme="minorBidi"/>
          <w:lang w:val="pl-PL"/>
        </w:rPr>
        <w:t xml:space="preserve">Veřejná podpora (de minimis) </w:t>
      </w:r>
    </w:p>
    <w:p w:rsidR="000D1CBF" w:rsidRPr="00B10323" w:rsidRDefault="000D1CBF" w:rsidP="006F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365A3" w:rsidRPr="00B10323" w:rsidRDefault="006736DF" w:rsidP="0067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rámci programu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Central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Europe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Interreg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Europe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(implementace pilotních aktivit) mohou některé aktivity realizované v rámci projektu zavdávat nedovolenou veřejnou podporu. U všech projektů je již při jejich schvalování a následném uzavírání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Subsidy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Contract</w:t>
      </w:r>
      <w:proofErr w:type="spellEnd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uvedeno, které aktivity v rámci projektu mají znaky nedovolené veřejné podpory, a kterých projektových </w:t>
      </w:r>
      <w:r w:rsidR="00B365A3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partnerů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tato nedovolená veřejná podpora týká.</w:t>
      </w:r>
      <w:r w:rsidR="00B365A3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CE650A" w:rsidRPr="00B10323" w:rsidRDefault="00CE650A" w:rsidP="0067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37DA" w:rsidRPr="00B10323" w:rsidRDefault="00B365A3" w:rsidP="0067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programů se rozlišuje mezi dvěma typy veřejné podpory: </w:t>
      </w:r>
    </w:p>
    <w:p w:rsidR="00CE650A" w:rsidRPr="00B10323" w:rsidRDefault="00CE650A" w:rsidP="0067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672D" w:rsidRPr="00B10323" w:rsidRDefault="00FB37DA" w:rsidP="00633580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B10323">
        <w:rPr>
          <w:rFonts w:ascii="Times New Roman" w:hAnsi="Times New Roman"/>
          <w:sz w:val="24"/>
          <w:szCs w:val="20"/>
          <w:lang w:eastAsia="cs-CZ"/>
        </w:rPr>
        <w:t>Přímá veřejná podpora</w:t>
      </w:r>
    </w:p>
    <w:p w:rsidR="0030672D" w:rsidRPr="00B10323" w:rsidRDefault="00CE650A" w:rsidP="00633580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B10323">
        <w:rPr>
          <w:rFonts w:ascii="Times New Roman" w:hAnsi="Times New Roman"/>
          <w:sz w:val="24"/>
          <w:szCs w:val="20"/>
          <w:lang w:eastAsia="cs-CZ"/>
        </w:rPr>
        <w:lastRenderedPageBreak/>
        <w:t xml:space="preserve">Projektoví partneři jsou přímými příjemci veřejné podpory (příjemci 1. stupně) v rámci režimu de </w:t>
      </w:r>
      <w:proofErr w:type="spellStart"/>
      <w:r w:rsidRPr="00B10323">
        <w:rPr>
          <w:rFonts w:ascii="Times New Roman" w:hAnsi="Times New Roman"/>
          <w:sz w:val="24"/>
          <w:szCs w:val="20"/>
          <w:lang w:eastAsia="cs-CZ"/>
        </w:rPr>
        <w:t>minimis</w:t>
      </w:r>
      <w:proofErr w:type="spellEnd"/>
      <w:r w:rsidRPr="00B10323">
        <w:rPr>
          <w:rFonts w:ascii="Times New Roman" w:hAnsi="Times New Roman"/>
          <w:sz w:val="24"/>
          <w:szCs w:val="20"/>
          <w:lang w:eastAsia="cs-CZ"/>
        </w:rPr>
        <w:t xml:space="preserve">. Veřejná podpora de </w:t>
      </w:r>
      <w:proofErr w:type="spellStart"/>
      <w:r w:rsidRPr="00B10323">
        <w:rPr>
          <w:rFonts w:ascii="Times New Roman" w:hAnsi="Times New Roman"/>
          <w:sz w:val="24"/>
          <w:szCs w:val="20"/>
          <w:lang w:eastAsia="cs-CZ"/>
        </w:rPr>
        <w:t>minimis</w:t>
      </w:r>
      <w:proofErr w:type="spellEnd"/>
      <w:r w:rsidRPr="00B10323">
        <w:rPr>
          <w:rFonts w:ascii="Times New Roman" w:hAnsi="Times New Roman"/>
          <w:sz w:val="24"/>
          <w:szCs w:val="20"/>
          <w:lang w:eastAsia="cs-CZ"/>
        </w:rPr>
        <w:t xml:space="preserve"> je poskytována partnerů společným sekretariátem, který i výši této podpory monitoruje a eviduje. </w:t>
      </w:r>
    </w:p>
    <w:p w:rsidR="00CE650A" w:rsidRPr="00B10323" w:rsidRDefault="00CE650A" w:rsidP="00633580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30672D" w:rsidRPr="00B10323" w:rsidRDefault="0030672D" w:rsidP="00633580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B10323">
        <w:rPr>
          <w:rFonts w:ascii="Times New Roman" w:hAnsi="Times New Roman"/>
          <w:sz w:val="24"/>
          <w:szCs w:val="20"/>
          <w:lang w:eastAsia="cs-CZ"/>
        </w:rPr>
        <w:t>Nepřímá/přenesená veřejná podpora</w:t>
      </w:r>
    </w:p>
    <w:p w:rsidR="00007AE2" w:rsidRPr="00B10323" w:rsidRDefault="00007AE2" w:rsidP="00633580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B10323">
        <w:rPr>
          <w:rFonts w:ascii="Times New Roman" w:hAnsi="Times New Roman"/>
          <w:sz w:val="24"/>
          <w:szCs w:val="20"/>
          <w:lang w:eastAsia="cs-CZ"/>
        </w:rPr>
        <w:t>Jedná se o veřejnou podporu, kterou poskytuje projektový partner dalším subjektům a tím je zvýhodňuje oproti ostatním subjektům na trhu (přenesená veřejná podpora/ podpora 2. stupně). Typickým příkladem je organizace školení, seminářů pro vybranou skupinu subjektů. V tomto případě je povinností projektového partnera evidovat/registrovat</w:t>
      </w:r>
      <w:r w:rsidR="00C353A4" w:rsidRPr="00B10323">
        <w:rPr>
          <w:rFonts w:ascii="Times New Roman" w:hAnsi="Times New Roman"/>
          <w:sz w:val="24"/>
          <w:szCs w:val="20"/>
          <w:lang w:eastAsia="cs-CZ"/>
        </w:rPr>
        <w:t xml:space="preserve"> poskytnut</w:t>
      </w:r>
      <w:r w:rsidRPr="00B10323">
        <w:rPr>
          <w:rFonts w:ascii="Times New Roman" w:hAnsi="Times New Roman"/>
          <w:sz w:val="24"/>
          <w:szCs w:val="20"/>
          <w:lang w:eastAsia="cs-CZ"/>
        </w:rPr>
        <w:t>ou nepřímou veřejnou podporu</w:t>
      </w:r>
      <w:r w:rsidR="00C353A4" w:rsidRPr="00B10323">
        <w:rPr>
          <w:rFonts w:ascii="Times New Roman" w:hAnsi="Times New Roman"/>
          <w:sz w:val="24"/>
          <w:szCs w:val="20"/>
          <w:lang w:eastAsia="cs-CZ"/>
        </w:rPr>
        <w:t xml:space="preserve"> v registru de </w:t>
      </w:r>
      <w:proofErr w:type="spellStart"/>
      <w:r w:rsidR="00C353A4" w:rsidRPr="00B10323">
        <w:rPr>
          <w:rFonts w:ascii="Times New Roman" w:hAnsi="Times New Roman"/>
          <w:sz w:val="24"/>
          <w:szCs w:val="20"/>
          <w:lang w:eastAsia="cs-CZ"/>
        </w:rPr>
        <w:t>minimis</w:t>
      </w:r>
      <w:proofErr w:type="spellEnd"/>
      <w:r w:rsidRPr="00B10323">
        <w:rPr>
          <w:rFonts w:ascii="Times New Roman" w:hAnsi="Times New Roman"/>
          <w:sz w:val="24"/>
          <w:szCs w:val="20"/>
          <w:lang w:eastAsia="cs-CZ"/>
        </w:rPr>
        <w:t>.</w:t>
      </w:r>
    </w:p>
    <w:p w:rsidR="00007AE2" w:rsidRPr="00B10323" w:rsidRDefault="00007AE2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CE650A" w:rsidRPr="00B10323" w:rsidRDefault="00FA178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B10323">
        <w:rPr>
          <w:rFonts w:ascii="Times New Roman" w:hAnsi="Times New Roman"/>
          <w:sz w:val="24"/>
          <w:szCs w:val="20"/>
          <w:lang w:eastAsia="cs-CZ"/>
        </w:rPr>
        <w:t xml:space="preserve">Více informací naleznete v příloze č. 10. </w:t>
      </w:r>
      <w:r w:rsidR="00007AE2" w:rsidRPr="00B10323">
        <w:rPr>
          <w:rFonts w:ascii="Times New Roman" w:hAnsi="Times New Roman"/>
          <w:sz w:val="24"/>
          <w:szCs w:val="20"/>
          <w:lang w:eastAsia="cs-CZ"/>
        </w:rPr>
        <w:t xml:space="preserve">    </w:t>
      </w:r>
    </w:p>
    <w:p w:rsidR="006736DF" w:rsidRPr="00B10323" w:rsidRDefault="006736DF" w:rsidP="006335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cs-CZ"/>
        </w:rPr>
      </w:pPr>
      <w:r w:rsidRPr="00B10323">
        <w:rPr>
          <w:rFonts w:ascii="Times New Roman" w:hAnsi="Times New Roman"/>
          <w:sz w:val="24"/>
          <w:szCs w:val="20"/>
          <w:lang w:eastAsia="cs-CZ"/>
        </w:rPr>
        <w:t xml:space="preserve">  </w:t>
      </w:r>
    </w:p>
    <w:p w:rsidR="006F4447" w:rsidRPr="00B10323" w:rsidRDefault="006F4447" w:rsidP="006F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258" w:rsidRPr="00B10323" w:rsidRDefault="00DD6258" w:rsidP="00532416">
      <w:pPr>
        <w:pStyle w:val="Styl1"/>
        <w:numPr>
          <w:ilvl w:val="0"/>
          <w:numId w:val="56"/>
        </w:numPr>
        <w:tabs>
          <w:tab w:val="clear" w:pos="720"/>
          <w:tab w:val="num" w:pos="426"/>
        </w:tabs>
        <w:ind w:left="426" w:hanging="426"/>
        <w:rPr>
          <w:rFonts w:eastAsiaTheme="minorHAnsi" w:cstheme="minorBidi"/>
          <w:lang w:val="pl-PL"/>
        </w:rPr>
      </w:pPr>
      <w:bookmarkStart w:id="43" w:name="_Toc221601320"/>
      <w:bookmarkStart w:id="44" w:name="_Toc221601321"/>
      <w:bookmarkStart w:id="45" w:name="_Toc220322049"/>
      <w:bookmarkStart w:id="46" w:name="_Toc220322516"/>
      <w:bookmarkStart w:id="47" w:name="_Toc220382207"/>
      <w:bookmarkStart w:id="48" w:name="_Toc220322050"/>
      <w:bookmarkStart w:id="49" w:name="_Toc220322517"/>
      <w:bookmarkStart w:id="50" w:name="_Toc220382208"/>
      <w:bookmarkStart w:id="51" w:name="_Toc220322051"/>
      <w:bookmarkStart w:id="52" w:name="_Toc220322518"/>
      <w:bookmarkStart w:id="53" w:name="_Toc220382209"/>
      <w:bookmarkStart w:id="54" w:name="_Toc44544728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B10323">
        <w:rPr>
          <w:rFonts w:eastAsiaTheme="minorHAnsi" w:cstheme="minorBidi"/>
          <w:lang w:val="pl-PL"/>
        </w:rPr>
        <w:t>Odvolání se proti výsledku kontroly</w:t>
      </w:r>
      <w:bookmarkEnd w:id="54"/>
    </w:p>
    <w:p w:rsidR="00DD6258" w:rsidRPr="00B10323" w:rsidRDefault="00DD6258" w:rsidP="0020456C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  <w:lang w:val="pl-PL" w:eastAsia="cs-CZ"/>
        </w:rPr>
      </w:pP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Partner má možnost se proti výsledku kontroly odvolat. Lhůta pro odvolání činí 10 pracovních dní od okamžiku, kdy partner obdrží výsledek kontroly zaslaný Kontrolorem prostřednictvím </w:t>
      </w:r>
      <w:r w:rsidR="001C2B06"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onitorovacího systému nebo poštou. Čeští partneři podávají odvolání poštou na národního koordinátora programu.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Ministerstvo pro místní rozvoj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Odbor evropské územní spolupráce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Letenská 3</w:t>
      </w:r>
    </w:p>
    <w:p w:rsidR="00DD6258" w:rsidRPr="00B10323" w:rsidRDefault="00DD6258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1032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118 15 Praha 1 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55" w:name="_Toc445447289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>Odvolání proti každému, jednotlivému rozhodnutí je možné podat pouze jednou, rozhodnutí o odvolání je konečné a nelze se proti němu dále odvolat / podat další námitky.</w:t>
      </w:r>
      <w:bookmarkEnd w:id="55"/>
      <w:r w:rsidRPr="00B103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D6258" w:rsidRPr="00B10323" w:rsidRDefault="00DD6258" w:rsidP="0063358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</w:pPr>
      <w:bookmarkStart w:id="56" w:name="_Toc445447290"/>
      <w:r w:rsidRPr="00B10323"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  <w:t>Seznam příloh</w:t>
      </w:r>
      <w:bookmarkEnd w:id="56"/>
    </w:p>
    <w:p w:rsidR="00DD6258" w:rsidRPr="00B10323" w:rsidRDefault="00DD6258" w:rsidP="0098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</w:pPr>
    </w:p>
    <w:p w:rsidR="00DD6258" w:rsidRPr="00B10323" w:rsidRDefault="00DD6258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1 – Metodický pokyn pro oblast zadávání veřejných zakázek</w:t>
      </w:r>
    </w:p>
    <w:p w:rsidR="00DD6258" w:rsidRPr="00B10323" w:rsidRDefault="00DD6258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Příloha č. 3 – Kontakty na kontrolory </w:t>
      </w:r>
    </w:p>
    <w:p w:rsidR="00DD6258" w:rsidRPr="00B10323" w:rsidRDefault="00A93B6E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4 – Přehled realizovaných a předpokládaných ZŘ</w:t>
      </w:r>
    </w:p>
    <w:p w:rsidR="00A93B6E" w:rsidRPr="00B10323" w:rsidRDefault="00A93B6E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5 – Detailní rozpočet</w:t>
      </w:r>
    </w:p>
    <w:p w:rsidR="00115A7E" w:rsidRPr="00B10323" w:rsidRDefault="00A93B6E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</w:t>
      </w:r>
      <w:r w:rsidR="00115A7E" w:rsidRPr="00B10323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6 – Přehled zaměstnanců na projektu</w:t>
      </w:r>
    </w:p>
    <w:p w:rsidR="0001266F" w:rsidRPr="00B10323" w:rsidRDefault="0001266F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B10323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Příloha č. 10 – Veřejná podpora – de minimis</w:t>
      </w:r>
    </w:p>
    <w:p w:rsidR="00DD6258" w:rsidRPr="00B10323" w:rsidRDefault="00DD6258" w:rsidP="002045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:rsidR="00DD6258" w:rsidRPr="00B10323" w:rsidRDefault="00DD6258" w:rsidP="0063358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</w:pPr>
      <w:bookmarkStart w:id="57" w:name="_Toc445447291"/>
      <w:r w:rsidRPr="00B10323"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  <w:t>Seznam revizí</w:t>
      </w:r>
      <w:bookmarkEnd w:id="57"/>
    </w:p>
    <w:p w:rsidR="00DD6258" w:rsidRPr="00B10323" w:rsidRDefault="00DD6258" w:rsidP="00204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l-PL" w:eastAsia="cs-CZ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5609"/>
        <w:gridCol w:w="2056"/>
      </w:tblGrid>
      <w:tr w:rsidR="00DD6258" w:rsidRPr="00B10323" w:rsidTr="006061FA">
        <w:trPr>
          <w:trHeight w:val="403"/>
        </w:trPr>
        <w:tc>
          <w:tcPr>
            <w:tcW w:w="1310" w:type="dxa"/>
          </w:tcPr>
          <w:p w:rsidR="00DD6258" w:rsidRPr="00B10323" w:rsidRDefault="000E1231" w:rsidP="0020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Rev. č. </w:t>
            </w:r>
          </w:p>
        </w:tc>
        <w:tc>
          <w:tcPr>
            <w:tcW w:w="5609" w:type="dxa"/>
          </w:tcPr>
          <w:p w:rsidR="00DD6258" w:rsidRPr="00B10323" w:rsidRDefault="000E1231" w:rsidP="0020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Předmět revize</w:t>
            </w:r>
          </w:p>
        </w:tc>
        <w:tc>
          <w:tcPr>
            <w:tcW w:w="2056" w:type="dxa"/>
          </w:tcPr>
          <w:p w:rsidR="00DD6258" w:rsidRPr="00B10323" w:rsidRDefault="000E1231" w:rsidP="0020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Kapitola</w:t>
            </w:r>
          </w:p>
        </w:tc>
      </w:tr>
      <w:tr w:rsidR="00DD6258" w:rsidRPr="00B10323" w:rsidTr="00644F4C">
        <w:tc>
          <w:tcPr>
            <w:tcW w:w="1310" w:type="dxa"/>
          </w:tcPr>
          <w:p w:rsidR="00DD6258" w:rsidRPr="00B10323" w:rsidRDefault="00E36581" w:rsidP="0053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</w:t>
            </w:r>
          </w:p>
        </w:tc>
        <w:tc>
          <w:tcPr>
            <w:tcW w:w="5609" w:type="dxa"/>
          </w:tcPr>
          <w:p w:rsidR="00DD6258" w:rsidRPr="00B10323" w:rsidRDefault="00633580" w:rsidP="0053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Doplněna část týkající se povinnosti uveřejňovat uzavřené smlouvy v registru smluv</w:t>
            </w:r>
          </w:p>
        </w:tc>
        <w:tc>
          <w:tcPr>
            <w:tcW w:w="2056" w:type="dxa"/>
          </w:tcPr>
          <w:p w:rsidR="00DD6258" w:rsidRPr="00B10323" w:rsidRDefault="00633580" w:rsidP="0053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3.3 C</w:t>
            </w:r>
          </w:p>
        </w:tc>
      </w:tr>
      <w:tr w:rsidR="00267CA6" w:rsidRPr="00B10323" w:rsidTr="00644F4C">
        <w:tc>
          <w:tcPr>
            <w:tcW w:w="1310" w:type="dxa"/>
          </w:tcPr>
          <w:p w:rsidR="00267CA6" w:rsidRPr="00B10323" w:rsidRDefault="0063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2</w:t>
            </w:r>
          </w:p>
        </w:tc>
        <w:tc>
          <w:tcPr>
            <w:tcW w:w="5609" w:type="dxa"/>
          </w:tcPr>
          <w:p w:rsidR="00267CA6" w:rsidRPr="00B10323" w:rsidRDefault="0063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Pro program DANUBE </w:t>
            </w:r>
            <w:r w:rsidR="00A57B2D"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blíže specifikována povinnost odkazu na fond v logu projektu</w:t>
            </w:r>
          </w:p>
        </w:tc>
        <w:tc>
          <w:tcPr>
            <w:tcW w:w="2056" w:type="dxa"/>
          </w:tcPr>
          <w:p w:rsidR="00267CA6" w:rsidRPr="00B10323" w:rsidRDefault="0063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5</w:t>
            </w:r>
          </w:p>
        </w:tc>
      </w:tr>
      <w:tr w:rsidR="00A57B2D" w:rsidRPr="00B10323" w:rsidTr="00A57B2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2D" w:rsidRPr="00B10323" w:rsidRDefault="00A57B2D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2D" w:rsidRPr="00B10323" w:rsidRDefault="00A72EEB" w:rsidP="00B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Pro program IE se nově předkládá Partner report obsahující List of Expenditure a List of Contracts prostřednictvím monitorovacího systému programu iOLF.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2D" w:rsidRPr="00B10323" w:rsidRDefault="00A57B2D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6B</w:t>
            </w:r>
          </w:p>
        </w:tc>
      </w:tr>
      <w:tr w:rsidR="00A57B2D" w:rsidRPr="00B10323" w:rsidTr="00A57B2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2D" w:rsidRPr="00B10323" w:rsidRDefault="00A57B2D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2D" w:rsidRPr="00B10323" w:rsidRDefault="00A93188" w:rsidP="00B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Pro program DANUBE</w:t>
            </w:r>
            <w:r w:rsidR="00C2148E"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nově uvedena povinnost </w:t>
            </w:r>
            <w:r w:rsidR="00C2148E"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lastRenderedPageBreak/>
              <w:t xml:space="preserve">předkládat Partner report, včetně List of Expenditure prostřednictvím monitorovacího systému programu.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2D" w:rsidRPr="00B10323" w:rsidRDefault="00A72EEB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lastRenderedPageBreak/>
              <w:t>6B</w:t>
            </w:r>
          </w:p>
        </w:tc>
      </w:tr>
      <w:tr w:rsidR="00C2148E" w:rsidRPr="00B10323" w:rsidTr="00C2148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E" w:rsidRPr="00B10323" w:rsidRDefault="00C2148E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lastRenderedPageBreak/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E" w:rsidRPr="00B10323" w:rsidRDefault="005C0327" w:rsidP="0024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V případě, že si příjemce u programu DANUBE nenárokuje vydaje v jednom monitorovacím období</w:t>
            </w:r>
            <w:r w:rsidR="00243F07"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, má povinnost v následujícím monitorovacím období předložit partner report + List of expenditure za minulé a aktuální období zvlášť.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E" w:rsidRPr="00B10323" w:rsidRDefault="005C0327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6B</w:t>
            </w:r>
          </w:p>
        </w:tc>
      </w:tr>
      <w:tr w:rsidR="00C2148E" w:rsidRPr="00B10323" w:rsidTr="00C2148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E" w:rsidRPr="00B10323" w:rsidRDefault="003C4AFE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E" w:rsidRPr="00B10323" w:rsidRDefault="000358D9" w:rsidP="00B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Doplněna kapitola k</w:t>
            </w:r>
            <w:r w:rsidR="00230F5E"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registru smluv a</w:t>
            </w: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povinnosti vedoucích partnerů zveřejnit v registru smluv smlouvu (Subsidy contract)</w:t>
            </w:r>
            <w:r w:rsidR="009B066E"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uzavřenou mezi</w:t>
            </w: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řídícím orgánem programu</w:t>
            </w:r>
            <w:r w:rsidR="009B066E"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a vedoucím partnerem.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E" w:rsidRPr="00B10323" w:rsidRDefault="003C4AFE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8</w:t>
            </w:r>
          </w:p>
        </w:tc>
      </w:tr>
      <w:tr w:rsidR="00C2148E" w:rsidRPr="00B10323" w:rsidTr="00C2148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E" w:rsidRPr="00B10323" w:rsidRDefault="000358D9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7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E" w:rsidRPr="00B10323" w:rsidRDefault="00230F5E" w:rsidP="00B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Doplněna kapitola k základní informaci k veřejné podpoře přímo do hlavního textu Pokynů. Dříve bylo pouze jako Příloha 10.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E" w:rsidRPr="00B10323" w:rsidRDefault="00230F5E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9</w:t>
            </w:r>
          </w:p>
        </w:tc>
      </w:tr>
      <w:tr w:rsidR="00230F5E" w:rsidRPr="00B10323" w:rsidTr="00230F5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230F5E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8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D17477" w:rsidP="00B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Odstraněna Příloha A Náležitosti dokladování. Nově jsou Náležitosti dokladování včetně příloh dostupné na: </w:t>
            </w:r>
            <w:hyperlink r:id="rId30" w:history="1">
              <w:r w:rsidRPr="00B10323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val="pl-PL" w:eastAsia="cs-CZ"/>
                </w:rPr>
                <w:t>http://www.crr.cz/cs/eus/nalezitosti-dokladovani/</w:t>
              </w:r>
            </w:hyperlink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D17477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11</w:t>
            </w:r>
          </w:p>
        </w:tc>
      </w:tr>
      <w:tr w:rsidR="00230F5E" w:rsidRPr="00B10323" w:rsidTr="00230F5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D17477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9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C52FD7" w:rsidP="00B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Odstraněna Příloha č. 7 Zpráva o průběhu projektu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C52FD7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12</w:t>
            </w:r>
          </w:p>
        </w:tc>
      </w:tr>
      <w:tr w:rsidR="00230F5E" w:rsidRPr="00B10323" w:rsidTr="00230F5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C52FD7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C52FD7" w:rsidP="00B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Odstraněna Příloha č. 8 Interreg Europe – List of Expenditure/List of Contracts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C52FD7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12</w:t>
            </w:r>
          </w:p>
        </w:tc>
      </w:tr>
      <w:tr w:rsidR="00230F5E" w:rsidRPr="00B10323" w:rsidTr="00230F5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C52FD7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C52FD7" w:rsidP="00B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Odstraněna Příloha č. 9 Central Partner Report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Pr="00B10323" w:rsidRDefault="00C52FD7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12</w:t>
            </w:r>
          </w:p>
        </w:tc>
      </w:tr>
      <w:tr w:rsidR="00727002" w:rsidTr="0072700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2" w:rsidRPr="00B10323" w:rsidRDefault="00727002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2" w:rsidRPr="00B10323" w:rsidRDefault="00727002" w:rsidP="00B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Aktualizována Příloha č. 1 Metodický pokyn pro oblast zadávání veřejných zakázek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2" w:rsidRDefault="00727002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  <w:r w:rsidRPr="00B1032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  <w:t>12</w:t>
            </w:r>
          </w:p>
        </w:tc>
      </w:tr>
    </w:tbl>
    <w:p w:rsidR="00802A64" w:rsidRDefault="00802A64" w:rsidP="0020456C"/>
    <w:sectPr w:rsidR="00802A64" w:rsidSect="00644F4C">
      <w:footerReference w:type="even" r:id="rId31"/>
      <w:footerReference w:type="default" r:id="rId32"/>
      <w:pgSz w:w="11906" w:h="16838"/>
      <w:pgMar w:top="1418" w:right="1418" w:bottom="1418" w:left="10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80" w:rsidRDefault="00633580" w:rsidP="00DD6258">
      <w:pPr>
        <w:spacing w:after="0" w:line="240" w:lineRule="auto"/>
      </w:pPr>
      <w:r>
        <w:separator/>
      </w:r>
    </w:p>
  </w:endnote>
  <w:endnote w:type="continuationSeparator" w:id="0">
    <w:p w:rsidR="00633580" w:rsidRDefault="00633580" w:rsidP="00DD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80" w:rsidRDefault="00633580" w:rsidP="00644F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580" w:rsidRDefault="006335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80" w:rsidRDefault="00633580" w:rsidP="00644F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3E4D">
      <w:rPr>
        <w:rStyle w:val="slostrnky"/>
        <w:noProof/>
      </w:rPr>
      <w:t>19</w:t>
    </w:r>
    <w:r>
      <w:rPr>
        <w:rStyle w:val="slostrnky"/>
      </w:rPr>
      <w:fldChar w:fldCharType="end"/>
    </w:r>
  </w:p>
  <w:p w:rsidR="00633580" w:rsidRDefault="006335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80" w:rsidRDefault="00633580" w:rsidP="00DD6258">
      <w:pPr>
        <w:spacing w:after="0" w:line="240" w:lineRule="auto"/>
      </w:pPr>
      <w:r>
        <w:separator/>
      </w:r>
    </w:p>
  </w:footnote>
  <w:footnote w:type="continuationSeparator" w:id="0">
    <w:p w:rsidR="00633580" w:rsidRDefault="00633580" w:rsidP="00DD6258">
      <w:pPr>
        <w:spacing w:after="0" w:line="240" w:lineRule="auto"/>
      </w:pPr>
      <w:r>
        <w:continuationSeparator/>
      </w:r>
    </w:p>
  </w:footnote>
  <w:footnote w:id="1">
    <w:p w:rsidR="00633580" w:rsidRDefault="00633580" w:rsidP="00DD6258">
      <w:pPr>
        <w:pStyle w:val="Textpoznpodarou"/>
        <w:jc w:val="both"/>
      </w:pPr>
      <w:r>
        <w:rPr>
          <w:rFonts w:ascii="Trebuchet MS" w:hAnsi="Trebuchet MS"/>
          <w:sz w:val="18"/>
          <w:szCs w:val="18"/>
          <w:vertAlign w:val="superscript"/>
        </w:rPr>
        <w:footnoteRef/>
      </w:r>
      <w:r>
        <w:rPr>
          <w:rFonts w:ascii="Trebuchet MS" w:hAnsi="Trebuchet MS"/>
          <w:sz w:val="18"/>
          <w:szCs w:val="18"/>
        </w:rPr>
        <w:t>Akt v přenesené pravomoci (nařízení, rozhodnutí) je nelegislativní akt Evropské komise uvádějící zvláštní ustanovení o implementaci nařízení Evropského parlamentu a Rady.</w:t>
      </w:r>
    </w:p>
  </w:footnote>
  <w:footnote w:id="2">
    <w:p w:rsidR="00633580" w:rsidRDefault="00633580" w:rsidP="00DD6258">
      <w:pPr>
        <w:pStyle w:val="Textpoznpodarou"/>
      </w:pPr>
      <w:r>
        <w:rPr>
          <w:rStyle w:val="Znakapoznpodarou"/>
        </w:rPr>
        <w:footnoteRef/>
      </w:r>
      <w:r>
        <w:t xml:space="preserve"> v případě nesouladu mezi národními pravidly způsobilosti a programovou dokumentací se aplikují e přísnější pravidla.</w:t>
      </w:r>
    </w:p>
  </w:footnote>
  <w:footnote w:id="3">
    <w:p w:rsidR="00633580" w:rsidRDefault="00633580" w:rsidP="00DD6258">
      <w:pPr>
        <w:pStyle w:val="Textpoznpodarou"/>
      </w:pPr>
      <w:r>
        <w:rPr>
          <w:rStyle w:val="Znakapoznpodarou"/>
        </w:rPr>
        <w:footnoteRef/>
      </w:r>
      <w:r>
        <w:t xml:space="preserve">  v případě pořízení majetku nebo vybavení je LP/PP povinen prokázat pořízení a způsob užívání (např. prostřednictvím fotodokumentace). U majetku/vybavení přesahující hodnotu 2000 EUR u programu CENTRAL bude provedena kontrola na místě.</w:t>
      </w:r>
    </w:p>
  </w:footnote>
  <w:footnote w:id="4">
    <w:p w:rsidR="00633580" w:rsidRDefault="00633580" w:rsidP="00DD6258">
      <w:pPr>
        <w:pStyle w:val="Textpoznpodarou"/>
      </w:pPr>
      <w:r>
        <w:rPr>
          <w:rStyle w:val="Znakapoznpodarou"/>
        </w:rPr>
        <w:footnoteRef/>
      </w:r>
      <w:r>
        <w:t xml:space="preserve"> Míra 25% spolufinancování platí pro soukromé neziskové subjekty u programu </w:t>
      </w:r>
      <w:proofErr w:type="spellStart"/>
      <w:r>
        <w:t>Interreg</w:t>
      </w:r>
      <w:proofErr w:type="spellEnd"/>
      <w:r>
        <w:t xml:space="preserve"> EUROPE</w:t>
      </w:r>
    </w:p>
  </w:footnote>
  <w:footnote w:id="5">
    <w:p w:rsidR="00633580" w:rsidRDefault="00633580" w:rsidP="0020456C">
      <w:pPr>
        <w:spacing w:after="0" w:line="240" w:lineRule="auto"/>
        <w:jc w:val="both"/>
      </w:pPr>
      <w:r w:rsidRPr="00C3070B">
        <w:rPr>
          <w:rStyle w:val="Znakapoznpodarou"/>
          <w:rFonts w:ascii="Times New Roman" w:hAnsi="Times New Roman"/>
          <w:b/>
          <w:i/>
        </w:rPr>
        <w:footnoteRef/>
      </w:r>
      <w:r w:rsidRPr="00C3070B">
        <w:rPr>
          <w:rStyle w:val="Znakapoznpodarou"/>
          <w:rFonts w:ascii="Times New Roman" w:hAnsi="Times New Roman"/>
          <w:b/>
          <w:i/>
        </w:rPr>
        <w:t xml:space="preserve"> </w:t>
      </w:r>
      <w:r w:rsidRPr="0020456C">
        <w:rPr>
          <w:rFonts w:ascii="Times New Roman" w:hAnsi="Times New Roman" w:cs="Times New Roman"/>
          <w:sz w:val="20"/>
          <w:szCs w:val="20"/>
        </w:rPr>
        <w:t xml:space="preserve">Posouzením zadávacího/výběrového řízení nepřechází odpovědnost za to, že zadávací/výběrové řízení bude zadána správně a v souladu se zásadami, zákony a dalšími předpisy uvedenými výše v kap. </w:t>
      </w:r>
      <w:proofErr w:type="gramStart"/>
      <w:r w:rsidRPr="0020456C">
        <w:rPr>
          <w:rFonts w:ascii="Times New Roman" w:hAnsi="Times New Roman" w:cs="Times New Roman"/>
          <w:sz w:val="20"/>
          <w:szCs w:val="20"/>
        </w:rPr>
        <w:t>3.1. na</w:t>
      </w:r>
      <w:proofErr w:type="gramEnd"/>
      <w:r w:rsidRPr="0020456C">
        <w:rPr>
          <w:rFonts w:ascii="Times New Roman" w:hAnsi="Times New Roman" w:cs="Times New Roman"/>
          <w:sz w:val="20"/>
          <w:szCs w:val="20"/>
        </w:rPr>
        <w:t xml:space="preserve"> Kontrolora. Tuto odpovědnost nese vždy zadavatel veřejné zakázky.</w:t>
      </w:r>
      <w:r>
        <w:rPr>
          <w:sz w:val="20"/>
          <w:szCs w:val="20"/>
        </w:rPr>
        <w:t xml:space="preserve"> </w:t>
      </w:r>
    </w:p>
  </w:footnote>
  <w:footnote w:id="6">
    <w:p w:rsidR="00633580" w:rsidRPr="00E2565B" w:rsidRDefault="00633580" w:rsidP="00500EBC">
      <w:pPr>
        <w:pStyle w:val="Textpoznpodarou"/>
      </w:pPr>
      <w:r>
        <w:rPr>
          <w:rStyle w:val="Znakapoznpodarou"/>
        </w:rPr>
        <w:footnoteRef/>
      </w:r>
      <w:r w:rsidRPr="00E2565B">
        <w:t xml:space="preserve"> </w:t>
      </w:r>
      <w:r>
        <w:t xml:space="preserve">V případě zakázek vyhlášených do </w:t>
      </w:r>
      <w:proofErr w:type="gramStart"/>
      <w:r>
        <w:t>30.09.2016</w:t>
      </w:r>
      <w:proofErr w:type="gramEnd"/>
      <w:r>
        <w:t xml:space="preserve"> včetně.</w:t>
      </w:r>
    </w:p>
  </w:footnote>
  <w:footnote w:id="7">
    <w:p w:rsidR="00633580" w:rsidRPr="00E2565B" w:rsidRDefault="00633580" w:rsidP="00500EBC">
      <w:pPr>
        <w:pStyle w:val="Textpoznpodarou"/>
      </w:pPr>
      <w:r>
        <w:rPr>
          <w:rStyle w:val="Znakapoznpodarou"/>
        </w:rPr>
        <w:footnoteRef/>
      </w:r>
      <w:r w:rsidRPr="00E2565B">
        <w:t xml:space="preserve"> </w:t>
      </w:r>
      <w:r>
        <w:t xml:space="preserve">V případě zakázek vyhlášených od </w:t>
      </w:r>
      <w:proofErr w:type="gramStart"/>
      <w:r>
        <w:t>01.10.2016</w:t>
      </w:r>
      <w:proofErr w:type="gramEnd"/>
      <w:r>
        <w:t>.</w:t>
      </w:r>
    </w:p>
  </w:footnote>
  <w:footnote w:id="8">
    <w:p w:rsidR="00633580" w:rsidRPr="00FA43EE" w:rsidRDefault="00633580" w:rsidP="00500EBC">
      <w:pPr>
        <w:pStyle w:val="Textpoznpodarou"/>
      </w:pPr>
      <w:r>
        <w:rPr>
          <w:rStyle w:val="Znakapoznpodarou"/>
        </w:rPr>
        <w:footnoteRef/>
      </w:r>
      <w:r w:rsidRPr="00FA43EE">
        <w:t xml:space="preserve"> Kalkulace předpokládané hodnoty veřejné zakázky musí obsahovat rozsah plnění, která jsou předmětem veřejné zakázky a jednotkové ceny. V případě, že je veřejná zakázka složena z více dílčích plnění, musí být kalkulace v této podobě provedena za každé dílčí plnění. Zdůvodnění kalkulace musí být podloženo buď informacemi o zakázkách stejného</w:t>
      </w:r>
      <w:r>
        <w:t xml:space="preserve"> či podobného předmětu plnění (</w:t>
      </w:r>
      <w:r w:rsidRPr="00FA43EE">
        <w:t>partner může vycházet např. z vlastních zkušeností se zadáním stejné či podobné veřejné zakázky v minulosti nebo z jiných dostupných údajů a informací – např. veřejně přístupné údaje na internetu nebo v odborných publikacích) nebo průzkumem trhu s požadovaným plněním.</w:t>
      </w:r>
    </w:p>
  </w:footnote>
  <w:footnote w:id="9">
    <w:p w:rsidR="00633580" w:rsidRPr="00FA43EE" w:rsidRDefault="00633580" w:rsidP="00500EBC">
      <w:pPr>
        <w:pStyle w:val="Textpoznpodarou"/>
      </w:pPr>
      <w:r>
        <w:rPr>
          <w:rStyle w:val="Znakapoznpodarou"/>
        </w:rPr>
        <w:footnoteRef/>
      </w:r>
      <w:r w:rsidRPr="00FA43EE">
        <w:t xml:space="preserve"> </w:t>
      </w:r>
      <w:r>
        <w:t>P</w:t>
      </w:r>
      <w:r w:rsidRPr="00FA43EE">
        <w:t>artner v rámci zadávací dokumentace mimo jiné stanoví (a) fakturační podmínky tak, aby byla jednoznačně patrná souvislost jednotlivých faktur s</w:t>
      </w:r>
      <w:r>
        <w:t> </w:t>
      </w:r>
      <w:r w:rsidRPr="00FA43EE">
        <w:t>projektem</w:t>
      </w:r>
      <w:r>
        <w:t xml:space="preserve">, a to </w:t>
      </w:r>
      <w:r w:rsidRPr="001864E6">
        <w:t>označení</w:t>
      </w:r>
      <w:r>
        <w:t>m</w:t>
      </w:r>
      <w:r w:rsidRPr="001864E6">
        <w:t xml:space="preserve"> účetního dokladu pomocí čísla a názvu projektu </w:t>
      </w:r>
      <w:r w:rsidRPr="00FA43EE">
        <w:t>a (b) v případě, kdy Partner nezajistí adekvátní publicitu vlastními silami i povinnost vybraného dodavatele zajistit projektu dostatečnou publicitu dle náležitostí uvedených v</w:t>
      </w:r>
      <w:r>
        <w:t> kapitole 5,</w:t>
      </w:r>
      <w:r w:rsidRPr="00FA43EE">
        <w:t xml:space="preserve"> veřejnost vhodným způsobem o tom, že projekt je spolufinancován z prostředků EU.</w:t>
      </w:r>
    </w:p>
  </w:footnote>
  <w:footnote w:id="10">
    <w:p w:rsidR="00633580" w:rsidRDefault="00633580">
      <w:pPr>
        <w:pStyle w:val="Textpoznpodarou"/>
      </w:pPr>
      <w:r>
        <w:rPr>
          <w:rStyle w:val="Znakapoznpodarou"/>
        </w:rPr>
        <w:footnoteRef/>
      </w:r>
      <w:r>
        <w:t xml:space="preserve"> Ustanovení §6 a 7 zákona č. 340/2016 Sb. platí pro smlouvy uzavřené </w:t>
      </w:r>
      <w:r w:rsidRPr="00633580">
        <w:t xml:space="preserve">od </w:t>
      </w:r>
      <w:proofErr w:type="gramStart"/>
      <w:r w:rsidRPr="00633580">
        <w:t>1.7.2017</w:t>
      </w:r>
      <w:proofErr w:type="gramEnd"/>
      <w:r>
        <w:rPr>
          <w:rFonts w:ascii="Trebuchet MS" w:hAnsi="Trebuchet MS" w:cs="Trebuchet MS"/>
        </w:rPr>
        <w:t xml:space="preserve"> </w:t>
      </w:r>
      <w:r>
        <w:t xml:space="preserve"> </w:t>
      </w:r>
    </w:p>
  </w:footnote>
  <w:footnote w:id="11">
    <w:p w:rsidR="00633580" w:rsidRDefault="00633580" w:rsidP="00DD6258">
      <w:pPr>
        <w:pStyle w:val="Textpoznpodarou"/>
      </w:pPr>
      <w:r>
        <w:rPr>
          <w:rStyle w:val="Znakapoznpodarou"/>
        </w:rPr>
        <w:footnoteRef/>
      </w:r>
      <w:r>
        <w:t xml:space="preserve"> Pouze pro program CENTRAL a DANUBE</w:t>
      </w:r>
    </w:p>
  </w:footnote>
  <w:footnote w:id="12">
    <w:p w:rsidR="00633580" w:rsidRDefault="00633580" w:rsidP="00DD6258">
      <w:pPr>
        <w:pStyle w:val="Textpoznpodarou"/>
      </w:pPr>
      <w:r>
        <w:rPr>
          <w:rStyle w:val="Znakapoznpodarou"/>
        </w:rPr>
        <w:footnoteRef/>
      </w:r>
      <w:r>
        <w:t xml:space="preserve"> Využití paušální sazby u osobních nákladů je možné pouze u programu CENTRAL a DANUBE.</w:t>
      </w:r>
    </w:p>
  </w:footnote>
  <w:footnote w:id="13">
    <w:p w:rsidR="00633580" w:rsidRDefault="00633580" w:rsidP="00DD6258">
      <w:pPr>
        <w:pStyle w:val="Textpoznpodarou"/>
      </w:pPr>
      <w:r>
        <w:rPr>
          <w:rStyle w:val="Znakapoznpodarou"/>
        </w:rPr>
        <w:footnoteRef/>
      </w:r>
      <w:r>
        <w:t xml:space="preserve"> Využití paušální sazby u osobních nákladů je možné pouze u programu CENTRAL a DANUBE</w:t>
      </w:r>
    </w:p>
  </w:footnote>
  <w:footnote w:id="14">
    <w:p w:rsidR="00633580" w:rsidRDefault="00633580">
      <w:pPr>
        <w:pStyle w:val="Textpoznpodarou"/>
      </w:pPr>
      <w:r>
        <w:rPr>
          <w:rStyle w:val="Znakapoznpodarou"/>
        </w:rPr>
        <w:footnoteRef/>
      </w:r>
      <w:r>
        <w:t xml:space="preserve"> Specifikace činností podle WP platí pro program CENTRAL.</w:t>
      </w:r>
    </w:p>
  </w:footnote>
  <w:footnote w:id="15">
    <w:p w:rsidR="00633580" w:rsidRDefault="00633580" w:rsidP="006405D4">
      <w:pPr>
        <w:pStyle w:val="Textpoznpodarou"/>
      </w:pPr>
      <w:r>
        <w:rPr>
          <w:rStyle w:val="Znakapoznpodarou"/>
        </w:rPr>
        <w:footnoteRef/>
      </w:r>
      <w:r>
        <w:t xml:space="preserve"> Specifikace činností podle WP platí pro program CENTRAL.</w:t>
      </w:r>
    </w:p>
  </w:footnote>
  <w:footnote w:id="16">
    <w:p w:rsidR="00633580" w:rsidRDefault="00633580">
      <w:pPr>
        <w:pStyle w:val="Textpoznpodarou"/>
      </w:pPr>
      <w:r>
        <w:rPr>
          <w:rStyle w:val="Znakapoznpodarou"/>
        </w:rPr>
        <w:footnoteRef/>
      </w:r>
      <w:r>
        <w:t xml:space="preserve"> Platí pro program CENTRAL</w:t>
      </w:r>
    </w:p>
  </w:footnote>
  <w:footnote w:id="17">
    <w:p w:rsidR="00633580" w:rsidRDefault="006335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0456C">
        <w:rPr>
          <w:b/>
        </w:rPr>
        <w:t xml:space="preserve">Tuto metodu nelze využít u programu </w:t>
      </w:r>
      <w:r>
        <w:rPr>
          <w:b/>
        </w:rPr>
        <w:t>CENTRAL</w:t>
      </w:r>
    </w:p>
  </w:footnote>
  <w:footnote w:id="18">
    <w:p w:rsidR="00633580" w:rsidRDefault="00633580">
      <w:pPr>
        <w:pStyle w:val="Textpoznpodarou"/>
      </w:pPr>
      <w:r>
        <w:rPr>
          <w:rStyle w:val="Znakapoznpodarou"/>
        </w:rPr>
        <w:footnoteRef/>
      </w:r>
      <w:r>
        <w:t xml:space="preserve"> U programu CENTRAL je možné použít v případě částečného úvazku s pružným počtem odpracovaných hodin za měsíc pouze metodu s 1720 hodinami.</w:t>
      </w:r>
    </w:p>
  </w:footnote>
  <w:footnote w:id="19">
    <w:p w:rsidR="00633580" w:rsidRPr="0020456C" w:rsidRDefault="00633580" w:rsidP="0020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0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/>
      </w:r>
      <w:r w:rsidRPr="0020456C">
        <w:rPr>
          <w:rFonts w:ascii="Times New Roman" w:hAnsi="Times New Roman" w:cs="Times New Roman"/>
        </w:rPr>
        <w:t xml:space="preserve"> </w:t>
      </w:r>
      <w:r w:rsidRPr="0020456C">
        <w:rPr>
          <w:rFonts w:ascii="Times New Roman" w:hAnsi="Times New Roman" w:cs="Times New Roman"/>
          <w:sz w:val="20"/>
          <w:szCs w:val="20"/>
        </w:rPr>
        <w:t>Pod tímto pojmem je myšlena povinnost používat na veškerých informačních a propagačních opatřeních spolu se symbolem EU (tzn. s vlajkou) také dvojslovný výraz "Evropská unie" (zkratka „EU“ není postačující). Tudíž všude, včetně malých propagačních předmětů, musí být uveden symbol EU (vlajka) spolu se slovy „Evropská unie“.</w:t>
      </w:r>
    </w:p>
  </w:footnote>
  <w:footnote w:id="20">
    <w:p w:rsidR="00633580" w:rsidRDefault="00633580" w:rsidP="00DD6258">
      <w:pPr>
        <w:pStyle w:val="Textpoznpodarou"/>
        <w:jc w:val="both"/>
      </w:pPr>
      <w:r w:rsidRPr="00B309CE">
        <w:footnoteRef/>
      </w:r>
      <w:r w:rsidRPr="009A2D22">
        <w:t xml:space="preserve"> </w:t>
      </w:r>
      <w:r>
        <w:t xml:space="preserve">V případě malých předmětů obecně platí, že všechny povinné údaje jsou na daný předmět vytisknuty/uvedeny tehdy, pokud to lze provést tak, </w:t>
      </w:r>
      <w:r w:rsidRPr="009A2D22">
        <w:t>aby text byl čitelný, přehledný</w:t>
      </w:r>
      <w:r>
        <w:t xml:space="preserve"> a </w:t>
      </w:r>
      <w:r w:rsidRPr="009A2D22">
        <w:t>srozumitelný</w:t>
      </w:r>
      <w:r>
        <w:t>.</w:t>
      </w:r>
      <w:r w:rsidRPr="009A2D22">
        <w:t xml:space="preserve"> </w:t>
      </w:r>
    </w:p>
  </w:footnote>
  <w:footnote w:id="21">
    <w:p w:rsidR="00633580" w:rsidRDefault="00633580" w:rsidP="00DD6258">
      <w:pPr>
        <w:pStyle w:val="Textpoznpodarou"/>
      </w:pPr>
      <w:r>
        <w:rPr>
          <w:rStyle w:val="Znakapoznpodarou"/>
        </w:rPr>
        <w:footnoteRef/>
      </w:r>
      <w:r>
        <w:t xml:space="preserve"> U programu DANUBE je třeba uvést odkaz na </w:t>
      </w:r>
      <w:r w:rsidRPr="00B309CE">
        <w:t>„Project</w:t>
      </w:r>
      <w:r>
        <w:t xml:space="preserve"> </w:t>
      </w:r>
      <w:r w:rsidRPr="00B309CE">
        <w:t>co-</w:t>
      </w:r>
      <w:proofErr w:type="spellStart"/>
      <w:r w:rsidRPr="00B309CE">
        <w:t>funded</w:t>
      </w:r>
      <w:proofErr w:type="spellEnd"/>
      <w:r w:rsidRPr="00B309CE">
        <w:t xml:space="preserve"> by </w:t>
      </w:r>
      <w:proofErr w:type="spellStart"/>
      <w:r w:rsidRPr="00B309CE">
        <w:t>the</w:t>
      </w:r>
      <w:proofErr w:type="spellEnd"/>
      <w:r w:rsidRPr="00B309CE">
        <w:t xml:space="preserve"> </w:t>
      </w:r>
      <w:proofErr w:type="spellStart"/>
      <w:r w:rsidRPr="00B309CE">
        <w:t>European</w:t>
      </w:r>
      <w:proofErr w:type="spellEnd"/>
      <w:r w:rsidRPr="00B309CE">
        <w:t xml:space="preserve"> Union”</w:t>
      </w:r>
      <w:r>
        <w:t>, tam, kde je to možné odkaz na ERDF.</w:t>
      </w:r>
    </w:p>
  </w:footnote>
  <w:footnote w:id="22">
    <w:p w:rsidR="00633580" w:rsidRPr="00633580" w:rsidRDefault="00633580" w:rsidP="00DD625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F7D87">
        <w:rPr>
          <w:rStyle w:val="Znakapoznpodarou"/>
        </w:rPr>
        <w:footnoteRef/>
      </w:r>
      <w:r w:rsidRPr="00633580">
        <w:rPr>
          <w:rStyle w:val="Znakapoznpodarou"/>
        </w:rPr>
        <w:t xml:space="preserve"> </w:t>
      </w:r>
      <w:r w:rsidRPr="00633580">
        <w:rPr>
          <w:rFonts w:ascii="Times New Roman" w:hAnsi="Times New Roman" w:cs="Times New Roman"/>
          <w:color w:val="auto"/>
          <w:sz w:val="20"/>
          <w:szCs w:val="20"/>
        </w:rPr>
        <w:t xml:space="preserve">Pokud nelze výdaje spojené s daným výstupem jednoznačně oddělit, uplatňuje se uvedená sankce v % na celkové způsobilé výdaje daného partnera. </w:t>
      </w:r>
    </w:p>
    <w:p w:rsidR="00633580" w:rsidRDefault="00633580" w:rsidP="00DD6258">
      <w:pPr>
        <w:pStyle w:val="Default"/>
      </w:pPr>
    </w:p>
  </w:footnote>
  <w:footnote w:id="23">
    <w:p w:rsidR="00633580" w:rsidRDefault="00633580" w:rsidP="003310D7">
      <w:pPr>
        <w:pStyle w:val="Textpoznpodarou"/>
      </w:pPr>
      <w:r>
        <w:rPr>
          <w:rStyle w:val="Znakapoznpodarou"/>
        </w:rPr>
        <w:footnoteRef/>
      </w:r>
      <w:r>
        <w:t xml:space="preserve"> Přihlášení do systému </w:t>
      </w:r>
      <w:proofErr w:type="spellStart"/>
      <w:r>
        <w:t>iOLF</w:t>
      </w:r>
      <w:proofErr w:type="spellEnd"/>
      <w:r>
        <w:t xml:space="preserve"> najdete na tomto odkazu: </w:t>
      </w:r>
      <w:hyperlink r:id="rId1" w:history="1">
        <w:r w:rsidRPr="009239E7">
          <w:rPr>
            <w:rStyle w:val="Hypertextovodkaz"/>
          </w:rPr>
          <w:t>https://www.iolf.eu/Account/Login?ReturnUrl=%2f</w:t>
        </w:r>
      </w:hyperlink>
      <w:r>
        <w:t xml:space="preserve"> </w:t>
      </w:r>
    </w:p>
  </w:footnote>
  <w:footnote w:id="24">
    <w:p w:rsidR="00633580" w:rsidRDefault="00633580">
      <w:pPr>
        <w:pStyle w:val="Textpoznpodarou"/>
      </w:pPr>
      <w:r>
        <w:rPr>
          <w:rStyle w:val="Znakapoznpodarou"/>
        </w:rPr>
        <w:footnoteRef/>
      </w:r>
      <w:r>
        <w:t xml:space="preserve"> Přihlášení do systému </w:t>
      </w:r>
      <w:proofErr w:type="spellStart"/>
      <w:r>
        <w:t>eMS</w:t>
      </w:r>
      <w:proofErr w:type="spellEnd"/>
      <w:r>
        <w:t xml:space="preserve"> najdete na tomto odkazu: </w:t>
      </w:r>
      <w:hyperlink r:id="rId2" w:history="1">
        <w:r w:rsidRPr="00D61F76">
          <w:rPr>
            <w:rStyle w:val="Hypertextovodkaz"/>
          </w:rPr>
          <w:t>https://ems.interreg-central.eu/app/main?execution=e1s1</w:t>
        </w:r>
      </w:hyperlink>
    </w:p>
  </w:footnote>
  <w:footnote w:id="25">
    <w:p w:rsidR="00633580" w:rsidRDefault="00633580" w:rsidP="00DD6258">
      <w:pPr>
        <w:pStyle w:val="Textpoznpodarou"/>
      </w:pPr>
      <w:r>
        <w:rPr>
          <w:rStyle w:val="Znakapoznpodarou"/>
        </w:rPr>
        <w:footnoteRef/>
      </w:r>
      <w:r>
        <w:t xml:space="preserve"> Viz odrážka č. 2.2</w:t>
      </w:r>
    </w:p>
  </w:footnote>
  <w:footnote w:id="26">
    <w:p w:rsidR="00633580" w:rsidRDefault="00633580" w:rsidP="00DD6258">
      <w:pPr>
        <w:pStyle w:val="Textpoznpodarou"/>
      </w:pPr>
      <w:r>
        <w:rPr>
          <w:rStyle w:val="Znakapoznpodarou"/>
        </w:rPr>
        <w:footnoteRef/>
      </w:r>
      <w:r>
        <w:t xml:space="preserve"> Tato povinnost (zaúčtování na středisko) může být splněna formou identifikovatelnosti účetního dokladu na výstupní sestavě z oddělené účetní evidence.</w:t>
      </w:r>
    </w:p>
  </w:footnote>
  <w:footnote w:id="27">
    <w:p w:rsidR="00633580" w:rsidRDefault="00633580" w:rsidP="00DD6258">
      <w:pPr>
        <w:pStyle w:val="Textpoznpodarou"/>
        <w:jc w:val="both"/>
      </w:pPr>
      <w:r w:rsidRPr="00E22509">
        <w:rPr>
          <w:rStyle w:val="Znakapoznpodarou"/>
        </w:rPr>
        <w:footnoteRef/>
      </w:r>
      <w:r w:rsidRPr="00E22509">
        <w:t xml:space="preserve"> </w:t>
      </w:r>
      <w:r>
        <w:t>V</w:t>
      </w:r>
      <w:r w:rsidRPr="00E22509">
        <w:t xml:space="preserve"> případě vyzvání příslušných orgánů musí být </w:t>
      </w:r>
      <w:r>
        <w:t xml:space="preserve">příslušný </w:t>
      </w:r>
      <w:r w:rsidRPr="00E22509">
        <w:t xml:space="preserve">partner schopen doložit </w:t>
      </w:r>
      <w:r>
        <w:t>o</w:t>
      </w:r>
      <w:r w:rsidRPr="00E22509">
        <w:t>riginály účetních dokladů.</w:t>
      </w:r>
    </w:p>
  </w:footnote>
  <w:footnote w:id="28">
    <w:p w:rsidR="00633580" w:rsidRDefault="006335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Tato povinnost se vztahuje na všechny státní a veřejnoprávní instituce, územně samosprávné celky, státní podniky, právnické osoby, v nichž má většinovou majetkovou účast stát nebo územní samosprávný celek a další instituce definované § 2 odst. 1 zákona č. 340/2015 Sb. </w:t>
      </w:r>
      <w:r>
        <w:t xml:space="preserve"> </w:t>
      </w:r>
    </w:p>
  </w:footnote>
  <w:footnote w:id="29">
    <w:p w:rsidR="00633580" w:rsidRDefault="006335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https://smlouvy.gov.cz/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13F"/>
    <w:multiLevelType w:val="multilevel"/>
    <w:tmpl w:val="AA5045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7586D8E"/>
    <w:multiLevelType w:val="hybridMultilevel"/>
    <w:tmpl w:val="670CB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64D36"/>
    <w:multiLevelType w:val="hybridMultilevel"/>
    <w:tmpl w:val="9A0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20A88"/>
    <w:multiLevelType w:val="hybridMultilevel"/>
    <w:tmpl w:val="472A9498"/>
    <w:lvl w:ilvl="0" w:tplc="FD961D1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211E04"/>
    <w:multiLevelType w:val="hybridMultilevel"/>
    <w:tmpl w:val="49F01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90BDF"/>
    <w:multiLevelType w:val="multilevel"/>
    <w:tmpl w:val="AB00AB56"/>
    <w:numStyleLink w:val="Aufzhlung"/>
  </w:abstractNum>
  <w:abstractNum w:abstractNumId="6">
    <w:nsid w:val="138341AC"/>
    <w:multiLevelType w:val="hybridMultilevel"/>
    <w:tmpl w:val="12629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BC5329"/>
    <w:multiLevelType w:val="hybridMultilevel"/>
    <w:tmpl w:val="49826366"/>
    <w:lvl w:ilvl="0" w:tplc="C77C64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D57A49"/>
    <w:multiLevelType w:val="hybridMultilevel"/>
    <w:tmpl w:val="3AC614AE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8693C72"/>
    <w:multiLevelType w:val="hybridMultilevel"/>
    <w:tmpl w:val="9F88B220"/>
    <w:lvl w:ilvl="0" w:tplc="601466DC">
      <w:start w:val="4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3565E"/>
    <w:multiLevelType w:val="hybridMultilevel"/>
    <w:tmpl w:val="1BB68B04"/>
    <w:lvl w:ilvl="0" w:tplc="15909D6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BBC239D"/>
    <w:multiLevelType w:val="multilevel"/>
    <w:tmpl w:val="AB00AB56"/>
    <w:styleLink w:val="Aufzhlung"/>
    <w:lvl w:ilvl="0">
      <w:start w:val="1"/>
      <w:numFmt w:val="bullet"/>
      <w:pStyle w:val="01AufzhlungEbene1"/>
      <w:lvlText w:val=""/>
      <w:lvlJc w:val="left"/>
      <w:pPr>
        <w:ind w:left="284" w:hanging="284"/>
      </w:pPr>
      <w:rPr>
        <w:rFonts w:ascii="Wingdings" w:hAnsi="Wingdings" w:hint="default"/>
        <w:color w:val="A6BECB"/>
        <w:u w:color="A6BECB"/>
      </w:rPr>
    </w:lvl>
    <w:lvl w:ilvl="1">
      <w:start w:val="1"/>
      <w:numFmt w:val="bullet"/>
      <w:pStyle w:val="02AufzhlungEbene2"/>
      <w:lvlText w:val="—"/>
      <w:lvlJc w:val="left"/>
      <w:pPr>
        <w:ind w:left="567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pStyle w:val="03AufzhlungEbene3"/>
      <w:lvlText w:val="■"/>
      <w:lvlJc w:val="left"/>
      <w:pPr>
        <w:ind w:left="851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134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418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701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1985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546DD"/>
    <w:multiLevelType w:val="hybridMultilevel"/>
    <w:tmpl w:val="7F8CC4D2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231D3E6F"/>
    <w:multiLevelType w:val="hybridMultilevel"/>
    <w:tmpl w:val="CA5EF5F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D43057"/>
    <w:multiLevelType w:val="hybridMultilevel"/>
    <w:tmpl w:val="B0E60E48"/>
    <w:lvl w:ilvl="0" w:tplc="35F41EE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52DE65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F83A15"/>
    <w:multiLevelType w:val="hybridMultilevel"/>
    <w:tmpl w:val="21BC80E2"/>
    <w:lvl w:ilvl="0" w:tplc="AE0ED1CC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0E77EB"/>
    <w:multiLevelType w:val="multilevel"/>
    <w:tmpl w:val="90404EA4"/>
    <w:lvl w:ilvl="0">
      <w:start w:val="1"/>
      <w:numFmt w:val="lowerLetter"/>
      <w:lvlText w:val="%1│"/>
      <w:lvlJc w:val="right"/>
      <w:pPr>
        <w:ind w:left="568" w:hanging="284"/>
      </w:pPr>
      <w:rPr>
        <w:rFonts w:hint="default"/>
        <w:color w:val="A6BECB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53D20EC"/>
    <w:multiLevelType w:val="hybridMultilevel"/>
    <w:tmpl w:val="12629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672CF1"/>
    <w:multiLevelType w:val="hybridMultilevel"/>
    <w:tmpl w:val="8F4E4886"/>
    <w:lvl w:ilvl="0" w:tplc="135ABD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3A37FC"/>
    <w:multiLevelType w:val="hybridMultilevel"/>
    <w:tmpl w:val="DC368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0E08E6"/>
    <w:multiLevelType w:val="hybridMultilevel"/>
    <w:tmpl w:val="008E93EA"/>
    <w:lvl w:ilvl="0" w:tplc="152C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C6208"/>
    <w:multiLevelType w:val="multilevel"/>
    <w:tmpl w:val="3F5C012C"/>
    <w:lvl w:ilvl="0">
      <w:start w:val="1"/>
      <w:numFmt w:val="lowerLetter"/>
      <w:lvlText w:val="%1│"/>
      <w:lvlJc w:val="right"/>
      <w:pPr>
        <w:ind w:left="568" w:hanging="284"/>
      </w:pPr>
      <w:rPr>
        <w:rFonts w:hint="default"/>
        <w:color w:val="A6BECB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DE6CE3"/>
    <w:multiLevelType w:val="multilevel"/>
    <w:tmpl w:val="97307F76"/>
    <w:lvl w:ilvl="0">
      <w:start w:val="7"/>
      <w:numFmt w:val="lowerLetter"/>
      <w:lvlText w:val="%1│"/>
      <w:lvlJc w:val="right"/>
      <w:pPr>
        <w:ind w:left="568" w:hanging="284"/>
      </w:pPr>
      <w:rPr>
        <w:rFonts w:hint="default"/>
        <w:color w:val="A6BECB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2073608"/>
    <w:multiLevelType w:val="hybridMultilevel"/>
    <w:tmpl w:val="244CF96E"/>
    <w:lvl w:ilvl="0" w:tplc="152C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607FE"/>
    <w:multiLevelType w:val="multilevel"/>
    <w:tmpl w:val="75C81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5">
    <w:nsid w:val="437F1DD1"/>
    <w:multiLevelType w:val="hybridMultilevel"/>
    <w:tmpl w:val="711EF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A7068B"/>
    <w:multiLevelType w:val="hybridMultilevel"/>
    <w:tmpl w:val="62A82D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6986753"/>
    <w:multiLevelType w:val="hybridMultilevel"/>
    <w:tmpl w:val="4DEA9DB2"/>
    <w:lvl w:ilvl="0" w:tplc="15909D6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763578A"/>
    <w:multiLevelType w:val="hybridMultilevel"/>
    <w:tmpl w:val="BC5EF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148CA"/>
    <w:multiLevelType w:val="hybridMultilevel"/>
    <w:tmpl w:val="7A8E1EBC"/>
    <w:lvl w:ilvl="0" w:tplc="070E0AAA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57673F"/>
    <w:multiLevelType w:val="hybridMultilevel"/>
    <w:tmpl w:val="30A200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1F3FE3"/>
    <w:multiLevelType w:val="hybridMultilevel"/>
    <w:tmpl w:val="356E2DA2"/>
    <w:lvl w:ilvl="0" w:tplc="C77C64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560C96"/>
    <w:multiLevelType w:val="hybridMultilevel"/>
    <w:tmpl w:val="75EEA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163D6A"/>
    <w:multiLevelType w:val="hybridMultilevel"/>
    <w:tmpl w:val="A1B2D8FC"/>
    <w:lvl w:ilvl="0" w:tplc="A142060A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726C6A"/>
    <w:multiLevelType w:val="hybridMultilevel"/>
    <w:tmpl w:val="774E62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D1F6BA9"/>
    <w:multiLevelType w:val="hybridMultilevel"/>
    <w:tmpl w:val="A8289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03E21FB"/>
    <w:multiLevelType w:val="hybridMultilevel"/>
    <w:tmpl w:val="9DFA13C0"/>
    <w:lvl w:ilvl="0" w:tplc="A142060A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8678C5"/>
    <w:multiLevelType w:val="hybridMultilevel"/>
    <w:tmpl w:val="BE38E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83064C"/>
    <w:multiLevelType w:val="hybridMultilevel"/>
    <w:tmpl w:val="98E044BA"/>
    <w:lvl w:ilvl="0" w:tplc="15909D6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54424046"/>
    <w:multiLevelType w:val="hybridMultilevel"/>
    <w:tmpl w:val="017C4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4CE278B"/>
    <w:multiLevelType w:val="hybridMultilevel"/>
    <w:tmpl w:val="850C9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C802B2"/>
    <w:multiLevelType w:val="hybridMultilevel"/>
    <w:tmpl w:val="C64CF548"/>
    <w:lvl w:ilvl="0" w:tplc="0C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B784BB9"/>
    <w:multiLevelType w:val="hybridMultilevel"/>
    <w:tmpl w:val="2FAC3382"/>
    <w:lvl w:ilvl="0" w:tplc="152C8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67246"/>
    <w:multiLevelType w:val="hybridMultilevel"/>
    <w:tmpl w:val="8C366E2C"/>
    <w:lvl w:ilvl="0" w:tplc="A142060A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492FE3"/>
    <w:multiLevelType w:val="multilevel"/>
    <w:tmpl w:val="50FE98DA"/>
    <w:lvl w:ilvl="0">
      <w:start w:val="1"/>
      <w:numFmt w:val="decimal"/>
      <w:pStyle w:val="Pruka-Nadpis1"/>
      <w:lvlText w:val="%1."/>
      <w:lvlJc w:val="left"/>
      <w:pPr>
        <w:tabs>
          <w:tab w:val="num" w:pos="1080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Pruky-Nadpis2"/>
      <w:lvlText w:val="%1.%2."/>
      <w:lvlJc w:val="left"/>
      <w:pPr>
        <w:tabs>
          <w:tab w:val="num" w:pos="3655"/>
        </w:tabs>
        <w:ind w:left="1986" w:hanging="851"/>
      </w:pPr>
      <w:rPr>
        <w:rFonts w:cs="Times New Roman" w:hint="default"/>
      </w:rPr>
    </w:lvl>
    <w:lvl w:ilvl="2">
      <w:start w:val="1"/>
      <w:numFmt w:val="decimal"/>
      <w:pStyle w:val="Pruky-Nadpis4"/>
      <w:lvlText w:val="%1.%2.%3."/>
      <w:lvlJc w:val="left"/>
      <w:pPr>
        <w:tabs>
          <w:tab w:val="num" w:pos="567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cs="Times New Roman" w:hint="default"/>
      </w:rPr>
    </w:lvl>
  </w:abstractNum>
  <w:abstractNum w:abstractNumId="45">
    <w:nsid w:val="648F1DF1"/>
    <w:multiLevelType w:val="hybridMultilevel"/>
    <w:tmpl w:val="AF584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A97611"/>
    <w:multiLevelType w:val="hybridMultilevel"/>
    <w:tmpl w:val="715E88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5DC02F6"/>
    <w:multiLevelType w:val="hybridMultilevel"/>
    <w:tmpl w:val="314CA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B150EF"/>
    <w:multiLevelType w:val="hybridMultilevel"/>
    <w:tmpl w:val="CC3C92D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69095902"/>
    <w:multiLevelType w:val="hybridMultilevel"/>
    <w:tmpl w:val="E9423008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C0E3097"/>
    <w:multiLevelType w:val="multilevel"/>
    <w:tmpl w:val="FA486338"/>
    <w:lvl w:ilvl="0">
      <w:start w:val="1"/>
      <w:numFmt w:val="lowerLetter"/>
      <w:lvlText w:val="%1│"/>
      <w:lvlJc w:val="right"/>
      <w:pPr>
        <w:ind w:left="568" w:hanging="284"/>
      </w:pPr>
      <w:rPr>
        <w:rFonts w:hint="default"/>
        <w:color w:val="A6BECB"/>
        <w:u w:color="A6BECB"/>
      </w:rPr>
    </w:lvl>
    <w:lvl w:ilvl="1">
      <w:start w:val="1"/>
      <w:numFmt w:val="bullet"/>
      <w:lvlText w:val="—"/>
      <w:lvlJc w:val="left"/>
      <w:pPr>
        <w:ind w:left="851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lvlText w:val="■"/>
      <w:lvlJc w:val="left"/>
      <w:pPr>
        <w:ind w:left="1135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418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702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985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2269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>
    <w:nsid w:val="737E7405"/>
    <w:multiLevelType w:val="hybridMultilevel"/>
    <w:tmpl w:val="DF127416"/>
    <w:lvl w:ilvl="0" w:tplc="04050001">
      <w:start w:val="1"/>
      <w:numFmt w:val="bullet"/>
      <w:lvlText w:val="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754811F0"/>
    <w:multiLevelType w:val="hybridMultilevel"/>
    <w:tmpl w:val="12A0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D4103B"/>
    <w:multiLevelType w:val="hybridMultilevel"/>
    <w:tmpl w:val="ABD0D2E2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B553FC4"/>
    <w:multiLevelType w:val="multilevel"/>
    <w:tmpl w:val="6C62778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55">
    <w:nsid w:val="7E37463B"/>
    <w:multiLevelType w:val="hybridMultilevel"/>
    <w:tmpl w:val="0B0894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9"/>
  </w:num>
  <w:num w:numId="4">
    <w:abstractNumId w:val="30"/>
  </w:num>
  <w:num w:numId="5">
    <w:abstractNumId w:val="34"/>
  </w:num>
  <w:num w:numId="6">
    <w:abstractNumId w:val="48"/>
  </w:num>
  <w:num w:numId="7">
    <w:abstractNumId w:val="15"/>
  </w:num>
  <w:num w:numId="8">
    <w:abstractNumId w:val="13"/>
  </w:num>
  <w:num w:numId="9">
    <w:abstractNumId w:val="26"/>
  </w:num>
  <w:num w:numId="10">
    <w:abstractNumId w:val="38"/>
  </w:num>
  <w:num w:numId="11">
    <w:abstractNumId w:val="10"/>
  </w:num>
  <w:num w:numId="12">
    <w:abstractNumId w:val="27"/>
  </w:num>
  <w:num w:numId="13">
    <w:abstractNumId w:val="4"/>
  </w:num>
  <w:num w:numId="14">
    <w:abstractNumId w:val="52"/>
  </w:num>
  <w:num w:numId="15">
    <w:abstractNumId w:val="44"/>
  </w:num>
  <w:num w:numId="16">
    <w:abstractNumId w:val="24"/>
  </w:num>
  <w:num w:numId="17">
    <w:abstractNumId w:val="7"/>
  </w:num>
  <w:num w:numId="18">
    <w:abstractNumId w:val="18"/>
  </w:num>
  <w:num w:numId="19">
    <w:abstractNumId w:val="14"/>
  </w:num>
  <w:num w:numId="20">
    <w:abstractNumId w:val="3"/>
  </w:num>
  <w:num w:numId="21">
    <w:abstractNumId w:val="45"/>
  </w:num>
  <w:num w:numId="22">
    <w:abstractNumId w:val="42"/>
  </w:num>
  <w:num w:numId="23">
    <w:abstractNumId w:val="23"/>
  </w:num>
  <w:num w:numId="24">
    <w:abstractNumId w:val="20"/>
  </w:num>
  <w:num w:numId="25">
    <w:abstractNumId w:val="37"/>
  </w:num>
  <w:num w:numId="26">
    <w:abstractNumId w:val="40"/>
  </w:num>
  <w:num w:numId="27">
    <w:abstractNumId w:val="2"/>
  </w:num>
  <w:num w:numId="28">
    <w:abstractNumId w:val="9"/>
  </w:num>
  <w:num w:numId="29">
    <w:abstractNumId w:val="8"/>
  </w:num>
  <w:num w:numId="30">
    <w:abstractNumId w:val="41"/>
  </w:num>
  <w:num w:numId="31">
    <w:abstractNumId w:val="0"/>
  </w:num>
  <w:num w:numId="32">
    <w:abstractNumId w:val="54"/>
  </w:num>
  <w:num w:numId="33">
    <w:abstractNumId w:val="55"/>
  </w:num>
  <w:num w:numId="34">
    <w:abstractNumId w:val="29"/>
  </w:num>
  <w:num w:numId="35">
    <w:abstractNumId w:val="1"/>
  </w:num>
  <w:num w:numId="36">
    <w:abstractNumId w:val="33"/>
  </w:num>
  <w:num w:numId="37">
    <w:abstractNumId w:val="36"/>
  </w:num>
  <w:num w:numId="38">
    <w:abstractNumId w:val="53"/>
  </w:num>
  <w:num w:numId="39">
    <w:abstractNumId w:val="49"/>
  </w:num>
  <w:num w:numId="40">
    <w:abstractNumId w:val="31"/>
  </w:num>
  <w:num w:numId="41">
    <w:abstractNumId w:val="43"/>
  </w:num>
  <w:num w:numId="42">
    <w:abstractNumId w:val="25"/>
  </w:num>
  <w:num w:numId="43">
    <w:abstractNumId w:val="46"/>
  </w:num>
  <w:num w:numId="44">
    <w:abstractNumId w:val="47"/>
  </w:num>
  <w:num w:numId="45">
    <w:abstractNumId w:val="39"/>
  </w:num>
  <w:num w:numId="46">
    <w:abstractNumId w:val="32"/>
  </w:num>
  <w:num w:numId="47">
    <w:abstractNumId w:val="51"/>
  </w:num>
  <w:num w:numId="48">
    <w:abstractNumId w:val="12"/>
  </w:num>
  <w:num w:numId="49">
    <w:abstractNumId w:val="11"/>
  </w:num>
  <w:num w:numId="50">
    <w:abstractNumId w:val="5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</w:num>
  <w:num w:numId="51">
    <w:abstractNumId w:val="16"/>
  </w:num>
  <w:num w:numId="52">
    <w:abstractNumId w:val="50"/>
  </w:num>
  <w:num w:numId="53">
    <w:abstractNumId w:val="22"/>
  </w:num>
  <w:num w:numId="54">
    <w:abstractNumId w:val="21"/>
  </w:num>
  <w:num w:numId="55">
    <w:abstractNumId w:val="6"/>
  </w:num>
  <w:num w:numId="56">
    <w:abstractNumId w:val="15"/>
    <w:lvlOverride w:ilvl="0">
      <w:startOverride w:val="8"/>
    </w:lvlOverride>
  </w:num>
  <w:num w:numId="57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58"/>
    <w:rsid w:val="0000154D"/>
    <w:rsid w:val="0000170E"/>
    <w:rsid w:val="00002AF7"/>
    <w:rsid w:val="00004E6B"/>
    <w:rsid w:val="00006EC1"/>
    <w:rsid w:val="0000752E"/>
    <w:rsid w:val="00007AE2"/>
    <w:rsid w:val="00011164"/>
    <w:rsid w:val="00011EA5"/>
    <w:rsid w:val="0001266F"/>
    <w:rsid w:val="00013912"/>
    <w:rsid w:val="00016FD9"/>
    <w:rsid w:val="00024D55"/>
    <w:rsid w:val="00025BD3"/>
    <w:rsid w:val="000355EA"/>
    <w:rsid w:val="000358D9"/>
    <w:rsid w:val="000411F5"/>
    <w:rsid w:val="00047B2E"/>
    <w:rsid w:val="00056D7F"/>
    <w:rsid w:val="00060351"/>
    <w:rsid w:val="00076D6F"/>
    <w:rsid w:val="0008427B"/>
    <w:rsid w:val="000875BA"/>
    <w:rsid w:val="000907C3"/>
    <w:rsid w:val="000940F5"/>
    <w:rsid w:val="000A1769"/>
    <w:rsid w:val="000A4C3C"/>
    <w:rsid w:val="000B02CA"/>
    <w:rsid w:val="000B1813"/>
    <w:rsid w:val="000B1A31"/>
    <w:rsid w:val="000B237A"/>
    <w:rsid w:val="000B269D"/>
    <w:rsid w:val="000C0F61"/>
    <w:rsid w:val="000C33D2"/>
    <w:rsid w:val="000C6640"/>
    <w:rsid w:val="000D08E5"/>
    <w:rsid w:val="000D1943"/>
    <w:rsid w:val="000D1CBF"/>
    <w:rsid w:val="000E04DE"/>
    <w:rsid w:val="000E1231"/>
    <w:rsid w:val="00102894"/>
    <w:rsid w:val="00110B08"/>
    <w:rsid w:val="001126E3"/>
    <w:rsid w:val="00115A7E"/>
    <w:rsid w:val="00116B0B"/>
    <w:rsid w:val="001202F4"/>
    <w:rsid w:val="00120601"/>
    <w:rsid w:val="0012747A"/>
    <w:rsid w:val="00132837"/>
    <w:rsid w:val="00133BFE"/>
    <w:rsid w:val="001508F4"/>
    <w:rsid w:val="0015138F"/>
    <w:rsid w:val="001609AD"/>
    <w:rsid w:val="00163548"/>
    <w:rsid w:val="00163843"/>
    <w:rsid w:val="00163E0F"/>
    <w:rsid w:val="0016667E"/>
    <w:rsid w:val="00171683"/>
    <w:rsid w:val="00171DBD"/>
    <w:rsid w:val="00173265"/>
    <w:rsid w:val="00177D0E"/>
    <w:rsid w:val="0018560D"/>
    <w:rsid w:val="001936EF"/>
    <w:rsid w:val="001964D2"/>
    <w:rsid w:val="001A0892"/>
    <w:rsid w:val="001A1E8C"/>
    <w:rsid w:val="001B4C40"/>
    <w:rsid w:val="001C2B06"/>
    <w:rsid w:val="001D00A7"/>
    <w:rsid w:val="001D1D36"/>
    <w:rsid w:val="001F31E2"/>
    <w:rsid w:val="001F4A9E"/>
    <w:rsid w:val="00200046"/>
    <w:rsid w:val="0020456C"/>
    <w:rsid w:val="00207C87"/>
    <w:rsid w:val="00212CEF"/>
    <w:rsid w:val="0021461A"/>
    <w:rsid w:val="00222F2F"/>
    <w:rsid w:val="0022316B"/>
    <w:rsid w:val="0022696C"/>
    <w:rsid w:val="00230F5E"/>
    <w:rsid w:val="00234128"/>
    <w:rsid w:val="00234289"/>
    <w:rsid w:val="00234901"/>
    <w:rsid w:val="002363D0"/>
    <w:rsid w:val="00243544"/>
    <w:rsid w:val="00243F07"/>
    <w:rsid w:val="00252399"/>
    <w:rsid w:val="00260076"/>
    <w:rsid w:val="00264E2B"/>
    <w:rsid w:val="00265BB9"/>
    <w:rsid w:val="00267CA6"/>
    <w:rsid w:val="00274096"/>
    <w:rsid w:val="0027734F"/>
    <w:rsid w:val="0027765C"/>
    <w:rsid w:val="00280043"/>
    <w:rsid w:val="00285199"/>
    <w:rsid w:val="00286C98"/>
    <w:rsid w:val="00287378"/>
    <w:rsid w:val="0029227B"/>
    <w:rsid w:val="0029695C"/>
    <w:rsid w:val="002A26CA"/>
    <w:rsid w:val="002A7674"/>
    <w:rsid w:val="002B3C5E"/>
    <w:rsid w:val="002B6531"/>
    <w:rsid w:val="002B7293"/>
    <w:rsid w:val="002C453B"/>
    <w:rsid w:val="002C4578"/>
    <w:rsid w:val="002E3A3B"/>
    <w:rsid w:val="002E7A1F"/>
    <w:rsid w:val="002F6D60"/>
    <w:rsid w:val="00303EAC"/>
    <w:rsid w:val="0030672D"/>
    <w:rsid w:val="0031532C"/>
    <w:rsid w:val="00315D29"/>
    <w:rsid w:val="003217A0"/>
    <w:rsid w:val="003310D7"/>
    <w:rsid w:val="00332FC5"/>
    <w:rsid w:val="0033481E"/>
    <w:rsid w:val="003520BF"/>
    <w:rsid w:val="0035343C"/>
    <w:rsid w:val="003544EC"/>
    <w:rsid w:val="0035662C"/>
    <w:rsid w:val="00362421"/>
    <w:rsid w:val="00371138"/>
    <w:rsid w:val="003748E9"/>
    <w:rsid w:val="003820AB"/>
    <w:rsid w:val="00384D4E"/>
    <w:rsid w:val="0038544F"/>
    <w:rsid w:val="003913FB"/>
    <w:rsid w:val="003930B3"/>
    <w:rsid w:val="0039592F"/>
    <w:rsid w:val="003A2E6F"/>
    <w:rsid w:val="003A6EAB"/>
    <w:rsid w:val="003B36E2"/>
    <w:rsid w:val="003C3981"/>
    <w:rsid w:val="003C4AFE"/>
    <w:rsid w:val="003C5EEC"/>
    <w:rsid w:val="003D3CE0"/>
    <w:rsid w:val="003D42DF"/>
    <w:rsid w:val="003D4DEF"/>
    <w:rsid w:val="003D6B13"/>
    <w:rsid w:val="003D7434"/>
    <w:rsid w:val="003E1042"/>
    <w:rsid w:val="003E51B2"/>
    <w:rsid w:val="003E5BF7"/>
    <w:rsid w:val="003E5E1E"/>
    <w:rsid w:val="003F0A4B"/>
    <w:rsid w:val="00400EA0"/>
    <w:rsid w:val="00416386"/>
    <w:rsid w:val="0042467C"/>
    <w:rsid w:val="004302A6"/>
    <w:rsid w:val="00430D33"/>
    <w:rsid w:val="00442484"/>
    <w:rsid w:val="0044723C"/>
    <w:rsid w:val="00450ED7"/>
    <w:rsid w:val="00452C55"/>
    <w:rsid w:val="00455E1A"/>
    <w:rsid w:val="00456383"/>
    <w:rsid w:val="0045763E"/>
    <w:rsid w:val="004670E0"/>
    <w:rsid w:val="00474377"/>
    <w:rsid w:val="00493276"/>
    <w:rsid w:val="004B088B"/>
    <w:rsid w:val="004B1B3D"/>
    <w:rsid w:val="004B1F59"/>
    <w:rsid w:val="004C0D52"/>
    <w:rsid w:val="004C64C6"/>
    <w:rsid w:val="004D2371"/>
    <w:rsid w:val="004D7531"/>
    <w:rsid w:val="004E146F"/>
    <w:rsid w:val="004F6DA1"/>
    <w:rsid w:val="00500EBC"/>
    <w:rsid w:val="00502637"/>
    <w:rsid w:val="005028B7"/>
    <w:rsid w:val="00505376"/>
    <w:rsid w:val="0050568D"/>
    <w:rsid w:val="00505AC0"/>
    <w:rsid w:val="00507BEB"/>
    <w:rsid w:val="00512575"/>
    <w:rsid w:val="00512A15"/>
    <w:rsid w:val="00531974"/>
    <w:rsid w:val="00532416"/>
    <w:rsid w:val="00534FC4"/>
    <w:rsid w:val="00537284"/>
    <w:rsid w:val="00541AA7"/>
    <w:rsid w:val="00550A06"/>
    <w:rsid w:val="005533A3"/>
    <w:rsid w:val="005538BC"/>
    <w:rsid w:val="00557E04"/>
    <w:rsid w:val="00565AAB"/>
    <w:rsid w:val="00567B2B"/>
    <w:rsid w:val="0058259D"/>
    <w:rsid w:val="00582964"/>
    <w:rsid w:val="00586295"/>
    <w:rsid w:val="005A05E4"/>
    <w:rsid w:val="005B279E"/>
    <w:rsid w:val="005B3CA5"/>
    <w:rsid w:val="005B3F0C"/>
    <w:rsid w:val="005C0327"/>
    <w:rsid w:val="005C0C9B"/>
    <w:rsid w:val="005C1C77"/>
    <w:rsid w:val="005C6D12"/>
    <w:rsid w:val="005D22B5"/>
    <w:rsid w:val="005D2A04"/>
    <w:rsid w:val="005D2CFA"/>
    <w:rsid w:val="005E2365"/>
    <w:rsid w:val="006003F5"/>
    <w:rsid w:val="00602D3B"/>
    <w:rsid w:val="006055A4"/>
    <w:rsid w:val="006061FA"/>
    <w:rsid w:val="0060792C"/>
    <w:rsid w:val="00613518"/>
    <w:rsid w:val="006261BE"/>
    <w:rsid w:val="00627004"/>
    <w:rsid w:val="00633580"/>
    <w:rsid w:val="006405D4"/>
    <w:rsid w:val="0064129E"/>
    <w:rsid w:val="0064415B"/>
    <w:rsid w:val="00644F4C"/>
    <w:rsid w:val="00645798"/>
    <w:rsid w:val="00653607"/>
    <w:rsid w:val="0065639B"/>
    <w:rsid w:val="00657F91"/>
    <w:rsid w:val="006605B8"/>
    <w:rsid w:val="0066116B"/>
    <w:rsid w:val="00662BFC"/>
    <w:rsid w:val="00664244"/>
    <w:rsid w:val="00664EB3"/>
    <w:rsid w:val="006736DF"/>
    <w:rsid w:val="00674302"/>
    <w:rsid w:val="00675464"/>
    <w:rsid w:val="006762F9"/>
    <w:rsid w:val="0068490D"/>
    <w:rsid w:val="006870B1"/>
    <w:rsid w:val="006962FF"/>
    <w:rsid w:val="006B0E32"/>
    <w:rsid w:val="006B606B"/>
    <w:rsid w:val="006B6B4B"/>
    <w:rsid w:val="006C31DA"/>
    <w:rsid w:val="006C4129"/>
    <w:rsid w:val="006C5576"/>
    <w:rsid w:val="006D1535"/>
    <w:rsid w:val="006D2265"/>
    <w:rsid w:val="006D4345"/>
    <w:rsid w:val="006D5EEC"/>
    <w:rsid w:val="006D68C9"/>
    <w:rsid w:val="006D6AFF"/>
    <w:rsid w:val="006E04A6"/>
    <w:rsid w:val="006E0B7F"/>
    <w:rsid w:val="006E0E76"/>
    <w:rsid w:val="006E2FD7"/>
    <w:rsid w:val="006F4447"/>
    <w:rsid w:val="006F60C3"/>
    <w:rsid w:val="0070073E"/>
    <w:rsid w:val="007014F9"/>
    <w:rsid w:val="00704F6F"/>
    <w:rsid w:val="0071602F"/>
    <w:rsid w:val="00717D18"/>
    <w:rsid w:val="00725383"/>
    <w:rsid w:val="00725A14"/>
    <w:rsid w:val="00727002"/>
    <w:rsid w:val="00727B4B"/>
    <w:rsid w:val="00733506"/>
    <w:rsid w:val="00735D76"/>
    <w:rsid w:val="00737365"/>
    <w:rsid w:val="0074039F"/>
    <w:rsid w:val="0074125A"/>
    <w:rsid w:val="00743272"/>
    <w:rsid w:val="007434E5"/>
    <w:rsid w:val="00745A75"/>
    <w:rsid w:val="00746956"/>
    <w:rsid w:val="00746BA9"/>
    <w:rsid w:val="00750B6F"/>
    <w:rsid w:val="007611FE"/>
    <w:rsid w:val="0076145E"/>
    <w:rsid w:val="00765901"/>
    <w:rsid w:val="0077003A"/>
    <w:rsid w:val="00776E02"/>
    <w:rsid w:val="00780935"/>
    <w:rsid w:val="00781B5C"/>
    <w:rsid w:val="00786082"/>
    <w:rsid w:val="00791022"/>
    <w:rsid w:val="00793AC8"/>
    <w:rsid w:val="007A7D60"/>
    <w:rsid w:val="007B1F0F"/>
    <w:rsid w:val="007B350F"/>
    <w:rsid w:val="007B36B0"/>
    <w:rsid w:val="007C2A20"/>
    <w:rsid w:val="007D0B49"/>
    <w:rsid w:val="007D113B"/>
    <w:rsid w:val="007D17DA"/>
    <w:rsid w:val="007D5D93"/>
    <w:rsid w:val="007F68AD"/>
    <w:rsid w:val="00802A64"/>
    <w:rsid w:val="008040ED"/>
    <w:rsid w:val="008045F0"/>
    <w:rsid w:val="00811EF4"/>
    <w:rsid w:val="008142AC"/>
    <w:rsid w:val="008235BF"/>
    <w:rsid w:val="00823A93"/>
    <w:rsid w:val="0082457B"/>
    <w:rsid w:val="00826A51"/>
    <w:rsid w:val="00826BDB"/>
    <w:rsid w:val="008273F4"/>
    <w:rsid w:val="00833813"/>
    <w:rsid w:val="0083743C"/>
    <w:rsid w:val="00837E80"/>
    <w:rsid w:val="0084260D"/>
    <w:rsid w:val="00844C68"/>
    <w:rsid w:val="00852AC7"/>
    <w:rsid w:val="00857F13"/>
    <w:rsid w:val="00863480"/>
    <w:rsid w:val="00864119"/>
    <w:rsid w:val="008661DE"/>
    <w:rsid w:val="0086713F"/>
    <w:rsid w:val="00872264"/>
    <w:rsid w:val="00875BD3"/>
    <w:rsid w:val="00887F85"/>
    <w:rsid w:val="00891762"/>
    <w:rsid w:val="00891FD5"/>
    <w:rsid w:val="008931F5"/>
    <w:rsid w:val="00893BA7"/>
    <w:rsid w:val="00895B73"/>
    <w:rsid w:val="008A2FBB"/>
    <w:rsid w:val="008A4919"/>
    <w:rsid w:val="008B021B"/>
    <w:rsid w:val="008C3FA7"/>
    <w:rsid w:val="008E0B32"/>
    <w:rsid w:val="008E64BD"/>
    <w:rsid w:val="008E6CF1"/>
    <w:rsid w:val="008F2C97"/>
    <w:rsid w:val="008F402D"/>
    <w:rsid w:val="008F515F"/>
    <w:rsid w:val="0091105C"/>
    <w:rsid w:val="009200D2"/>
    <w:rsid w:val="00920C9E"/>
    <w:rsid w:val="0092707F"/>
    <w:rsid w:val="00933BCC"/>
    <w:rsid w:val="009409AD"/>
    <w:rsid w:val="00943C2E"/>
    <w:rsid w:val="00944A8E"/>
    <w:rsid w:val="00952248"/>
    <w:rsid w:val="0095274A"/>
    <w:rsid w:val="00957FDB"/>
    <w:rsid w:val="00961E4A"/>
    <w:rsid w:val="009647E6"/>
    <w:rsid w:val="0096601E"/>
    <w:rsid w:val="00975344"/>
    <w:rsid w:val="009818B6"/>
    <w:rsid w:val="00984FCF"/>
    <w:rsid w:val="00986E2B"/>
    <w:rsid w:val="009875BB"/>
    <w:rsid w:val="0099220F"/>
    <w:rsid w:val="009A3A2A"/>
    <w:rsid w:val="009A4D8D"/>
    <w:rsid w:val="009B066E"/>
    <w:rsid w:val="009C17FC"/>
    <w:rsid w:val="009C4EDB"/>
    <w:rsid w:val="009C6CD6"/>
    <w:rsid w:val="009D016A"/>
    <w:rsid w:val="009D3DF0"/>
    <w:rsid w:val="009D6716"/>
    <w:rsid w:val="009E154F"/>
    <w:rsid w:val="009E291E"/>
    <w:rsid w:val="009E36D8"/>
    <w:rsid w:val="009E61F1"/>
    <w:rsid w:val="009E6549"/>
    <w:rsid w:val="009F799B"/>
    <w:rsid w:val="00A023C5"/>
    <w:rsid w:val="00A04D67"/>
    <w:rsid w:val="00A071FE"/>
    <w:rsid w:val="00A2029E"/>
    <w:rsid w:val="00A22180"/>
    <w:rsid w:val="00A33434"/>
    <w:rsid w:val="00A34AFB"/>
    <w:rsid w:val="00A35F0D"/>
    <w:rsid w:val="00A45B1E"/>
    <w:rsid w:val="00A46567"/>
    <w:rsid w:val="00A52EF8"/>
    <w:rsid w:val="00A57B2D"/>
    <w:rsid w:val="00A651B5"/>
    <w:rsid w:val="00A72EEB"/>
    <w:rsid w:val="00A87087"/>
    <w:rsid w:val="00A87E21"/>
    <w:rsid w:val="00A92064"/>
    <w:rsid w:val="00A93188"/>
    <w:rsid w:val="00A935C5"/>
    <w:rsid w:val="00A93B6E"/>
    <w:rsid w:val="00AA015B"/>
    <w:rsid w:val="00AA6E19"/>
    <w:rsid w:val="00AB4B97"/>
    <w:rsid w:val="00AB623E"/>
    <w:rsid w:val="00AC22C5"/>
    <w:rsid w:val="00AD026D"/>
    <w:rsid w:val="00AD3249"/>
    <w:rsid w:val="00AF5E19"/>
    <w:rsid w:val="00AF7EB9"/>
    <w:rsid w:val="00B02AE5"/>
    <w:rsid w:val="00B10323"/>
    <w:rsid w:val="00B11745"/>
    <w:rsid w:val="00B12749"/>
    <w:rsid w:val="00B14C67"/>
    <w:rsid w:val="00B16703"/>
    <w:rsid w:val="00B26DD5"/>
    <w:rsid w:val="00B31E5C"/>
    <w:rsid w:val="00B35F64"/>
    <w:rsid w:val="00B365A3"/>
    <w:rsid w:val="00B40853"/>
    <w:rsid w:val="00B51990"/>
    <w:rsid w:val="00B52F61"/>
    <w:rsid w:val="00B5538E"/>
    <w:rsid w:val="00B555C7"/>
    <w:rsid w:val="00B66643"/>
    <w:rsid w:val="00B72B58"/>
    <w:rsid w:val="00B765E0"/>
    <w:rsid w:val="00B85C14"/>
    <w:rsid w:val="00B878FD"/>
    <w:rsid w:val="00B87C00"/>
    <w:rsid w:val="00B93E4D"/>
    <w:rsid w:val="00B953D1"/>
    <w:rsid w:val="00BA195E"/>
    <w:rsid w:val="00BA41B9"/>
    <w:rsid w:val="00BB16EE"/>
    <w:rsid w:val="00BC3DEE"/>
    <w:rsid w:val="00BD1AAB"/>
    <w:rsid w:val="00BD5BAA"/>
    <w:rsid w:val="00BD72E1"/>
    <w:rsid w:val="00BE62F8"/>
    <w:rsid w:val="00BE77B3"/>
    <w:rsid w:val="00BF1FAE"/>
    <w:rsid w:val="00BF2E62"/>
    <w:rsid w:val="00C078EB"/>
    <w:rsid w:val="00C15DBF"/>
    <w:rsid w:val="00C1627D"/>
    <w:rsid w:val="00C167AB"/>
    <w:rsid w:val="00C16A72"/>
    <w:rsid w:val="00C16B06"/>
    <w:rsid w:val="00C17BCE"/>
    <w:rsid w:val="00C2148E"/>
    <w:rsid w:val="00C21691"/>
    <w:rsid w:val="00C247FD"/>
    <w:rsid w:val="00C307C9"/>
    <w:rsid w:val="00C353A4"/>
    <w:rsid w:val="00C35DD3"/>
    <w:rsid w:val="00C419C9"/>
    <w:rsid w:val="00C52C6C"/>
    <w:rsid w:val="00C52FD7"/>
    <w:rsid w:val="00C55A11"/>
    <w:rsid w:val="00C67AA6"/>
    <w:rsid w:val="00C80B2F"/>
    <w:rsid w:val="00C83F64"/>
    <w:rsid w:val="00C87917"/>
    <w:rsid w:val="00C93CD4"/>
    <w:rsid w:val="00CA4048"/>
    <w:rsid w:val="00CA60E5"/>
    <w:rsid w:val="00CC1821"/>
    <w:rsid w:val="00CC63E2"/>
    <w:rsid w:val="00CC6A24"/>
    <w:rsid w:val="00CC6C47"/>
    <w:rsid w:val="00CC70E5"/>
    <w:rsid w:val="00CD3979"/>
    <w:rsid w:val="00CD3D4A"/>
    <w:rsid w:val="00CD4078"/>
    <w:rsid w:val="00CD60E5"/>
    <w:rsid w:val="00CD6F61"/>
    <w:rsid w:val="00CD7137"/>
    <w:rsid w:val="00CE45E8"/>
    <w:rsid w:val="00CE650A"/>
    <w:rsid w:val="00CF2568"/>
    <w:rsid w:val="00CF559C"/>
    <w:rsid w:val="00CF7FCD"/>
    <w:rsid w:val="00D015DC"/>
    <w:rsid w:val="00D021B0"/>
    <w:rsid w:val="00D058C9"/>
    <w:rsid w:val="00D06524"/>
    <w:rsid w:val="00D11BB7"/>
    <w:rsid w:val="00D17477"/>
    <w:rsid w:val="00D24CA4"/>
    <w:rsid w:val="00D26217"/>
    <w:rsid w:val="00D3286B"/>
    <w:rsid w:val="00D40344"/>
    <w:rsid w:val="00D475BB"/>
    <w:rsid w:val="00D54979"/>
    <w:rsid w:val="00D573F0"/>
    <w:rsid w:val="00D61251"/>
    <w:rsid w:val="00D716C6"/>
    <w:rsid w:val="00D7228E"/>
    <w:rsid w:val="00D7368C"/>
    <w:rsid w:val="00D853F9"/>
    <w:rsid w:val="00D9016C"/>
    <w:rsid w:val="00D92ECF"/>
    <w:rsid w:val="00D94D86"/>
    <w:rsid w:val="00D9539F"/>
    <w:rsid w:val="00D960A2"/>
    <w:rsid w:val="00D973F6"/>
    <w:rsid w:val="00DA1C2C"/>
    <w:rsid w:val="00DA68C3"/>
    <w:rsid w:val="00DC301E"/>
    <w:rsid w:val="00DC3449"/>
    <w:rsid w:val="00DD34F1"/>
    <w:rsid w:val="00DD60C1"/>
    <w:rsid w:val="00DD6258"/>
    <w:rsid w:val="00DE09D2"/>
    <w:rsid w:val="00DE716D"/>
    <w:rsid w:val="00DE796D"/>
    <w:rsid w:val="00DF5391"/>
    <w:rsid w:val="00DF5494"/>
    <w:rsid w:val="00DF6313"/>
    <w:rsid w:val="00E001AA"/>
    <w:rsid w:val="00E126DE"/>
    <w:rsid w:val="00E137FE"/>
    <w:rsid w:val="00E31EFC"/>
    <w:rsid w:val="00E363DE"/>
    <w:rsid w:val="00E36581"/>
    <w:rsid w:val="00E37ACD"/>
    <w:rsid w:val="00E4447A"/>
    <w:rsid w:val="00E46D40"/>
    <w:rsid w:val="00E527EF"/>
    <w:rsid w:val="00E55137"/>
    <w:rsid w:val="00E63107"/>
    <w:rsid w:val="00E660EE"/>
    <w:rsid w:val="00E73ADE"/>
    <w:rsid w:val="00E74355"/>
    <w:rsid w:val="00E74FAB"/>
    <w:rsid w:val="00E80D7E"/>
    <w:rsid w:val="00E86081"/>
    <w:rsid w:val="00E87F70"/>
    <w:rsid w:val="00E936B1"/>
    <w:rsid w:val="00E9559C"/>
    <w:rsid w:val="00E97461"/>
    <w:rsid w:val="00E978E5"/>
    <w:rsid w:val="00EA4AF8"/>
    <w:rsid w:val="00EB15FA"/>
    <w:rsid w:val="00EB2022"/>
    <w:rsid w:val="00EB31D4"/>
    <w:rsid w:val="00EB46DC"/>
    <w:rsid w:val="00EC06A7"/>
    <w:rsid w:val="00EC2066"/>
    <w:rsid w:val="00EC337A"/>
    <w:rsid w:val="00EC38B5"/>
    <w:rsid w:val="00EC52C9"/>
    <w:rsid w:val="00ED0851"/>
    <w:rsid w:val="00ED1328"/>
    <w:rsid w:val="00ED70D7"/>
    <w:rsid w:val="00ED7C33"/>
    <w:rsid w:val="00EE47F3"/>
    <w:rsid w:val="00EE6EB1"/>
    <w:rsid w:val="00EF11A2"/>
    <w:rsid w:val="00F00FFA"/>
    <w:rsid w:val="00F05DAA"/>
    <w:rsid w:val="00F11FEB"/>
    <w:rsid w:val="00F15AB7"/>
    <w:rsid w:val="00F16785"/>
    <w:rsid w:val="00F2237E"/>
    <w:rsid w:val="00F2335D"/>
    <w:rsid w:val="00F2732F"/>
    <w:rsid w:val="00F30181"/>
    <w:rsid w:val="00F32426"/>
    <w:rsid w:val="00F468D5"/>
    <w:rsid w:val="00F46D52"/>
    <w:rsid w:val="00F565EA"/>
    <w:rsid w:val="00F57027"/>
    <w:rsid w:val="00F64080"/>
    <w:rsid w:val="00F657C0"/>
    <w:rsid w:val="00F71DB9"/>
    <w:rsid w:val="00F760B1"/>
    <w:rsid w:val="00FA0910"/>
    <w:rsid w:val="00FA0FB0"/>
    <w:rsid w:val="00FA1787"/>
    <w:rsid w:val="00FA50B9"/>
    <w:rsid w:val="00FB27DF"/>
    <w:rsid w:val="00FB37DA"/>
    <w:rsid w:val="00FC12F8"/>
    <w:rsid w:val="00FC1FD9"/>
    <w:rsid w:val="00FD5E96"/>
    <w:rsid w:val="00FD6FB1"/>
    <w:rsid w:val="00FE2BAD"/>
    <w:rsid w:val="00FE34EA"/>
    <w:rsid w:val="00FE5A20"/>
    <w:rsid w:val="00FF25F6"/>
    <w:rsid w:val="00FF7D87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62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D62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DD62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2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625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625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DD6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D6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DD62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fr-FR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6258"/>
    <w:rPr>
      <w:rFonts w:ascii="Arial" w:eastAsia="Times New Roman" w:hAnsi="Arial" w:cs="Times New Roman"/>
      <w:sz w:val="20"/>
      <w:szCs w:val="20"/>
      <w:lang w:val="es-ES_tradnl" w:eastAsia="fr-FR"/>
    </w:rPr>
  </w:style>
  <w:style w:type="paragraph" w:styleId="Zkladntext2">
    <w:name w:val="Body Text 2"/>
    <w:basedOn w:val="Normln"/>
    <w:link w:val="Zkladntext2Char"/>
    <w:uiPriority w:val="99"/>
    <w:rsid w:val="00DD6258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D6258"/>
    <w:rPr>
      <w:rFonts w:ascii="Garamond" w:eastAsia="Times New Roman" w:hAnsi="Garamond" w:cs="Times New Roman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rsid w:val="00DD6258"/>
    <w:rPr>
      <w:rFonts w:cs="Times New Roman"/>
    </w:rPr>
  </w:style>
  <w:style w:type="character" w:styleId="Hypertextovodkaz">
    <w:name w:val="Hyperlink"/>
    <w:basedOn w:val="Standardnpsmoodstavce"/>
    <w:uiPriority w:val="99"/>
    <w:rsid w:val="00DD6258"/>
    <w:rPr>
      <w:color w:val="0000FF"/>
      <w:u w:val="single"/>
    </w:rPr>
  </w:style>
  <w:style w:type="paragraph" w:styleId="Textpoznpodarou">
    <w:name w:val="footnote text"/>
    <w:aliases w:val="Text pozn. pod čarou Char1,Text pozn. pod čarou Char Char,Schriftart: 8 pt,Text pozn. pod čarou Char2 Char,Text pozn. pod čarou Char Char1 Char,Text pozn. pod čarou Char1 Char Char,Schriftart: 8 pt Char Char,Schriftart: 8 pt Char1"/>
    <w:basedOn w:val="Normln"/>
    <w:link w:val="TextpoznpodarouChar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 Char1 Char,Text pozn. pod čarou Char Char Char,Schriftart: 8 pt Char,Text pozn. pod čarou Char2 Char Char,Text pozn. pod čarou Char Char1 Char Char,Text pozn. pod čarou Char1 Char Char Char"/>
    <w:basedOn w:val="Standardnpsmoodstavce"/>
    <w:link w:val="Textpoznpodarou"/>
    <w:rsid w:val="00DD62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ESPON Footnote No,Footnote Reference Number,Footnote symbol,Nota,Footnote number,de nota al pie,Ref,Char,SUPERS,Voetnootmarkering,Char1,fr,o,Re"/>
    <w:basedOn w:val="Standardnpsmoodstavce"/>
    <w:uiPriority w:val="99"/>
    <w:rsid w:val="00DD6258"/>
    <w:rPr>
      <w:vertAlign w:val="superscript"/>
    </w:rPr>
  </w:style>
  <w:style w:type="character" w:styleId="Sledovanodkaz">
    <w:name w:val="FollowedHyperlink"/>
    <w:basedOn w:val="Standardnpsmoodstavce"/>
    <w:uiPriority w:val="99"/>
    <w:rsid w:val="00DD6258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qFormat/>
    <w:rsid w:val="00DD6258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D625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25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D6258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2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2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StylZarovnatdobloku1Za18b">
    <w:name w:val="Styl Styl Zarovnat do bloku1 + Za:  18 b."/>
    <w:basedOn w:val="Normln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rsid w:val="00DD6258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D625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D6258"/>
    <w:rPr>
      <w:rFonts w:ascii="Consolas" w:eastAsia="Times New Roman" w:hAnsi="Consolas" w:cs="Times New Roman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rsid w:val="00DD6258"/>
    <w:pPr>
      <w:tabs>
        <w:tab w:val="left" w:pos="426"/>
        <w:tab w:val="right" w:leader="dot" w:pos="946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CharChar">
    <w:name w:val="Char Char1 Char Char Char"/>
    <w:basedOn w:val="Normln"/>
    <w:rsid w:val="00DD6258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D62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6258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Prukazkladntext">
    <w:name w:val="Příručka_základní text"/>
    <w:basedOn w:val="Normln"/>
    <w:link w:val="PrukazkladntextChar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ukazkladntextChar">
    <w:name w:val="Příručka_základní text Char"/>
    <w:link w:val="Prukazkladntext"/>
    <w:locked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uka-Nadpis1">
    <w:name w:val="Příručka - Nadpis 1"/>
    <w:basedOn w:val="Normln"/>
    <w:next w:val="Normln"/>
    <w:rsid w:val="00DD6258"/>
    <w:pPr>
      <w:keepNext/>
      <w:numPr>
        <w:numId w:val="15"/>
      </w:numPr>
      <w:spacing w:before="240" w:after="240" w:line="240" w:lineRule="auto"/>
      <w:outlineLvl w:val="0"/>
    </w:pPr>
    <w:rPr>
      <w:rFonts w:ascii="Tahoma" w:eastAsia="Times New Roman" w:hAnsi="Tahoma" w:cs="Times New Roman"/>
      <w:b/>
      <w:kern w:val="32"/>
      <w:sz w:val="40"/>
      <w:szCs w:val="20"/>
      <w:lang w:eastAsia="cs-CZ"/>
    </w:rPr>
  </w:style>
  <w:style w:type="paragraph" w:customStyle="1" w:styleId="Pruky-Nadpis2">
    <w:name w:val="Příručky - Nadpis 2"/>
    <w:basedOn w:val="Normln"/>
    <w:next w:val="Normln"/>
    <w:rsid w:val="00DD6258"/>
    <w:pPr>
      <w:keepNext/>
      <w:numPr>
        <w:ilvl w:val="1"/>
        <w:numId w:val="15"/>
      </w:numPr>
      <w:tabs>
        <w:tab w:val="left" w:pos="1134"/>
      </w:tabs>
      <w:spacing w:before="360" w:after="360" w:line="240" w:lineRule="auto"/>
      <w:outlineLvl w:val="1"/>
    </w:pPr>
    <w:rPr>
      <w:rFonts w:ascii="Tahoma" w:eastAsia="Times New Roman" w:hAnsi="Tahoma" w:cs="Times New Roman"/>
      <w:b/>
      <w:sz w:val="32"/>
      <w:szCs w:val="20"/>
      <w:lang w:eastAsia="cs-CZ"/>
    </w:rPr>
  </w:style>
  <w:style w:type="paragraph" w:customStyle="1" w:styleId="Pruky-Nadpis4">
    <w:name w:val="Příručky - Nadpis 4"/>
    <w:basedOn w:val="Normln"/>
    <w:rsid w:val="00DD6258"/>
    <w:pPr>
      <w:keepNext/>
      <w:numPr>
        <w:ilvl w:val="2"/>
        <w:numId w:val="15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4"/>
      <w:lang w:val="sk-SK" w:eastAsia="cs-CZ"/>
    </w:rPr>
  </w:style>
  <w:style w:type="paragraph" w:customStyle="1" w:styleId="Pruky-Nadpis3">
    <w:name w:val="Příručky - Nadpis 3"/>
    <w:basedOn w:val="Normln"/>
    <w:next w:val="Normln"/>
    <w:rsid w:val="00DD6258"/>
    <w:pPr>
      <w:keepNext/>
      <w:tabs>
        <w:tab w:val="num" w:pos="1134"/>
      </w:tabs>
      <w:spacing w:before="240" w:after="240" w:line="240" w:lineRule="auto"/>
      <w:outlineLvl w:val="2"/>
    </w:pPr>
    <w:rPr>
      <w:rFonts w:ascii="Tahoma" w:eastAsia="Times New Roman" w:hAnsi="Tahoma" w:cs="Times New Roman"/>
      <w:b/>
      <w:i/>
      <w:sz w:val="24"/>
      <w:szCs w:val="24"/>
      <w:lang w:val="sk-SK" w:eastAsia="cs-CZ"/>
    </w:rPr>
  </w:style>
  <w:style w:type="paragraph" w:customStyle="1" w:styleId="Default">
    <w:name w:val="Default"/>
    <w:rsid w:val="00DD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6258"/>
    <w:pPr>
      <w:spacing w:after="160" w:line="259" w:lineRule="auto"/>
      <w:ind w:left="720"/>
      <w:contextualSpacing/>
    </w:pPr>
    <w:rPr>
      <w:rFonts w:eastAsia="Times New Roman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DD6258"/>
    <w:rPr>
      <w:rFonts w:eastAsia="Times New Roman" w:cs="Times New Roman"/>
    </w:rPr>
  </w:style>
  <w:style w:type="paragraph" w:customStyle="1" w:styleId="CharCharCharCharZchnZchnCharZchnZchn1CharZchnZchn">
    <w:name w:val="Char Char Char Char Zchn Zchn Char Zchn Zchn1 Char Zchn Zchn"/>
    <w:basedOn w:val="Normln"/>
    <w:rsid w:val="00DD62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uka-ZkladnstylChar">
    <w:name w:val="Příručka - Základní styl Char"/>
    <w:basedOn w:val="Normln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D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06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06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06B"/>
    <w:rPr>
      <w:vertAlign w:val="superscript"/>
    </w:rPr>
  </w:style>
  <w:style w:type="numbering" w:customStyle="1" w:styleId="Aufzhlung">
    <w:name w:val="Aufzählung"/>
    <w:uiPriority w:val="99"/>
    <w:rsid w:val="00056D7F"/>
    <w:pPr>
      <w:numPr>
        <w:numId w:val="49"/>
      </w:numPr>
    </w:pPr>
  </w:style>
  <w:style w:type="paragraph" w:customStyle="1" w:styleId="01AufzhlungEbene1">
    <w:name w:val="01 _ Aufzählung Ebene1"/>
    <w:basedOn w:val="Normln"/>
    <w:uiPriority w:val="5"/>
    <w:qFormat/>
    <w:rsid w:val="00056D7F"/>
    <w:pPr>
      <w:numPr>
        <w:numId w:val="50"/>
      </w:numPr>
      <w:spacing w:after="120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paragraph" w:customStyle="1" w:styleId="02AufzhlungEbene2">
    <w:name w:val="02 _ Aufzählung Ebene 2"/>
    <w:basedOn w:val="01AufzhlungEbene1"/>
    <w:uiPriority w:val="5"/>
    <w:qFormat/>
    <w:rsid w:val="00056D7F"/>
    <w:pPr>
      <w:numPr>
        <w:ilvl w:val="1"/>
      </w:numPr>
    </w:pPr>
  </w:style>
  <w:style w:type="paragraph" w:customStyle="1" w:styleId="03AufzhlungEbene3">
    <w:name w:val="03_Aufzählung Ebene 3"/>
    <w:basedOn w:val="Normln"/>
    <w:uiPriority w:val="5"/>
    <w:qFormat/>
    <w:rsid w:val="00056D7F"/>
    <w:pPr>
      <w:numPr>
        <w:ilvl w:val="2"/>
        <w:numId w:val="50"/>
      </w:numPr>
      <w:spacing w:after="120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character" w:customStyle="1" w:styleId="HervohebungMedium">
    <w:name w:val="Hervohebung _Medium"/>
    <w:basedOn w:val="Standardnpsmoodstavce"/>
    <w:uiPriority w:val="7"/>
    <w:qFormat/>
    <w:rsid w:val="00500EBC"/>
    <w:rPr>
      <w:rFonts w:ascii="Franklin Gothic Medium" w:hAnsi="Franklin Gothic Mediu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62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D62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DD62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2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625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625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DD6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D6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DD62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fr-FR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6258"/>
    <w:rPr>
      <w:rFonts w:ascii="Arial" w:eastAsia="Times New Roman" w:hAnsi="Arial" w:cs="Times New Roman"/>
      <w:sz w:val="20"/>
      <w:szCs w:val="20"/>
      <w:lang w:val="es-ES_tradnl" w:eastAsia="fr-FR"/>
    </w:rPr>
  </w:style>
  <w:style w:type="paragraph" w:styleId="Zkladntext2">
    <w:name w:val="Body Text 2"/>
    <w:basedOn w:val="Normln"/>
    <w:link w:val="Zkladntext2Char"/>
    <w:uiPriority w:val="99"/>
    <w:rsid w:val="00DD6258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D6258"/>
    <w:rPr>
      <w:rFonts w:ascii="Garamond" w:eastAsia="Times New Roman" w:hAnsi="Garamond" w:cs="Times New Roman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rsid w:val="00DD6258"/>
    <w:rPr>
      <w:rFonts w:cs="Times New Roman"/>
    </w:rPr>
  </w:style>
  <w:style w:type="character" w:styleId="Hypertextovodkaz">
    <w:name w:val="Hyperlink"/>
    <w:basedOn w:val="Standardnpsmoodstavce"/>
    <w:uiPriority w:val="99"/>
    <w:rsid w:val="00DD6258"/>
    <w:rPr>
      <w:color w:val="0000FF"/>
      <w:u w:val="single"/>
    </w:rPr>
  </w:style>
  <w:style w:type="paragraph" w:styleId="Textpoznpodarou">
    <w:name w:val="footnote text"/>
    <w:aliases w:val="Text pozn. pod čarou Char1,Text pozn. pod čarou Char Char,Schriftart: 8 pt,Text pozn. pod čarou Char2 Char,Text pozn. pod čarou Char Char1 Char,Text pozn. pod čarou Char1 Char Char,Schriftart: 8 pt Char Char,Schriftart: 8 pt Char1"/>
    <w:basedOn w:val="Normln"/>
    <w:link w:val="TextpoznpodarouChar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 Char1 Char,Text pozn. pod čarou Char Char Char,Schriftart: 8 pt Char,Text pozn. pod čarou Char2 Char Char,Text pozn. pod čarou Char Char1 Char Char,Text pozn. pod čarou Char1 Char Char Char"/>
    <w:basedOn w:val="Standardnpsmoodstavce"/>
    <w:link w:val="Textpoznpodarou"/>
    <w:rsid w:val="00DD62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ESPON Footnote No,Footnote Reference Number,Footnote symbol,Nota,Footnote number,de nota al pie,Ref,Char,SUPERS,Voetnootmarkering,Char1,fr,o,Re"/>
    <w:basedOn w:val="Standardnpsmoodstavce"/>
    <w:uiPriority w:val="99"/>
    <w:rsid w:val="00DD6258"/>
    <w:rPr>
      <w:vertAlign w:val="superscript"/>
    </w:rPr>
  </w:style>
  <w:style w:type="character" w:styleId="Sledovanodkaz">
    <w:name w:val="FollowedHyperlink"/>
    <w:basedOn w:val="Standardnpsmoodstavce"/>
    <w:uiPriority w:val="99"/>
    <w:rsid w:val="00DD6258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qFormat/>
    <w:rsid w:val="00DD6258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D625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25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D6258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DD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2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2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StylZarovnatdobloku1Za18b">
    <w:name w:val="Styl Styl Zarovnat do bloku1 + Za:  18 b."/>
    <w:basedOn w:val="Normln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rsid w:val="00DD6258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D625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D6258"/>
    <w:rPr>
      <w:rFonts w:ascii="Consolas" w:eastAsia="Times New Roman" w:hAnsi="Consolas" w:cs="Times New Roman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rsid w:val="00DD6258"/>
    <w:pPr>
      <w:tabs>
        <w:tab w:val="left" w:pos="426"/>
        <w:tab w:val="right" w:leader="dot" w:pos="946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CharChar">
    <w:name w:val="Char Char1 Char Char Char"/>
    <w:basedOn w:val="Normln"/>
    <w:rsid w:val="00DD6258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D62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6258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Prukazkladntext">
    <w:name w:val="Příručka_základní text"/>
    <w:basedOn w:val="Normln"/>
    <w:link w:val="PrukazkladntextChar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ukazkladntextChar">
    <w:name w:val="Příručka_základní text Char"/>
    <w:link w:val="Prukazkladntext"/>
    <w:locked/>
    <w:rsid w:val="00DD6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uka-Nadpis1">
    <w:name w:val="Příručka - Nadpis 1"/>
    <w:basedOn w:val="Normln"/>
    <w:next w:val="Normln"/>
    <w:rsid w:val="00DD6258"/>
    <w:pPr>
      <w:keepNext/>
      <w:numPr>
        <w:numId w:val="15"/>
      </w:numPr>
      <w:spacing w:before="240" w:after="240" w:line="240" w:lineRule="auto"/>
      <w:outlineLvl w:val="0"/>
    </w:pPr>
    <w:rPr>
      <w:rFonts w:ascii="Tahoma" w:eastAsia="Times New Roman" w:hAnsi="Tahoma" w:cs="Times New Roman"/>
      <w:b/>
      <w:kern w:val="32"/>
      <w:sz w:val="40"/>
      <w:szCs w:val="20"/>
      <w:lang w:eastAsia="cs-CZ"/>
    </w:rPr>
  </w:style>
  <w:style w:type="paragraph" w:customStyle="1" w:styleId="Pruky-Nadpis2">
    <w:name w:val="Příručky - Nadpis 2"/>
    <w:basedOn w:val="Normln"/>
    <w:next w:val="Normln"/>
    <w:rsid w:val="00DD6258"/>
    <w:pPr>
      <w:keepNext/>
      <w:numPr>
        <w:ilvl w:val="1"/>
        <w:numId w:val="15"/>
      </w:numPr>
      <w:tabs>
        <w:tab w:val="left" w:pos="1134"/>
      </w:tabs>
      <w:spacing w:before="360" w:after="360" w:line="240" w:lineRule="auto"/>
      <w:outlineLvl w:val="1"/>
    </w:pPr>
    <w:rPr>
      <w:rFonts w:ascii="Tahoma" w:eastAsia="Times New Roman" w:hAnsi="Tahoma" w:cs="Times New Roman"/>
      <w:b/>
      <w:sz w:val="32"/>
      <w:szCs w:val="20"/>
      <w:lang w:eastAsia="cs-CZ"/>
    </w:rPr>
  </w:style>
  <w:style w:type="paragraph" w:customStyle="1" w:styleId="Pruky-Nadpis4">
    <w:name w:val="Příručky - Nadpis 4"/>
    <w:basedOn w:val="Normln"/>
    <w:rsid w:val="00DD6258"/>
    <w:pPr>
      <w:keepNext/>
      <w:numPr>
        <w:ilvl w:val="2"/>
        <w:numId w:val="15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4"/>
      <w:lang w:val="sk-SK" w:eastAsia="cs-CZ"/>
    </w:rPr>
  </w:style>
  <w:style w:type="paragraph" w:customStyle="1" w:styleId="Pruky-Nadpis3">
    <w:name w:val="Příručky - Nadpis 3"/>
    <w:basedOn w:val="Normln"/>
    <w:next w:val="Normln"/>
    <w:rsid w:val="00DD6258"/>
    <w:pPr>
      <w:keepNext/>
      <w:tabs>
        <w:tab w:val="num" w:pos="1134"/>
      </w:tabs>
      <w:spacing w:before="240" w:after="240" w:line="240" w:lineRule="auto"/>
      <w:outlineLvl w:val="2"/>
    </w:pPr>
    <w:rPr>
      <w:rFonts w:ascii="Tahoma" w:eastAsia="Times New Roman" w:hAnsi="Tahoma" w:cs="Times New Roman"/>
      <w:b/>
      <w:i/>
      <w:sz w:val="24"/>
      <w:szCs w:val="24"/>
      <w:lang w:val="sk-SK" w:eastAsia="cs-CZ"/>
    </w:rPr>
  </w:style>
  <w:style w:type="paragraph" w:customStyle="1" w:styleId="Default">
    <w:name w:val="Default"/>
    <w:rsid w:val="00DD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6258"/>
    <w:pPr>
      <w:spacing w:after="160" w:line="259" w:lineRule="auto"/>
      <w:ind w:left="720"/>
      <w:contextualSpacing/>
    </w:pPr>
    <w:rPr>
      <w:rFonts w:eastAsia="Times New Roman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DD6258"/>
    <w:rPr>
      <w:rFonts w:eastAsia="Times New Roman" w:cs="Times New Roman"/>
    </w:rPr>
  </w:style>
  <w:style w:type="paragraph" w:customStyle="1" w:styleId="CharCharCharCharZchnZchnCharZchnZchn1CharZchnZchn">
    <w:name w:val="Char Char Char Char Zchn Zchn Char Zchn Zchn1 Char Zchn Zchn"/>
    <w:basedOn w:val="Normln"/>
    <w:rsid w:val="00DD62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uka-ZkladnstylChar">
    <w:name w:val="Příručka - Základní styl Char"/>
    <w:basedOn w:val="Normln"/>
    <w:rsid w:val="00DD62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D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06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06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06B"/>
    <w:rPr>
      <w:vertAlign w:val="superscript"/>
    </w:rPr>
  </w:style>
  <w:style w:type="numbering" w:customStyle="1" w:styleId="Aufzhlung">
    <w:name w:val="Aufzählung"/>
    <w:uiPriority w:val="99"/>
    <w:rsid w:val="00056D7F"/>
    <w:pPr>
      <w:numPr>
        <w:numId w:val="49"/>
      </w:numPr>
    </w:pPr>
  </w:style>
  <w:style w:type="paragraph" w:customStyle="1" w:styleId="01AufzhlungEbene1">
    <w:name w:val="01 _ Aufzählung Ebene1"/>
    <w:basedOn w:val="Normln"/>
    <w:uiPriority w:val="5"/>
    <w:qFormat/>
    <w:rsid w:val="00056D7F"/>
    <w:pPr>
      <w:numPr>
        <w:numId w:val="50"/>
      </w:numPr>
      <w:spacing w:after="120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paragraph" w:customStyle="1" w:styleId="02AufzhlungEbene2">
    <w:name w:val="02 _ Aufzählung Ebene 2"/>
    <w:basedOn w:val="01AufzhlungEbene1"/>
    <w:uiPriority w:val="5"/>
    <w:qFormat/>
    <w:rsid w:val="00056D7F"/>
    <w:pPr>
      <w:numPr>
        <w:ilvl w:val="1"/>
      </w:numPr>
    </w:pPr>
  </w:style>
  <w:style w:type="paragraph" w:customStyle="1" w:styleId="03AufzhlungEbene3">
    <w:name w:val="03_Aufzählung Ebene 3"/>
    <w:basedOn w:val="Normln"/>
    <w:uiPriority w:val="5"/>
    <w:qFormat/>
    <w:rsid w:val="00056D7F"/>
    <w:pPr>
      <w:numPr>
        <w:ilvl w:val="2"/>
        <w:numId w:val="50"/>
      </w:numPr>
      <w:spacing w:after="120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character" w:customStyle="1" w:styleId="HervohebungMedium">
    <w:name w:val="Hervohebung _Medium"/>
    <w:basedOn w:val="Standardnpsmoodstavce"/>
    <w:uiPriority w:val="7"/>
    <w:qFormat/>
    <w:rsid w:val="00500EBC"/>
    <w:rPr>
      <w:rFonts w:ascii="Franklin Gothic Medium" w:hAnsi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taceeu.cz/getmedia/7be05f88-01dc-46bc-96fd-fee5b45aac41/MP_zpusobile-vydaje-v4_cista.pdf?ext=.pdf" TargetMode="External"/><Relationship Id="rId18" Type="http://schemas.openxmlformats.org/officeDocument/2006/relationships/hyperlink" Target="http://www.interreg-central.eu/Content.Node/implement/Implementation_Documents.html" TargetMode="External"/><Relationship Id="rId26" Type="http://schemas.openxmlformats.org/officeDocument/2006/relationships/hyperlink" Target="http://www.interreg-danube.e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regeurope.eu/about-us/logo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nterreg-danube.eu/relevant-documents/documents-for-project-implementation" TargetMode="External"/><Relationship Id="rId17" Type="http://schemas.openxmlformats.org/officeDocument/2006/relationships/hyperlink" Target="http://www.interregeurope.eu/projects/project-development/" TargetMode="External"/><Relationship Id="rId25" Type="http://schemas.openxmlformats.org/officeDocument/2006/relationships/hyperlink" Target="http://www.interreg-central.e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rr.cz/cs/eus/nalezitosti-dokladovani/" TargetMode="External"/><Relationship Id="rId20" Type="http://schemas.openxmlformats.org/officeDocument/2006/relationships/hyperlink" Target="http://www.interreg-danube.eu/relevant-documents/documents-for-project-implementation" TargetMode="External"/><Relationship Id="rId29" Type="http://schemas.openxmlformats.org/officeDocument/2006/relationships/hyperlink" Target="mailto:nadnarodni@mmr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reg-central.eu/Content.Node/apply/Document_Overview.html" TargetMode="External"/><Relationship Id="rId24" Type="http://schemas.openxmlformats.org/officeDocument/2006/relationships/hyperlink" Target="http://www.interregeurope.eu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rr.cz/cs/eus/mzdove-sazby-typovych-pozic/" TargetMode="External"/><Relationship Id="rId23" Type="http://schemas.openxmlformats.org/officeDocument/2006/relationships/hyperlink" Target="http://www.interreg-danube.eu/relevant-documents/documents-for-project-implementation" TargetMode="External"/><Relationship Id="rId28" Type="http://schemas.openxmlformats.org/officeDocument/2006/relationships/hyperlink" Target="http://www.crr.cz" TargetMode="External"/><Relationship Id="rId10" Type="http://schemas.openxmlformats.org/officeDocument/2006/relationships/hyperlink" Target="http://www.interreg-central.eu/Content.Node/implement/Implementation_Documents.html" TargetMode="External"/><Relationship Id="rId19" Type="http://schemas.openxmlformats.org/officeDocument/2006/relationships/hyperlink" Target="http://www.interreg-central.eu/Content.Node/apply/Document_Overview.html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nterregeurope.eu/projects/project-development/" TargetMode="External"/><Relationship Id="rId14" Type="http://schemas.openxmlformats.org/officeDocument/2006/relationships/hyperlink" Target="http://www.dotaceeu.cz/getmedia/7be05f88-01dc-46bc-96fd-fee5b45aac41/MP_zpusobile-vydaje-v4_cista.pdf?ext=.pdf" TargetMode="External"/><Relationship Id="rId22" Type="http://schemas.openxmlformats.org/officeDocument/2006/relationships/hyperlink" Target="http://www.interreg-central.eu/Content.Node/implement/Implementation_Documents.html" TargetMode="External"/><Relationship Id="rId27" Type="http://schemas.openxmlformats.org/officeDocument/2006/relationships/hyperlink" Target="http://www.crr.cz/cs/eus/nalezitosti-dokladovani/" TargetMode="External"/><Relationship Id="rId30" Type="http://schemas.openxmlformats.org/officeDocument/2006/relationships/hyperlink" Target="http://www.crr.cz/cs/eus/nalezitosti-dokladovani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ms.interreg-central.eu/app/main?execution=e1s1" TargetMode="External"/><Relationship Id="rId1" Type="http://schemas.openxmlformats.org/officeDocument/2006/relationships/hyperlink" Target="https://www.iolf.eu/Account/Login?ReturnUrl=%2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3AD4-A2E2-4A80-8FA1-184B662F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9704</Words>
  <Characters>57258</Characters>
  <Application>Microsoft Office Word</Application>
  <DocSecurity>0</DocSecurity>
  <Lines>477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Pavel Lukeš</cp:lastModifiedBy>
  <cp:revision>3</cp:revision>
  <cp:lastPrinted>2017-04-25T07:58:00Z</cp:lastPrinted>
  <dcterms:created xsi:type="dcterms:W3CDTF">2017-04-27T08:18:00Z</dcterms:created>
  <dcterms:modified xsi:type="dcterms:W3CDTF">2017-04-28T06:05:00Z</dcterms:modified>
</cp:coreProperties>
</file>