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12BBA" w:rsidRDefault="00F12BBA" w:rsidP="00F12BBA"/>
    <w:p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3C47C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A616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0A616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3C47C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B419E1" w:rsidRDefault="00B419E1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  <w:sectPr w:rsidR="00B419E1" w:rsidSect="00CA028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905BE" w:rsidRPr="002F5EAA" w:rsidRDefault="004905BE" w:rsidP="00F12BBA">
      <w:pPr>
        <w:spacing w:after="200" w:line="276" w:lineRule="auto"/>
        <w:rPr>
          <w:rFonts w:ascii="Arial" w:hAnsi="Arial"/>
          <w:b/>
          <w:sz w:val="20"/>
          <w:szCs w:val="20"/>
          <w:lang w:bidi="en-US"/>
        </w:rPr>
      </w:pPr>
      <w:r w:rsidRPr="002F5EAA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16"/>
                <w:szCs w:val="16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spacing w:before="120" w:after="120" w:line="312" w:lineRule="auto"/>
              <w:jc w:val="both"/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Průběžná zpráva o realizaci projektu č. X / Závěrečná zpráva </w:t>
            </w:r>
            <w:r w:rsidR="00C95F44"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o realizaci </w:t>
            </w:r>
            <w:r w:rsidR="003C4D81" w:rsidRPr="00171533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za poslední etapu </w:t>
            </w: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projektu č. X</w:t>
            </w: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Automaticky.</w:t>
            </w:r>
          </w:p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4905BE" w:rsidRPr="00171533" w:rsidTr="002C359E">
        <w:trPr>
          <w:trHeight w:val="141"/>
        </w:trPr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 xml:space="preserve">Program / </w:t>
            </w:r>
            <w:proofErr w:type="spellStart"/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DoP</w:t>
            </w:r>
            <w:proofErr w:type="spellEnd"/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171533"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eastAsiaTheme="minorEastAsia" w:hAnsiTheme="minorHAnsi"/>
                <w:sz w:val="20"/>
                <w:szCs w:val="20"/>
                <w:lang w:bidi="en-US"/>
              </w:rPr>
              <w:t>Implementační / realizační</w:t>
            </w: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Druhu dokumentu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4905BE" w:rsidRPr="00171533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Zpráva o realizaci individuálního projektu</w:t>
            </w:r>
          </w:p>
          <w:p w:rsidR="004905BE" w:rsidRPr="00171533" w:rsidRDefault="004905BE" w:rsidP="0006613A">
            <w:pPr>
              <w:ind w:left="720"/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171533" w:rsidTr="002C359E">
        <w:tc>
          <w:tcPr>
            <w:tcW w:w="1736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769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</w:p>
        </w:tc>
        <w:tc>
          <w:tcPr>
            <w:tcW w:w="1495" w:type="pct"/>
          </w:tcPr>
          <w:p w:rsidR="004905BE" w:rsidRPr="00171533" w:rsidRDefault="004905BE" w:rsidP="002C359E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171533">
              <w:rPr>
                <w:rFonts w:asciiTheme="minorHAnsi" w:hAnsiTheme="minorHAnsi"/>
                <w:sz w:val="20"/>
                <w:szCs w:val="20"/>
                <w:lang w:bidi="en-US"/>
              </w:rPr>
              <w:t>Automaticky</w:t>
            </w:r>
          </w:p>
        </w:tc>
      </w:tr>
    </w:tbl>
    <w:p w:rsidR="004905BE" w:rsidRPr="002F5EAA" w:rsidRDefault="004905BE" w:rsidP="004905BE">
      <w:pPr>
        <w:spacing w:before="120" w:after="120" w:line="312" w:lineRule="auto"/>
        <w:jc w:val="both"/>
        <w:rPr>
          <w:rFonts w:ascii="Arial" w:hAnsi="Arial"/>
          <w:sz w:val="20"/>
          <w:szCs w:val="20"/>
          <w:lang w:bidi="en-US"/>
        </w:rPr>
      </w:pPr>
    </w:p>
    <w:p w:rsidR="004905BE" w:rsidRPr="002F5EAA" w:rsidRDefault="004905BE" w:rsidP="004905BE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2F5EAA">
        <w:rPr>
          <w:rFonts w:ascii="Arial" w:hAnsi="Arial"/>
          <w:b/>
          <w:sz w:val="20"/>
          <w:szCs w:val="20"/>
          <w:lang w:bidi="en-US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941"/>
        <w:gridCol w:w="2304"/>
        <w:gridCol w:w="2690"/>
        <w:gridCol w:w="2275"/>
        <w:gridCol w:w="3470"/>
        <w:gridCol w:w="2540"/>
      </w:tblGrid>
      <w:tr w:rsidR="004905BE" w:rsidRPr="002F5EAA" w:rsidTr="002C359E">
        <w:trPr>
          <w:tblHeader/>
        </w:trPr>
        <w:tc>
          <w:tcPr>
            <w:tcW w:w="331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1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80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Název příjemce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Typ operace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individuální projekt</w:t>
            </w:r>
          </w:p>
          <w:p w:rsidR="004905BE" w:rsidRPr="002F5EAA" w:rsidRDefault="004905BE" w:rsidP="004905BE">
            <w:pPr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Atribut projektu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integrovaný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synergický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komplementární</w:t>
            </w:r>
          </w:p>
          <w:p w:rsidR="004905BE" w:rsidRPr="002F5EAA" w:rsidRDefault="004905BE" w:rsidP="004905BE">
            <w:pPr>
              <w:numPr>
                <w:ilvl w:val="0"/>
                <w:numId w:val="12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nerelevantní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integrovaného nástroje, pokud je projekt „integrovaný“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Číslo a název projektu/ů, se kterými je projekt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„synergický“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programu, ze kterého je projekt spolufinancován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prioritní osy / priority Unie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investiční priority / specifického cíle 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opatření</w:t>
            </w:r>
            <w:r w:rsidRPr="002F5EAA">
              <w:rPr>
                <w:rFonts w:ascii="Arial" w:hAnsi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t>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záměru (ENRF)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specifického cíle / specifických cílů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Fond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Pořadí etapy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příjemce, pokud je projekt etapový.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0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průběžná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závěrečná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podání zprávy</w:t>
            </w:r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10B7A">
              <w:rPr>
                <w:rFonts w:ascii="Arial" w:hAnsi="Arial"/>
                <w:sz w:val="20"/>
                <w:szCs w:val="20"/>
                <w:lang w:bidi="en-US"/>
              </w:rPr>
              <w:t>Datum, kdy příjemce podal zprávu ŘO / ZS, je-li zapojen do implementace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 xml:space="preserve"> </w:t>
            </w:r>
            <w:r w:rsidRPr="007151D4">
              <w:rPr>
                <w:rFonts w:ascii="Arial" w:hAnsi="Arial"/>
                <w:sz w:val="20"/>
                <w:szCs w:val="20"/>
                <w:lang w:bidi="en-US"/>
              </w:rPr>
              <w:t>a ze strany ŘO mu je tato činnost svěřena</w:t>
            </w:r>
            <w:r w:rsidRPr="00A10B7A">
              <w:rPr>
                <w:rFonts w:ascii="Arial" w:hAnsi="Arial"/>
                <w:sz w:val="20"/>
                <w:szCs w:val="20"/>
                <w:lang w:bidi="en-US"/>
              </w:rPr>
              <w:t>. Vyplňuje se automaticky.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Sledované období </w:t>
            </w:r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od</w:t>
            </w:r>
            <w:proofErr w:type="gramEnd"/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se automaticky. Datum vydání právního aktu o poskytnutí / převodu dotace, příp. datum zahájení realizace, </w:t>
            </w: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lastRenderedPageBreak/>
              <w:t>pokud předchází datu vydání právního aktu o poskytnutí převodu / podpory, nebo datum následují po datu uvedeném v položce „Sledované období do“ v předchozí zprávě.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Sledované období </w:t>
            </w:r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</w:t>
            </w:r>
            <w:proofErr w:type="gramEnd"/>
          </w:p>
        </w:tc>
        <w:tc>
          <w:tcPr>
            <w:tcW w:w="80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Kontaktní údaje ve věci zprávy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Jméno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Příjmení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Mobil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Volitelná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Telefon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Email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Vyplňuje příjemce. 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projektu ve sledovaném období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pokroku v realizaci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individuální projekty, pokud nemají definované klíčové aktivity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 pro projekty,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dosavadního pokroku a dosaženého stavu v realizaci projektu. 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dle číselníku výzvy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výzvy, v rámci které je projekt spolufinancován.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Autor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 u projektů, u kterých jsou definovány klíčové aktivity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ŘO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Žadatel / příjemce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aktivity za sledované období 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dosavadního pokroku a dosaženého stavu v realizaci klíčové aktivity. 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plnění indikátorů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indikátorů za projekt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Informace o věcném pokroku projektu.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</w:t>
            </w: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 xml:space="preserve">projektu do konce sledovaného období, za které je tato zpráva vykazována.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Pokud cílová hodnota indikátoru není součástí právního aktu o poskytnutí / převodu podpory, vyplňuje se N/A.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Číslo a název jednotky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Formát dle číselníku jednotkových nákladů</w:t>
            </w:r>
          </w:p>
        </w:tc>
        <w:tc>
          <w:tcPr>
            <w:tcW w:w="893" w:type="pct"/>
          </w:tcPr>
          <w:p w:rsidR="004905BE" w:rsidRPr="002F5EAA" w:rsidRDefault="002C359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C359E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dle 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Jedná se o údaj, který byl dosažen ve sledovaném období, za které je zpráva předkládána.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Vyplňuje příjemce. Volí příjemce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</w:t>
            </w: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 Pokud cílová hodnota indikátoru není součástí právního aktu o poskytnutí / převodu podpory, vyplňuje se N/A.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63395B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Roční obrat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Bilanční suma roční rozvahy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Definice dle nařízení 651/2014.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Velikost podniku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Povinná, není relevantní u státních investorských organizací (např. </w:t>
            </w:r>
            <w:r w:rsidRPr="001E6F03">
              <w:rPr>
                <w:rFonts w:ascii="Arial" w:hAnsi="Arial"/>
                <w:sz w:val="20"/>
                <w:szCs w:val="20"/>
                <w:lang w:bidi="en-US"/>
              </w:rPr>
              <w:t>SŽDC, ŘSD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)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Automatika – číselník: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-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mikropodnik</w:t>
            </w:r>
            <w:proofErr w:type="spellEnd"/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malý podnik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střední podnik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- velký podnik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Plněno automaticky dle nařízení EK 651/2014, příloha č. 1 na základě údajů v přecházejících </w:t>
            </w:r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polí</w:t>
            </w:r>
            <w:proofErr w:type="gramEnd"/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synergie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Registrační číslo a název projektu, se kterým je projekt synergický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Povinné u projektů, které jsou označeny jako synergické, a pouze v Závěrečné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 projektu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se automaticky dle údajů v právním aktu o poskytnutí / převodu podpory.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Povinné u projektů, které jsou označeny jako synergické, a pouze v Závěrečné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 projektu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u projektů, u kterých žadatel / příjemce v žádosti o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podporu uvede – pozitivní nebo cíleně zaměřený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pro zajištění plnění ENVI indikátorů. Plnění ENVI indikátorů je automaticky provázáno se záložkou Indikátory. 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příjmech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za sledované období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proveden přepočet v modulu CBA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Přepočet je povinný v závěrečné zprávě o realizaci projektu pro projekty, které mají v modulu CBA proveden výpočet. Vyplňuje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příjemce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projekty, které mají výjimku v MP řízení výzev a hodnocení projektů 2014–2020 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Nahrává příjemce.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ve veřejných zakázkách</w:t>
            </w:r>
          </w:p>
        </w:tc>
        <w:tc>
          <w:tcPr>
            <w:tcW w:w="946" w:type="pct"/>
          </w:tcPr>
          <w:p w:rsidR="004905BE" w:rsidRPr="00E53594" w:rsidRDefault="004905BE" w:rsidP="002C359E">
            <w:pPr>
              <w:pStyle w:val="MPtabtext"/>
              <w:rPr>
                <w:rFonts w:eastAsia="Times New Roman"/>
              </w:rPr>
            </w:pP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Relevantní pro projekty, v rámci kterých jsou plánovány / realizovány veřejné zakázky.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Datové položky se nabízí v závislosti na stavu přípravy či realizace veřejné zakázky / veřejných zakázek.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kontrolách provedených u příjemce v období, za které je tato zpráva vykazována (mimo kontrol z úrovně poskytovatele dotace)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Kontrolní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orgán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zahájení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893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vybírá z kalendáře.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Datum ukončení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dd.mm</w:t>
            </w:r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.rrrr</w:t>
            </w:r>
            <w:proofErr w:type="spellEnd"/>
          </w:p>
        </w:tc>
        <w:tc>
          <w:tcPr>
            <w:tcW w:w="893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Určení, na co byla kontrola zaměřena.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800" w:type="pct"/>
          </w:tcPr>
          <w:p w:rsidR="004905BE" w:rsidRPr="00837863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:rsidR="004905BE" w:rsidRDefault="004905BE" w:rsidP="004905B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Bez zjištění</w:t>
            </w:r>
          </w:p>
          <w:p w:rsidR="004905BE" w:rsidRPr="00837863" w:rsidRDefault="004905BE" w:rsidP="004905B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837863">
              <w:rPr>
                <w:rFonts w:ascii="Arial" w:hAnsi="Arial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893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Nahrává příjemce, pokud závěr / výsledek kontroly byl se zjištěním.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800" w:type="pct"/>
          </w:tcPr>
          <w:p w:rsidR="004905BE" w:rsidRDefault="004905BE" w:rsidP="002C359E">
            <w:r w:rsidRPr="00C11920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Pr="00D27658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D27658">
              <w:rPr>
                <w:rFonts w:ascii="Arial" w:hAnsi="Arial"/>
                <w:sz w:val="20"/>
                <w:szCs w:val="20"/>
                <w:lang w:bidi="en-US"/>
              </w:rPr>
              <w:t xml:space="preserve">Stručný bodový popis, podrobně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uvedeno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 xml:space="preserve"> v protokolu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z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> kontrol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y</w:t>
            </w:r>
            <w:r w:rsidRPr="00D27658"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800" w:type="pct"/>
          </w:tcPr>
          <w:p w:rsidR="004905BE" w:rsidRDefault="004905BE" w:rsidP="002C359E">
            <w:r w:rsidRPr="00C11920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Default="004905BE" w:rsidP="002C359E">
            <w:r w:rsidRPr="00A30187"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893" w:type="pct"/>
          </w:tcPr>
          <w:p w:rsidR="004905BE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Stručný popis, podrobně uvedeno v protokolu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z kontroly.</w:t>
            </w:r>
          </w:p>
          <w:p w:rsidR="004905BE" w:rsidRDefault="004905BE" w:rsidP="002C359E">
            <w:r w:rsidRPr="00FE0C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800" w:type="pct"/>
          </w:tcPr>
          <w:p w:rsidR="004905BE" w:rsidRPr="00AE0D35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Default="004905BE" w:rsidP="002C359E">
            <w:r>
              <w:rPr>
                <w:rFonts w:ascii="Arial" w:hAnsi="Arial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893" w:type="pct"/>
          </w:tcPr>
          <w:p w:rsidR="004905BE" w:rsidRDefault="004905BE" w:rsidP="002C359E">
            <w:pPr>
              <w:rPr>
                <w:rFonts w:ascii="Arial" w:hAnsi="Arial"/>
                <w:sz w:val="20"/>
                <w:szCs w:val="20"/>
                <w:lang w:bidi="en-US"/>
              </w:rPr>
            </w:pPr>
            <w:r w:rsidRPr="00F61B31">
              <w:rPr>
                <w:rFonts w:ascii="Arial" w:hAnsi="Arial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4905BE" w:rsidRDefault="004905BE" w:rsidP="002C359E">
            <w:r w:rsidRPr="00FE0C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  <w:vMerge w:val="restar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 w:val="restar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Velkoplošný panel/billboard u projektů ERDF/FS v hodnotě vyšší než 500 000 EUR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Stálá/pamětní deska u projektů ERDF/FS v hodnotě vyšší než 500 000 EUR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Vysvětlení. Vyplňuje příjemce, pokud to </w:t>
            </w:r>
            <w:r w:rsidRPr="002F5EAA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(loga, odkaz na fond, slogan a další povinné náležitosti):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Povinné prvky jsou uvedeny na dokumentech, webových stránkách a dalších nosičích financovaných z evropských fondů v souladu s Pravidly pro žadatele a příjemce a to v souladu s povinnými technickými parametry.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4905BE" w:rsidRPr="002F5EAA" w:rsidRDefault="004905BE" w:rsidP="004905BE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</w:tr>
      <w:tr w:rsidR="004905BE" w:rsidRPr="002F5EAA" w:rsidTr="002C359E">
        <w:tc>
          <w:tcPr>
            <w:tcW w:w="331" w:type="pct"/>
            <w:vMerge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  <w:vMerge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4905BE" w:rsidRPr="002F5EAA" w:rsidTr="002C359E">
        <w:tc>
          <w:tcPr>
            <w:tcW w:w="331" w:type="pct"/>
          </w:tcPr>
          <w:p w:rsidR="004905BE" w:rsidRPr="002F5EAA" w:rsidRDefault="004905BE" w:rsidP="004905BE">
            <w:pPr>
              <w:numPr>
                <w:ilvl w:val="0"/>
                <w:numId w:val="11"/>
              </w:numPr>
              <w:spacing w:before="120" w:after="120" w:line="312" w:lineRule="auto"/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</w:tc>
        <w:tc>
          <w:tcPr>
            <w:tcW w:w="81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b/>
                <w:sz w:val="20"/>
                <w:szCs w:val="20"/>
                <w:lang w:bidi="en-US"/>
              </w:rPr>
              <w:t>Čestná prohlášení</w:t>
            </w:r>
          </w:p>
        </w:tc>
        <w:tc>
          <w:tcPr>
            <w:tcW w:w="946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b/>
                <w:bCs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Seznam čestných prohlášení</w:t>
            </w:r>
          </w:p>
        </w:tc>
        <w:tc>
          <w:tcPr>
            <w:tcW w:w="80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220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Textové pole se zněním čestného/ch prohlášení</w:t>
            </w:r>
          </w:p>
        </w:tc>
        <w:tc>
          <w:tcPr>
            <w:tcW w:w="893" w:type="pct"/>
          </w:tcPr>
          <w:p w:rsidR="004905BE" w:rsidRPr="002F5EAA" w:rsidRDefault="004905BE" w:rsidP="002C359E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2F5EAA">
              <w:rPr>
                <w:rFonts w:ascii="Arial" w:hAnsi="Arial"/>
                <w:sz w:val="20"/>
                <w:szCs w:val="20"/>
                <w:lang w:bidi="en-US"/>
              </w:rPr>
              <w:t>Příjemce volí z nabízených čestných prohlášení a svým elektronickým podpisem připojeným k </w:t>
            </w:r>
            <w:proofErr w:type="spellStart"/>
            <w:proofErr w:type="gramStart"/>
            <w:r w:rsidRPr="002F5EAA">
              <w:rPr>
                <w:rFonts w:ascii="Arial" w:hAnsi="Arial"/>
                <w:sz w:val="20"/>
                <w:szCs w:val="20"/>
                <w:lang w:bidi="en-US"/>
              </w:rPr>
              <w:t>ZoR</w:t>
            </w:r>
            <w:proofErr w:type="spellEnd"/>
            <w:proofErr w:type="gramEnd"/>
            <w:r w:rsidRPr="002F5EAA">
              <w:rPr>
                <w:rFonts w:ascii="Arial" w:hAnsi="Arial"/>
                <w:sz w:val="20"/>
                <w:szCs w:val="20"/>
                <w:lang w:bidi="en-US"/>
              </w:rPr>
              <w:t xml:space="preserve"> projektu stvrzuje souhlas s jejich zněním.</w:t>
            </w:r>
          </w:p>
        </w:tc>
      </w:tr>
    </w:tbl>
    <w:p w:rsidR="00486EE4" w:rsidRDefault="00486EE4" w:rsidP="00DC01D8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</w:p>
    <w:sectPr w:rsidR="00486EE4" w:rsidSect="00CA0280">
      <w:head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6A" w:rsidRDefault="0059336A" w:rsidP="00634381">
      <w:r>
        <w:separator/>
      </w:r>
    </w:p>
  </w:endnote>
  <w:endnote w:type="continuationSeparator" w:id="0">
    <w:p w:rsidR="0059336A" w:rsidRDefault="0059336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911596"/>
      <w:docPartObj>
        <w:docPartGallery w:val="Page Numbers (Bottom of Page)"/>
        <w:docPartUnique/>
      </w:docPartObj>
    </w:sdtPr>
    <w:sdtEndPr/>
    <w:sdtContent>
      <w:p w:rsidR="00CA0280" w:rsidRDefault="00CA02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643">
          <w:rPr>
            <w:noProof/>
          </w:rPr>
          <w:t>2</w:t>
        </w:r>
        <w:r>
          <w:fldChar w:fldCharType="end"/>
        </w:r>
      </w:p>
    </w:sdtContent>
  </w:sdt>
  <w:p w:rsidR="002C359E" w:rsidRDefault="00CA0280" w:rsidP="00CA0280">
    <w:pPr>
      <w:pStyle w:val="Zpat"/>
      <w:tabs>
        <w:tab w:val="clear" w:pos="4536"/>
        <w:tab w:val="clear" w:pos="9072"/>
        <w:tab w:val="left" w:pos="8297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280" w:rsidRDefault="00CA0280">
    <w:pPr>
      <w:pStyle w:val="Zpat"/>
      <w:jc w:val="right"/>
    </w:pPr>
  </w:p>
  <w:p w:rsidR="00CA0280" w:rsidRDefault="00CA02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285423"/>
      <w:docPartObj>
        <w:docPartGallery w:val="Page Numbers (Bottom of Page)"/>
        <w:docPartUnique/>
      </w:docPartObj>
    </w:sdtPr>
    <w:sdtEndPr/>
    <w:sdtContent>
      <w:p w:rsidR="00CA0280" w:rsidRDefault="00CA02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A0280" w:rsidRDefault="00CA02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6A" w:rsidRDefault="0059336A" w:rsidP="00634381">
      <w:r>
        <w:separator/>
      </w:r>
    </w:p>
  </w:footnote>
  <w:footnote w:type="continuationSeparator" w:id="0">
    <w:p w:rsidR="0059336A" w:rsidRDefault="0059336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E" w:rsidRDefault="00CA0280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D623A71" wp14:editId="5C68C84E">
          <wp:simplePos x="0" y="0"/>
          <wp:positionH relativeFrom="margin">
            <wp:posOffset>222885</wp:posOffset>
          </wp:positionH>
          <wp:positionV relativeFrom="paragraph">
            <wp:posOffset>305435</wp:posOffset>
          </wp:positionV>
          <wp:extent cx="5637530" cy="92837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C359E" w:rsidRDefault="002C35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280" w:rsidRDefault="00CA0280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F3574CC" wp14:editId="60CE6CBB">
          <wp:simplePos x="0" y="0"/>
          <wp:positionH relativeFrom="margin">
            <wp:posOffset>273685</wp:posOffset>
          </wp:positionH>
          <wp:positionV relativeFrom="paragraph">
            <wp:posOffset>153035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280" w:rsidRDefault="00CA0280" w:rsidP="00F12BBA">
    <w:pPr>
      <w:pStyle w:val="Zhlav"/>
      <w:jc w:val="center"/>
    </w:pPr>
  </w:p>
  <w:p w:rsidR="00CA0280" w:rsidRDefault="00CA02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7"/>
  </w:num>
  <w:num w:numId="9">
    <w:abstractNumId w:val="24"/>
  </w:num>
  <w:num w:numId="10">
    <w:abstractNumId w:val="33"/>
  </w:num>
  <w:num w:numId="11">
    <w:abstractNumId w:val="10"/>
  </w:num>
  <w:num w:numId="12">
    <w:abstractNumId w:val="32"/>
  </w:num>
  <w:num w:numId="13">
    <w:abstractNumId w:val="43"/>
  </w:num>
  <w:num w:numId="14">
    <w:abstractNumId w:val="4"/>
  </w:num>
  <w:num w:numId="15">
    <w:abstractNumId w:val="3"/>
  </w:num>
  <w:num w:numId="16">
    <w:abstractNumId w:val="2"/>
  </w:num>
  <w:num w:numId="17">
    <w:abstractNumId w:val="35"/>
  </w:num>
  <w:num w:numId="18">
    <w:abstractNumId w:val="28"/>
  </w:num>
  <w:num w:numId="19">
    <w:abstractNumId w:val="38"/>
  </w:num>
  <w:num w:numId="20">
    <w:abstractNumId w:val="41"/>
  </w:num>
  <w:num w:numId="21">
    <w:abstractNumId w:val="34"/>
  </w:num>
  <w:num w:numId="22">
    <w:abstractNumId w:val="39"/>
  </w:num>
  <w:num w:numId="23">
    <w:abstractNumId w:val="16"/>
  </w:num>
  <w:num w:numId="24">
    <w:abstractNumId w:val="8"/>
  </w:num>
  <w:num w:numId="25">
    <w:abstractNumId w:val="6"/>
  </w:num>
  <w:num w:numId="26">
    <w:abstractNumId w:val="1"/>
  </w:num>
  <w:num w:numId="27">
    <w:abstractNumId w:val="0"/>
  </w:num>
  <w:num w:numId="28">
    <w:abstractNumId w:val="11"/>
  </w:num>
  <w:num w:numId="29">
    <w:abstractNumId w:val="21"/>
    <w:lvlOverride w:ilvl="0">
      <w:startOverride w:val="1"/>
    </w:lvlOverride>
  </w:num>
  <w:num w:numId="30">
    <w:abstractNumId w:val="31"/>
    <w:lvlOverride w:ilvl="0">
      <w:startOverride w:val="1"/>
    </w:lvlOverride>
  </w:num>
  <w:num w:numId="31">
    <w:abstractNumId w:val="37"/>
  </w:num>
  <w:num w:numId="32">
    <w:abstractNumId w:val="18"/>
  </w:num>
  <w:num w:numId="33">
    <w:abstractNumId w:val="22"/>
  </w:num>
  <w:num w:numId="34">
    <w:abstractNumId w:val="14"/>
  </w:num>
  <w:num w:numId="35">
    <w:abstractNumId w:val="29"/>
  </w:num>
  <w:num w:numId="36">
    <w:abstractNumId w:val="30"/>
  </w:num>
  <w:num w:numId="37">
    <w:abstractNumId w:val="17"/>
  </w:num>
  <w:num w:numId="38">
    <w:abstractNumId w:val="25"/>
  </w:num>
  <w:num w:numId="39">
    <w:abstractNumId w:val="4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57399"/>
    <w:rsid w:val="00057C7F"/>
    <w:rsid w:val="0006613A"/>
    <w:rsid w:val="00070FE9"/>
    <w:rsid w:val="000A6169"/>
    <w:rsid w:val="000B2666"/>
    <w:rsid w:val="000F5643"/>
    <w:rsid w:val="00123FDA"/>
    <w:rsid w:val="00141C5B"/>
    <w:rsid w:val="00155A3F"/>
    <w:rsid w:val="00171533"/>
    <w:rsid w:val="00174CA1"/>
    <w:rsid w:val="001C1713"/>
    <w:rsid w:val="001D0370"/>
    <w:rsid w:val="001E18AA"/>
    <w:rsid w:val="001F09BE"/>
    <w:rsid w:val="001F3EA9"/>
    <w:rsid w:val="00204D9A"/>
    <w:rsid w:val="00213558"/>
    <w:rsid w:val="0021750B"/>
    <w:rsid w:val="00221B02"/>
    <w:rsid w:val="002265AB"/>
    <w:rsid w:val="00231F50"/>
    <w:rsid w:val="00271AD7"/>
    <w:rsid w:val="002748BB"/>
    <w:rsid w:val="00283DD1"/>
    <w:rsid w:val="00286C01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50370"/>
    <w:rsid w:val="003A442E"/>
    <w:rsid w:val="003A775F"/>
    <w:rsid w:val="003C47C5"/>
    <w:rsid w:val="003C47DB"/>
    <w:rsid w:val="003C4D81"/>
    <w:rsid w:val="00482EA1"/>
    <w:rsid w:val="00482F73"/>
    <w:rsid w:val="00483290"/>
    <w:rsid w:val="004849AE"/>
    <w:rsid w:val="00486EE4"/>
    <w:rsid w:val="004905BE"/>
    <w:rsid w:val="004A323F"/>
    <w:rsid w:val="004B13B7"/>
    <w:rsid w:val="004B30C6"/>
    <w:rsid w:val="004C1F8F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32B48"/>
    <w:rsid w:val="00634381"/>
    <w:rsid w:val="006532D6"/>
    <w:rsid w:val="00676920"/>
    <w:rsid w:val="0067736D"/>
    <w:rsid w:val="006803CD"/>
    <w:rsid w:val="0069719B"/>
    <w:rsid w:val="006E5C82"/>
    <w:rsid w:val="006E72F1"/>
    <w:rsid w:val="00714EBA"/>
    <w:rsid w:val="00722201"/>
    <w:rsid w:val="00754816"/>
    <w:rsid w:val="0076431E"/>
    <w:rsid w:val="007852CE"/>
    <w:rsid w:val="0078659D"/>
    <w:rsid w:val="007C0AB0"/>
    <w:rsid w:val="007D35F4"/>
    <w:rsid w:val="008045AC"/>
    <w:rsid w:val="00840B48"/>
    <w:rsid w:val="00844F3C"/>
    <w:rsid w:val="008579D2"/>
    <w:rsid w:val="00863444"/>
    <w:rsid w:val="00895CD7"/>
    <w:rsid w:val="008A5F96"/>
    <w:rsid w:val="008E1D0A"/>
    <w:rsid w:val="008E260A"/>
    <w:rsid w:val="00900F86"/>
    <w:rsid w:val="00932786"/>
    <w:rsid w:val="00952FC0"/>
    <w:rsid w:val="00975C94"/>
    <w:rsid w:val="00991CCA"/>
    <w:rsid w:val="009D5E0D"/>
    <w:rsid w:val="009E4F57"/>
    <w:rsid w:val="00A0593F"/>
    <w:rsid w:val="00A23CAF"/>
    <w:rsid w:val="00A24831"/>
    <w:rsid w:val="00A67C37"/>
    <w:rsid w:val="00AA6E68"/>
    <w:rsid w:val="00AC4029"/>
    <w:rsid w:val="00B0596D"/>
    <w:rsid w:val="00B123C4"/>
    <w:rsid w:val="00B32019"/>
    <w:rsid w:val="00B32AB8"/>
    <w:rsid w:val="00B419E1"/>
    <w:rsid w:val="00B55EB2"/>
    <w:rsid w:val="00B7197B"/>
    <w:rsid w:val="00B8276E"/>
    <w:rsid w:val="00C053B0"/>
    <w:rsid w:val="00C23F14"/>
    <w:rsid w:val="00C24C75"/>
    <w:rsid w:val="00C85696"/>
    <w:rsid w:val="00C95F44"/>
    <w:rsid w:val="00CA0280"/>
    <w:rsid w:val="00CC21DF"/>
    <w:rsid w:val="00CF4451"/>
    <w:rsid w:val="00CF5985"/>
    <w:rsid w:val="00D04B31"/>
    <w:rsid w:val="00D33570"/>
    <w:rsid w:val="00D4457A"/>
    <w:rsid w:val="00D77E91"/>
    <w:rsid w:val="00DA1946"/>
    <w:rsid w:val="00DA4909"/>
    <w:rsid w:val="00DA5275"/>
    <w:rsid w:val="00DA67EE"/>
    <w:rsid w:val="00DC01D8"/>
    <w:rsid w:val="00DC0DD9"/>
    <w:rsid w:val="00DF0CF6"/>
    <w:rsid w:val="00DF3B5A"/>
    <w:rsid w:val="00E01C3A"/>
    <w:rsid w:val="00E11701"/>
    <w:rsid w:val="00E20FDB"/>
    <w:rsid w:val="00E34970"/>
    <w:rsid w:val="00E616B5"/>
    <w:rsid w:val="00E86085"/>
    <w:rsid w:val="00EA7652"/>
    <w:rsid w:val="00EB0EA0"/>
    <w:rsid w:val="00EB4303"/>
    <w:rsid w:val="00EC190D"/>
    <w:rsid w:val="00F02008"/>
    <w:rsid w:val="00F11638"/>
    <w:rsid w:val="00F12BBA"/>
    <w:rsid w:val="00F31F10"/>
    <w:rsid w:val="00F33CAB"/>
    <w:rsid w:val="00F63713"/>
    <w:rsid w:val="00F70BB4"/>
    <w:rsid w:val="00FB0D2C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E349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E34970"/>
    <w:pPr>
      <w:numPr>
        <w:numId w:val="14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E349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E349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E34970"/>
    <w:pPr>
      <w:numPr>
        <w:numId w:val="23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E349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E34970"/>
    <w:pPr>
      <w:numPr>
        <w:numId w:val="25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E349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E34970"/>
    <w:pPr>
      <w:numPr>
        <w:numId w:val="22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E34970"/>
    <w:pPr>
      <w:numPr>
        <w:ilvl w:val="1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E34970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E349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E349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E349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E34970"/>
    <w:pPr>
      <w:numPr>
        <w:ilvl w:val="2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E34970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E349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E349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E349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E34970"/>
    <w:pPr>
      <w:numPr>
        <w:ilvl w:val="3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E34970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E349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E349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E349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E34970"/>
    <w:pPr>
      <w:numPr>
        <w:numId w:val="26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E349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E34970"/>
    <w:pPr>
      <w:keepLines w:val="0"/>
      <w:numPr>
        <w:ilvl w:val="2"/>
        <w:numId w:val="13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E34970"/>
    <w:pPr>
      <w:keepLines w:val="0"/>
      <w:numPr>
        <w:numId w:val="28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E34970"/>
    <w:pPr>
      <w:numPr>
        <w:numId w:val="30"/>
      </w:numPr>
    </w:pPr>
  </w:style>
  <w:style w:type="paragraph" w:customStyle="1" w:styleId="Tiret1">
    <w:name w:val="Tiret 1"/>
    <w:basedOn w:val="Point1"/>
    <w:rsid w:val="00E34970"/>
    <w:pPr>
      <w:numPr>
        <w:numId w:val="29"/>
      </w:numPr>
    </w:pPr>
  </w:style>
  <w:style w:type="paragraph" w:customStyle="1" w:styleId="Tiret2">
    <w:name w:val="Tiret 2"/>
    <w:basedOn w:val="Point2"/>
    <w:rsid w:val="00E34970"/>
    <w:pPr>
      <w:numPr>
        <w:numId w:val="31"/>
      </w:numPr>
    </w:pPr>
  </w:style>
  <w:style w:type="paragraph" w:customStyle="1" w:styleId="Tiret3">
    <w:name w:val="Tiret 3"/>
    <w:basedOn w:val="Point3"/>
    <w:rsid w:val="00E34970"/>
    <w:pPr>
      <w:numPr>
        <w:numId w:val="32"/>
      </w:numPr>
    </w:pPr>
  </w:style>
  <w:style w:type="paragraph" w:customStyle="1" w:styleId="Tiret4">
    <w:name w:val="Tiret 4"/>
    <w:basedOn w:val="Point4"/>
    <w:rsid w:val="00E34970"/>
    <w:pPr>
      <w:numPr>
        <w:numId w:val="33"/>
      </w:numPr>
    </w:pPr>
  </w:style>
  <w:style w:type="paragraph" w:customStyle="1" w:styleId="PointDouble0">
    <w:name w:val="PointDouble 0"/>
    <w:basedOn w:val="Normln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E34970"/>
    <w:pPr>
      <w:numPr>
        <w:ilvl w:val="1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E34970"/>
    <w:pPr>
      <w:numPr>
        <w:ilvl w:val="2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E34970"/>
    <w:pPr>
      <w:numPr>
        <w:ilvl w:val="3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E349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E349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E349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E349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E34970"/>
  </w:style>
  <w:style w:type="paragraph" w:customStyle="1" w:styleId="Sous-titreobjetPagedecouverture">
    <w:name w:val="Sous-titre objet (Page de couverture)"/>
    <w:basedOn w:val="Sous-titreobjet"/>
    <w:rsid w:val="00E34970"/>
  </w:style>
  <w:style w:type="paragraph" w:customStyle="1" w:styleId="StatutPagedecouverture">
    <w:name w:val="Statut (Page de couverture)"/>
    <w:basedOn w:val="Statut"/>
    <w:next w:val="TypedudocumentPagedecouverture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E34970"/>
  </w:style>
  <w:style w:type="paragraph" w:customStyle="1" w:styleId="Volume">
    <w:name w:val="Volum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E34970"/>
  </w:style>
  <w:style w:type="paragraph" w:customStyle="1" w:styleId="LanguesfaisantfoiPagedecouverture">
    <w:name w:val="Langues faisant foi (Page de couverture)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E349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E34970"/>
    <w:pPr>
      <w:numPr>
        <w:numId w:val="14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E349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E349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E34970"/>
    <w:pPr>
      <w:numPr>
        <w:numId w:val="23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E349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E34970"/>
    <w:pPr>
      <w:numPr>
        <w:numId w:val="25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E349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E34970"/>
    <w:pPr>
      <w:numPr>
        <w:numId w:val="22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E34970"/>
    <w:pPr>
      <w:numPr>
        <w:ilvl w:val="1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E34970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E349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E349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E349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E34970"/>
    <w:pPr>
      <w:numPr>
        <w:ilvl w:val="2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E34970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E349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E349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E349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E34970"/>
    <w:pPr>
      <w:numPr>
        <w:ilvl w:val="3"/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E34970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E349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E349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E349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E34970"/>
    <w:pPr>
      <w:numPr>
        <w:numId w:val="26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E349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E34970"/>
    <w:pPr>
      <w:keepLines w:val="0"/>
      <w:numPr>
        <w:ilvl w:val="2"/>
        <w:numId w:val="13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E34970"/>
    <w:pPr>
      <w:keepLines w:val="0"/>
      <w:numPr>
        <w:numId w:val="28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E34970"/>
    <w:pPr>
      <w:numPr>
        <w:numId w:val="30"/>
      </w:numPr>
    </w:pPr>
  </w:style>
  <w:style w:type="paragraph" w:customStyle="1" w:styleId="Tiret1">
    <w:name w:val="Tiret 1"/>
    <w:basedOn w:val="Point1"/>
    <w:rsid w:val="00E34970"/>
    <w:pPr>
      <w:numPr>
        <w:numId w:val="29"/>
      </w:numPr>
    </w:pPr>
  </w:style>
  <w:style w:type="paragraph" w:customStyle="1" w:styleId="Tiret2">
    <w:name w:val="Tiret 2"/>
    <w:basedOn w:val="Point2"/>
    <w:rsid w:val="00E34970"/>
    <w:pPr>
      <w:numPr>
        <w:numId w:val="31"/>
      </w:numPr>
    </w:pPr>
  </w:style>
  <w:style w:type="paragraph" w:customStyle="1" w:styleId="Tiret3">
    <w:name w:val="Tiret 3"/>
    <w:basedOn w:val="Point3"/>
    <w:rsid w:val="00E34970"/>
    <w:pPr>
      <w:numPr>
        <w:numId w:val="32"/>
      </w:numPr>
    </w:pPr>
  </w:style>
  <w:style w:type="paragraph" w:customStyle="1" w:styleId="Tiret4">
    <w:name w:val="Tiret 4"/>
    <w:basedOn w:val="Point4"/>
    <w:rsid w:val="00E34970"/>
    <w:pPr>
      <w:numPr>
        <w:numId w:val="33"/>
      </w:numPr>
    </w:pPr>
  </w:style>
  <w:style w:type="paragraph" w:customStyle="1" w:styleId="PointDouble0">
    <w:name w:val="PointDouble 0"/>
    <w:basedOn w:val="Normln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E34970"/>
    <w:pPr>
      <w:numPr>
        <w:ilvl w:val="1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E34970"/>
    <w:pPr>
      <w:numPr>
        <w:ilvl w:val="2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E34970"/>
    <w:pPr>
      <w:numPr>
        <w:ilvl w:val="3"/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E349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E349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E349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E349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E34970"/>
  </w:style>
  <w:style w:type="paragraph" w:customStyle="1" w:styleId="Sous-titreobjetPagedecouverture">
    <w:name w:val="Sous-titre objet (Page de couverture)"/>
    <w:basedOn w:val="Sous-titreobjet"/>
    <w:rsid w:val="00E34970"/>
  </w:style>
  <w:style w:type="paragraph" w:customStyle="1" w:styleId="StatutPagedecouverture">
    <w:name w:val="Statut (Page de couverture)"/>
    <w:basedOn w:val="Statut"/>
    <w:next w:val="TypedudocumentPagedecouverture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E34970"/>
  </w:style>
  <w:style w:type="paragraph" w:customStyle="1" w:styleId="Volume">
    <w:name w:val="Volume"/>
    <w:basedOn w:val="Normln"/>
    <w:next w:val="Confidentialit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E34970"/>
  </w:style>
  <w:style w:type="paragraph" w:customStyle="1" w:styleId="LanguesfaisantfoiPagedecouverture">
    <w:name w:val="Langues faisant foi (Page de couverture)"/>
    <w:basedOn w:val="Normln"/>
    <w:next w:val="Normln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EB51F-60BF-4446-8DD4-92E81733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2260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15</cp:revision>
  <dcterms:created xsi:type="dcterms:W3CDTF">2016-02-14T11:08:00Z</dcterms:created>
  <dcterms:modified xsi:type="dcterms:W3CDTF">2017-04-03T09:44:00Z</dcterms:modified>
</cp:coreProperties>
</file>