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D10" w:rsidRDefault="00D64D10">
      <w:pPr>
        <w:spacing w:before="10" w:after="0" w:line="190" w:lineRule="exact"/>
        <w:rPr>
          <w:sz w:val="19"/>
          <w:szCs w:val="19"/>
        </w:rPr>
      </w:pPr>
    </w:p>
    <w:p w:rsidR="002C6BB6" w:rsidRPr="00AD762E" w:rsidRDefault="002C6BB6" w:rsidP="002C6BB6">
      <w:pPr>
        <w:spacing w:before="120" w:after="120" w:line="240" w:lineRule="auto"/>
        <w:ind w:right="-288"/>
        <w:jc w:val="both"/>
        <w:rPr>
          <w:rFonts w:ascii="Trebuchet MS" w:hAnsi="Trebuchet MS" w:cs="Trebuchet MS"/>
          <w:b/>
          <w:bCs/>
          <w:color w:val="FF0000"/>
          <w:u w:val="single"/>
        </w:rPr>
      </w:pPr>
      <w:r w:rsidRPr="00AD762E">
        <w:rPr>
          <w:rFonts w:ascii="Trebuchet MS" w:hAnsi="Trebuchet MS" w:cs="Trebuchet MS"/>
          <w:b/>
          <w:bCs/>
          <w:color w:val="FF0000"/>
          <w:u w:val="single"/>
        </w:rPr>
        <w:t xml:space="preserve">Upozornění: </w:t>
      </w:r>
    </w:p>
    <w:p w:rsidR="002C6BB6" w:rsidRPr="00AD762E" w:rsidRDefault="002C6BB6" w:rsidP="002C6BB6">
      <w:pPr>
        <w:spacing w:before="120" w:after="120" w:line="240" w:lineRule="auto"/>
        <w:ind w:right="-288"/>
        <w:jc w:val="both"/>
        <w:rPr>
          <w:rFonts w:ascii="Trebuchet MS" w:hAnsi="Trebuchet MS" w:cs="Trebuchet MS"/>
          <w:b/>
          <w:bCs/>
          <w:color w:val="FF0000"/>
        </w:rPr>
      </w:pPr>
      <w:r w:rsidRPr="00AD762E">
        <w:rPr>
          <w:rFonts w:ascii="Trebuchet MS" w:hAnsi="Trebuchet MS" w:cs="Trebuchet MS"/>
          <w:b/>
          <w:bCs/>
          <w:color w:val="FF0000"/>
        </w:rPr>
        <w:t xml:space="preserve">Tento překlad je neautorizovanou verzí, používejte ho proto jen jako pracovní pomůcku. Závazným dokumentem je původní anglická verze „ANNEX 1, Glossary“ zveřejněná na webstránce programu </w:t>
      </w:r>
      <w:hyperlink r:id="rId7" w:history="1">
        <w:r w:rsidR="004E6FE3" w:rsidRPr="00AD762E">
          <w:rPr>
            <w:rStyle w:val="Hypertextovodkaz"/>
            <w:rFonts w:ascii="Trebuchet MS" w:hAnsi="Trebuchet MS" w:cs="Trebuchet MS"/>
            <w:b/>
            <w:bCs/>
          </w:rPr>
          <w:t>www.interreg-central.eu</w:t>
        </w:r>
      </w:hyperlink>
      <w:r w:rsidR="004E6FE3" w:rsidRPr="00AD762E">
        <w:rPr>
          <w:rFonts w:ascii="Trebuchet MS" w:hAnsi="Trebuchet MS" w:cs="Trebuchet MS"/>
          <w:b/>
          <w:bCs/>
          <w:color w:val="FF0000"/>
        </w:rPr>
        <w:t xml:space="preserve"> (</w:t>
      </w:r>
      <w:r w:rsidR="00470BFB" w:rsidRPr="00AD762E">
        <w:rPr>
          <w:rFonts w:ascii="Trebuchet MS" w:hAnsi="Trebuchet MS" w:cs="Trebuchet MS"/>
          <w:b/>
          <w:bCs/>
          <w:color w:val="FF0000"/>
        </w:rPr>
        <w:t>viz banner ´Implementation documents and tools´)</w:t>
      </w:r>
      <w:r w:rsidRPr="00AD762E">
        <w:rPr>
          <w:rFonts w:ascii="Trebuchet MS" w:hAnsi="Trebuchet MS" w:cs="Trebuchet MS"/>
          <w:b/>
          <w:bCs/>
          <w:color w:val="FF0000"/>
        </w:rPr>
        <w:t>.</w:t>
      </w:r>
    </w:p>
    <w:p w:rsidR="00D64D10" w:rsidRDefault="00D64D10">
      <w:pPr>
        <w:spacing w:after="0" w:line="200" w:lineRule="exact"/>
        <w:rPr>
          <w:sz w:val="20"/>
          <w:szCs w:val="20"/>
        </w:rPr>
      </w:pPr>
    </w:p>
    <w:p w:rsidR="00D64D10" w:rsidRDefault="00D64D10">
      <w:pPr>
        <w:spacing w:after="0" w:line="200" w:lineRule="exact"/>
        <w:rPr>
          <w:sz w:val="20"/>
          <w:szCs w:val="20"/>
        </w:rPr>
      </w:pPr>
    </w:p>
    <w:p w:rsidR="00D64D10" w:rsidRDefault="00D64D10">
      <w:pPr>
        <w:spacing w:after="0" w:line="200" w:lineRule="exact"/>
        <w:rPr>
          <w:sz w:val="20"/>
          <w:szCs w:val="20"/>
        </w:rPr>
      </w:pPr>
    </w:p>
    <w:p w:rsidR="00D64D10" w:rsidRDefault="00D64D10">
      <w:pPr>
        <w:spacing w:after="0" w:line="200" w:lineRule="exact"/>
        <w:rPr>
          <w:sz w:val="20"/>
          <w:szCs w:val="20"/>
        </w:rPr>
      </w:pPr>
      <w:bookmarkStart w:id="0" w:name="_GoBack"/>
      <w:bookmarkEnd w:id="0"/>
    </w:p>
    <w:p w:rsidR="00D64D10" w:rsidRDefault="00D64D10">
      <w:pPr>
        <w:spacing w:after="0" w:line="200" w:lineRule="exact"/>
        <w:rPr>
          <w:sz w:val="20"/>
          <w:szCs w:val="20"/>
        </w:rPr>
      </w:pPr>
    </w:p>
    <w:p w:rsidR="00D64D10" w:rsidRDefault="00AD762E">
      <w:pPr>
        <w:spacing w:after="0" w:line="678" w:lineRule="exact"/>
        <w:ind w:left="689" w:right="-20"/>
        <w:rPr>
          <w:rFonts w:ascii="Trebuchet MS" w:hAnsi="Trebuchet MS" w:cs="Trebuchet MS"/>
          <w:sz w:val="60"/>
          <w:szCs w:val="60"/>
        </w:rPr>
      </w:pPr>
      <w:r>
        <w:rPr>
          <w:noProof/>
        </w:rPr>
        <w:pict>
          <v:group id="_x0000_s1027" style="position:absolute;left:0;text-align:left;margin-left:58.5pt;margin-top:42.85pt;width:475.25pt;height:.1pt;z-index:-251658240;mso-position-horizontal-relative:page" coordorigin="1170,857" coordsize="9505,2">
            <v:shape id="_x0000_s1028" style="position:absolute;left:1170;top:857;width:9505;height:2" coordorigin="1170,857" coordsize="9505,0" path="m1170,857r9505,e" filled="f" strokecolor="#7d92a4" strokeweight="1.5pt">
              <v:path arrowok="t"/>
            </v:shape>
            <w10:wrap anchorx="page"/>
          </v:group>
        </w:pict>
      </w:r>
      <w:r w:rsidR="00D64D10">
        <w:rPr>
          <w:rFonts w:ascii="Trebuchet MS" w:hAnsi="Trebuchet MS" w:cs="Trebuchet MS"/>
          <w:color w:val="7D92A4"/>
          <w:sz w:val="60"/>
          <w:szCs w:val="60"/>
        </w:rPr>
        <w:t>PŘÍLOHA 1</w:t>
      </w:r>
    </w:p>
    <w:p w:rsidR="00D64D10" w:rsidRDefault="00D64D10">
      <w:pPr>
        <w:spacing w:after="0" w:line="200" w:lineRule="exact"/>
        <w:rPr>
          <w:sz w:val="20"/>
          <w:szCs w:val="20"/>
        </w:rPr>
      </w:pPr>
    </w:p>
    <w:p w:rsidR="00D64D10" w:rsidRDefault="00D64D10">
      <w:pPr>
        <w:spacing w:before="19" w:after="0" w:line="200" w:lineRule="exact"/>
        <w:rPr>
          <w:sz w:val="20"/>
          <w:szCs w:val="20"/>
        </w:rPr>
      </w:pPr>
    </w:p>
    <w:p w:rsidR="00D64D10" w:rsidRDefault="00AD762E">
      <w:pPr>
        <w:spacing w:after="0" w:line="240" w:lineRule="auto"/>
        <w:ind w:left="720" w:right="-20"/>
        <w:rPr>
          <w:rFonts w:ascii="Trebuchet MS" w:hAnsi="Trebuchet MS" w:cs="Trebuchet MS"/>
          <w:sz w:val="36"/>
          <w:szCs w:val="36"/>
        </w:rPr>
      </w:pPr>
      <w:r>
        <w:rPr>
          <w:noProof/>
        </w:rPr>
        <w:pict>
          <v:group id="_x0000_s1029" style="position:absolute;left:0;text-align:left;margin-left:58.5pt;margin-top:34.3pt;width:475.25pt;height:.1pt;z-index:-251659264;mso-position-horizontal-relative:page" coordorigin="1170,686" coordsize="9505,2">
            <v:shape id="_x0000_s1030" style="position:absolute;left:1170;top:686;width:9505;height:2" coordorigin="1170,686" coordsize="9505,0" path="m1170,686r9505,e" filled="f" strokecolor="#7d92a4" strokeweight="1.5pt">
              <v:path arrowok="t"/>
            </v:shape>
            <w10:wrap anchorx="page"/>
          </v:group>
        </w:pict>
      </w:r>
      <w:r w:rsidR="00D64D10">
        <w:rPr>
          <w:rFonts w:ascii="Trebuchet MS" w:hAnsi="Trebuchet MS" w:cs="Trebuchet MS"/>
          <w:b/>
          <w:bCs/>
          <w:color w:val="7D92A4"/>
          <w:sz w:val="36"/>
          <w:szCs w:val="36"/>
        </w:rPr>
        <w:t>Používané pojmy</w:t>
      </w:r>
    </w:p>
    <w:p w:rsidR="00D64D10" w:rsidRDefault="00D64D10">
      <w:pPr>
        <w:spacing w:after="0" w:line="240" w:lineRule="auto"/>
        <w:rPr>
          <w:rFonts w:ascii="Trebuchet MS" w:hAnsi="Trebuchet MS" w:cs="Trebuchet MS"/>
          <w:sz w:val="36"/>
          <w:szCs w:val="36"/>
        </w:rPr>
      </w:pPr>
    </w:p>
    <w:p w:rsidR="002C6BB6" w:rsidRDefault="002C6BB6">
      <w:pPr>
        <w:spacing w:after="0" w:line="240" w:lineRule="auto"/>
        <w:rPr>
          <w:rFonts w:ascii="Trebuchet MS" w:hAnsi="Trebuchet MS" w:cs="Trebuchet MS"/>
          <w:sz w:val="36"/>
          <w:szCs w:val="36"/>
        </w:rPr>
      </w:pPr>
    </w:p>
    <w:p w:rsidR="002C6BB6" w:rsidRDefault="002C6BB6">
      <w:pPr>
        <w:spacing w:after="0" w:line="240" w:lineRule="auto"/>
        <w:rPr>
          <w:rFonts w:ascii="Trebuchet MS" w:hAnsi="Trebuchet MS" w:cs="Trebuchet MS"/>
          <w:sz w:val="36"/>
          <w:szCs w:val="36"/>
        </w:rPr>
      </w:pPr>
    </w:p>
    <w:p w:rsidR="002C6BB6" w:rsidRDefault="002C6BB6">
      <w:pPr>
        <w:spacing w:after="0" w:line="240" w:lineRule="auto"/>
        <w:rPr>
          <w:rFonts w:ascii="Trebuchet MS" w:hAnsi="Trebuchet MS" w:cs="Trebuchet MS"/>
          <w:sz w:val="36"/>
          <w:szCs w:val="36"/>
        </w:rPr>
      </w:pPr>
    </w:p>
    <w:p w:rsidR="002C6BB6" w:rsidRDefault="002C6BB6">
      <w:pPr>
        <w:spacing w:after="0" w:line="240" w:lineRule="auto"/>
        <w:rPr>
          <w:rFonts w:ascii="Trebuchet MS" w:hAnsi="Trebuchet MS" w:cs="Trebuchet MS"/>
          <w:sz w:val="36"/>
          <w:szCs w:val="36"/>
        </w:rPr>
        <w:sectPr w:rsidR="002C6BB6" w:rsidSect="002C6BB6">
          <w:headerReference w:type="default" r:id="rId8"/>
          <w:type w:val="continuous"/>
          <w:pgSz w:w="11920" w:h="16840"/>
          <w:pgMar w:top="2260" w:right="580" w:bottom="280" w:left="567" w:header="11" w:footer="708" w:gutter="0"/>
          <w:cols w:space="708"/>
        </w:sectPr>
      </w:pPr>
    </w:p>
    <w:p w:rsidR="00D64D10" w:rsidRDefault="00D64D10">
      <w:pPr>
        <w:spacing w:after="0" w:line="200" w:lineRule="exact"/>
        <w:rPr>
          <w:sz w:val="20"/>
          <w:szCs w:val="20"/>
        </w:rPr>
      </w:pPr>
    </w:p>
    <w:p w:rsidR="00D64D10" w:rsidRDefault="00D64D10">
      <w:pPr>
        <w:spacing w:after="0" w:line="200" w:lineRule="exact"/>
        <w:rPr>
          <w:sz w:val="20"/>
          <w:szCs w:val="20"/>
        </w:rPr>
      </w:pPr>
    </w:p>
    <w:p w:rsidR="00D64D10" w:rsidRDefault="00D64D10">
      <w:pPr>
        <w:spacing w:after="0" w:line="200" w:lineRule="exact"/>
        <w:rPr>
          <w:sz w:val="20"/>
          <w:szCs w:val="20"/>
        </w:rPr>
      </w:pPr>
    </w:p>
    <w:p w:rsidR="00D64D10" w:rsidRDefault="00D64D10">
      <w:pPr>
        <w:spacing w:before="1" w:after="0" w:line="240" w:lineRule="exact"/>
        <w:rPr>
          <w:sz w:val="24"/>
          <w:szCs w:val="24"/>
        </w:rPr>
      </w:pPr>
    </w:p>
    <w:p w:rsidR="00D64D10" w:rsidRDefault="00D64D10">
      <w:pPr>
        <w:spacing w:before="24" w:after="0" w:line="240" w:lineRule="auto"/>
        <w:ind w:left="713" w:right="8075"/>
        <w:jc w:val="both"/>
        <w:rPr>
          <w:rFonts w:ascii="Trebuchet MS" w:hAnsi="Trebuchet MS" w:cs="Trebuchet MS"/>
          <w:sz w:val="28"/>
          <w:szCs w:val="28"/>
        </w:rPr>
      </w:pPr>
      <w:r>
        <w:rPr>
          <w:rFonts w:ascii="Trebuchet MS" w:hAnsi="Trebuchet MS" w:cs="Trebuchet MS"/>
          <w:b/>
          <w:bCs/>
          <w:color w:val="7C8A89"/>
          <w:sz w:val="28"/>
          <w:szCs w:val="28"/>
        </w:rPr>
        <w:t>Činnosti (projektu)</w:t>
      </w:r>
    </w:p>
    <w:p w:rsidR="00D64D10" w:rsidRDefault="00D64D10">
      <w:pPr>
        <w:spacing w:before="3" w:after="0" w:line="240" w:lineRule="exact"/>
        <w:rPr>
          <w:sz w:val="24"/>
          <w:szCs w:val="24"/>
        </w:rPr>
      </w:pPr>
    </w:p>
    <w:p w:rsidR="00D64D10" w:rsidRDefault="00D64D10">
      <w:pPr>
        <w:spacing w:after="0" w:line="239" w:lineRule="auto"/>
        <w:ind w:left="713" w:right="703"/>
        <w:jc w:val="both"/>
        <w:rPr>
          <w:rFonts w:ascii="Trebuchet MS" w:hAnsi="Trebuchet MS" w:cs="Trebuchet MS"/>
          <w:sz w:val="20"/>
          <w:szCs w:val="20"/>
        </w:rPr>
      </w:pPr>
      <w:r>
        <w:rPr>
          <w:rFonts w:ascii="Trebuchet MS" w:hAnsi="Trebuchet MS" w:cs="Trebuchet MS"/>
          <w:sz w:val="20"/>
          <w:szCs w:val="20"/>
        </w:rPr>
        <w:t>Každý pracovní balíček se rozděluje na činnosti (</w:t>
      </w:r>
      <w:r w:rsidR="005731B8">
        <w:rPr>
          <w:rFonts w:ascii="Trebuchet MS" w:hAnsi="Trebuchet MS" w:cs="Trebuchet MS"/>
          <w:sz w:val="20"/>
          <w:szCs w:val="20"/>
        </w:rPr>
        <w:t>ne víc</w:t>
      </w:r>
      <w:r>
        <w:rPr>
          <w:rFonts w:ascii="Trebuchet MS" w:hAnsi="Trebuchet MS" w:cs="Trebuchet MS"/>
          <w:sz w:val="20"/>
          <w:szCs w:val="20"/>
        </w:rPr>
        <w:t xml:space="preserve"> než </w:t>
      </w:r>
      <w:r w:rsidR="005731B8">
        <w:rPr>
          <w:rFonts w:ascii="Trebuchet MS" w:hAnsi="Trebuchet MS" w:cs="Trebuchet MS"/>
          <w:sz w:val="20"/>
          <w:szCs w:val="20"/>
        </w:rPr>
        <w:t>4</w:t>
      </w:r>
      <w:r>
        <w:rPr>
          <w:rFonts w:ascii="Trebuchet MS" w:hAnsi="Trebuchet MS" w:cs="Trebuchet MS"/>
          <w:sz w:val="20"/>
          <w:szCs w:val="20"/>
        </w:rPr>
        <w:t xml:space="preserve">-6 činností na pracovní balíček). </w:t>
      </w:r>
      <w:r w:rsidR="005731B8">
        <w:rPr>
          <w:rFonts w:ascii="Trebuchet MS" w:hAnsi="Trebuchet MS" w:cs="Trebuchet MS"/>
          <w:sz w:val="20"/>
          <w:szCs w:val="20"/>
        </w:rPr>
        <w:t>Č</w:t>
      </w:r>
      <w:r>
        <w:rPr>
          <w:rFonts w:ascii="Trebuchet MS" w:hAnsi="Trebuchet MS" w:cs="Trebuchet MS"/>
          <w:sz w:val="20"/>
          <w:szCs w:val="20"/>
        </w:rPr>
        <w:t>innost</w:t>
      </w:r>
      <w:r w:rsidR="005731B8">
        <w:rPr>
          <w:rFonts w:ascii="Trebuchet MS" w:hAnsi="Trebuchet MS" w:cs="Trebuchet MS"/>
          <w:sz w:val="20"/>
          <w:szCs w:val="20"/>
        </w:rPr>
        <w:t>i</w:t>
      </w:r>
      <w:r>
        <w:rPr>
          <w:rFonts w:ascii="Trebuchet MS" w:hAnsi="Trebuchet MS" w:cs="Trebuchet MS"/>
          <w:sz w:val="20"/>
          <w:szCs w:val="20"/>
        </w:rPr>
        <w:t xml:space="preserve"> musí </w:t>
      </w:r>
      <w:r w:rsidR="005731B8">
        <w:rPr>
          <w:rFonts w:ascii="Trebuchet MS" w:hAnsi="Trebuchet MS" w:cs="Trebuchet MS"/>
          <w:sz w:val="20"/>
          <w:szCs w:val="20"/>
        </w:rPr>
        <w:t>vést k</w:t>
      </w:r>
      <w:r w:rsidR="007F5C15">
        <w:rPr>
          <w:rFonts w:ascii="Trebuchet MS" w:hAnsi="Trebuchet MS" w:cs="Trebuchet MS"/>
          <w:sz w:val="20"/>
          <w:szCs w:val="20"/>
        </w:rPr>
        <w:t> </w:t>
      </w:r>
      <w:r>
        <w:rPr>
          <w:rFonts w:ascii="Trebuchet MS" w:hAnsi="Trebuchet MS" w:cs="Trebuchet MS"/>
          <w:sz w:val="20"/>
          <w:szCs w:val="20"/>
        </w:rPr>
        <w:t>v</w:t>
      </w:r>
      <w:r w:rsidR="007F5C15">
        <w:rPr>
          <w:rFonts w:ascii="Trebuchet MS" w:hAnsi="Trebuchet MS" w:cs="Trebuchet MS"/>
          <w:sz w:val="20"/>
          <w:szCs w:val="20"/>
        </w:rPr>
        <w:t>yvinutí</w:t>
      </w:r>
      <w:r>
        <w:rPr>
          <w:rFonts w:ascii="Trebuchet MS" w:hAnsi="Trebuchet MS" w:cs="Trebuchet MS"/>
          <w:sz w:val="20"/>
          <w:szCs w:val="20"/>
        </w:rPr>
        <w:t xml:space="preserve"> jednoho nebo několika výstupů projektu. U každé činnosti musí být specifikován počáteční a</w:t>
      </w:r>
      <w:r w:rsidR="007F5C15">
        <w:rPr>
          <w:rFonts w:ascii="Trebuchet MS" w:hAnsi="Trebuchet MS" w:cs="Trebuchet MS"/>
          <w:sz w:val="20"/>
          <w:szCs w:val="20"/>
        </w:rPr>
        <w:t> </w:t>
      </w:r>
      <w:r>
        <w:rPr>
          <w:rFonts w:ascii="Trebuchet MS" w:hAnsi="Trebuchet MS" w:cs="Trebuchet MS"/>
          <w:sz w:val="20"/>
          <w:szCs w:val="20"/>
        </w:rPr>
        <w:t>závěrečný měsíc a orientační náklady.</w:t>
      </w:r>
    </w:p>
    <w:p w:rsidR="00D64D10" w:rsidRDefault="00D64D10">
      <w:pPr>
        <w:spacing w:before="4" w:after="0" w:line="160" w:lineRule="exact"/>
        <w:rPr>
          <w:sz w:val="16"/>
          <w:szCs w:val="16"/>
        </w:rPr>
      </w:pPr>
    </w:p>
    <w:p w:rsidR="00D64D10" w:rsidRDefault="00D64D10">
      <w:pPr>
        <w:spacing w:after="0" w:line="200" w:lineRule="exact"/>
        <w:rPr>
          <w:sz w:val="20"/>
          <w:szCs w:val="20"/>
        </w:rPr>
      </w:pPr>
    </w:p>
    <w:p w:rsidR="00D64D10" w:rsidRDefault="00D64D10">
      <w:pPr>
        <w:spacing w:after="0" w:line="200" w:lineRule="exact"/>
        <w:rPr>
          <w:sz w:val="20"/>
          <w:szCs w:val="20"/>
        </w:rPr>
      </w:pPr>
    </w:p>
    <w:p w:rsidR="00D64D10" w:rsidRDefault="00D64D10">
      <w:pPr>
        <w:spacing w:after="0" w:line="240" w:lineRule="auto"/>
        <w:ind w:left="713" w:right="8943"/>
        <w:jc w:val="both"/>
        <w:rPr>
          <w:rFonts w:ascii="Trebuchet MS" w:hAnsi="Trebuchet MS" w:cs="Trebuchet MS"/>
          <w:sz w:val="28"/>
          <w:szCs w:val="28"/>
        </w:rPr>
      </w:pPr>
      <w:r>
        <w:rPr>
          <w:rFonts w:ascii="Trebuchet MS" w:hAnsi="Trebuchet MS" w:cs="Trebuchet MS"/>
          <w:b/>
          <w:bCs/>
          <w:color w:val="7C8A89"/>
          <w:sz w:val="28"/>
          <w:szCs w:val="28"/>
        </w:rPr>
        <w:t>Příjemce</w:t>
      </w:r>
    </w:p>
    <w:p w:rsidR="00D64D10" w:rsidRDefault="00D64D10">
      <w:pPr>
        <w:spacing w:before="6" w:after="0" w:line="240" w:lineRule="exact"/>
        <w:rPr>
          <w:sz w:val="24"/>
          <w:szCs w:val="24"/>
        </w:rPr>
      </w:pPr>
    </w:p>
    <w:p w:rsidR="00D64D10" w:rsidRDefault="00D64D10">
      <w:pPr>
        <w:spacing w:after="0" w:line="230" w:lineRule="exact"/>
        <w:ind w:left="713" w:right="713"/>
        <w:jc w:val="both"/>
        <w:rPr>
          <w:rFonts w:ascii="Trebuchet MS" w:hAnsi="Trebuchet MS" w:cs="Trebuchet MS"/>
          <w:sz w:val="20"/>
          <w:szCs w:val="20"/>
        </w:rPr>
      </w:pPr>
      <w:r>
        <w:rPr>
          <w:rFonts w:ascii="Trebuchet MS" w:hAnsi="Trebuchet MS" w:cs="Trebuchet MS"/>
          <w:sz w:val="20"/>
          <w:szCs w:val="20"/>
        </w:rPr>
        <w:t xml:space="preserve">Veřejný nebo soukromý </w:t>
      </w:r>
      <w:r w:rsidR="007F5C15">
        <w:rPr>
          <w:rFonts w:ascii="Trebuchet MS" w:hAnsi="Trebuchet MS" w:cs="Trebuchet MS"/>
          <w:sz w:val="20"/>
          <w:szCs w:val="20"/>
        </w:rPr>
        <w:t>subjekt</w:t>
      </w:r>
      <w:r>
        <w:rPr>
          <w:rFonts w:ascii="Trebuchet MS" w:hAnsi="Trebuchet MS" w:cs="Trebuchet MS"/>
          <w:sz w:val="20"/>
          <w:szCs w:val="20"/>
        </w:rPr>
        <w:t xml:space="preserve"> odpovědný za zahájení nebo jak za zahájení, tak realizaci projektu. V kontextu režimů </w:t>
      </w:r>
      <w:r w:rsidR="007F5C15">
        <w:rPr>
          <w:rFonts w:ascii="Trebuchet MS" w:hAnsi="Trebuchet MS" w:cs="Trebuchet MS"/>
          <w:sz w:val="20"/>
          <w:szCs w:val="20"/>
        </w:rPr>
        <w:t>veřejné</w:t>
      </w:r>
      <w:r>
        <w:rPr>
          <w:rFonts w:ascii="Trebuchet MS" w:hAnsi="Trebuchet MS" w:cs="Trebuchet MS"/>
          <w:sz w:val="20"/>
          <w:szCs w:val="20"/>
        </w:rPr>
        <w:t xml:space="preserve"> podpory je </w:t>
      </w:r>
      <w:r w:rsidR="007F5C15">
        <w:rPr>
          <w:rFonts w:ascii="Trebuchet MS" w:hAnsi="Trebuchet MS" w:cs="Trebuchet MS"/>
          <w:sz w:val="20"/>
          <w:szCs w:val="20"/>
        </w:rPr>
        <w:t>příjemce subjektem</w:t>
      </w:r>
      <w:r>
        <w:rPr>
          <w:rFonts w:ascii="Trebuchet MS" w:hAnsi="Trebuchet MS" w:cs="Trebuchet MS"/>
          <w:sz w:val="20"/>
          <w:szCs w:val="20"/>
        </w:rPr>
        <w:t>, který dostává podporu.</w:t>
      </w:r>
    </w:p>
    <w:p w:rsidR="00D64D10" w:rsidRDefault="00D64D10">
      <w:pPr>
        <w:spacing w:before="5" w:after="0" w:line="160" w:lineRule="exact"/>
        <w:rPr>
          <w:sz w:val="16"/>
          <w:szCs w:val="16"/>
        </w:rPr>
      </w:pPr>
    </w:p>
    <w:p w:rsidR="00D64D10" w:rsidRDefault="00D64D10">
      <w:pPr>
        <w:spacing w:after="0" w:line="200" w:lineRule="exact"/>
        <w:rPr>
          <w:sz w:val="20"/>
          <w:szCs w:val="20"/>
        </w:rPr>
      </w:pPr>
    </w:p>
    <w:p w:rsidR="00D64D10" w:rsidRDefault="00D64D10">
      <w:pPr>
        <w:spacing w:after="0" w:line="200" w:lineRule="exact"/>
        <w:rPr>
          <w:sz w:val="20"/>
          <w:szCs w:val="20"/>
        </w:rPr>
      </w:pPr>
    </w:p>
    <w:p w:rsidR="00D64D10" w:rsidRDefault="00D64D10">
      <w:pPr>
        <w:spacing w:after="0" w:line="240" w:lineRule="auto"/>
        <w:ind w:left="713" w:right="7142"/>
        <w:jc w:val="both"/>
        <w:rPr>
          <w:rFonts w:ascii="Trebuchet MS" w:hAnsi="Trebuchet MS" w:cs="Trebuchet MS"/>
          <w:sz w:val="28"/>
          <w:szCs w:val="28"/>
        </w:rPr>
      </w:pPr>
      <w:r>
        <w:rPr>
          <w:rFonts w:ascii="Trebuchet MS" w:hAnsi="Trebuchet MS" w:cs="Trebuchet MS"/>
          <w:b/>
          <w:bCs/>
          <w:color w:val="7C8A89"/>
          <w:sz w:val="28"/>
          <w:szCs w:val="28"/>
        </w:rPr>
        <w:t>Certifikát o výdajích</w:t>
      </w:r>
    </w:p>
    <w:p w:rsidR="00D64D10" w:rsidRDefault="00D64D10">
      <w:pPr>
        <w:spacing w:before="20" w:after="0" w:line="220" w:lineRule="exact"/>
      </w:pPr>
    </w:p>
    <w:p w:rsidR="00D64D10" w:rsidRDefault="00D64D10">
      <w:pPr>
        <w:spacing w:after="0" w:line="240" w:lineRule="auto"/>
        <w:ind w:left="713" w:right="699"/>
        <w:jc w:val="both"/>
        <w:rPr>
          <w:rFonts w:ascii="Trebuchet MS" w:hAnsi="Trebuchet MS" w:cs="Trebuchet MS"/>
          <w:sz w:val="20"/>
          <w:szCs w:val="20"/>
        </w:rPr>
      </w:pPr>
      <w:r>
        <w:rPr>
          <w:rFonts w:ascii="Trebuchet MS" w:hAnsi="Trebuchet MS" w:cs="Trebuchet MS"/>
          <w:sz w:val="20"/>
          <w:szCs w:val="20"/>
        </w:rPr>
        <w:t>Certifikát o výdajích je dokument, který vydal a podepsal pověřený národní kontrolor</w:t>
      </w:r>
      <w:r w:rsidR="00890E2E">
        <w:rPr>
          <w:rFonts w:ascii="Trebuchet MS" w:hAnsi="Trebuchet MS" w:cs="Trebuchet MS"/>
          <w:sz w:val="20"/>
          <w:szCs w:val="20"/>
        </w:rPr>
        <w:t xml:space="preserve">, </w:t>
      </w:r>
      <w:r>
        <w:rPr>
          <w:rFonts w:ascii="Trebuchet MS" w:hAnsi="Trebuchet MS" w:cs="Trebuchet MS"/>
          <w:sz w:val="20"/>
          <w:szCs w:val="20"/>
        </w:rPr>
        <w:t>a který</w:t>
      </w:r>
      <w:r w:rsidR="00890E2E">
        <w:rPr>
          <w:rFonts w:ascii="Trebuchet MS" w:hAnsi="Trebuchet MS" w:cs="Trebuchet MS"/>
          <w:sz w:val="20"/>
          <w:szCs w:val="20"/>
        </w:rPr>
        <w:t xml:space="preserve"> potvrzuje</w:t>
      </w:r>
      <w:r>
        <w:rPr>
          <w:rFonts w:ascii="Trebuchet MS" w:hAnsi="Trebuchet MS" w:cs="Trebuchet MS"/>
          <w:sz w:val="20"/>
          <w:szCs w:val="20"/>
        </w:rPr>
        <w:t xml:space="preserve">, že spolufinancované produkty a služby byly dodány a že výdaje uvedené příjemci byly zaplaceny a že </w:t>
      </w:r>
      <w:r w:rsidR="00890E2E">
        <w:rPr>
          <w:rFonts w:ascii="Trebuchet MS" w:hAnsi="Trebuchet MS" w:cs="Trebuchet MS"/>
          <w:sz w:val="20"/>
          <w:szCs w:val="20"/>
        </w:rPr>
        <w:t>vyhovují</w:t>
      </w:r>
      <w:r>
        <w:rPr>
          <w:rFonts w:ascii="Trebuchet MS" w:hAnsi="Trebuchet MS" w:cs="Trebuchet MS"/>
          <w:sz w:val="20"/>
          <w:szCs w:val="20"/>
        </w:rPr>
        <w:t xml:space="preserve"> </w:t>
      </w:r>
      <w:r w:rsidR="00890E2E">
        <w:rPr>
          <w:rFonts w:ascii="Trebuchet MS" w:hAnsi="Trebuchet MS" w:cs="Trebuchet MS"/>
          <w:sz w:val="20"/>
          <w:szCs w:val="20"/>
        </w:rPr>
        <w:t>platným</w:t>
      </w:r>
      <w:r>
        <w:rPr>
          <w:rFonts w:ascii="Trebuchet MS" w:hAnsi="Trebuchet MS" w:cs="Trebuchet MS"/>
          <w:sz w:val="20"/>
          <w:szCs w:val="20"/>
        </w:rPr>
        <w:t xml:space="preserve"> právní</w:t>
      </w:r>
      <w:r w:rsidR="00890E2E">
        <w:rPr>
          <w:rFonts w:ascii="Trebuchet MS" w:hAnsi="Trebuchet MS" w:cs="Trebuchet MS"/>
          <w:sz w:val="20"/>
          <w:szCs w:val="20"/>
        </w:rPr>
        <w:t>m</w:t>
      </w:r>
      <w:r>
        <w:rPr>
          <w:rFonts w:ascii="Trebuchet MS" w:hAnsi="Trebuchet MS" w:cs="Trebuchet MS"/>
          <w:sz w:val="20"/>
          <w:szCs w:val="20"/>
        </w:rPr>
        <w:t xml:space="preserve"> předpis</w:t>
      </w:r>
      <w:r w:rsidR="00890E2E">
        <w:rPr>
          <w:rFonts w:ascii="Trebuchet MS" w:hAnsi="Trebuchet MS" w:cs="Trebuchet MS"/>
          <w:sz w:val="20"/>
          <w:szCs w:val="20"/>
        </w:rPr>
        <w:t>ům</w:t>
      </w:r>
      <w:r>
        <w:rPr>
          <w:rFonts w:ascii="Trebuchet MS" w:hAnsi="Trebuchet MS" w:cs="Trebuchet MS"/>
          <w:sz w:val="20"/>
          <w:szCs w:val="20"/>
        </w:rPr>
        <w:t>, operační</w:t>
      </w:r>
      <w:r w:rsidR="00890E2E">
        <w:rPr>
          <w:rFonts w:ascii="Trebuchet MS" w:hAnsi="Trebuchet MS" w:cs="Trebuchet MS"/>
          <w:sz w:val="20"/>
          <w:szCs w:val="20"/>
        </w:rPr>
        <w:t>mu</w:t>
      </w:r>
      <w:r>
        <w:rPr>
          <w:rFonts w:ascii="Trebuchet MS" w:hAnsi="Trebuchet MS" w:cs="Trebuchet MS"/>
          <w:sz w:val="20"/>
          <w:szCs w:val="20"/>
        </w:rPr>
        <w:t xml:space="preserve"> program</w:t>
      </w:r>
      <w:r w:rsidR="00890E2E">
        <w:rPr>
          <w:rFonts w:ascii="Trebuchet MS" w:hAnsi="Trebuchet MS" w:cs="Trebuchet MS"/>
          <w:sz w:val="20"/>
          <w:szCs w:val="20"/>
        </w:rPr>
        <w:t>u</w:t>
      </w:r>
      <w:r>
        <w:rPr>
          <w:rFonts w:ascii="Trebuchet MS" w:hAnsi="Trebuchet MS" w:cs="Trebuchet MS"/>
          <w:sz w:val="20"/>
          <w:szCs w:val="20"/>
        </w:rPr>
        <w:t xml:space="preserve"> a podmínk</w:t>
      </w:r>
      <w:r w:rsidR="00890E2E">
        <w:rPr>
          <w:rFonts w:ascii="Trebuchet MS" w:hAnsi="Trebuchet MS" w:cs="Trebuchet MS"/>
          <w:sz w:val="20"/>
          <w:szCs w:val="20"/>
        </w:rPr>
        <w:t>ám</w:t>
      </w:r>
      <w:r>
        <w:rPr>
          <w:rFonts w:ascii="Trebuchet MS" w:hAnsi="Trebuchet MS" w:cs="Trebuchet MS"/>
          <w:sz w:val="20"/>
          <w:szCs w:val="20"/>
        </w:rPr>
        <w:t xml:space="preserve"> pro podporu projektu. K</w:t>
      </w:r>
      <w:r w:rsidR="00890E2E">
        <w:rPr>
          <w:rFonts w:ascii="Trebuchet MS" w:hAnsi="Trebuchet MS" w:cs="Trebuchet MS"/>
          <w:sz w:val="20"/>
          <w:szCs w:val="20"/>
        </w:rPr>
        <w:t> </w:t>
      </w:r>
      <w:r>
        <w:rPr>
          <w:rFonts w:ascii="Trebuchet MS" w:hAnsi="Trebuchet MS" w:cs="Trebuchet MS"/>
          <w:sz w:val="20"/>
          <w:szCs w:val="20"/>
        </w:rPr>
        <w:t xml:space="preserve">certifikátu o výdajích je přiložena kontrolní zpráva a check-list, který dokládá kontrolní </w:t>
      </w:r>
      <w:r w:rsidR="00890E2E">
        <w:rPr>
          <w:rFonts w:ascii="Trebuchet MS" w:hAnsi="Trebuchet MS" w:cs="Trebuchet MS"/>
          <w:sz w:val="20"/>
          <w:szCs w:val="20"/>
        </w:rPr>
        <w:t>činnost</w:t>
      </w:r>
      <w:r>
        <w:rPr>
          <w:rFonts w:ascii="Trebuchet MS" w:hAnsi="Trebuchet MS" w:cs="Trebuchet MS"/>
          <w:sz w:val="20"/>
          <w:szCs w:val="20"/>
        </w:rPr>
        <w:t xml:space="preserve"> kontrolora.</w:t>
      </w:r>
    </w:p>
    <w:p w:rsidR="00D64D10" w:rsidRDefault="00D64D10">
      <w:pPr>
        <w:spacing w:before="4" w:after="0" w:line="160" w:lineRule="exact"/>
        <w:rPr>
          <w:sz w:val="16"/>
          <w:szCs w:val="16"/>
        </w:rPr>
      </w:pPr>
    </w:p>
    <w:p w:rsidR="00D64D10" w:rsidRDefault="00D64D10">
      <w:pPr>
        <w:spacing w:after="0" w:line="200" w:lineRule="exact"/>
        <w:rPr>
          <w:sz w:val="20"/>
          <w:szCs w:val="20"/>
        </w:rPr>
      </w:pPr>
    </w:p>
    <w:p w:rsidR="00D64D10" w:rsidRDefault="00D64D10">
      <w:pPr>
        <w:spacing w:after="0" w:line="200" w:lineRule="exact"/>
        <w:rPr>
          <w:sz w:val="20"/>
          <w:szCs w:val="20"/>
        </w:rPr>
      </w:pPr>
    </w:p>
    <w:p w:rsidR="00D64D10" w:rsidRDefault="00D64D10">
      <w:pPr>
        <w:spacing w:after="0" w:line="240" w:lineRule="auto"/>
        <w:ind w:left="713" w:right="7696"/>
        <w:jc w:val="both"/>
        <w:rPr>
          <w:rFonts w:ascii="Trebuchet MS" w:hAnsi="Trebuchet MS" w:cs="Trebuchet MS"/>
          <w:sz w:val="28"/>
          <w:szCs w:val="28"/>
        </w:rPr>
      </w:pPr>
      <w:r>
        <w:rPr>
          <w:rFonts w:ascii="Trebuchet MS" w:hAnsi="Trebuchet MS" w:cs="Trebuchet MS"/>
          <w:b/>
          <w:bCs/>
          <w:color w:val="7C8A89"/>
          <w:sz w:val="28"/>
          <w:szCs w:val="28"/>
        </w:rPr>
        <w:t>Produkty (projektu)</w:t>
      </w:r>
    </w:p>
    <w:p w:rsidR="00D64D10" w:rsidRDefault="00D64D10">
      <w:pPr>
        <w:spacing w:before="2" w:after="0" w:line="240" w:lineRule="exact"/>
        <w:rPr>
          <w:sz w:val="24"/>
          <w:szCs w:val="24"/>
        </w:rPr>
      </w:pPr>
    </w:p>
    <w:p w:rsidR="00D64D10" w:rsidRDefault="00D64D10">
      <w:pPr>
        <w:spacing w:after="0" w:line="240" w:lineRule="auto"/>
        <w:ind w:left="713" w:right="705"/>
        <w:jc w:val="both"/>
        <w:rPr>
          <w:rFonts w:ascii="Trebuchet MS" w:hAnsi="Trebuchet MS" w:cs="Trebuchet MS"/>
          <w:sz w:val="20"/>
          <w:szCs w:val="20"/>
        </w:rPr>
      </w:pPr>
      <w:r>
        <w:rPr>
          <w:rFonts w:ascii="Trebuchet MS" w:hAnsi="Trebuchet MS" w:cs="Trebuchet MS"/>
          <w:sz w:val="20"/>
          <w:szCs w:val="20"/>
        </w:rPr>
        <w:t xml:space="preserve">Každá činnost </w:t>
      </w:r>
      <w:r w:rsidR="00890E2E">
        <w:rPr>
          <w:rFonts w:ascii="Trebuchet MS" w:hAnsi="Trebuchet MS" w:cs="Trebuchet MS"/>
          <w:sz w:val="20"/>
          <w:szCs w:val="20"/>
        </w:rPr>
        <w:t>by měla</w:t>
      </w:r>
      <w:r>
        <w:rPr>
          <w:rFonts w:ascii="Trebuchet MS" w:hAnsi="Trebuchet MS" w:cs="Trebuchet MS"/>
          <w:sz w:val="20"/>
          <w:szCs w:val="20"/>
        </w:rPr>
        <w:t xml:space="preserve"> zahrnovat jeden nebo několik produktů (např. zpráva o analýze, studie proveditelnosti atd.), které přispějí k dosažení výstupů projektu. Všechny malé kroky jedn</w:t>
      </w:r>
      <w:r w:rsidR="00890E2E">
        <w:rPr>
          <w:rFonts w:ascii="Trebuchet MS" w:hAnsi="Trebuchet MS" w:cs="Trebuchet MS"/>
          <w:sz w:val="20"/>
          <w:szCs w:val="20"/>
        </w:rPr>
        <w:t>é</w:t>
      </w:r>
      <w:r>
        <w:rPr>
          <w:rFonts w:ascii="Trebuchet MS" w:hAnsi="Trebuchet MS" w:cs="Trebuchet MS"/>
          <w:sz w:val="20"/>
          <w:szCs w:val="20"/>
        </w:rPr>
        <w:t xml:space="preserve"> činnosti, jako jsou dokument</w:t>
      </w:r>
      <w:r w:rsidR="00890E2E">
        <w:rPr>
          <w:rFonts w:ascii="Trebuchet MS" w:hAnsi="Trebuchet MS" w:cs="Trebuchet MS"/>
          <w:sz w:val="20"/>
          <w:szCs w:val="20"/>
        </w:rPr>
        <w:t>y</w:t>
      </w:r>
      <w:r>
        <w:rPr>
          <w:rFonts w:ascii="Trebuchet MS" w:hAnsi="Trebuchet MS" w:cs="Trebuchet MS"/>
          <w:sz w:val="20"/>
          <w:szCs w:val="20"/>
        </w:rPr>
        <w:t xml:space="preserve"> ze setkání zainteresovaných skupin, pracovní</w:t>
      </w:r>
      <w:r w:rsidR="00890E2E">
        <w:rPr>
          <w:rFonts w:ascii="Trebuchet MS" w:hAnsi="Trebuchet MS" w:cs="Trebuchet MS"/>
          <w:sz w:val="20"/>
          <w:szCs w:val="20"/>
        </w:rPr>
        <w:t>ch</w:t>
      </w:r>
      <w:r>
        <w:rPr>
          <w:rFonts w:ascii="Trebuchet MS" w:hAnsi="Trebuchet MS" w:cs="Trebuchet MS"/>
          <w:sz w:val="20"/>
          <w:szCs w:val="20"/>
        </w:rPr>
        <w:t xml:space="preserve"> skupin atd., nemusí být uvedeny jako samostatné produkty, ale m</w:t>
      </w:r>
      <w:r w:rsidR="00890E2E">
        <w:rPr>
          <w:rFonts w:ascii="Trebuchet MS" w:hAnsi="Trebuchet MS" w:cs="Trebuchet MS"/>
          <w:sz w:val="20"/>
          <w:szCs w:val="20"/>
        </w:rPr>
        <w:t>ěly by</w:t>
      </w:r>
      <w:r>
        <w:rPr>
          <w:rFonts w:ascii="Trebuchet MS" w:hAnsi="Trebuchet MS" w:cs="Trebuchet MS"/>
          <w:sz w:val="20"/>
          <w:szCs w:val="20"/>
        </w:rPr>
        <w:t xml:space="preserve"> být </w:t>
      </w:r>
      <w:r w:rsidR="00890E2E">
        <w:rPr>
          <w:rFonts w:ascii="Trebuchet MS" w:hAnsi="Trebuchet MS" w:cs="Trebuchet MS"/>
          <w:sz w:val="20"/>
          <w:szCs w:val="20"/>
        </w:rPr>
        <w:t>sloučeny</w:t>
      </w:r>
      <w:r>
        <w:rPr>
          <w:rFonts w:ascii="Trebuchet MS" w:hAnsi="Trebuchet MS" w:cs="Trebuchet MS"/>
          <w:sz w:val="20"/>
          <w:szCs w:val="20"/>
        </w:rPr>
        <w:t xml:space="preserve"> do jednoho produktu, např. do kvalitativní zprávy popisující zapojení zainteresované skupiny.</w:t>
      </w:r>
    </w:p>
    <w:p w:rsidR="00D64D10" w:rsidRDefault="00D64D10">
      <w:pPr>
        <w:spacing w:before="4" w:after="0" w:line="160" w:lineRule="exact"/>
        <w:rPr>
          <w:sz w:val="16"/>
          <w:szCs w:val="16"/>
        </w:rPr>
      </w:pPr>
    </w:p>
    <w:p w:rsidR="00D64D10" w:rsidRDefault="00D64D10">
      <w:pPr>
        <w:spacing w:after="0" w:line="200" w:lineRule="exact"/>
        <w:rPr>
          <w:sz w:val="20"/>
          <w:szCs w:val="20"/>
        </w:rPr>
      </w:pPr>
    </w:p>
    <w:p w:rsidR="00D64D10" w:rsidRDefault="00D64D10">
      <w:pPr>
        <w:spacing w:after="0" w:line="200" w:lineRule="exact"/>
        <w:rPr>
          <w:sz w:val="20"/>
          <w:szCs w:val="20"/>
        </w:rPr>
      </w:pPr>
    </w:p>
    <w:p w:rsidR="00D64D10" w:rsidRDefault="00D64D10" w:rsidP="005F1D85">
      <w:pPr>
        <w:spacing w:after="0" w:line="240" w:lineRule="auto"/>
        <w:ind w:left="713" w:right="4190"/>
        <w:rPr>
          <w:rFonts w:ascii="Trebuchet MS" w:hAnsi="Trebuchet MS" w:cs="Trebuchet MS"/>
          <w:sz w:val="28"/>
          <w:szCs w:val="28"/>
        </w:rPr>
      </w:pPr>
      <w:r>
        <w:rPr>
          <w:rFonts w:ascii="Trebuchet MS" w:hAnsi="Trebuchet MS" w:cs="Trebuchet MS"/>
          <w:b/>
          <w:bCs/>
          <w:color w:val="7C8A89"/>
          <w:sz w:val="28"/>
          <w:szCs w:val="28"/>
        </w:rPr>
        <w:t>Vybavení pro obecné (kancelářské) použití</w:t>
      </w:r>
    </w:p>
    <w:p w:rsidR="00D64D10" w:rsidRDefault="00D64D10">
      <w:pPr>
        <w:spacing w:before="3" w:after="0" w:line="240" w:lineRule="exact"/>
        <w:rPr>
          <w:sz w:val="24"/>
          <w:szCs w:val="24"/>
        </w:rPr>
      </w:pPr>
    </w:p>
    <w:p w:rsidR="00D64D10" w:rsidRDefault="00D64D10">
      <w:pPr>
        <w:spacing w:after="0" w:line="239" w:lineRule="auto"/>
        <w:ind w:left="713" w:right="706"/>
        <w:jc w:val="both"/>
        <w:rPr>
          <w:rFonts w:ascii="Trebuchet MS" w:hAnsi="Trebuchet MS" w:cs="Trebuchet MS"/>
          <w:sz w:val="20"/>
          <w:szCs w:val="20"/>
        </w:rPr>
      </w:pPr>
      <w:r>
        <w:rPr>
          <w:rFonts w:ascii="Trebuchet MS" w:hAnsi="Trebuchet MS" w:cs="Trebuchet MS"/>
          <w:sz w:val="20"/>
          <w:szCs w:val="20"/>
        </w:rPr>
        <w:t>Vybavení pro obecné (kancelářské) použití se vztahuje na počítače, kancelářský nábytek atd.</w:t>
      </w:r>
      <w:r w:rsidR="00890E2E">
        <w:rPr>
          <w:rFonts w:ascii="Trebuchet MS" w:hAnsi="Trebuchet MS" w:cs="Trebuchet MS"/>
          <w:sz w:val="20"/>
          <w:szCs w:val="20"/>
        </w:rPr>
        <w:t xml:space="preserve">, které se </w:t>
      </w:r>
      <w:r>
        <w:rPr>
          <w:rFonts w:ascii="Trebuchet MS" w:hAnsi="Trebuchet MS" w:cs="Trebuchet MS"/>
          <w:sz w:val="20"/>
          <w:szCs w:val="20"/>
        </w:rPr>
        <w:t>použív</w:t>
      </w:r>
      <w:r w:rsidR="00890E2E">
        <w:rPr>
          <w:rFonts w:ascii="Trebuchet MS" w:hAnsi="Trebuchet MS" w:cs="Trebuchet MS"/>
          <w:sz w:val="20"/>
          <w:szCs w:val="20"/>
        </w:rPr>
        <w:t>ají</w:t>
      </w:r>
      <w:r>
        <w:rPr>
          <w:rFonts w:ascii="Trebuchet MS" w:hAnsi="Trebuchet MS" w:cs="Trebuchet MS"/>
          <w:sz w:val="20"/>
          <w:szCs w:val="20"/>
        </w:rPr>
        <w:t xml:space="preserve"> k denní práci personálu </w:t>
      </w:r>
      <w:r w:rsidR="00890E2E">
        <w:rPr>
          <w:rFonts w:ascii="Trebuchet MS" w:hAnsi="Trebuchet MS" w:cs="Trebuchet MS"/>
          <w:sz w:val="20"/>
          <w:szCs w:val="20"/>
        </w:rPr>
        <w:t xml:space="preserve">podílejícího se na realizaci </w:t>
      </w:r>
      <w:r>
        <w:rPr>
          <w:rFonts w:ascii="Trebuchet MS" w:hAnsi="Trebuchet MS" w:cs="Trebuchet MS"/>
          <w:sz w:val="20"/>
          <w:szCs w:val="20"/>
        </w:rPr>
        <w:t>projekt</w:t>
      </w:r>
      <w:r w:rsidR="00890E2E">
        <w:rPr>
          <w:rFonts w:ascii="Trebuchet MS" w:hAnsi="Trebuchet MS" w:cs="Trebuchet MS"/>
          <w:sz w:val="20"/>
          <w:szCs w:val="20"/>
        </w:rPr>
        <w:t>u</w:t>
      </w:r>
      <w:r>
        <w:rPr>
          <w:rFonts w:ascii="Trebuchet MS" w:hAnsi="Trebuchet MS" w:cs="Trebuchet MS"/>
          <w:sz w:val="20"/>
          <w:szCs w:val="20"/>
        </w:rPr>
        <w:t xml:space="preserve">. Jde o vybavení, které není zahrnuto do rozpočtové </w:t>
      </w:r>
      <w:r w:rsidR="00890E2E">
        <w:rPr>
          <w:rFonts w:ascii="Trebuchet MS" w:hAnsi="Trebuchet MS" w:cs="Trebuchet MS"/>
          <w:sz w:val="20"/>
          <w:szCs w:val="20"/>
        </w:rPr>
        <w:t>kategorie</w:t>
      </w:r>
      <w:r>
        <w:rPr>
          <w:rFonts w:ascii="Trebuchet MS" w:hAnsi="Trebuchet MS" w:cs="Trebuchet MS"/>
          <w:sz w:val="20"/>
          <w:szCs w:val="20"/>
        </w:rPr>
        <w:t xml:space="preserve"> „kancelářské a administrativní výdaje“.</w:t>
      </w:r>
    </w:p>
    <w:p w:rsidR="00D64D10" w:rsidRDefault="00D64D10">
      <w:pPr>
        <w:spacing w:before="5" w:after="0" w:line="160" w:lineRule="exact"/>
        <w:rPr>
          <w:sz w:val="16"/>
          <w:szCs w:val="16"/>
        </w:rPr>
      </w:pPr>
    </w:p>
    <w:p w:rsidR="00D64D10" w:rsidRDefault="00D64D10">
      <w:pPr>
        <w:spacing w:after="0" w:line="200" w:lineRule="exact"/>
        <w:rPr>
          <w:sz w:val="20"/>
          <w:szCs w:val="20"/>
        </w:rPr>
      </w:pPr>
    </w:p>
    <w:p w:rsidR="00D64D10" w:rsidRDefault="00D64D10">
      <w:pPr>
        <w:spacing w:after="0" w:line="200" w:lineRule="exact"/>
        <w:rPr>
          <w:sz w:val="20"/>
          <w:szCs w:val="20"/>
        </w:rPr>
      </w:pPr>
    </w:p>
    <w:p w:rsidR="00D64D10" w:rsidRDefault="00D64D10" w:rsidP="005F1D85">
      <w:pPr>
        <w:spacing w:after="0" w:line="240" w:lineRule="auto"/>
        <w:ind w:left="713" w:right="6390"/>
        <w:jc w:val="both"/>
        <w:rPr>
          <w:rFonts w:ascii="Trebuchet MS" w:hAnsi="Trebuchet MS" w:cs="Trebuchet MS"/>
          <w:sz w:val="28"/>
          <w:szCs w:val="28"/>
        </w:rPr>
      </w:pPr>
      <w:r>
        <w:rPr>
          <w:rFonts w:ascii="Trebuchet MS" w:hAnsi="Trebuchet MS" w:cs="Trebuchet MS"/>
          <w:b/>
          <w:bCs/>
          <w:color w:val="7C8A89"/>
          <w:sz w:val="28"/>
          <w:szCs w:val="28"/>
        </w:rPr>
        <w:t>(Tematické) vybavení</w:t>
      </w:r>
    </w:p>
    <w:p w:rsidR="00D64D10" w:rsidRDefault="00D64D10">
      <w:pPr>
        <w:spacing w:before="2" w:after="0" w:line="240" w:lineRule="exact"/>
        <w:rPr>
          <w:sz w:val="24"/>
          <w:szCs w:val="24"/>
        </w:rPr>
      </w:pPr>
    </w:p>
    <w:p w:rsidR="00D64D10" w:rsidRDefault="00D64D10">
      <w:pPr>
        <w:spacing w:after="0" w:line="240" w:lineRule="auto"/>
        <w:ind w:left="713" w:right="702"/>
        <w:jc w:val="both"/>
        <w:rPr>
          <w:rFonts w:ascii="Trebuchet MS" w:hAnsi="Trebuchet MS" w:cs="Trebuchet MS"/>
          <w:sz w:val="20"/>
          <w:szCs w:val="20"/>
        </w:rPr>
      </w:pPr>
      <w:r>
        <w:rPr>
          <w:rFonts w:ascii="Trebuchet MS" w:hAnsi="Trebuchet MS" w:cs="Trebuchet MS"/>
          <w:sz w:val="20"/>
          <w:szCs w:val="20"/>
        </w:rPr>
        <w:t>Tematické vybavení je přímo spojeno s výstupy projektu (</w:t>
      </w:r>
      <w:r w:rsidR="007910C4">
        <w:rPr>
          <w:rFonts w:ascii="Trebuchet MS" w:hAnsi="Trebuchet MS" w:cs="Trebuchet MS"/>
          <w:sz w:val="20"/>
          <w:szCs w:val="20"/>
        </w:rPr>
        <w:t>anebo</w:t>
      </w:r>
      <w:r>
        <w:rPr>
          <w:rFonts w:ascii="Trebuchet MS" w:hAnsi="Trebuchet MS" w:cs="Trebuchet MS"/>
          <w:sz w:val="20"/>
          <w:szCs w:val="20"/>
        </w:rPr>
        <w:t xml:space="preserve"> tvoří jejich součást) a bud</w:t>
      </w:r>
      <w:r w:rsidR="007910C4">
        <w:rPr>
          <w:rFonts w:ascii="Trebuchet MS" w:hAnsi="Trebuchet MS" w:cs="Trebuchet MS"/>
          <w:sz w:val="20"/>
          <w:szCs w:val="20"/>
        </w:rPr>
        <w:t>ou</w:t>
      </w:r>
      <w:r>
        <w:rPr>
          <w:rFonts w:ascii="Trebuchet MS" w:hAnsi="Trebuchet MS" w:cs="Trebuchet MS"/>
          <w:sz w:val="20"/>
          <w:szCs w:val="20"/>
        </w:rPr>
        <w:t xml:space="preserve"> ho využívat příjemci a cílové skupiny v souladu s cíli projektu. Tematické vybavení může být buď součást rozpočtové </w:t>
      </w:r>
      <w:r w:rsidR="007910C4">
        <w:rPr>
          <w:rFonts w:ascii="Trebuchet MS" w:hAnsi="Trebuchet MS" w:cs="Trebuchet MS"/>
          <w:sz w:val="20"/>
          <w:szCs w:val="20"/>
        </w:rPr>
        <w:t>kategorie</w:t>
      </w:r>
      <w:r>
        <w:rPr>
          <w:rFonts w:ascii="Trebuchet MS" w:hAnsi="Trebuchet MS" w:cs="Trebuchet MS"/>
          <w:sz w:val="20"/>
          <w:szCs w:val="20"/>
        </w:rPr>
        <w:t xml:space="preserve"> prací, nebo být </w:t>
      </w:r>
      <w:r w:rsidR="00165720">
        <w:rPr>
          <w:rFonts w:ascii="Trebuchet MS" w:hAnsi="Trebuchet MS" w:cs="Trebuchet MS"/>
          <w:sz w:val="20"/>
          <w:szCs w:val="20"/>
        </w:rPr>
        <w:t>vedeno nezávisle</w:t>
      </w:r>
      <w:r>
        <w:rPr>
          <w:rFonts w:ascii="Trebuchet MS" w:hAnsi="Trebuchet MS" w:cs="Trebuchet MS"/>
          <w:sz w:val="20"/>
          <w:szCs w:val="20"/>
        </w:rPr>
        <w:t xml:space="preserve">. V každém případě </w:t>
      </w:r>
      <w:r w:rsidR="00165720">
        <w:rPr>
          <w:rFonts w:ascii="Trebuchet MS" w:hAnsi="Trebuchet MS" w:cs="Trebuchet MS"/>
          <w:sz w:val="20"/>
          <w:szCs w:val="20"/>
        </w:rPr>
        <w:t xml:space="preserve">však </w:t>
      </w:r>
      <w:r>
        <w:rPr>
          <w:rFonts w:ascii="Trebuchet MS" w:hAnsi="Trebuchet MS" w:cs="Trebuchet MS"/>
          <w:sz w:val="20"/>
          <w:szCs w:val="20"/>
        </w:rPr>
        <w:t>musí splňovat požadavky pro</w:t>
      </w:r>
      <w:r w:rsidR="00165720">
        <w:rPr>
          <w:rFonts w:ascii="Trebuchet MS" w:hAnsi="Trebuchet MS" w:cs="Trebuchet MS"/>
          <w:sz w:val="20"/>
          <w:szCs w:val="20"/>
        </w:rPr>
        <w:t>gramu na</w:t>
      </w:r>
      <w:r>
        <w:rPr>
          <w:rFonts w:ascii="Trebuchet MS" w:hAnsi="Trebuchet MS" w:cs="Trebuchet MS"/>
          <w:sz w:val="20"/>
          <w:szCs w:val="20"/>
        </w:rPr>
        <w:t xml:space="preserve"> investice (jak je vysvětleno v části B kapitoly II.3 Příručky pro žadatele), aby bylo považováno za způsobilé.</w:t>
      </w:r>
    </w:p>
    <w:p w:rsidR="00D64D10" w:rsidRDefault="00D64D10">
      <w:pPr>
        <w:spacing w:after="0" w:line="240" w:lineRule="auto"/>
        <w:jc w:val="both"/>
        <w:rPr>
          <w:rFonts w:ascii="Trebuchet MS" w:hAnsi="Trebuchet MS" w:cs="Trebuchet MS"/>
          <w:sz w:val="20"/>
          <w:szCs w:val="20"/>
        </w:rPr>
        <w:sectPr w:rsidR="00D64D10">
          <w:footerReference w:type="default" r:id="rId9"/>
          <w:pgSz w:w="11920" w:h="16840"/>
          <w:pgMar w:top="2260" w:right="380" w:bottom="540" w:left="420" w:header="11" w:footer="343" w:gutter="0"/>
          <w:pgNumType w:start="1"/>
          <w:cols w:space="708"/>
        </w:sectPr>
      </w:pPr>
    </w:p>
    <w:p w:rsidR="00D64D10" w:rsidRDefault="00D64D10">
      <w:pPr>
        <w:spacing w:after="0" w:line="200" w:lineRule="exact"/>
        <w:rPr>
          <w:sz w:val="20"/>
          <w:szCs w:val="20"/>
        </w:rPr>
      </w:pPr>
    </w:p>
    <w:p w:rsidR="00D64D10" w:rsidRDefault="00D64D10">
      <w:pPr>
        <w:spacing w:after="0" w:line="200" w:lineRule="exact"/>
        <w:rPr>
          <w:sz w:val="20"/>
          <w:szCs w:val="20"/>
        </w:rPr>
      </w:pPr>
    </w:p>
    <w:p w:rsidR="00D64D10" w:rsidRDefault="00D64D10">
      <w:pPr>
        <w:spacing w:before="12" w:after="0" w:line="220" w:lineRule="exact"/>
      </w:pPr>
    </w:p>
    <w:p w:rsidR="00D64D10" w:rsidRDefault="00D64D10" w:rsidP="005F1D85">
      <w:pPr>
        <w:spacing w:before="24" w:after="0" w:line="240" w:lineRule="auto"/>
        <w:ind w:left="713" w:right="7930"/>
        <w:jc w:val="both"/>
        <w:rPr>
          <w:rFonts w:ascii="Trebuchet MS" w:hAnsi="Trebuchet MS" w:cs="Trebuchet MS"/>
          <w:sz w:val="28"/>
          <w:szCs w:val="28"/>
        </w:rPr>
      </w:pPr>
      <w:r>
        <w:rPr>
          <w:rFonts w:ascii="Trebuchet MS" w:hAnsi="Trebuchet MS" w:cs="Trebuchet MS"/>
          <w:b/>
          <w:bCs/>
          <w:color w:val="7C8A89"/>
          <w:sz w:val="28"/>
          <w:szCs w:val="28"/>
        </w:rPr>
        <w:t>Nesrovnalost</w:t>
      </w:r>
    </w:p>
    <w:p w:rsidR="00D64D10" w:rsidRDefault="00D64D10">
      <w:pPr>
        <w:spacing w:before="20" w:after="0" w:line="220" w:lineRule="exact"/>
      </w:pPr>
    </w:p>
    <w:p w:rsidR="00D64D10" w:rsidRDefault="00D64D10">
      <w:pPr>
        <w:spacing w:after="0" w:line="240" w:lineRule="auto"/>
        <w:ind w:left="713" w:right="710"/>
        <w:jc w:val="both"/>
        <w:rPr>
          <w:rFonts w:ascii="Trebuchet MS" w:hAnsi="Trebuchet MS" w:cs="Trebuchet MS"/>
          <w:sz w:val="20"/>
          <w:szCs w:val="20"/>
        </w:rPr>
      </w:pPr>
      <w:r w:rsidRPr="00767412">
        <w:rPr>
          <w:rFonts w:ascii="Trebuchet MS" w:hAnsi="Trebuchet MS" w:cs="Trebuchet MS"/>
          <w:sz w:val="20"/>
          <w:szCs w:val="20"/>
        </w:rPr>
        <w:t xml:space="preserve">Nesrovnalostí se nazývá jakékoli porušení </w:t>
      </w:r>
      <w:r w:rsidR="0099461A" w:rsidRPr="000C107A">
        <w:rPr>
          <w:rFonts w:ascii="Trebuchet MS" w:hAnsi="Trebuchet MS" w:cs="Trebuchet MS"/>
          <w:sz w:val="20"/>
          <w:szCs w:val="20"/>
        </w:rPr>
        <w:t xml:space="preserve">právních předpisů </w:t>
      </w:r>
      <w:r w:rsidRPr="00767412">
        <w:rPr>
          <w:rFonts w:ascii="Trebuchet MS" w:hAnsi="Trebuchet MS" w:cs="Trebuchet MS"/>
          <w:sz w:val="20"/>
          <w:szCs w:val="20"/>
        </w:rPr>
        <w:t xml:space="preserve">Unie nebo </w:t>
      </w:r>
      <w:r w:rsidR="00165720" w:rsidRPr="00767412">
        <w:rPr>
          <w:rFonts w:ascii="Trebuchet MS" w:hAnsi="Trebuchet MS" w:cs="Trebuchet MS"/>
          <w:sz w:val="20"/>
          <w:szCs w:val="20"/>
        </w:rPr>
        <w:t>národ</w:t>
      </w:r>
      <w:r w:rsidRPr="00767412">
        <w:rPr>
          <w:rFonts w:ascii="Trebuchet MS" w:hAnsi="Trebuchet MS" w:cs="Trebuchet MS"/>
          <w:sz w:val="20"/>
          <w:szCs w:val="20"/>
        </w:rPr>
        <w:t xml:space="preserve">ních </w:t>
      </w:r>
      <w:r w:rsidR="00767412">
        <w:rPr>
          <w:rFonts w:ascii="Trebuchet MS" w:hAnsi="Trebuchet MS" w:cs="Trebuchet MS"/>
          <w:sz w:val="20"/>
          <w:szCs w:val="20"/>
        </w:rPr>
        <w:t>právních předpisů</w:t>
      </w:r>
      <w:r w:rsidRPr="00767412">
        <w:rPr>
          <w:rFonts w:ascii="Trebuchet MS" w:hAnsi="Trebuchet MS" w:cs="Trebuchet MS"/>
          <w:sz w:val="20"/>
          <w:szCs w:val="20"/>
        </w:rPr>
        <w:t xml:space="preserve"> souvisejících s</w:t>
      </w:r>
      <w:r w:rsidR="007F24E5">
        <w:rPr>
          <w:rFonts w:ascii="Trebuchet MS" w:hAnsi="Trebuchet MS" w:cs="Trebuchet MS"/>
          <w:sz w:val="20"/>
          <w:szCs w:val="20"/>
        </w:rPr>
        <w:t> </w:t>
      </w:r>
      <w:r w:rsidRPr="00767412">
        <w:rPr>
          <w:rFonts w:ascii="Trebuchet MS" w:hAnsi="Trebuchet MS" w:cs="Trebuchet MS"/>
          <w:sz w:val="20"/>
          <w:szCs w:val="20"/>
        </w:rPr>
        <w:t>jejich uplatňováním</w:t>
      </w:r>
      <w:r w:rsidR="0099461A" w:rsidRPr="000C107A">
        <w:rPr>
          <w:rFonts w:ascii="Trebuchet MS" w:hAnsi="Trebuchet MS" w:cs="Trebuchet MS"/>
          <w:sz w:val="20"/>
          <w:szCs w:val="20"/>
        </w:rPr>
        <w:t xml:space="preserve"> </w:t>
      </w:r>
      <w:r w:rsidR="00165720" w:rsidRPr="00767412">
        <w:rPr>
          <w:rFonts w:ascii="Trebuchet MS" w:hAnsi="Trebuchet MS" w:cs="Trebuchet MS"/>
          <w:sz w:val="20"/>
          <w:szCs w:val="20"/>
        </w:rPr>
        <w:t>v důsledku</w:t>
      </w:r>
      <w:r w:rsidRPr="00767412">
        <w:rPr>
          <w:rFonts w:ascii="Trebuchet MS" w:hAnsi="Trebuchet MS" w:cs="Trebuchet MS"/>
          <w:sz w:val="20"/>
          <w:szCs w:val="20"/>
        </w:rPr>
        <w:t xml:space="preserve"> jednání nebo opomenutí hospodářského subjektu zapojeného do realizace evropských strukturálních a investičních fondů, </w:t>
      </w:r>
      <w:r w:rsidR="0099461A" w:rsidRPr="000C107A">
        <w:rPr>
          <w:rFonts w:ascii="Trebuchet MS" w:hAnsi="Trebuchet MS" w:cs="Trebuchet MS"/>
          <w:sz w:val="20"/>
          <w:szCs w:val="20"/>
        </w:rPr>
        <w:t xml:space="preserve">které vede nebo by mohlo vést </w:t>
      </w:r>
      <w:r w:rsidR="00767412">
        <w:rPr>
          <w:rFonts w:ascii="Trebuchet MS" w:hAnsi="Trebuchet MS" w:cs="Trebuchet MS"/>
          <w:sz w:val="20"/>
          <w:szCs w:val="20"/>
        </w:rPr>
        <w:t>ke ztrátě v </w:t>
      </w:r>
      <w:r w:rsidRPr="00767412">
        <w:rPr>
          <w:rFonts w:ascii="Trebuchet MS" w:hAnsi="Trebuchet MS" w:cs="Trebuchet MS"/>
          <w:sz w:val="20"/>
          <w:szCs w:val="20"/>
        </w:rPr>
        <w:t>rozpoč</w:t>
      </w:r>
      <w:r w:rsidR="00767412">
        <w:rPr>
          <w:rFonts w:ascii="Trebuchet MS" w:hAnsi="Trebuchet MS" w:cs="Trebuchet MS"/>
          <w:sz w:val="20"/>
          <w:szCs w:val="20"/>
        </w:rPr>
        <w:t>tu</w:t>
      </w:r>
      <w:r w:rsidRPr="00767412">
        <w:rPr>
          <w:rFonts w:ascii="Trebuchet MS" w:hAnsi="Trebuchet MS" w:cs="Trebuchet MS"/>
          <w:sz w:val="20"/>
          <w:szCs w:val="20"/>
        </w:rPr>
        <w:t xml:space="preserve"> Unie, a to </w:t>
      </w:r>
      <w:r w:rsidR="00767412">
        <w:rPr>
          <w:rFonts w:ascii="Trebuchet MS" w:hAnsi="Trebuchet MS" w:cs="Trebuchet MS"/>
          <w:sz w:val="20"/>
          <w:szCs w:val="20"/>
        </w:rPr>
        <w:t>započtením</w:t>
      </w:r>
      <w:r w:rsidRPr="00767412">
        <w:rPr>
          <w:rFonts w:ascii="Trebuchet MS" w:hAnsi="Trebuchet MS" w:cs="Trebuchet MS"/>
          <w:sz w:val="20"/>
          <w:szCs w:val="20"/>
        </w:rPr>
        <w:t xml:space="preserve"> neoprávněného výdaje </w:t>
      </w:r>
      <w:r w:rsidR="00767412">
        <w:rPr>
          <w:rFonts w:ascii="Trebuchet MS" w:hAnsi="Trebuchet MS" w:cs="Trebuchet MS"/>
          <w:sz w:val="20"/>
          <w:szCs w:val="20"/>
        </w:rPr>
        <w:t>do</w:t>
      </w:r>
      <w:r w:rsidRPr="00767412">
        <w:rPr>
          <w:rFonts w:ascii="Trebuchet MS" w:hAnsi="Trebuchet MS" w:cs="Trebuchet MS"/>
          <w:sz w:val="20"/>
          <w:szCs w:val="20"/>
        </w:rPr>
        <w:t xml:space="preserve"> rozpočtu</w:t>
      </w:r>
      <w:r w:rsidR="00767412">
        <w:rPr>
          <w:rFonts w:ascii="Trebuchet MS" w:hAnsi="Trebuchet MS" w:cs="Trebuchet MS"/>
          <w:sz w:val="20"/>
          <w:szCs w:val="20"/>
        </w:rPr>
        <w:t xml:space="preserve"> Unie</w:t>
      </w:r>
      <w:r w:rsidRPr="00767412">
        <w:rPr>
          <w:rFonts w:ascii="Trebuchet MS" w:hAnsi="Trebuchet MS" w:cs="Trebuchet MS"/>
          <w:sz w:val="20"/>
          <w:szCs w:val="20"/>
        </w:rPr>
        <w:t>.</w:t>
      </w:r>
    </w:p>
    <w:p w:rsidR="00D64D10" w:rsidRDefault="00D64D10">
      <w:pPr>
        <w:spacing w:before="3" w:after="0" w:line="160" w:lineRule="exact"/>
        <w:rPr>
          <w:sz w:val="16"/>
          <w:szCs w:val="16"/>
        </w:rPr>
      </w:pPr>
    </w:p>
    <w:p w:rsidR="00D64D10" w:rsidRDefault="00D64D10">
      <w:pPr>
        <w:spacing w:after="0" w:line="200" w:lineRule="exact"/>
        <w:rPr>
          <w:sz w:val="20"/>
          <w:szCs w:val="20"/>
        </w:rPr>
      </w:pPr>
    </w:p>
    <w:p w:rsidR="00D64D10" w:rsidRDefault="00D64D10">
      <w:pPr>
        <w:spacing w:after="0" w:line="200" w:lineRule="exact"/>
        <w:rPr>
          <w:sz w:val="20"/>
          <w:szCs w:val="20"/>
        </w:rPr>
      </w:pPr>
    </w:p>
    <w:p w:rsidR="00D64D10" w:rsidRDefault="00D64D10">
      <w:pPr>
        <w:spacing w:after="0" w:line="240" w:lineRule="auto"/>
        <w:ind w:left="713" w:right="8037"/>
        <w:jc w:val="both"/>
        <w:rPr>
          <w:rFonts w:ascii="Trebuchet MS" w:hAnsi="Trebuchet MS" w:cs="Trebuchet MS"/>
          <w:sz w:val="28"/>
          <w:szCs w:val="28"/>
        </w:rPr>
      </w:pPr>
      <w:r>
        <w:rPr>
          <w:rFonts w:ascii="Trebuchet MS" w:hAnsi="Trebuchet MS" w:cs="Trebuchet MS"/>
          <w:b/>
          <w:bCs/>
          <w:color w:val="7C8A89"/>
          <w:sz w:val="28"/>
          <w:szCs w:val="28"/>
        </w:rPr>
        <w:t>Národní kontrolor</w:t>
      </w:r>
    </w:p>
    <w:p w:rsidR="00D64D10" w:rsidRDefault="00D64D10">
      <w:pPr>
        <w:spacing w:after="0" w:line="240" w:lineRule="exact"/>
        <w:rPr>
          <w:sz w:val="24"/>
          <w:szCs w:val="24"/>
        </w:rPr>
      </w:pPr>
    </w:p>
    <w:p w:rsidR="00D64D10" w:rsidRDefault="00165720">
      <w:pPr>
        <w:spacing w:after="0" w:line="240" w:lineRule="auto"/>
        <w:ind w:left="713" w:right="709"/>
        <w:jc w:val="both"/>
        <w:rPr>
          <w:rFonts w:ascii="Trebuchet MS" w:hAnsi="Trebuchet MS" w:cs="Trebuchet MS"/>
          <w:sz w:val="20"/>
          <w:szCs w:val="20"/>
        </w:rPr>
      </w:pPr>
      <w:r>
        <w:rPr>
          <w:rFonts w:ascii="Trebuchet MS" w:hAnsi="Trebuchet MS" w:cs="Trebuchet MS"/>
          <w:sz w:val="20"/>
          <w:szCs w:val="20"/>
        </w:rPr>
        <w:t>Subjekt</w:t>
      </w:r>
      <w:r w:rsidR="00D64D10">
        <w:rPr>
          <w:rFonts w:ascii="Trebuchet MS" w:hAnsi="Trebuchet MS" w:cs="Trebuchet MS"/>
          <w:sz w:val="20"/>
          <w:szCs w:val="20"/>
        </w:rPr>
        <w:t xml:space="preserve"> nebo jedinec určený členským státem účastnícím se programu a odpovědný za ověřování, že spolufinancované produkty a služby byly dodány a že výdaje uvedené příjemci byly zaplaceny  </w:t>
      </w:r>
      <w:r w:rsidR="007F24E5">
        <w:rPr>
          <w:rFonts w:ascii="Trebuchet MS" w:hAnsi="Trebuchet MS" w:cs="Trebuchet MS"/>
          <w:sz w:val="20"/>
          <w:szCs w:val="20"/>
        </w:rPr>
        <w:t>v souladu s </w:t>
      </w:r>
      <w:r w:rsidR="00D64D10">
        <w:rPr>
          <w:rFonts w:ascii="Trebuchet MS" w:hAnsi="Trebuchet MS" w:cs="Trebuchet MS"/>
          <w:sz w:val="20"/>
          <w:szCs w:val="20"/>
        </w:rPr>
        <w:t>p</w:t>
      </w:r>
      <w:r w:rsidR="007F24E5">
        <w:rPr>
          <w:rFonts w:ascii="Trebuchet MS" w:hAnsi="Trebuchet MS" w:cs="Trebuchet MS"/>
          <w:sz w:val="20"/>
          <w:szCs w:val="20"/>
        </w:rPr>
        <w:t>latnými</w:t>
      </w:r>
      <w:r w:rsidR="00D64D10">
        <w:rPr>
          <w:rFonts w:ascii="Trebuchet MS" w:hAnsi="Trebuchet MS" w:cs="Trebuchet MS"/>
          <w:sz w:val="20"/>
          <w:szCs w:val="20"/>
        </w:rPr>
        <w:t xml:space="preserve"> právní</w:t>
      </w:r>
      <w:r w:rsidR="007F24E5">
        <w:rPr>
          <w:rFonts w:ascii="Trebuchet MS" w:hAnsi="Trebuchet MS" w:cs="Trebuchet MS"/>
          <w:sz w:val="20"/>
          <w:szCs w:val="20"/>
        </w:rPr>
        <w:t>mi</w:t>
      </w:r>
      <w:r w:rsidR="00D64D10">
        <w:rPr>
          <w:rFonts w:ascii="Trebuchet MS" w:hAnsi="Trebuchet MS" w:cs="Trebuchet MS"/>
          <w:sz w:val="20"/>
          <w:szCs w:val="20"/>
        </w:rPr>
        <w:t xml:space="preserve"> předpisy, operační</w:t>
      </w:r>
      <w:r w:rsidR="007F24E5">
        <w:rPr>
          <w:rFonts w:ascii="Trebuchet MS" w:hAnsi="Trebuchet MS" w:cs="Trebuchet MS"/>
          <w:sz w:val="20"/>
          <w:szCs w:val="20"/>
        </w:rPr>
        <w:t>m</w:t>
      </w:r>
      <w:r w:rsidR="00D64D10">
        <w:rPr>
          <w:rFonts w:ascii="Trebuchet MS" w:hAnsi="Trebuchet MS" w:cs="Trebuchet MS"/>
          <w:sz w:val="20"/>
          <w:szCs w:val="20"/>
        </w:rPr>
        <w:t xml:space="preserve"> program</w:t>
      </w:r>
      <w:r w:rsidR="007F24E5">
        <w:rPr>
          <w:rFonts w:ascii="Trebuchet MS" w:hAnsi="Trebuchet MS" w:cs="Trebuchet MS"/>
          <w:sz w:val="20"/>
          <w:szCs w:val="20"/>
        </w:rPr>
        <w:t>em</w:t>
      </w:r>
      <w:r w:rsidR="00D64D10">
        <w:rPr>
          <w:rFonts w:ascii="Trebuchet MS" w:hAnsi="Trebuchet MS" w:cs="Trebuchet MS"/>
          <w:sz w:val="20"/>
          <w:szCs w:val="20"/>
        </w:rPr>
        <w:t xml:space="preserve"> a podmínk</w:t>
      </w:r>
      <w:r w:rsidR="007F24E5">
        <w:rPr>
          <w:rFonts w:ascii="Trebuchet MS" w:hAnsi="Trebuchet MS" w:cs="Trebuchet MS"/>
          <w:sz w:val="20"/>
          <w:szCs w:val="20"/>
        </w:rPr>
        <w:t>ami</w:t>
      </w:r>
      <w:r w:rsidR="00D64D10">
        <w:rPr>
          <w:rFonts w:ascii="Trebuchet MS" w:hAnsi="Trebuchet MS" w:cs="Trebuchet MS"/>
          <w:sz w:val="20"/>
          <w:szCs w:val="20"/>
        </w:rPr>
        <w:t xml:space="preserve"> pro podporu projektu </w:t>
      </w:r>
      <w:r w:rsidR="00C110AA">
        <w:rPr>
          <w:rFonts w:ascii="Trebuchet MS" w:hAnsi="Trebuchet MS" w:cs="Trebuchet MS"/>
          <w:sz w:val="20"/>
          <w:szCs w:val="20"/>
        </w:rPr>
        <w:t xml:space="preserve">uplatňovanými </w:t>
      </w:r>
      <w:r w:rsidR="00D64D10">
        <w:rPr>
          <w:rFonts w:ascii="Trebuchet MS" w:hAnsi="Trebuchet MS" w:cs="Trebuchet MS"/>
          <w:sz w:val="20"/>
          <w:szCs w:val="20"/>
        </w:rPr>
        <w:t xml:space="preserve">ve vztahu </w:t>
      </w:r>
      <w:r w:rsidR="00C110AA">
        <w:rPr>
          <w:rFonts w:ascii="Trebuchet MS" w:hAnsi="Trebuchet MS" w:cs="Trebuchet MS"/>
          <w:sz w:val="20"/>
          <w:szCs w:val="20"/>
        </w:rPr>
        <w:t>k</w:t>
      </w:r>
      <w:r w:rsidR="00D64D10">
        <w:rPr>
          <w:rFonts w:ascii="Trebuchet MS" w:hAnsi="Trebuchet MS" w:cs="Trebuchet MS"/>
          <w:sz w:val="20"/>
          <w:szCs w:val="20"/>
        </w:rPr>
        <w:t xml:space="preserve"> příjemc</w:t>
      </w:r>
      <w:r w:rsidR="00C110AA">
        <w:rPr>
          <w:rFonts w:ascii="Trebuchet MS" w:hAnsi="Trebuchet MS" w:cs="Trebuchet MS"/>
          <w:sz w:val="20"/>
          <w:szCs w:val="20"/>
        </w:rPr>
        <w:t>ům</w:t>
      </w:r>
      <w:r w:rsidR="00D64D10">
        <w:rPr>
          <w:rFonts w:ascii="Trebuchet MS" w:hAnsi="Trebuchet MS" w:cs="Trebuchet MS"/>
          <w:sz w:val="20"/>
          <w:szCs w:val="20"/>
        </w:rPr>
        <w:t xml:space="preserve"> na jeho území. Národní kontrolor odpovídá</w:t>
      </w:r>
      <w:r w:rsidR="00C110AA">
        <w:rPr>
          <w:rFonts w:ascii="Trebuchet MS" w:hAnsi="Trebuchet MS" w:cs="Trebuchet MS"/>
          <w:sz w:val="20"/>
          <w:szCs w:val="20"/>
        </w:rPr>
        <w:t xml:space="preserve"> pozici</w:t>
      </w:r>
      <w:r w:rsidR="00D64D10">
        <w:rPr>
          <w:rFonts w:ascii="Trebuchet MS" w:hAnsi="Trebuchet MS" w:cs="Trebuchet MS"/>
          <w:sz w:val="20"/>
          <w:szCs w:val="20"/>
        </w:rPr>
        <w:t xml:space="preserve"> kontrolor</w:t>
      </w:r>
      <w:r w:rsidR="00C110AA">
        <w:rPr>
          <w:rFonts w:ascii="Trebuchet MS" w:hAnsi="Trebuchet MS" w:cs="Trebuchet MS"/>
          <w:sz w:val="20"/>
          <w:szCs w:val="20"/>
        </w:rPr>
        <w:t>a</w:t>
      </w:r>
      <w:r w:rsidR="00D64D10">
        <w:rPr>
          <w:rFonts w:ascii="Trebuchet MS" w:hAnsi="Trebuchet MS" w:cs="Trebuchet MS"/>
          <w:sz w:val="20"/>
          <w:szCs w:val="20"/>
        </w:rPr>
        <w:t xml:space="preserve"> první úrovně – FLC (First Level Controller) – v programovém období 2007–2013.</w:t>
      </w:r>
    </w:p>
    <w:p w:rsidR="00D64D10" w:rsidRDefault="00D64D10">
      <w:pPr>
        <w:spacing w:before="6" w:after="0" w:line="160" w:lineRule="exact"/>
        <w:rPr>
          <w:sz w:val="16"/>
          <w:szCs w:val="16"/>
        </w:rPr>
      </w:pPr>
    </w:p>
    <w:p w:rsidR="00D64D10" w:rsidRDefault="00D64D10">
      <w:pPr>
        <w:spacing w:after="0" w:line="200" w:lineRule="exact"/>
        <w:rPr>
          <w:sz w:val="20"/>
          <w:szCs w:val="20"/>
        </w:rPr>
      </w:pPr>
    </w:p>
    <w:p w:rsidR="00D64D10" w:rsidRDefault="00D64D10">
      <w:pPr>
        <w:spacing w:after="0" w:line="200" w:lineRule="exact"/>
        <w:rPr>
          <w:sz w:val="20"/>
          <w:szCs w:val="20"/>
        </w:rPr>
      </w:pPr>
    </w:p>
    <w:p w:rsidR="00D64D10" w:rsidRDefault="00D64D10">
      <w:pPr>
        <w:spacing w:after="0" w:line="240" w:lineRule="auto"/>
        <w:ind w:left="713" w:right="7353"/>
        <w:jc w:val="both"/>
        <w:rPr>
          <w:rFonts w:ascii="Trebuchet MS" w:hAnsi="Trebuchet MS" w:cs="Trebuchet MS"/>
          <w:sz w:val="28"/>
          <w:szCs w:val="28"/>
        </w:rPr>
      </w:pPr>
      <w:r>
        <w:rPr>
          <w:rFonts w:ascii="Trebuchet MS" w:hAnsi="Trebuchet MS" w:cs="Trebuchet MS"/>
          <w:b/>
          <w:bCs/>
          <w:color w:val="7C8A89"/>
          <w:sz w:val="28"/>
          <w:szCs w:val="28"/>
        </w:rPr>
        <w:t>(Hlavní) cíl (projektu)</w:t>
      </w:r>
    </w:p>
    <w:p w:rsidR="00D64D10" w:rsidRDefault="00D64D10">
      <w:pPr>
        <w:spacing w:before="20" w:after="0" w:line="220" w:lineRule="exact"/>
      </w:pPr>
    </w:p>
    <w:p w:rsidR="00D64D10" w:rsidRDefault="00C110AA">
      <w:pPr>
        <w:spacing w:after="0" w:line="240" w:lineRule="auto"/>
        <w:ind w:left="713" w:right="700"/>
        <w:jc w:val="both"/>
        <w:rPr>
          <w:rFonts w:ascii="Trebuchet MS" w:hAnsi="Trebuchet MS" w:cs="Trebuchet MS"/>
          <w:sz w:val="20"/>
          <w:szCs w:val="20"/>
        </w:rPr>
      </w:pPr>
      <w:r>
        <w:rPr>
          <w:rFonts w:ascii="Trebuchet MS" w:hAnsi="Trebuchet MS" w:cs="Trebuchet MS"/>
          <w:sz w:val="20"/>
          <w:szCs w:val="20"/>
        </w:rPr>
        <w:t>Zajišťuje</w:t>
      </w:r>
      <w:r w:rsidR="00D64D10">
        <w:rPr>
          <w:rFonts w:ascii="Trebuchet MS" w:hAnsi="Trebuchet MS" w:cs="Trebuchet MS"/>
          <w:sz w:val="20"/>
          <w:szCs w:val="20"/>
        </w:rPr>
        <w:t xml:space="preserve"> celkový kontext, kterého chce projekt dosáhnout. Popisuje dlouhodobý cíl, který se projekt snaží podporovat a </w:t>
      </w:r>
      <w:r>
        <w:rPr>
          <w:rFonts w:ascii="Trebuchet MS" w:hAnsi="Trebuchet MS" w:cs="Trebuchet MS"/>
          <w:sz w:val="20"/>
          <w:szCs w:val="20"/>
        </w:rPr>
        <w:t>má</w:t>
      </w:r>
      <w:r w:rsidR="00D64D10">
        <w:rPr>
          <w:rFonts w:ascii="Trebuchet MS" w:hAnsi="Trebuchet MS" w:cs="Trebuchet MS"/>
          <w:sz w:val="20"/>
          <w:szCs w:val="20"/>
        </w:rPr>
        <w:t xml:space="preserve"> souvislost se strategick</w:t>
      </w:r>
      <w:r>
        <w:rPr>
          <w:rFonts w:ascii="Trebuchet MS" w:hAnsi="Trebuchet MS" w:cs="Trebuchet MS"/>
          <w:sz w:val="20"/>
          <w:szCs w:val="20"/>
        </w:rPr>
        <w:t>ou</w:t>
      </w:r>
      <w:r w:rsidR="00D64D10">
        <w:rPr>
          <w:rFonts w:ascii="Trebuchet MS" w:hAnsi="Trebuchet MS" w:cs="Trebuchet MS"/>
          <w:sz w:val="20"/>
          <w:szCs w:val="20"/>
        </w:rPr>
        <w:t xml:space="preserve"> </w:t>
      </w:r>
      <w:r>
        <w:rPr>
          <w:rFonts w:ascii="Trebuchet MS" w:hAnsi="Trebuchet MS" w:cs="Trebuchet MS"/>
          <w:sz w:val="20"/>
          <w:szCs w:val="20"/>
        </w:rPr>
        <w:t>stránkou</w:t>
      </w:r>
      <w:r w:rsidR="00D64D10">
        <w:rPr>
          <w:rFonts w:ascii="Trebuchet MS" w:hAnsi="Trebuchet MS" w:cs="Trebuchet MS"/>
          <w:sz w:val="20"/>
          <w:szCs w:val="20"/>
        </w:rPr>
        <w:t xml:space="preserve"> projektu. Musí být v</w:t>
      </w:r>
      <w:r>
        <w:rPr>
          <w:rFonts w:ascii="Trebuchet MS" w:hAnsi="Trebuchet MS" w:cs="Trebuchet MS"/>
          <w:sz w:val="20"/>
          <w:szCs w:val="20"/>
        </w:rPr>
        <w:t> </w:t>
      </w:r>
      <w:r w:rsidR="00D64D10">
        <w:rPr>
          <w:rFonts w:ascii="Trebuchet MS" w:hAnsi="Trebuchet MS" w:cs="Trebuchet MS"/>
          <w:sz w:val="20"/>
          <w:szCs w:val="20"/>
        </w:rPr>
        <w:t>souladu se specifickým cílem a výsledkem programu.</w:t>
      </w:r>
    </w:p>
    <w:p w:rsidR="00D64D10" w:rsidRDefault="00D64D10">
      <w:pPr>
        <w:spacing w:before="3" w:after="0" w:line="160" w:lineRule="exact"/>
        <w:rPr>
          <w:sz w:val="16"/>
          <w:szCs w:val="16"/>
        </w:rPr>
      </w:pPr>
    </w:p>
    <w:p w:rsidR="00D64D10" w:rsidRDefault="00D64D10">
      <w:pPr>
        <w:spacing w:after="0" w:line="200" w:lineRule="exact"/>
        <w:rPr>
          <w:sz w:val="20"/>
          <w:szCs w:val="20"/>
        </w:rPr>
      </w:pPr>
    </w:p>
    <w:p w:rsidR="00D64D10" w:rsidRDefault="00D64D10">
      <w:pPr>
        <w:spacing w:after="0" w:line="200" w:lineRule="exact"/>
        <w:rPr>
          <w:sz w:val="20"/>
          <w:szCs w:val="20"/>
        </w:rPr>
      </w:pPr>
    </w:p>
    <w:p w:rsidR="00D64D10" w:rsidRDefault="00D64D10">
      <w:pPr>
        <w:spacing w:after="0" w:line="240" w:lineRule="auto"/>
        <w:ind w:left="713" w:right="7032"/>
        <w:jc w:val="both"/>
        <w:rPr>
          <w:rFonts w:ascii="Trebuchet MS" w:hAnsi="Trebuchet MS" w:cs="Trebuchet MS"/>
          <w:sz w:val="28"/>
          <w:szCs w:val="28"/>
        </w:rPr>
      </w:pPr>
      <w:r>
        <w:rPr>
          <w:rFonts w:ascii="Trebuchet MS" w:hAnsi="Trebuchet MS" w:cs="Trebuchet MS"/>
          <w:b/>
          <w:bCs/>
          <w:color w:val="7C8A89"/>
          <w:sz w:val="28"/>
          <w:szCs w:val="28"/>
        </w:rPr>
        <w:t>(Specifický) cíl (projektu)</w:t>
      </w:r>
    </w:p>
    <w:p w:rsidR="00D64D10" w:rsidRDefault="00D64D10">
      <w:pPr>
        <w:spacing w:after="0" w:line="240" w:lineRule="exact"/>
        <w:rPr>
          <w:sz w:val="24"/>
          <w:szCs w:val="24"/>
        </w:rPr>
      </w:pPr>
    </w:p>
    <w:p w:rsidR="00D64D10" w:rsidRDefault="00D64D10">
      <w:pPr>
        <w:spacing w:after="0" w:line="240" w:lineRule="auto"/>
        <w:ind w:left="713" w:right="702"/>
        <w:jc w:val="both"/>
        <w:rPr>
          <w:rFonts w:ascii="Trebuchet MS" w:hAnsi="Trebuchet MS" w:cs="Trebuchet MS"/>
          <w:sz w:val="20"/>
          <w:szCs w:val="20"/>
        </w:rPr>
      </w:pPr>
      <w:r>
        <w:rPr>
          <w:rFonts w:ascii="Trebuchet MS" w:hAnsi="Trebuchet MS" w:cs="Trebuchet MS"/>
          <w:sz w:val="20"/>
          <w:szCs w:val="20"/>
        </w:rPr>
        <w:t xml:space="preserve">Popisuje </w:t>
      </w:r>
      <w:r>
        <w:rPr>
          <w:rFonts w:ascii="Trebuchet MS" w:hAnsi="Trebuchet MS" w:cs="Trebuchet MS"/>
          <w:sz w:val="20"/>
          <w:szCs w:val="20"/>
          <w:u w:val="single" w:color="000000"/>
        </w:rPr>
        <w:t>okamžitý cíl</w:t>
      </w:r>
      <w:r>
        <w:rPr>
          <w:rFonts w:ascii="Trebuchet MS" w:hAnsi="Trebuchet MS" w:cs="Trebuchet MS"/>
          <w:sz w:val="20"/>
          <w:szCs w:val="20"/>
        </w:rPr>
        <w:t xml:space="preserve">, o který projekt usiluje a kterého lze reálně </w:t>
      </w:r>
      <w:r>
        <w:rPr>
          <w:rFonts w:ascii="Trebuchet MS" w:hAnsi="Trebuchet MS" w:cs="Trebuchet MS"/>
          <w:sz w:val="20"/>
          <w:szCs w:val="20"/>
          <w:u w:val="single" w:color="000000"/>
        </w:rPr>
        <w:t>dosáhnout v průběhu</w:t>
      </w:r>
      <w:r>
        <w:rPr>
          <w:rFonts w:ascii="Trebuchet MS" w:hAnsi="Trebuchet MS" w:cs="Trebuchet MS"/>
          <w:sz w:val="20"/>
          <w:szCs w:val="20"/>
        </w:rPr>
        <w:t xml:space="preserve"> </w:t>
      </w:r>
      <w:r>
        <w:rPr>
          <w:rFonts w:ascii="Trebuchet MS" w:hAnsi="Trebuchet MS" w:cs="Trebuchet MS"/>
          <w:sz w:val="20"/>
          <w:szCs w:val="20"/>
          <w:u w:val="single" w:color="000000"/>
        </w:rPr>
        <w:t>doby trvání projektu</w:t>
      </w:r>
      <w:r>
        <w:rPr>
          <w:rFonts w:ascii="Trebuchet MS" w:hAnsi="Trebuchet MS" w:cs="Trebuchet MS"/>
          <w:sz w:val="20"/>
          <w:szCs w:val="20"/>
        </w:rPr>
        <w:t xml:space="preserve"> vývojem výstupů projektu. Na konci projektu musí být ověřitelné, zda bylo specifického cíle dosaženo, nebo ne. Každý specifický cíl projektu musí jasně přispět k hlavnímu cíli projektu.</w:t>
      </w:r>
    </w:p>
    <w:p w:rsidR="00D64D10" w:rsidRDefault="00D64D10">
      <w:pPr>
        <w:spacing w:before="3" w:after="0" w:line="160" w:lineRule="exact"/>
        <w:rPr>
          <w:sz w:val="16"/>
          <w:szCs w:val="16"/>
        </w:rPr>
      </w:pPr>
    </w:p>
    <w:p w:rsidR="00D64D10" w:rsidRDefault="00D64D10">
      <w:pPr>
        <w:spacing w:after="0" w:line="200" w:lineRule="exact"/>
        <w:rPr>
          <w:sz w:val="20"/>
          <w:szCs w:val="20"/>
        </w:rPr>
      </w:pPr>
    </w:p>
    <w:p w:rsidR="00D64D10" w:rsidRDefault="00D64D10">
      <w:pPr>
        <w:spacing w:after="0" w:line="200" w:lineRule="exact"/>
        <w:rPr>
          <w:sz w:val="20"/>
          <w:szCs w:val="20"/>
        </w:rPr>
      </w:pPr>
    </w:p>
    <w:p w:rsidR="00D64D10" w:rsidRDefault="00D64D10" w:rsidP="005F1D85">
      <w:pPr>
        <w:tabs>
          <w:tab w:val="left" w:pos="4840"/>
        </w:tabs>
        <w:spacing w:after="0" w:line="240" w:lineRule="auto"/>
        <w:ind w:left="713" w:right="6610"/>
        <w:jc w:val="both"/>
        <w:rPr>
          <w:rFonts w:ascii="Trebuchet MS" w:hAnsi="Trebuchet MS" w:cs="Trebuchet MS"/>
          <w:sz w:val="28"/>
          <w:szCs w:val="28"/>
        </w:rPr>
      </w:pPr>
      <w:r>
        <w:rPr>
          <w:rFonts w:ascii="Trebuchet MS" w:hAnsi="Trebuchet MS" w:cs="Trebuchet MS"/>
          <w:b/>
          <w:bCs/>
          <w:color w:val="7C8A89"/>
          <w:sz w:val="28"/>
          <w:szCs w:val="28"/>
        </w:rPr>
        <w:t>Výstup (projektu)</w:t>
      </w:r>
    </w:p>
    <w:p w:rsidR="00D64D10" w:rsidRDefault="00D64D10">
      <w:pPr>
        <w:spacing w:before="20" w:after="0" w:line="220" w:lineRule="exact"/>
      </w:pPr>
    </w:p>
    <w:p w:rsidR="00D64D10" w:rsidRDefault="0098044E">
      <w:pPr>
        <w:spacing w:after="0" w:line="240" w:lineRule="auto"/>
        <w:ind w:left="713" w:right="699"/>
        <w:jc w:val="both"/>
        <w:rPr>
          <w:rFonts w:ascii="Trebuchet MS" w:hAnsi="Trebuchet MS" w:cs="Trebuchet MS"/>
          <w:sz w:val="20"/>
          <w:szCs w:val="20"/>
        </w:rPr>
      </w:pPr>
      <w:r>
        <w:rPr>
          <w:rFonts w:ascii="Trebuchet MS" w:hAnsi="Trebuchet MS" w:cs="Trebuchet MS"/>
          <w:sz w:val="20"/>
          <w:szCs w:val="20"/>
        </w:rPr>
        <w:t>Představuje závěr</w:t>
      </w:r>
      <w:r w:rsidR="00BA6E01">
        <w:rPr>
          <w:rFonts w:ascii="Trebuchet MS" w:hAnsi="Trebuchet MS" w:cs="Trebuchet MS"/>
          <w:sz w:val="20"/>
          <w:szCs w:val="20"/>
        </w:rPr>
        <w:t xml:space="preserve">ečnou formu, získanou </w:t>
      </w:r>
      <w:r w:rsidR="00D56A27">
        <w:rPr>
          <w:rFonts w:ascii="Trebuchet MS" w:hAnsi="Trebuchet MS" w:cs="Trebuchet MS"/>
          <w:sz w:val="20"/>
          <w:szCs w:val="20"/>
        </w:rPr>
        <w:t xml:space="preserve">v důsledku </w:t>
      </w:r>
      <w:r w:rsidR="00D64D10">
        <w:rPr>
          <w:rFonts w:ascii="Trebuchet MS" w:hAnsi="Trebuchet MS" w:cs="Trebuchet MS"/>
          <w:sz w:val="20"/>
          <w:szCs w:val="20"/>
        </w:rPr>
        <w:t>realizac</w:t>
      </w:r>
      <w:r>
        <w:rPr>
          <w:rFonts w:ascii="Trebuchet MS" w:hAnsi="Trebuchet MS" w:cs="Trebuchet MS"/>
          <w:sz w:val="20"/>
          <w:szCs w:val="20"/>
        </w:rPr>
        <w:t>e</w:t>
      </w:r>
      <w:r w:rsidR="00D64D10">
        <w:rPr>
          <w:rFonts w:ascii="Trebuchet MS" w:hAnsi="Trebuchet MS" w:cs="Trebuchet MS"/>
          <w:sz w:val="20"/>
          <w:szCs w:val="20"/>
        </w:rPr>
        <w:t xml:space="preserve"> činností projektu, </w:t>
      </w:r>
      <w:r>
        <w:rPr>
          <w:rFonts w:ascii="Trebuchet MS" w:hAnsi="Trebuchet MS" w:cs="Trebuchet MS"/>
          <w:sz w:val="20"/>
          <w:szCs w:val="20"/>
        </w:rPr>
        <w:t>hrazených</w:t>
      </w:r>
      <w:r w:rsidR="00D64D10">
        <w:rPr>
          <w:rFonts w:ascii="Trebuchet MS" w:hAnsi="Trebuchet MS" w:cs="Trebuchet MS"/>
          <w:sz w:val="20"/>
          <w:szCs w:val="20"/>
        </w:rPr>
        <w:t xml:space="preserve"> z finančních prostředků projektu (tj. strategický / akční plán, nástroj, pilotní akce, vzdělávání atd.). Každý výstup musí být zachycen </w:t>
      </w:r>
      <w:r w:rsidR="006E762C">
        <w:rPr>
          <w:rFonts w:ascii="Trebuchet MS" w:hAnsi="Trebuchet MS" w:cs="Trebuchet MS"/>
          <w:sz w:val="20"/>
          <w:szCs w:val="20"/>
        </w:rPr>
        <w:t xml:space="preserve">prostřednictvím </w:t>
      </w:r>
      <w:r w:rsidR="00D64D10">
        <w:rPr>
          <w:rFonts w:ascii="Trebuchet MS" w:hAnsi="Trebuchet MS" w:cs="Trebuchet MS"/>
          <w:sz w:val="20"/>
          <w:szCs w:val="20"/>
        </w:rPr>
        <w:t>programov</w:t>
      </w:r>
      <w:r w:rsidR="006E762C">
        <w:rPr>
          <w:rFonts w:ascii="Trebuchet MS" w:hAnsi="Trebuchet MS" w:cs="Trebuchet MS"/>
          <w:sz w:val="20"/>
          <w:szCs w:val="20"/>
        </w:rPr>
        <w:t>ého</w:t>
      </w:r>
      <w:r w:rsidR="00D64D10">
        <w:rPr>
          <w:rFonts w:ascii="Trebuchet MS" w:hAnsi="Trebuchet MS" w:cs="Trebuchet MS"/>
          <w:sz w:val="20"/>
          <w:szCs w:val="20"/>
        </w:rPr>
        <w:t xml:space="preserve"> ukazatele výstupů a přímo přispívat k dosažení výsledk</w:t>
      </w:r>
      <w:r w:rsidR="00E6629F">
        <w:rPr>
          <w:rFonts w:ascii="Trebuchet MS" w:hAnsi="Trebuchet MS" w:cs="Trebuchet MS"/>
          <w:sz w:val="20"/>
          <w:szCs w:val="20"/>
        </w:rPr>
        <w:t>u</w:t>
      </w:r>
      <w:r w:rsidR="00D64D10">
        <w:rPr>
          <w:rFonts w:ascii="Trebuchet MS" w:hAnsi="Trebuchet MS" w:cs="Trebuchet MS"/>
          <w:sz w:val="20"/>
          <w:szCs w:val="20"/>
        </w:rPr>
        <w:t xml:space="preserve"> projektu. Každý tematický pracovní balíček musí předvídat nejméně jeden </w:t>
      </w:r>
      <w:r w:rsidR="00D64D10" w:rsidRPr="00E6629F">
        <w:rPr>
          <w:rFonts w:ascii="Trebuchet MS" w:hAnsi="Trebuchet MS" w:cs="Trebuchet MS"/>
          <w:sz w:val="20"/>
          <w:szCs w:val="20"/>
        </w:rPr>
        <w:t>výstup</w:t>
      </w:r>
      <w:r w:rsidR="00D64D10">
        <w:rPr>
          <w:rFonts w:ascii="Trebuchet MS" w:hAnsi="Trebuchet MS" w:cs="Trebuchet MS"/>
          <w:sz w:val="20"/>
          <w:szCs w:val="20"/>
        </w:rPr>
        <w:t>. Viz také bližší vysvětlení typů výstupů dále.</w:t>
      </w:r>
    </w:p>
    <w:p w:rsidR="00D64D10" w:rsidRDefault="00D64D10">
      <w:pPr>
        <w:spacing w:before="4" w:after="0" w:line="160" w:lineRule="exact"/>
        <w:rPr>
          <w:sz w:val="16"/>
          <w:szCs w:val="16"/>
        </w:rPr>
      </w:pPr>
    </w:p>
    <w:p w:rsidR="00D64D10" w:rsidRDefault="00D64D10">
      <w:pPr>
        <w:spacing w:after="0" w:line="200" w:lineRule="exact"/>
        <w:rPr>
          <w:sz w:val="20"/>
          <w:szCs w:val="20"/>
        </w:rPr>
      </w:pPr>
    </w:p>
    <w:p w:rsidR="00D64D10" w:rsidRDefault="00D64D10">
      <w:pPr>
        <w:spacing w:after="0" w:line="200" w:lineRule="exact"/>
        <w:rPr>
          <w:sz w:val="20"/>
          <w:szCs w:val="20"/>
        </w:rPr>
      </w:pPr>
    </w:p>
    <w:p w:rsidR="00D64D10" w:rsidRDefault="00D64D10" w:rsidP="005F1D85">
      <w:pPr>
        <w:spacing w:after="0" w:line="240" w:lineRule="auto"/>
        <w:ind w:left="713" w:right="7600"/>
        <w:jc w:val="both"/>
        <w:rPr>
          <w:rFonts w:ascii="Trebuchet MS" w:hAnsi="Trebuchet MS" w:cs="Trebuchet MS"/>
          <w:sz w:val="28"/>
          <w:szCs w:val="28"/>
        </w:rPr>
      </w:pPr>
      <w:r>
        <w:rPr>
          <w:rFonts w:ascii="Trebuchet MS" w:hAnsi="Trebuchet MS" w:cs="Trebuchet MS"/>
          <w:b/>
          <w:bCs/>
          <w:color w:val="7C8A89"/>
          <w:sz w:val="28"/>
          <w:szCs w:val="28"/>
        </w:rPr>
        <w:t>Pilotní akce</w:t>
      </w:r>
    </w:p>
    <w:p w:rsidR="00D64D10" w:rsidRDefault="00D64D10">
      <w:pPr>
        <w:spacing w:before="20" w:after="0" w:line="220" w:lineRule="exact"/>
      </w:pPr>
    </w:p>
    <w:p w:rsidR="00D64D10" w:rsidRDefault="00D64D10">
      <w:pPr>
        <w:spacing w:after="0" w:line="240" w:lineRule="auto"/>
        <w:ind w:left="713" w:right="700"/>
        <w:jc w:val="both"/>
        <w:rPr>
          <w:rFonts w:ascii="Trebuchet MS" w:hAnsi="Trebuchet MS" w:cs="Trebuchet MS"/>
          <w:sz w:val="20"/>
          <w:szCs w:val="20"/>
        </w:rPr>
      </w:pPr>
      <w:r>
        <w:rPr>
          <w:rFonts w:ascii="Trebuchet MS" w:hAnsi="Trebuchet MS" w:cs="Trebuchet MS"/>
          <w:sz w:val="20"/>
          <w:szCs w:val="20"/>
        </w:rPr>
        <w:t>Pilotní akcí se rozumí praktická implementace nových schémat (např. služeb, nástrojů, metod nebo přístupů). Zásadní pro pilotní akci (či případně pilotní investice) je experimentální povaha, která se zaměřuje na testování, hodnocení a/nebo prokazování proveditelnosti a účinnosti schématu. Proto zahrnuje buď testování inovativních řešení, nebo prokazování uplatnění existujících řešení na určitém území nebo v určitém odvětví. Výsledky a postupy pilotních akcí je třeba využít a přenést do jiných institucí a na jiná území. Pilotní akce je omezená co do rozsahu (oblast, trvání, velikost atd.) a ve srovnatelném prostředí musí být bezprecedentní.</w:t>
      </w:r>
    </w:p>
    <w:p w:rsidR="00D64D10" w:rsidRDefault="00D64D10">
      <w:pPr>
        <w:spacing w:after="0" w:line="240" w:lineRule="auto"/>
        <w:jc w:val="both"/>
        <w:rPr>
          <w:rFonts w:ascii="Trebuchet MS" w:hAnsi="Trebuchet MS" w:cs="Trebuchet MS"/>
          <w:sz w:val="20"/>
          <w:szCs w:val="20"/>
        </w:rPr>
        <w:sectPr w:rsidR="00D64D10">
          <w:pgSz w:w="11920" w:h="16840"/>
          <w:pgMar w:top="2260" w:right="380" w:bottom="540" w:left="420" w:header="11" w:footer="343" w:gutter="0"/>
          <w:cols w:space="708"/>
        </w:sectPr>
      </w:pPr>
    </w:p>
    <w:p w:rsidR="00D64D10" w:rsidRDefault="00D64D10">
      <w:pPr>
        <w:spacing w:after="0" w:line="200" w:lineRule="exact"/>
        <w:rPr>
          <w:sz w:val="20"/>
          <w:szCs w:val="20"/>
        </w:rPr>
      </w:pPr>
    </w:p>
    <w:p w:rsidR="00D64D10" w:rsidRDefault="00D64D10">
      <w:pPr>
        <w:spacing w:after="0" w:line="200" w:lineRule="exact"/>
        <w:rPr>
          <w:sz w:val="20"/>
          <w:szCs w:val="20"/>
        </w:rPr>
      </w:pPr>
    </w:p>
    <w:p w:rsidR="00D64D10" w:rsidRDefault="00D64D10">
      <w:pPr>
        <w:spacing w:before="12" w:after="0" w:line="220" w:lineRule="exact"/>
      </w:pPr>
    </w:p>
    <w:p w:rsidR="00D64D10" w:rsidRDefault="00D64D10" w:rsidP="005F1D85">
      <w:pPr>
        <w:spacing w:before="24" w:after="0" w:line="240" w:lineRule="auto"/>
        <w:ind w:left="713" w:right="6720"/>
        <w:jc w:val="both"/>
        <w:rPr>
          <w:rFonts w:ascii="Trebuchet MS" w:hAnsi="Trebuchet MS" w:cs="Trebuchet MS"/>
          <w:sz w:val="28"/>
          <w:szCs w:val="28"/>
        </w:rPr>
      </w:pPr>
      <w:r>
        <w:rPr>
          <w:rFonts w:ascii="Trebuchet MS" w:hAnsi="Trebuchet MS" w:cs="Trebuchet MS"/>
          <w:b/>
          <w:bCs/>
          <w:color w:val="7C8A89"/>
          <w:sz w:val="28"/>
          <w:szCs w:val="28"/>
        </w:rPr>
        <w:t>Výsledek (projektu)</w:t>
      </w:r>
    </w:p>
    <w:p w:rsidR="00D64D10" w:rsidRDefault="00D64D10">
      <w:pPr>
        <w:spacing w:before="20" w:after="0" w:line="220" w:lineRule="exact"/>
      </w:pPr>
    </w:p>
    <w:p w:rsidR="00D64D10" w:rsidRDefault="00D64D10">
      <w:pPr>
        <w:spacing w:after="0" w:line="240" w:lineRule="auto"/>
        <w:ind w:left="713" w:right="707"/>
        <w:jc w:val="both"/>
        <w:rPr>
          <w:rFonts w:ascii="Trebuchet MS" w:hAnsi="Trebuchet MS" w:cs="Trebuchet MS"/>
          <w:sz w:val="20"/>
          <w:szCs w:val="20"/>
        </w:rPr>
      </w:pPr>
      <w:r>
        <w:rPr>
          <w:rFonts w:ascii="Trebuchet MS" w:hAnsi="Trebuchet MS" w:cs="Trebuchet MS"/>
          <w:sz w:val="20"/>
          <w:szCs w:val="20"/>
        </w:rPr>
        <w:t>Popisuje výhodu při uskutečňování projektu a charakterizuje změnu ve srovnání s úvodní situací. Výsledky se odvozují z výstupů, kterých projekt dosáhl. Musí být soudržné s cíli projektu a přispívat k výsledkům programu.</w:t>
      </w:r>
    </w:p>
    <w:p w:rsidR="00E6629F" w:rsidRDefault="00E6629F">
      <w:pPr>
        <w:spacing w:after="0" w:line="240" w:lineRule="auto"/>
        <w:ind w:left="713" w:right="707"/>
        <w:jc w:val="both"/>
        <w:rPr>
          <w:rFonts w:ascii="Trebuchet MS" w:hAnsi="Trebuchet MS" w:cs="Trebuchet MS"/>
          <w:sz w:val="20"/>
          <w:szCs w:val="20"/>
        </w:rPr>
      </w:pPr>
    </w:p>
    <w:p w:rsidR="00D64D10" w:rsidRDefault="00D64D10">
      <w:pPr>
        <w:spacing w:after="0" w:line="325" w:lineRule="exact"/>
        <w:ind w:left="713" w:right="6814"/>
        <w:jc w:val="both"/>
        <w:rPr>
          <w:rFonts w:ascii="Trebuchet MS" w:hAnsi="Trebuchet MS" w:cs="Trebuchet MS"/>
          <w:sz w:val="28"/>
          <w:szCs w:val="28"/>
        </w:rPr>
      </w:pPr>
      <w:r>
        <w:rPr>
          <w:rFonts w:ascii="Trebuchet MS" w:hAnsi="Trebuchet MS" w:cs="Trebuchet MS"/>
          <w:b/>
          <w:bCs/>
          <w:color w:val="7C8A89"/>
          <w:sz w:val="28"/>
          <w:szCs w:val="28"/>
        </w:rPr>
        <w:t>Řádné finanční řízení</w:t>
      </w:r>
    </w:p>
    <w:p w:rsidR="00D64D10" w:rsidRDefault="00D64D10">
      <w:pPr>
        <w:spacing w:before="20" w:after="0" w:line="220" w:lineRule="exact"/>
      </w:pPr>
    </w:p>
    <w:p w:rsidR="00D64D10" w:rsidRDefault="00D64D10" w:rsidP="000C107A">
      <w:pPr>
        <w:spacing w:after="0" w:line="240" w:lineRule="auto"/>
        <w:ind w:left="713" w:right="713"/>
        <w:jc w:val="both"/>
        <w:rPr>
          <w:rFonts w:ascii="Trebuchet MS" w:hAnsi="Trebuchet MS" w:cs="Trebuchet MS"/>
          <w:sz w:val="20"/>
          <w:szCs w:val="20"/>
        </w:rPr>
      </w:pPr>
      <w:r>
        <w:rPr>
          <w:rFonts w:ascii="Trebuchet MS" w:hAnsi="Trebuchet MS" w:cs="Trebuchet MS"/>
          <w:sz w:val="20"/>
          <w:szCs w:val="20"/>
        </w:rPr>
        <w:t xml:space="preserve">Zásada řádného finančního řízení, jak je vymezena v kapitole 7 finančního nařízení[nařízení (EU, Euratom) č. 966/2012], staví na těchto třech </w:t>
      </w:r>
      <w:r w:rsidR="00E6629F">
        <w:rPr>
          <w:rFonts w:ascii="Trebuchet MS" w:hAnsi="Trebuchet MS" w:cs="Trebuchet MS"/>
          <w:sz w:val="20"/>
          <w:szCs w:val="20"/>
        </w:rPr>
        <w:t>zásadách</w:t>
      </w:r>
      <w:r>
        <w:rPr>
          <w:rFonts w:ascii="Trebuchet MS" w:hAnsi="Trebuchet MS" w:cs="Trebuchet MS"/>
          <w:sz w:val="20"/>
          <w:szCs w:val="20"/>
        </w:rPr>
        <w:t>:</w:t>
      </w:r>
    </w:p>
    <w:p w:rsidR="00D64D10" w:rsidRDefault="00D64D10">
      <w:pPr>
        <w:tabs>
          <w:tab w:val="left" w:pos="1060"/>
        </w:tabs>
        <w:spacing w:before="1" w:after="0" w:line="240" w:lineRule="auto"/>
        <w:ind w:left="1073" w:right="1186" w:hanging="360"/>
        <w:rPr>
          <w:rFonts w:ascii="Trebuchet MS" w:hAnsi="Trebuchet MS" w:cs="Trebuchet MS"/>
          <w:sz w:val="20"/>
          <w:szCs w:val="20"/>
        </w:rPr>
      </w:pPr>
      <w:r>
        <w:rPr>
          <w:rFonts w:ascii="Symbol" w:hAnsi="Symbol" w:cs="Symbol"/>
          <w:sz w:val="20"/>
          <w:szCs w:val="20"/>
        </w:rPr>
        <w:t></w:t>
      </w:r>
      <w:r>
        <w:rPr>
          <w:rFonts w:ascii="Times New Roman" w:hAnsi="Times New Roman" w:cs="Times New Roman"/>
          <w:spacing w:val="-49"/>
          <w:sz w:val="20"/>
          <w:szCs w:val="20"/>
        </w:rPr>
        <w:t xml:space="preserve"> </w:t>
      </w:r>
      <w:r>
        <w:tab/>
      </w:r>
      <w:r>
        <w:rPr>
          <w:rFonts w:ascii="Trebuchet MS" w:hAnsi="Trebuchet MS" w:cs="Trebuchet MS"/>
          <w:sz w:val="20"/>
          <w:szCs w:val="20"/>
        </w:rPr>
        <w:t>Zásada hospodárnosti vyžaduje, aby zdroje používané příjemcem při realizaci činností byly k</w:t>
      </w:r>
      <w:r w:rsidR="00622EDF">
        <w:rPr>
          <w:rFonts w:ascii="Trebuchet MS" w:hAnsi="Trebuchet MS" w:cs="Trebuchet MS"/>
          <w:sz w:val="20"/>
          <w:szCs w:val="20"/>
        </w:rPr>
        <w:t> </w:t>
      </w:r>
      <w:r>
        <w:rPr>
          <w:rFonts w:ascii="Trebuchet MS" w:hAnsi="Trebuchet MS" w:cs="Trebuchet MS"/>
          <w:sz w:val="20"/>
          <w:szCs w:val="20"/>
        </w:rPr>
        <w:t>dispozici v</w:t>
      </w:r>
      <w:r w:rsidR="00622EDF">
        <w:rPr>
          <w:rFonts w:ascii="Trebuchet MS" w:hAnsi="Trebuchet MS" w:cs="Trebuchet MS"/>
          <w:sz w:val="20"/>
          <w:szCs w:val="20"/>
        </w:rPr>
        <w:t>e stanoveném</w:t>
      </w:r>
      <w:r>
        <w:rPr>
          <w:rFonts w:ascii="Trebuchet MS" w:hAnsi="Trebuchet MS" w:cs="Trebuchet MS"/>
          <w:sz w:val="20"/>
          <w:szCs w:val="20"/>
        </w:rPr>
        <w:t xml:space="preserve"> čase, v řádné kvantitě a kvalitě a za nejlepší cenu</w:t>
      </w:r>
      <w:r w:rsidR="00622EDF">
        <w:rPr>
          <w:rFonts w:ascii="Trebuchet MS" w:hAnsi="Trebuchet MS" w:cs="Trebuchet MS"/>
          <w:sz w:val="20"/>
          <w:szCs w:val="20"/>
        </w:rPr>
        <w:t>;</w:t>
      </w:r>
    </w:p>
    <w:p w:rsidR="00D64D10" w:rsidRDefault="00D64D10">
      <w:pPr>
        <w:spacing w:before="8" w:after="0" w:line="190" w:lineRule="exact"/>
        <w:rPr>
          <w:sz w:val="19"/>
          <w:szCs w:val="19"/>
        </w:rPr>
      </w:pPr>
    </w:p>
    <w:p w:rsidR="00D64D10" w:rsidRDefault="00D64D10">
      <w:pPr>
        <w:tabs>
          <w:tab w:val="left" w:pos="1060"/>
        </w:tabs>
        <w:spacing w:after="0" w:line="240" w:lineRule="auto"/>
        <w:ind w:left="1073" w:right="1119" w:hanging="360"/>
        <w:rPr>
          <w:rFonts w:ascii="Trebuchet MS" w:hAnsi="Trebuchet MS" w:cs="Trebuchet MS"/>
          <w:sz w:val="20"/>
          <w:szCs w:val="20"/>
        </w:rPr>
      </w:pPr>
      <w:r>
        <w:rPr>
          <w:rFonts w:ascii="Symbol" w:hAnsi="Symbol" w:cs="Symbol"/>
          <w:sz w:val="20"/>
          <w:szCs w:val="20"/>
        </w:rPr>
        <w:t></w:t>
      </w:r>
      <w:r>
        <w:rPr>
          <w:rFonts w:ascii="Times New Roman" w:hAnsi="Times New Roman" w:cs="Times New Roman"/>
          <w:spacing w:val="-49"/>
          <w:sz w:val="20"/>
          <w:szCs w:val="20"/>
        </w:rPr>
        <w:t xml:space="preserve"> </w:t>
      </w:r>
      <w:r>
        <w:tab/>
      </w:r>
      <w:r>
        <w:rPr>
          <w:rFonts w:ascii="Trebuchet MS" w:hAnsi="Trebuchet MS" w:cs="Trebuchet MS"/>
          <w:sz w:val="20"/>
          <w:szCs w:val="20"/>
        </w:rPr>
        <w:t>Zásada účinnosti se týká nejlepší</w:t>
      </w:r>
      <w:r w:rsidR="00622EDF">
        <w:rPr>
          <w:rFonts w:ascii="Trebuchet MS" w:hAnsi="Trebuchet MS" w:cs="Trebuchet MS"/>
          <w:sz w:val="20"/>
          <w:szCs w:val="20"/>
        </w:rPr>
        <w:t>ho vzájemného</w:t>
      </w:r>
      <w:r>
        <w:rPr>
          <w:rFonts w:ascii="Trebuchet MS" w:hAnsi="Trebuchet MS" w:cs="Trebuchet MS"/>
          <w:sz w:val="20"/>
          <w:szCs w:val="20"/>
        </w:rPr>
        <w:t xml:space="preserve"> </w:t>
      </w:r>
      <w:r w:rsidR="00622EDF">
        <w:rPr>
          <w:rFonts w:ascii="Trebuchet MS" w:hAnsi="Trebuchet MS" w:cs="Trebuchet MS"/>
          <w:sz w:val="20"/>
          <w:szCs w:val="20"/>
        </w:rPr>
        <w:t>poměru</w:t>
      </w:r>
      <w:r>
        <w:rPr>
          <w:rFonts w:ascii="Trebuchet MS" w:hAnsi="Trebuchet MS" w:cs="Trebuchet MS"/>
          <w:sz w:val="20"/>
          <w:szCs w:val="20"/>
        </w:rPr>
        <w:t xml:space="preserve"> mezi využívanými zdroji a dosaženými výsledky</w:t>
      </w:r>
      <w:r w:rsidR="00622EDF">
        <w:rPr>
          <w:rFonts w:ascii="Trebuchet MS" w:hAnsi="Trebuchet MS" w:cs="Trebuchet MS"/>
          <w:sz w:val="20"/>
          <w:szCs w:val="20"/>
        </w:rPr>
        <w:t>;</w:t>
      </w:r>
    </w:p>
    <w:p w:rsidR="00D64D10" w:rsidRDefault="00D64D10">
      <w:pPr>
        <w:spacing w:before="8" w:after="0" w:line="190" w:lineRule="exact"/>
        <w:rPr>
          <w:sz w:val="19"/>
          <w:szCs w:val="19"/>
        </w:rPr>
      </w:pPr>
    </w:p>
    <w:p w:rsidR="00D64D10" w:rsidRDefault="00D64D10">
      <w:pPr>
        <w:tabs>
          <w:tab w:val="left" w:pos="1060"/>
        </w:tabs>
        <w:spacing w:after="0" w:line="242" w:lineRule="auto"/>
        <w:ind w:left="1073" w:right="1635" w:hanging="360"/>
        <w:rPr>
          <w:rFonts w:ascii="Trebuchet MS" w:hAnsi="Trebuchet MS" w:cs="Trebuchet MS"/>
          <w:sz w:val="20"/>
          <w:szCs w:val="20"/>
        </w:rPr>
      </w:pPr>
      <w:r>
        <w:rPr>
          <w:rFonts w:ascii="Symbol" w:hAnsi="Symbol" w:cs="Symbol"/>
          <w:sz w:val="20"/>
          <w:szCs w:val="20"/>
        </w:rPr>
        <w:t></w:t>
      </w:r>
      <w:r>
        <w:rPr>
          <w:rFonts w:ascii="Times New Roman" w:hAnsi="Times New Roman" w:cs="Times New Roman"/>
          <w:spacing w:val="-49"/>
          <w:sz w:val="20"/>
          <w:szCs w:val="20"/>
        </w:rPr>
        <w:t xml:space="preserve"> </w:t>
      </w:r>
      <w:r>
        <w:tab/>
      </w:r>
      <w:r>
        <w:rPr>
          <w:rFonts w:ascii="Trebuchet MS" w:hAnsi="Trebuchet MS" w:cs="Trebuchet MS"/>
          <w:sz w:val="20"/>
          <w:szCs w:val="20"/>
        </w:rPr>
        <w:t>Zásada efektivnosti se týká dosahování stanovených specifických cílů a dosahování zamýšlených výsledků.</w:t>
      </w:r>
    </w:p>
    <w:p w:rsidR="00D64D10" w:rsidRDefault="00D64D10">
      <w:pPr>
        <w:spacing w:before="4" w:after="0" w:line="190" w:lineRule="exact"/>
        <w:rPr>
          <w:sz w:val="19"/>
          <w:szCs w:val="19"/>
        </w:rPr>
      </w:pPr>
    </w:p>
    <w:p w:rsidR="00D64D10" w:rsidRDefault="00D64D10" w:rsidP="005F1D85">
      <w:pPr>
        <w:spacing w:after="0" w:line="240" w:lineRule="auto"/>
        <w:ind w:left="713" w:right="6390"/>
        <w:jc w:val="both"/>
        <w:rPr>
          <w:rFonts w:ascii="Trebuchet MS" w:hAnsi="Trebuchet MS" w:cs="Trebuchet MS"/>
          <w:sz w:val="28"/>
          <w:szCs w:val="28"/>
        </w:rPr>
      </w:pPr>
      <w:r>
        <w:rPr>
          <w:rFonts w:ascii="Trebuchet MS" w:hAnsi="Trebuchet MS" w:cs="Trebuchet MS"/>
          <w:b/>
          <w:bCs/>
          <w:color w:val="7C8A89"/>
          <w:sz w:val="28"/>
          <w:szCs w:val="28"/>
        </w:rPr>
        <w:t>Strategický / akční plán</w:t>
      </w:r>
    </w:p>
    <w:p w:rsidR="00D64D10" w:rsidRDefault="00D64D10">
      <w:pPr>
        <w:spacing w:before="20" w:after="0" w:line="220" w:lineRule="exact"/>
      </w:pPr>
    </w:p>
    <w:p w:rsidR="00D64D10" w:rsidRDefault="00D64D10">
      <w:pPr>
        <w:spacing w:after="0" w:line="240" w:lineRule="auto"/>
        <w:ind w:left="713" w:right="701"/>
        <w:jc w:val="both"/>
        <w:rPr>
          <w:rFonts w:ascii="Trebuchet MS" w:hAnsi="Trebuchet MS" w:cs="Trebuchet MS"/>
          <w:sz w:val="20"/>
          <w:szCs w:val="20"/>
        </w:rPr>
      </w:pPr>
      <w:r>
        <w:rPr>
          <w:rFonts w:ascii="Trebuchet MS" w:hAnsi="Trebuchet MS" w:cs="Trebuchet MS"/>
          <w:sz w:val="20"/>
          <w:szCs w:val="20"/>
        </w:rPr>
        <w:t xml:space="preserve">Strategii je třeba společně definovat na základě problémů, které </w:t>
      </w:r>
      <w:r w:rsidR="00622EDF">
        <w:rPr>
          <w:rFonts w:ascii="Trebuchet MS" w:hAnsi="Trebuchet MS" w:cs="Trebuchet MS"/>
          <w:sz w:val="20"/>
          <w:szCs w:val="20"/>
        </w:rPr>
        <w:t xml:space="preserve">jsou relevantní pro zapojené </w:t>
      </w:r>
      <w:r>
        <w:rPr>
          <w:rFonts w:ascii="Trebuchet MS" w:hAnsi="Trebuchet MS" w:cs="Trebuchet MS"/>
          <w:sz w:val="20"/>
          <w:szCs w:val="20"/>
        </w:rPr>
        <w:t>region</w:t>
      </w:r>
      <w:r w:rsidR="00622EDF">
        <w:rPr>
          <w:rFonts w:ascii="Trebuchet MS" w:hAnsi="Trebuchet MS" w:cs="Trebuchet MS"/>
          <w:sz w:val="20"/>
          <w:szCs w:val="20"/>
        </w:rPr>
        <w:t>y</w:t>
      </w:r>
      <w:r>
        <w:rPr>
          <w:rFonts w:ascii="Trebuchet MS" w:hAnsi="Trebuchet MS" w:cs="Trebuchet MS"/>
          <w:sz w:val="20"/>
          <w:szCs w:val="20"/>
        </w:rPr>
        <w:t>. Měla by poskytnout společnou vizi a stanovit cíle a priority ve střednědobé a</w:t>
      </w:r>
      <w:r w:rsidR="00622EDF">
        <w:rPr>
          <w:rFonts w:ascii="Trebuchet MS" w:hAnsi="Trebuchet MS" w:cs="Trebuchet MS"/>
          <w:sz w:val="20"/>
          <w:szCs w:val="20"/>
        </w:rPr>
        <w:t> </w:t>
      </w:r>
      <w:r>
        <w:rPr>
          <w:rFonts w:ascii="Trebuchet MS" w:hAnsi="Trebuchet MS" w:cs="Trebuchet MS"/>
          <w:sz w:val="20"/>
          <w:szCs w:val="20"/>
        </w:rPr>
        <w:t>dlouhodobé perspektivě. Nadnárodní a/nebo regionální strategii je třeba formulovat s</w:t>
      </w:r>
      <w:r w:rsidR="00622EDF">
        <w:rPr>
          <w:rFonts w:ascii="Trebuchet MS" w:hAnsi="Trebuchet MS" w:cs="Trebuchet MS"/>
          <w:sz w:val="20"/>
          <w:szCs w:val="20"/>
        </w:rPr>
        <w:t>e zapojením</w:t>
      </w:r>
      <w:r>
        <w:rPr>
          <w:rFonts w:ascii="Trebuchet MS" w:hAnsi="Trebuchet MS" w:cs="Trebuchet MS"/>
          <w:sz w:val="20"/>
          <w:szCs w:val="20"/>
        </w:rPr>
        <w:t xml:space="preserve"> příslušný</w:t>
      </w:r>
      <w:r w:rsidR="00622EDF">
        <w:rPr>
          <w:rFonts w:ascii="Trebuchet MS" w:hAnsi="Trebuchet MS" w:cs="Trebuchet MS"/>
          <w:sz w:val="20"/>
          <w:szCs w:val="20"/>
        </w:rPr>
        <w:t>ch</w:t>
      </w:r>
      <w:r>
        <w:rPr>
          <w:rFonts w:ascii="Trebuchet MS" w:hAnsi="Trebuchet MS" w:cs="Trebuchet MS"/>
          <w:sz w:val="20"/>
          <w:szCs w:val="20"/>
        </w:rPr>
        <w:t xml:space="preserve"> zainteresovaný</w:t>
      </w:r>
      <w:r w:rsidR="00622EDF">
        <w:rPr>
          <w:rFonts w:ascii="Trebuchet MS" w:hAnsi="Trebuchet MS" w:cs="Trebuchet MS"/>
          <w:sz w:val="20"/>
          <w:szCs w:val="20"/>
        </w:rPr>
        <w:t>ch</w:t>
      </w:r>
      <w:r>
        <w:rPr>
          <w:rFonts w:ascii="Trebuchet MS" w:hAnsi="Trebuchet MS" w:cs="Trebuchet MS"/>
          <w:sz w:val="20"/>
          <w:szCs w:val="20"/>
        </w:rPr>
        <w:t xml:space="preserve"> skupin (se zaměřením na politickou úroveň) a </w:t>
      </w:r>
      <w:r w:rsidR="00622EDF">
        <w:rPr>
          <w:rFonts w:ascii="Trebuchet MS" w:hAnsi="Trebuchet MS" w:cs="Trebuchet MS"/>
          <w:sz w:val="20"/>
          <w:szCs w:val="20"/>
        </w:rPr>
        <w:t xml:space="preserve">přitom se </w:t>
      </w:r>
      <w:r>
        <w:rPr>
          <w:rFonts w:ascii="Trebuchet MS" w:hAnsi="Trebuchet MS" w:cs="Trebuchet MS"/>
          <w:sz w:val="20"/>
          <w:szCs w:val="20"/>
        </w:rPr>
        <w:t xml:space="preserve">zaměřit na její následnou realizaci. Akční plán </w:t>
      </w:r>
      <w:r w:rsidR="00622EDF">
        <w:rPr>
          <w:rFonts w:ascii="Trebuchet MS" w:hAnsi="Trebuchet MS" w:cs="Trebuchet MS"/>
          <w:sz w:val="20"/>
          <w:szCs w:val="20"/>
        </w:rPr>
        <w:t xml:space="preserve">by měl </w:t>
      </w:r>
      <w:r>
        <w:rPr>
          <w:rFonts w:ascii="Trebuchet MS" w:hAnsi="Trebuchet MS" w:cs="Trebuchet MS"/>
          <w:sz w:val="20"/>
          <w:szCs w:val="20"/>
        </w:rPr>
        <w:t>rozděl</w:t>
      </w:r>
      <w:r w:rsidR="00622EDF">
        <w:rPr>
          <w:rFonts w:ascii="Trebuchet MS" w:hAnsi="Trebuchet MS" w:cs="Trebuchet MS"/>
          <w:sz w:val="20"/>
          <w:szCs w:val="20"/>
        </w:rPr>
        <w:t>ovat</w:t>
      </w:r>
      <w:r>
        <w:rPr>
          <w:rFonts w:ascii="Trebuchet MS" w:hAnsi="Trebuchet MS" w:cs="Trebuchet MS"/>
          <w:sz w:val="20"/>
          <w:szCs w:val="20"/>
        </w:rPr>
        <w:t xml:space="preserve"> cíle </w:t>
      </w:r>
      <w:r w:rsidR="00622EDF">
        <w:rPr>
          <w:rFonts w:ascii="Trebuchet MS" w:hAnsi="Trebuchet MS" w:cs="Trebuchet MS"/>
          <w:sz w:val="20"/>
          <w:szCs w:val="20"/>
        </w:rPr>
        <w:t xml:space="preserve">strategie </w:t>
      </w:r>
      <w:r>
        <w:rPr>
          <w:rFonts w:ascii="Trebuchet MS" w:hAnsi="Trebuchet MS" w:cs="Trebuchet MS"/>
          <w:sz w:val="20"/>
          <w:szCs w:val="20"/>
        </w:rPr>
        <w:t xml:space="preserve">na </w:t>
      </w:r>
      <w:r w:rsidR="00622EDF">
        <w:rPr>
          <w:rFonts w:ascii="Trebuchet MS" w:hAnsi="Trebuchet MS" w:cs="Trebuchet MS"/>
          <w:sz w:val="20"/>
          <w:szCs w:val="20"/>
        </w:rPr>
        <w:t>konkrétní</w:t>
      </w:r>
      <w:r>
        <w:rPr>
          <w:rFonts w:ascii="Trebuchet MS" w:hAnsi="Trebuchet MS" w:cs="Trebuchet MS"/>
          <w:sz w:val="20"/>
          <w:szCs w:val="20"/>
        </w:rPr>
        <w:t xml:space="preserve"> úkoly. To zahrnuje sled kroků nebo činností, které je třeba provést, aby měla strategie úspěch. Proto musí zahrnovat časový harmonogram, finanční zdroje a vymezení odpovědných </w:t>
      </w:r>
      <w:r w:rsidR="00622EDF">
        <w:rPr>
          <w:rFonts w:ascii="Trebuchet MS" w:hAnsi="Trebuchet MS" w:cs="Trebuchet MS"/>
          <w:sz w:val="20"/>
          <w:szCs w:val="20"/>
        </w:rPr>
        <w:t>aktérů</w:t>
      </w:r>
      <w:r>
        <w:rPr>
          <w:rFonts w:ascii="Trebuchet MS" w:hAnsi="Trebuchet MS" w:cs="Trebuchet MS"/>
          <w:sz w:val="20"/>
          <w:szCs w:val="20"/>
        </w:rPr>
        <w:t>.</w:t>
      </w:r>
    </w:p>
    <w:p w:rsidR="00D64D10" w:rsidRDefault="00D64D10">
      <w:pPr>
        <w:spacing w:after="0" w:line="200" w:lineRule="exact"/>
        <w:rPr>
          <w:sz w:val="20"/>
          <w:szCs w:val="20"/>
        </w:rPr>
      </w:pPr>
    </w:p>
    <w:p w:rsidR="00D64D10" w:rsidRDefault="00D64D10">
      <w:pPr>
        <w:spacing w:after="0" w:line="200" w:lineRule="exact"/>
        <w:rPr>
          <w:sz w:val="20"/>
          <w:szCs w:val="20"/>
        </w:rPr>
      </w:pPr>
    </w:p>
    <w:p w:rsidR="00D64D10" w:rsidRDefault="00D64D10">
      <w:pPr>
        <w:spacing w:after="0" w:line="240" w:lineRule="auto"/>
        <w:ind w:left="713" w:right="7256"/>
        <w:jc w:val="both"/>
        <w:rPr>
          <w:rFonts w:ascii="Trebuchet MS" w:hAnsi="Trebuchet MS" w:cs="Trebuchet MS"/>
          <w:sz w:val="28"/>
          <w:szCs w:val="28"/>
        </w:rPr>
      </w:pPr>
      <w:r>
        <w:rPr>
          <w:rFonts w:ascii="Trebuchet MS" w:hAnsi="Trebuchet MS" w:cs="Trebuchet MS"/>
          <w:b/>
          <w:bCs/>
          <w:color w:val="7C8A89"/>
          <w:sz w:val="28"/>
          <w:szCs w:val="28"/>
        </w:rPr>
        <w:t>Udržitelný rozvoj</w:t>
      </w:r>
    </w:p>
    <w:p w:rsidR="00D64D10" w:rsidRDefault="00D64D10">
      <w:pPr>
        <w:spacing w:before="20" w:after="0" w:line="220" w:lineRule="exact"/>
      </w:pPr>
    </w:p>
    <w:p w:rsidR="00D64D10" w:rsidRDefault="00D64D10">
      <w:pPr>
        <w:spacing w:after="0" w:line="240" w:lineRule="auto"/>
        <w:ind w:left="713" w:right="701"/>
        <w:jc w:val="both"/>
        <w:rPr>
          <w:rFonts w:ascii="Trebuchet MS" w:hAnsi="Trebuchet MS" w:cs="Trebuchet MS"/>
          <w:sz w:val="20"/>
          <w:szCs w:val="20"/>
        </w:rPr>
      </w:pPr>
      <w:r>
        <w:rPr>
          <w:rFonts w:ascii="Trebuchet MS" w:hAnsi="Trebuchet MS" w:cs="Trebuchet MS"/>
          <w:sz w:val="20"/>
          <w:szCs w:val="20"/>
        </w:rPr>
        <w:t>Udržitelný rozvoj znamená využívání přírodních zdrojů způsobem, který zamezí nevratnému poškození struktury a funkce ekosystému, ztrátám nenahraditelných prvků nebo snížení odolnosti ekosystému. Zájmy v oblasti životního prostředí je třeba uvážit v souvislosti se sociálními a ekonomickými zájmy a zabránit tak nenahraditelným ztrátám přírodních prvků, funkcí nebo proces</w:t>
      </w:r>
      <w:r w:rsidR="00D14EAB">
        <w:rPr>
          <w:rFonts w:ascii="Trebuchet MS" w:hAnsi="Trebuchet MS" w:cs="Trebuchet MS"/>
          <w:sz w:val="20"/>
          <w:szCs w:val="20"/>
        </w:rPr>
        <w:t>ů</w:t>
      </w:r>
      <w:r>
        <w:rPr>
          <w:rFonts w:ascii="Trebuchet MS" w:hAnsi="Trebuchet MS" w:cs="Trebuchet MS"/>
          <w:sz w:val="20"/>
          <w:szCs w:val="20"/>
        </w:rPr>
        <w:t xml:space="preserve"> a zajistit dlouhodobý a spolehlivý užitek z</w:t>
      </w:r>
      <w:r w:rsidR="00D14EAB">
        <w:rPr>
          <w:rFonts w:ascii="Trebuchet MS" w:hAnsi="Trebuchet MS" w:cs="Trebuchet MS"/>
          <w:sz w:val="20"/>
          <w:szCs w:val="20"/>
        </w:rPr>
        <w:t> </w:t>
      </w:r>
      <w:r>
        <w:rPr>
          <w:rFonts w:ascii="Trebuchet MS" w:hAnsi="Trebuchet MS" w:cs="Trebuchet MS"/>
          <w:sz w:val="20"/>
          <w:szCs w:val="20"/>
        </w:rPr>
        <w:t xml:space="preserve">využívání obnovitelných zdrojů. Dosahování udržitelného rozvoje zahrnuje významná opatření pro obnovení struktury a funkce ekosystému, kde jsou přínosy již omezeny nebo znehodnoceny nebo kde je odolnost ekosystému ohrožena (IUCN, 2011: </w:t>
      </w:r>
      <w:r w:rsidR="00D14EAB">
        <w:rPr>
          <w:rFonts w:ascii="Trebuchet MS" w:hAnsi="Trebuchet MS" w:cs="Trebuchet MS"/>
          <w:sz w:val="20"/>
          <w:szCs w:val="20"/>
        </w:rPr>
        <w:t>D</w:t>
      </w:r>
      <w:r>
        <w:rPr>
          <w:rFonts w:ascii="Trebuchet MS" w:hAnsi="Trebuchet MS" w:cs="Trebuchet MS"/>
          <w:sz w:val="20"/>
          <w:szCs w:val="20"/>
        </w:rPr>
        <w:t>efinice).</w:t>
      </w:r>
    </w:p>
    <w:p w:rsidR="00D64D10" w:rsidRDefault="00D64D10">
      <w:pPr>
        <w:spacing w:before="7" w:after="0" w:line="160" w:lineRule="exact"/>
        <w:rPr>
          <w:sz w:val="16"/>
          <w:szCs w:val="16"/>
        </w:rPr>
      </w:pPr>
    </w:p>
    <w:p w:rsidR="00D64D10" w:rsidRDefault="00D64D10">
      <w:pPr>
        <w:spacing w:after="0" w:line="200" w:lineRule="exact"/>
        <w:rPr>
          <w:sz w:val="20"/>
          <w:szCs w:val="20"/>
        </w:rPr>
      </w:pPr>
    </w:p>
    <w:p w:rsidR="00D64D10" w:rsidRDefault="00D64D10">
      <w:pPr>
        <w:spacing w:after="0" w:line="200" w:lineRule="exact"/>
        <w:rPr>
          <w:sz w:val="20"/>
          <w:szCs w:val="20"/>
        </w:rPr>
      </w:pPr>
    </w:p>
    <w:p w:rsidR="00D64D10" w:rsidRDefault="00D64D10" w:rsidP="005F1D85">
      <w:pPr>
        <w:spacing w:after="0" w:line="240" w:lineRule="auto"/>
        <w:ind w:left="713" w:right="7270"/>
        <w:jc w:val="both"/>
        <w:rPr>
          <w:rFonts w:ascii="Trebuchet MS" w:hAnsi="Trebuchet MS" w:cs="Trebuchet MS"/>
          <w:sz w:val="28"/>
          <w:szCs w:val="28"/>
        </w:rPr>
      </w:pPr>
      <w:r>
        <w:rPr>
          <w:rFonts w:ascii="Trebuchet MS" w:hAnsi="Trebuchet MS" w:cs="Trebuchet MS"/>
          <w:b/>
          <w:bCs/>
          <w:color w:val="7C8A89"/>
          <w:sz w:val="28"/>
          <w:szCs w:val="28"/>
        </w:rPr>
        <w:t>Cílové skupiny</w:t>
      </w:r>
    </w:p>
    <w:p w:rsidR="00D64D10" w:rsidRDefault="00D64D10">
      <w:pPr>
        <w:spacing w:before="20" w:after="0" w:line="220" w:lineRule="exact"/>
      </w:pPr>
    </w:p>
    <w:p w:rsidR="00D64D10" w:rsidRDefault="00D64D10">
      <w:pPr>
        <w:spacing w:after="0" w:line="240" w:lineRule="auto"/>
        <w:ind w:left="713" w:right="706"/>
        <w:jc w:val="both"/>
        <w:rPr>
          <w:rFonts w:ascii="Trebuchet MS" w:hAnsi="Trebuchet MS" w:cs="Trebuchet MS"/>
          <w:sz w:val="20"/>
          <w:szCs w:val="20"/>
        </w:rPr>
      </w:pPr>
      <w:r>
        <w:rPr>
          <w:rFonts w:ascii="Trebuchet MS" w:hAnsi="Trebuchet MS" w:cs="Trebuchet MS"/>
          <w:sz w:val="20"/>
          <w:szCs w:val="20"/>
        </w:rPr>
        <w:t xml:space="preserve">Cílové skupiny jsou jedinci a/nebo organizace přímo pozitivně ovlivněny činnostmi a výsledky </w:t>
      </w:r>
      <w:r w:rsidR="00D14EAB">
        <w:rPr>
          <w:rFonts w:ascii="Trebuchet MS" w:hAnsi="Trebuchet MS" w:cs="Trebuchet MS"/>
          <w:sz w:val="20"/>
          <w:szCs w:val="20"/>
        </w:rPr>
        <w:t>projektů</w:t>
      </w:r>
      <w:r>
        <w:rPr>
          <w:rFonts w:ascii="Trebuchet MS" w:hAnsi="Trebuchet MS" w:cs="Trebuchet MS"/>
          <w:sz w:val="20"/>
          <w:szCs w:val="20"/>
        </w:rPr>
        <w:t xml:space="preserve">. Cílové skupiny mohou využívat výsledků projektu pro vlastní užitek, aniž by nutně dostávaly finanční </w:t>
      </w:r>
      <w:r w:rsidR="00D14EAB">
        <w:rPr>
          <w:rFonts w:ascii="Trebuchet MS" w:hAnsi="Trebuchet MS" w:cs="Trebuchet MS"/>
          <w:sz w:val="20"/>
          <w:szCs w:val="20"/>
        </w:rPr>
        <w:t>dotaci</w:t>
      </w:r>
      <w:r>
        <w:rPr>
          <w:rFonts w:ascii="Trebuchet MS" w:hAnsi="Trebuchet MS" w:cs="Trebuchet MS"/>
          <w:sz w:val="20"/>
          <w:szCs w:val="20"/>
        </w:rPr>
        <w:t xml:space="preserve">, a dokonce aniž by byly do </w:t>
      </w:r>
      <w:r w:rsidR="00D14EAB">
        <w:rPr>
          <w:rFonts w:ascii="Trebuchet MS" w:hAnsi="Trebuchet MS" w:cs="Trebuchet MS"/>
          <w:sz w:val="20"/>
          <w:szCs w:val="20"/>
        </w:rPr>
        <w:t>projektu</w:t>
      </w:r>
      <w:r>
        <w:rPr>
          <w:rFonts w:ascii="Trebuchet MS" w:hAnsi="Trebuchet MS" w:cs="Trebuchet MS"/>
          <w:sz w:val="20"/>
          <w:szCs w:val="20"/>
        </w:rPr>
        <w:t xml:space="preserve"> přímo zapojeny.</w:t>
      </w:r>
    </w:p>
    <w:p w:rsidR="00D64D10" w:rsidRDefault="00D64D10">
      <w:pPr>
        <w:spacing w:after="0" w:line="240" w:lineRule="auto"/>
        <w:jc w:val="both"/>
        <w:rPr>
          <w:rFonts w:ascii="Trebuchet MS" w:hAnsi="Trebuchet MS" w:cs="Trebuchet MS"/>
          <w:sz w:val="20"/>
          <w:szCs w:val="20"/>
        </w:rPr>
        <w:sectPr w:rsidR="00D64D10">
          <w:pgSz w:w="11920" w:h="16840"/>
          <w:pgMar w:top="2260" w:right="380" w:bottom="540" w:left="420" w:header="11" w:footer="343" w:gutter="0"/>
          <w:cols w:space="708"/>
        </w:sectPr>
      </w:pPr>
    </w:p>
    <w:p w:rsidR="00D64D10" w:rsidRDefault="00D64D10">
      <w:pPr>
        <w:spacing w:after="0" w:line="200" w:lineRule="exact"/>
        <w:rPr>
          <w:sz w:val="20"/>
          <w:szCs w:val="20"/>
        </w:rPr>
      </w:pPr>
    </w:p>
    <w:p w:rsidR="00D64D10" w:rsidRDefault="00D64D10">
      <w:pPr>
        <w:spacing w:after="0" w:line="200" w:lineRule="exact"/>
        <w:rPr>
          <w:sz w:val="20"/>
          <w:szCs w:val="20"/>
        </w:rPr>
      </w:pPr>
    </w:p>
    <w:p w:rsidR="00D64D10" w:rsidRDefault="00D64D10">
      <w:pPr>
        <w:spacing w:before="12" w:after="0" w:line="220" w:lineRule="exact"/>
      </w:pPr>
    </w:p>
    <w:p w:rsidR="00D64D10" w:rsidRDefault="00D64D10" w:rsidP="005F1D85">
      <w:pPr>
        <w:tabs>
          <w:tab w:val="left" w:pos="3520"/>
        </w:tabs>
        <w:spacing w:before="24" w:after="0" w:line="240" w:lineRule="auto"/>
        <w:ind w:left="713" w:right="8480"/>
        <w:jc w:val="both"/>
        <w:rPr>
          <w:rFonts w:ascii="Trebuchet MS" w:hAnsi="Trebuchet MS" w:cs="Trebuchet MS"/>
          <w:sz w:val="28"/>
          <w:szCs w:val="28"/>
        </w:rPr>
      </w:pPr>
      <w:r>
        <w:rPr>
          <w:rFonts w:ascii="Trebuchet MS" w:hAnsi="Trebuchet MS" w:cs="Trebuchet MS"/>
          <w:b/>
          <w:bCs/>
          <w:color w:val="7C8A89"/>
          <w:sz w:val="28"/>
          <w:szCs w:val="28"/>
        </w:rPr>
        <w:t>Nástroj</w:t>
      </w:r>
    </w:p>
    <w:p w:rsidR="00D64D10" w:rsidRDefault="00D64D10">
      <w:pPr>
        <w:spacing w:before="20" w:after="0" w:line="220" w:lineRule="exact"/>
      </w:pPr>
    </w:p>
    <w:p w:rsidR="00D64D10" w:rsidRDefault="00D64D10">
      <w:pPr>
        <w:spacing w:after="0" w:line="240" w:lineRule="auto"/>
        <w:ind w:left="713" w:right="707"/>
        <w:jc w:val="both"/>
        <w:rPr>
          <w:rFonts w:ascii="Trebuchet MS" w:hAnsi="Trebuchet MS" w:cs="Trebuchet MS"/>
          <w:sz w:val="20"/>
          <w:szCs w:val="20"/>
        </w:rPr>
      </w:pPr>
      <w:r>
        <w:rPr>
          <w:rFonts w:ascii="Trebuchet MS" w:hAnsi="Trebuchet MS" w:cs="Trebuchet MS"/>
          <w:sz w:val="20"/>
          <w:szCs w:val="20"/>
        </w:rPr>
        <w:t xml:space="preserve">Nástrojem se rozumí prostředek pro plnění specifického úkolu nebo prostředek pro specifický účel. Nástroje musí být vyvinuty společně na nadnárodní úrovni a musí být inovativní; mohou to být fyzické nebo technické objekty, ale také metody, koncepty nebo služby. Sestávají kromě jiného z analytických nástrojů, nástrojů řízení, technických nástrojů, softwarových nástrojů, monitorovacích nástrojů, nástrojů podporujících rozhodování atd. Nástroj je účinný, pokud je přizpůsoben </w:t>
      </w:r>
      <w:r w:rsidR="00D14EAB">
        <w:rPr>
          <w:rFonts w:ascii="Trebuchet MS" w:hAnsi="Trebuchet MS" w:cs="Trebuchet MS"/>
          <w:sz w:val="20"/>
          <w:szCs w:val="20"/>
        </w:rPr>
        <w:t>n</w:t>
      </w:r>
      <w:r>
        <w:rPr>
          <w:rFonts w:ascii="Trebuchet MS" w:hAnsi="Trebuchet MS" w:cs="Trebuchet MS"/>
          <w:sz w:val="20"/>
          <w:szCs w:val="20"/>
        </w:rPr>
        <w:t>a míru potřebám uživatele a</w:t>
      </w:r>
      <w:r w:rsidR="00D14EAB">
        <w:rPr>
          <w:rFonts w:ascii="Trebuchet MS" w:hAnsi="Trebuchet MS" w:cs="Trebuchet MS"/>
          <w:sz w:val="20"/>
          <w:szCs w:val="20"/>
        </w:rPr>
        <w:t> </w:t>
      </w:r>
      <w:r>
        <w:rPr>
          <w:rFonts w:ascii="Trebuchet MS" w:hAnsi="Trebuchet MS" w:cs="Trebuchet MS"/>
          <w:sz w:val="20"/>
          <w:szCs w:val="20"/>
        </w:rPr>
        <w:t>příslušným rámcovým podmínkám a je srozumitelný a trvalý.</w:t>
      </w:r>
    </w:p>
    <w:p w:rsidR="00D64D10" w:rsidRDefault="00D64D10">
      <w:pPr>
        <w:spacing w:before="3" w:after="0" w:line="150" w:lineRule="exact"/>
        <w:rPr>
          <w:sz w:val="15"/>
          <w:szCs w:val="15"/>
        </w:rPr>
      </w:pPr>
    </w:p>
    <w:p w:rsidR="00D64D10" w:rsidRDefault="00D64D10">
      <w:pPr>
        <w:spacing w:after="0" w:line="200" w:lineRule="exact"/>
        <w:rPr>
          <w:sz w:val="20"/>
          <w:szCs w:val="20"/>
        </w:rPr>
      </w:pPr>
    </w:p>
    <w:p w:rsidR="00D64D10" w:rsidRDefault="00D64D10" w:rsidP="005F1D85">
      <w:pPr>
        <w:spacing w:after="0" w:line="240" w:lineRule="auto"/>
        <w:ind w:left="713" w:right="7380"/>
        <w:jc w:val="both"/>
        <w:rPr>
          <w:rFonts w:ascii="Trebuchet MS" w:hAnsi="Trebuchet MS" w:cs="Trebuchet MS"/>
          <w:sz w:val="28"/>
          <w:szCs w:val="28"/>
        </w:rPr>
      </w:pPr>
      <w:r>
        <w:rPr>
          <w:rFonts w:ascii="Trebuchet MS" w:hAnsi="Trebuchet MS" w:cs="Trebuchet MS"/>
          <w:b/>
          <w:bCs/>
          <w:color w:val="7C8A89"/>
          <w:sz w:val="28"/>
          <w:szCs w:val="28"/>
        </w:rPr>
        <w:t>Vzdělávání</w:t>
      </w:r>
    </w:p>
    <w:p w:rsidR="00D64D10" w:rsidRDefault="00D64D10">
      <w:pPr>
        <w:spacing w:after="0" w:line="240" w:lineRule="exact"/>
        <w:rPr>
          <w:sz w:val="24"/>
          <w:szCs w:val="24"/>
        </w:rPr>
      </w:pPr>
    </w:p>
    <w:p w:rsidR="00D64D10" w:rsidRDefault="00D64D10">
      <w:pPr>
        <w:spacing w:after="0" w:line="240" w:lineRule="auto"/>
        <w:ind w:left="713" w:right="711"/>
        <w:jc w:val="both"/>
        <w:rPr>
          <w:rFonts w:ascii="Trebuchet MS" w:hAnsi="Trebuchet MS" w:cs="Trebuchet MS"/>
          <w:sz w:val="20"/>
          <w:szCs w:val="20"/>
        </w:rPr>
      </w:pPr>
      <w:r>
        <w:rPr>
          <w:rFonts w:ascii="Trebuchet MS" w:hAnsi="Trebuchet MS" w:cs="Trebuchet MS"/>
          <w:sz w:val="20"/>
          <w:szCs w:val="20"/>
        </w:rPr>
        <w:t>Vzdělávání poskytuje lidem pochopení, znalosti, dovednosti, kompetence a přístup k</w:t>
      </w:r>
      <w:r w:rsidR="00D14EAB">
        <w:rPr>
          <w:rFonts w:ascii="Trebuchet MS" w:hAnsi="Trebuchet MS" w:cs="Trebuchet MS"/>
          <w:sz w:val="20"/>
          <w:szCs w:val="20"/>
        </w:rPr>
        <w:t> </w:t>
      </w:r>
      <w:r>
        <w:rPr>
          <w:rFonts w:ascii="Trebuchet MS" w:hAnsi="Trebuchet MS" w:cs="Trebuchet MS"/>
          <w:sz w:val="20"/>
          <w:szCs w:val="20"/>
        </w:rPr>
        <w:t>informacím</w:t>
      </w:r>
      <w:r w:rsidR="00D14EAB">
        <w:rPr>
          <w:rFonts w:ascii="Trebuchet MS" w:hAnsi="Trebuchet MS" w:cs="Trebuchet MS"/>
          <w:sz w:val="20"/>
          <w:szCs w:val="20"/>
        </w:rPr>
        <w:t xml:space="preserve"> dle požadavků</w:t>
      </w:r>
      <w:r>
        <w:rPr>
          <w:rFonts w:ascii="Trebuchet MS" w:hAnsi="Trebuchet MS" w:cs="Trebuchet MS"/>
          <w:sz w:val="20"/>
          <w:szCs w:val="20"/>
        </w:rPr>
        <w:t xml:space="preserve"> v konkrétních povoláních. Může být jakéhokoliv typu (všeobecné, specializované nebo odborné, formální či neformální atd.).</w:t>
      </w:r>
    </w:p>
    <w:p w:rsidR="00D64D10" w:rsidRDefault="00D64D10">
      <w:pPr>
        <w:spacing w:before="4" w:after="0" w:line="120" w:lineRule="exact"/>
        <w:rPr>
          <w:sz w:val="12"/>
          <w:szCs w:val="12"/>
        </w:rPr>
      </w:pPr>
    </w:p>
    <w:p w:rsidR="00D64D10" w:rsidRDefault="00D64D10">
      <w:pPr>
        <w:spacing w:after="0" w:line="230" w:lineRule="exact"/>
        <w:ind w:left="713" w:right="712"/>
        <w:jc w:val="both"/>
        <w:rPr>
          <w:rFonts w:ascii="Trebuchet MS" w:hAnsi="Trebuchet MS" w:cs="Trebuchet MS"/>
          <w:sz w:val="20"/>
          <w:szCs w:val="20"/>
        </w:rPr>
      </w:pPr>
      <w:r>
        <w:rPr>
          <w:rFonts w:ascii="Trebuchet MS" w:hAnsi="Trebuchet MS" w:cs="Trebuchet MS"/>
          <w:sz w:val="20"/>
          <w:szCs w:val="20"/>
        </w:rPr>
        <w:t xml:space="preserve">Vzdělávací opatření musí být společně vyvinuta na nadnárodní úrovni a přizpůsobena potřebám </w:t>
      </w:r>
      <w:r w:rsidR="00D14EAB">
        <w:rPr>
          <w:rFonts w:ascii="Trebuchet MS" w:hAnsi="Trebuchet MS" w:cs="Trebuchet MS"/>
          <w:sz w:val="20"/>
          <w:szCs w:val="20"/>
        </w:rPr>
        <w:t>konkrétní</w:t>
      </w:r>
      <w:r>
        <w:rPr>
          <w:rFonts w:ascii="Trebuchet MS" w:hAnsi="Trebuchet MS" w:cs="Trebuchet MS"/>
          <w:sz w:val="20"/>
          <w:szCs w:val="20"/>
        </w:rPr>
        <w:t>ch území, cílových skupin a zainteresovaných skupin, který</w:t>
      </w:r>
      <w:r w:rsidR="00D14EAB">
        <w:rPr>
          <w:rFonts w:ascii="Trebuchet MS" w:hAnsi="Trebuchet MS" w:cs="Trebuchet MS"/>
          <w:sz w:val="20"/>
          <w:szCs w:val="20"/>
        </w:rPr>
        <w:t>m se projekt věnuje</w:t>
      </w:r>
      <w:r>
        <w:rPr>
          <w:rFonts w:ascii="Trebuchet MS" w:hAnsi="Trebuchet MS" w:cs="Trebuchet MS"/>
          <w:sz w:val="20"/>
          <w:szCs w:val="20"/>
        </w:rPr>
        <w:t>.</w:t>
      </w:r>
    </w:p>
    <w:p w:rsidR="00D64D10" w:rsidRDefault="00D64D10">
      <w:pPr>
        <w:spacing w:before="2" w:after="0" w:line="160" w:lineRule="exact"/>
        <w:rPr>
          <w:sz w:val="16"/>
          <w:szCs w:val="16"/>
        </w:rPr>
      </w:pPr>
    </w:p>
    <w:p w:rsidR="00D64D10" w:rsidRDefault="00D64D10">
      <w:pPr>
        <w:spacing w:after="0" w:line="200" w:lineRule="exact"/>
        <w:rPr>
          <w:sz w:val="20"/>
          <w:szCs w:val="20"/>
        </w:rPr>
      </w:pPr>
    </w:p>
    <w:p w:rsidR="00D64D10" w:rsidRDefault="00D64D10">
      <w:pPr>
        <w:spacing w:after="0" w:line="200" w:lineRule="exact"/>
        <w:rPr>
          <w:sz w:val="20"/>
          <w:szCs w:val="20"/>
        </w:rPr>
      </w:pPr>
    </w:p>
    <w:p w:rsidR="00D64D10" w:rsidRDefault="00D64D10">
      <w:pPr>
        <w:spacing w:after="0" w:line="240" w:lineRule="auto"/>
        <w:ind w:left="713" w:right="8659"/>
        <w:jc w:val="both"/>
        <w:rPr>
          <w:rFonts w:ascii="Trebuchet MS" w:hAnsi="Trebuchet MS" w:cs="Trebuchet MS"/>
          <w:sz w:val="28"/>
          <w:szCs w:val="28"/>
        </w:rPr>
      </w:pPr>
      <w:r>
        <w:rPr>
          <w:rFonts w:ascii="Trebuchet MS" w:hAnsi="Trebuchet MS" w:cs="Trebuchet MS"/>
          <w:b/>
          <w:bCs/>
          <w:color w:val="7C8A89"/>
          <w:sz w:val="28"/>
          <w:szCs w:val="28"/>
        </w:rPr>
        <w:t>Nadnárodní</w:t>
      </w:r>
    </w:p>
    <w:p w:rsidR="00D64D10" w:rsidRDefault="00D64D10">
      <w:pPr>
        <w:spacing w:before="2" w:after="0" w:line="240" w:lineRule="exact"/>
        <w:rPr>
          <w:sz w:val="24"/>
          <w:szCs w:val="24"/>
        </w:rPr>
      </w:pPr>
    </w:p>
    <w:p w:rsidR="00D64D10" w:rsidRDefault="008A0566">
      <w:pPr>
        <w:spacing w:after="0" w:line="240" w:lineRule="auto"/>
        <w:ind w:left="713" w:right="3724"/>
        <w:jc w:val="both"/>
        <w:rPr>
          <w:rFonts w:ascii="Trebuchet MS" w:hAnsi="Trebuchet MS" w:cs="Trebuchet MS"/>
          <w:sz w:val="20"/>
          <w:szCs w:val="20"/>
        </w:rPr>
      </w:pPr>
      <w:r>
        <w:rPr>
          <w:rFonts w:ascii="Trebuchet MS" w:hAnsi="Trebuchet MS" w:cs="Trebuchet MS"/>
          <w:sz w:val="20"/>
          <w:szCs w:val="20"/>
        </w:rPr>
        <w:t>Pod pojmem</w:t>
      </w:r>
      <w:r w:rsidR="00D64D10">
        <w:rPr>
          <w:rFonts w:ascii="Trebuchet MS" w:hAnsi="Trebuchet MS" w:cs="Trebuchet MS"/>
          <w:sz w:val="20"/>
          <w:szCs w:val="20"/>
        </w:rPr>
        <w:t xml:space="preserve"> nadnárodní se rozumí </w:t>
      </w:r>
      <w:r>
        <w:rPr>
          <w:rFonts w:ascii="Trebuchet MS" w:hAnsi="Trebuchet MS" w:cs="Trebuchet MS"/>
          <w:sz w:val="20"/>
          <w:szCs w:val="20"/>
        </w:rPr>
        <w:t>sjednocení</w:t>
      </w:r>
      <w:r w:rsidR="00D64D10">
        <w:rPr>
          <w:rFonts w:ascii="Trebuchet MS" w:hAnsi="Trebuchet MS" w:cs="Trebuchet MS"/>
          <w:sz w:val="20"/>
          <w:szCs w:val="20"/>
        </w:rPr>
        <w:t xml:space="preserve"> následujících zásad:</w:t>
      </w:r>
    </w:p>
    <w:p w:rsidR="00D64D10" w:rsidRDefault="00D64D10">
      <w:pPr>
        <w:spacing w:before="1" w:after="0" w:line="240" w:lineRule="auto"/>
        <w:ind w:left="713" w:right="2527"/>
        <w:jc w:val="both"/>
        <w:rPr>
          <w:rFonts w:ascii="Trebuchet MS" w:hAnsi="Trebuchet MS" w:cs="Trebuchet MS"/>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rebuchet MS" w:hAnsi="Trebuchet MS" w:cs="Trebuchet MS"/>
          <w:sz w:val="20"/>
          <w:szCs w:val="20"/>
        </w:rPr>
        <w:t>zajištění společného vývoje, řízení, financování a realizace projektu;</w:t>
      </w:r>
    </w:p>
    <w:p w:rsidR="00D64D10" w:rsidRDefault="00D64D10">
      <w:pPr>
        <w:spacing w:before="8" w:after="0" w:line="190" w:lineRule="exact"/>
        <w:rPr>
          <w:sz w:val="19"/>
          <w:szCs w:val="19"/>
        </w:rPr>
      </w:pPr>
    </w:p>
    <w:p w:rsidR="00D64D10" w:rsidRDefault="00D64D10" w:rsidP="005F1D85">
      <w:pPr>
        <w:spacing w:after="0" w:line="240" w:lineRule="auto"/>
        <w:ind w:left="713" w:right="3970"/>
        <w:jc w:val="both"/>
        <w:rPr>
          <w:rFonts w:ascii="Trebuchet MS" w:hAnsi="Trebuchet MS" w:cs="Trebuchet MS"/>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rebuchet MS" w:hAnsi="Trebuchet MS" w:cs="Trebuchet MS"/>
          <w:sz w:val="20"/>
          <w:szCs w:val="20"/>
        </w:rPr>
        <w:t>zaměření na témata sdíleného zájmu a pro společný prospěch;</w:t>
      </w:r>
    </w:p>
    <w:p w:rsidR="00D64D10" w:rsidRDefault="00D64D10">
      <w:pPr>
        <w:spacing w:before="1" w:after="0" w:line="200" w:lineRule="exact"/>
        <w:rPr>
          <w:sz w:val="20"/>
          <w:szCs w:val="20"/>
        </w:rPr>
      </w:pPr>
    </w:p>
    <w:p w:rsidR="00D64D10" w:rsidRDefault="00D64D10">
      <w:pPr>
        <w:spacing w:after="0" w:line="240" w:lineRule="auto"/>
        <w:ind w:left="713" w:right="2243"/>
        <w:jc w:val="both"/>
        <w:rPr>
          <w:rFonts w:ascii="Trebuchet MS" w:hAnsi="Trebuchet MS" w:cs="Trebuchet MS"/>
          <w:sz w:val="20"/>
          <w:szCs w:val="20"/>
        </w:rPr>
      </w:pPr>
      <w:r>
        <w:rPr>
          <w:rFonts w:ascii="Symbol" w:hAnsi="Symbol" w:cs="Symbol"/>
          <w:sz w:val="20"/>
          <w:szCs w:val="20"/>
        </w:rPr>
        <w:t></w:t>
      </w:r>
      <w:r>
        <w:rPr>
          <w:rFonts w:ascii="Times New Roman" w:hAnsi="Times New Roman" w:cs="Times New Roman"/>
          <w:sz w:val="20"/>
          <w:szCs w:val="20"/>
        </w:rPr>
        <w:t xml:space="preserve">    </w:t>
      </w:r>
      <w:r>
        <w:rPr>
          <w:rFonts w:ascii="Trebuchet MS" w:hAnsi="Trebuchet MS" w:cs="Trebuchet MS"/>
          <w:sz w:val="20"/>
          <w:szCs w:val="20"/>
        </w:rPr>
        <w:t xml:space="preserve">vyvinutí přenositelných výsledků, které mohou využívat různí </w:t>
      </w:r>
      <w:r w:rsidR="008A0566">
        <w:rPr>
          <w:rFonts w:ascii="Trebuchet MS" w:hAnsi="Trebuchet MS" w:cs="Trebuchet MS"/>
          <w:sz w:val="20"/>
          <w:szCs w:val="20"/>
        </w:rPr>
        <w:t>aktéři</w:t>
      </w:r>
      <w:r>
        <w:rPr>
          <w:rFonts w:ascii="Trebuchet MS" w:hAnsi="Trebuchet MS" w:cs="Trebuchet MS"/>
          <w:sz w:val="20"/>
          <w:szCs w:val="20"/>
        </w:rPr>
        <w:t xml:space="preserve"> a různá území.</w:t>
      </w:r>
    </w:p>
    <w:p w:rsidR="00D64D10" w:rsidRDefault="00D64D10">
      <w:pPr>
        <w:spacing w:before="10" w:after="0" w:line="190" w:lineRule="exact"/>
        <w:rPr>
          <w:sz w:val="19"/>
          <w:szCs w:val="19"/>
        </w:rPr>
      </w:pPr>
    </w:p>
    <w:p w:rsidR="00D64D10" w:rsidRDefault="00D64D10" w:rsidP="005F1D85">
      <w:pPr>
        <w:spacing w:after="0" w:line="240" w:lineRule="auto"/>
        <w:ind w:left="713" w:right="7490"/>
        <w:jc w:val="both"/>
        <w:rPr>
          <w:rFonts w:ascii="Trebuchet MS" w:hAnsi="Trebuchet MS" w:cs="Trebuchet MS"/>
          <w:sz w:val="20"/>
          <w:szCs w:val="20"/>
        </w:rPr>
      </w:pPr>
      <w:r>
        <w:rPr>
          <w:rFonts w:ascii="Trebuchet MS" w:hAnsi="Trebuchet MS" w:cs="Trebuchet MS"/>
          <w:b/>
          <w:bCs/>
          <w:sz w:val="20"/>
          <w:szCs w:val="20"/>
        </w:rPr>
        <w:t>Stavební práce</w:t>
      </w:r>
    </w:p>
    <w:p w:rsidR="00D64D10" w:rsidRDefault="00D64D10">
      <w:pPr>
        <w:spacing w:before="8" w:after="0" w:line="110" w:lineRule="exact"/>
        <w:rPr>
          <w:sz w:val="11"/>
          <w:szCs w:val="11"/>
        </w:rPr>
      </w:pPr>
    </w:p>
    <w:p w:rsidR="00D64D10" w:rsidRDefault="00D64D10">
      <w:pPr>
        <w:spacing w:after="0" w:line="240" w:lineRule="auto"/>
        <w:ind w:left="713" w:right="713"/>
        <w:jc w:val="both"/>
        <w:rPr>
          <w:rFonts w:ascii="Trebuchet MS" w:hAnsi="Trebuchet MS" w:cs="Trebuchet MS"/>
          <w:sz w:val="20"/>
          <w:szCs w:val="20"/>
        </w:rPr>
      </w:pPr>
      <w:r>
        <w:rPr>
          <w:rFonts w:ascii="Trebuchet MS" w:hAnsi="Trebuchet MS" w:cs="Trebuchet MS"/>
          <w:sz w:val="20"/>
          <w:szCs w:val="20"/>
        </w:rPr>
        <w:t>Výsledek souboru pozemních nebo inženýrských stavebních prací, který je sám o sobě dostatečný k plnění hospodářské nebo technické funkce (definice z článku 2</w:t>
      </w:r>
      <w:r w:rsidR="008A0566">
        <w:rPr>
          <w:rFonts w:ascii="Trebuchet MS" w:hAnsi="Trebuchet MS" w:cs="Trebuchet MS"/>
          <w:sz w:val="20"/>
          <w:szCs w:val="20"/>
        </w:rPr>
        <w:t>(</w:t>
      </w:r>
      <w:r>
        <w:rPr>
          <w:rFonts w:ascii="Trebuchet MS" w:hAnsi="Trebuchet MS" w:cs="Trebuchet MS"/>
          <w:sz w:val="20"/>
          <w:szCs w:val="20"/>
        </w:rPr>
        <w:t>1</w:t>
      </w:r>
      <w:r w:rsidR="008A0566">
        <w:rPr>
          <w:rFonts w:ascii="Trebuchet MS" w:hAnsi="Trebuchet MS" w:cs="Trebuchet MS"/>
          <w:sz w:val="20"/>
          <w:szCs w:val="20"/>
        </w:rPr>
        <w:t>)</w:t>
      </w:r>
      <w:r>
        <w:rPr>
          <w:rFonts w:ascii="Trebuchet MS" w:hAnsi="Trebuchet MS" w:cs="Trebuchet MS"/>
          <w:sz w:val="20"/>
          <w:szCs w:val="20"/>
        </w:rPr>
        <w:t xml:space="preserve"> směrnice Evropského parlamentu a Rady 2014/24/EU ze dne 26.02.2014).</w:t>
      </w:r>
    </w:p>
    <w:sectPr w:rsidR="00D64D10" w:rsidSect="00D12922">
      <w:pgSz w:w="11920" w:h="16840"/>
      <w:pgMar w:top="2260" w:right="380" w:bottom="540" w:left="420" w:header="11" w:footer="34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437" w:rsidRDefault="002A1437" w:rsidP="00D12922">
      <w:pPr>
        <w:spacing w:after="0" w:line="240" w:lineRule="auto"/>
      </w:pPr>
      <w:r>
        <w:separator/>
      </w:r>
    </w:p>
  </w:endnote>
  <w:endnote w:type="continuationSeparator" w:id="0">
    <w:p w:rsidR="002A1437" w:rsidRDefault="002A1437" w:rsidP="00D12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437" w:rsidRDefault="00AD762E">
    <w:pPr>
      <w:spacing w:after="0" w:line="200" w:lineRule="exact"/>
      <w:rPr>
        <w:sz w:val="20"/>
        <w:szCs w:val="20"/>
      </w:rPr>
    </w:pPr>
    <w:r>
      <w:rPr>
        <w:noProof/>
      </w:rPr>
      <w:pict>
        <v:shapetype id="_x0000_t202" coordsize="21600,21600" o:spt="202" path="m,l,21600r21600,l21600,xe">
          <v:stroke joinstyle="miter"/>
          <v:path gradientshapeok="t" o:connecttype="rect"/>
        </v:shapetype>
        <v:shape id="_x0000_s2050" type="#_x0000_t202" style="position:absolute;margin-left:497.1pt;margin-top:813.75pt;width:26.75pt;height:10.05pt;z-index:-251658240;mso-position-horizontal-relative:page;mso-position-vertical-relative:page" filled="f" stroked="f">
          <v:textbox inset="0,0,0,0">
            <w:txbxContent>
              <w:p w:rsidR="002A1437" w:rsidRDefault="002A1437">
                <w:pPr>
                  <w:spacing w:after="0" w:line="186" w:lineRule="exact"/>
                  <w:ind w:left="20" w:right="-20"/>
                  <w:rPr>
                    <w:rFonts w:ascii="Trebuchet MS" w:hAnsi="Trebuchet MS" w:cs="Trebuchet MS"/>
                    <w:sz w:val="16"/>
                    <w:szCs w:val="16"/>
                  </w:rPr>
                </w:pPr>
                <w:r>
                  <w:rPr>
                    <w:rFonts w:ascii="Trebuchet MS" w:hAnsi="Trebuchet MS" w:cs="Trebuchet MS"/>
                    <w:sz w:val="16"/>
                    <w:szCs w:val="16"/>
                  </w:rPr>
                  <w:t xml:space="preserve">Strana </w:t>
                </w:r>
                <w:r>
                  <w:rPr>
                    <w:rFonts w:ascii="Trebuchet MS" w:hAnsi="Trebuchet MS" w:cs="Trebuchet MS"/>
                    <w:sz w:val="16"/>
                    <w:szCs w:val="16"/>
                  </w:rPr>
                  <w:fldChar w:fldCharType="begin"/>
                </w:r>
                <w:r>
                  <w:rPr>
                    <w:rFonts w:ascii="Trebuchet MS" w:hAnsi="Trebuchet MS" w:cs="Trebuchet MS"/>
                    <w:sz w:val="16"/>
                    <w:szCs w:val="16"/>
                  </w:rPr>
                  <w:instrText xml:space="preserve"> PAGE </w:instrText>
                </w:r>
                <w:r>
                  <w:rPr>
                    <w:rFonts w:ascii="Trebuchet MS" w:hAnsi="Trebuchet MS" w:cs="Trebuchet MS"/>
                    <w:sz w:val="16"/>
                    <w:szCs w:val="16"/>
                  </w:rPr>
                  <w:fldChar w:fldCharType="separate"/>
                </w:r>
                <w:r w:rsidR="00AD762E">
                  <w:rPr>
                    <w:rFonts w:ascii="Trebuchet MS" w:hAnsi="Trebuchet MS" w:cs="Trebuchet MS"/>
                    <w:noProof/>
                    <w:sz w:val="16"/>
                    <w:szCs w:val="16"/>
                  </w:rPr>
                  <w:t>1</w:t>
                </w:r>
                <w:r>
                  <w:rPr>
                    <w:rFonts w:ascii="Trebuchet MS" w:hAnsi="Trebuchet MS" w:cs="Trebuchet MS"/>
                    <w:sz w:val="16"/>
                    <w:szCs w:val="16"/>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437" w:rsidRDefault="002A1437" w:rsidP="00D12922">
      <w:pPr>
        <w:spacing w:after="0" w:line="240" w:lineRule="auto"/>
      </w:pPr>
      <w:r>
        <w:separator/>
      </w:r>
    </w:p>
  </w:footnote>
  <w:footnote w:type="continuationSeparator" w:id="0">
    <w:p w:rsidR="002A1437" w:rsidRDefault="002A1437" w:rsidP="00D12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437" w:rsidRDefault="00AD762E">
    <w:pPr>
      <w:spacing w:after="0" w:line="200" w:lineRule="exact"/>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6.25pt;margin-top:.55pt;width:544.85pt;height:113.35pt;z-index:-251659264;mso-position-horizontal-relative:page;mso-position-vertical-relative:page">
          <v:imagedata r:id="rId1" o:title=""/>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2922"/>
    <w:rsid w:val="000C107A"/>
    <w:rsid w:val="00165720"/>
    <w:rsid w:val="001737A7"/>
    <w:rsid w:val="002A1437"/>
    <w:rsid w:val="002C6BB6"/>
    <w:rsid w:val="00311444"/>
    <w:rsid w:val="00470BFB"/>
    <w:rsid w:val="004B491D"/>
    <w:rsid w:val="004E6FE3"/>
    <w:rsid w:val="005731B8"/>
    <w:rsid w:val="005F1D85"/>
    <w:rsid w:val="00622EDF"/>
    <w:rsid w:val="006738EB"/>
    <w:rsid w:val="006E22F6"/>
    <w:rsid w:val="006E762C"/>
    <w:rsid w:val="00767412"/>
    <w:rsid w:val="007910C4"/>
    <w:rsid w:val="007C4FCA"/>
    <w:rsid w:val="007F24E5"/>
    <w:rsid w:val="007F5C15"/>
    <w:rsid w:val="00890E2E"/>
    <w:rsid w:val="008A0566"/>
    <w:rsid w:val="0091533A"/>
    <w:rsid w:val="0098044E"/>
    <w:rsid w:val="0099461A"/>
    <w:rsid w:val="00A10ADB"/>
    <w:rsid w:val="00AD762E"/>
    <w:rsid w:val="00BA6E01"/>
    <w:rsid w:val="00C110AA"/>
    <w:rsid w:val="00D12922"/>
    <w:rsid w:val="00D14EAB"/>
    <w:rsid w:val="00D56A27"/>
    <w:rsid w:val="00D64D10"/>
    <w:rsid w:val="00DA0146"/>
    <w:rsid w:val="00E662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widowControl w:val="0"/>
      <w:spacing w:after="200" w:line="276" w:lineRule="auto"/>
    </w:pPr>
    <w:rPr>
      <w:rFonts w:cs="Calibr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pPr>
      <w:widowControl/>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F33428"/>
    <w:rPr>
      <w:rFonts w:ascii="Times New Roman" w:hAnsi="Times New Roman"/>
      <w:sz w:val="0"/>
      <w:szCs w:val="0"/>
    </w:rPr>
  </w:style>
  <w:style w:type="character" w:styleId="Hypertextovodkaz">
    <w:name w:val="Hyperlink"/>
    <w:basedOn w:val="Standardnpsmoodstavce"/>
    <w:uiPriority w:val="99"/>
    <w:unhideWhenUsed/>
    <w:rsid w:val="004E6F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nterreg-central.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5</Pages>
  <Words>1315</Words>
  <Characters>7759</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Implementation manual</vt:lpstr>
    </vt:vector>
  </TitlesOfParts>
  <Company/>
  <LinksUpToDate>false</LinksUpToDate>
  <CharactersWithSpaces>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Kascaková Dana</dc:creator>
  <cp:keywords/>
  <dc:description/>
  <cp:lastModifiedBy>*</cp:lastModifiedBy>
  <cp:revision>25</cp:revision>
  <dcterms:created xsi:type="dcterms:W3CDTF">2016-08-04T01:53:00Z</dcterms:created>
  <dcterms:modified xsi:type="dcterms:W3CDTF">2016-12-20T15:41:00Z</dcterms:modified>
</cp:coreProperties>
</file>