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B21" w:rsidRPr="00302DDF" w:rsidRDefault="00A64B21" w:rsidP="00B23207">
      <w:pPr>
        <w:pStyle w:val="Nzev"/>
      </w:pPr>
      <w:r w:rsidRPr="00302DDF">
        <w:t>Mapování územních rozdílů v přístupu k péči návazné a vysoce specializované</w:t>
      </w:r>
    </w:p>
    <w:p w:rsidR="00A64B21" w:rsidRPr="00302DDF" w:rsidRDefault="00A64B21">
      <w:pPr>
        <w:pStyle w:val="Nadpisobsahu"/>
      </w:pPr>
      <w:r w:rsidRPr="00302DDF">
        <w:t>Obsah</w:t>
      </w:r>
    </w:p>
    <w:p w:rsidR="00616A2E" w:rsidRDefault="00A64B21">
      <w:pPr>
        <w:pStyle w:val="Obsah1"/>
        <w:tabs>
          <w:tab w:val="left" w:pos="440"/>
          <w:tab w:val="right" w:leader="dot" w:pos="9062"/>
        </w:tabs>
        <w:rPr>
          <w:rFonts w:asciiTheme="minorHAnsi" w:eastAsiaTheme="minorEastAsia" w:hAnsiTheme="minorHAnsi" w:cstheme="minorBidi"/>
          <w:noProof/>
          <w:sz w:val="22"/>
          <w:szCs w:val="22"/>
        </w:rPr>
      </w:pPr>
      <w:r w:rsidRPr="00302DDF">
        <w:fldChar w:fldCharType="begin"/>
      </w:r>
      <w:r w:rsidRPr="00302DDF">
        <w:instrText xml:space="preserve"> TOC \o "1-3" \h \z \u </w:instrText>
      </w:r>
      <w:r w:rsidRPr="00302DDF">
        <w:fldChar w:fldCharType="separate"/>
      </w:r>
      <w:hyperlink w:anchor="_Toc401926076" w:history="1">
        <w:r w:rsidR="00616A2E" w:rsidRPr="002A3C8A">
          <w:rPr>
            <w:rStyle w:val="Hypertextovodkaz"/>
            <w:noProof/>
          </w:rPr>
          <w:t>1.</w:t>
        </w:r>
        <w:r w:rsidR="00616A2E">
          <w:rPr>
            <w:rFonts w:asciiTheme="minorHAnsi" w:eastAsiaTheme="minorEastAsia" w:hAnsiTheme="minorHAnsi" w:cstheme="minorBidi"/>
            <w:noProof/>
            <w:sz w:val="22"/>
            <w:szCs w:val="22"/>
          </w:rPr>
          <w:tab/>
        </w:r>
        <w:r w:rsidR="00616A2E" w:rsidRPr="002A3C8A">
          <w:rPr>
            <w:rStyle w:val="Hypertextovodkaz"/>
            <w:noProof/>
          </w:rPr>
          <w:t>Účel dokumentu</w:t>
        </w:r>
        <w:r w:rsidR="00616A2E">
          <w:rPr>
            <w:noProof/>
            <w:webHidden/>
          </w:rPr>
          <w:tab/>
        </w:r>
        <w:r w:rsidR="00616A2E">
          <w:rPr>
            <w:noProof/>
            <w:webHidden/>
          </w:rPr>
          <w:fldChar w:fldCharType="begin"/>
        </w:r>
        <w:r w:rsidR="00616A2E">
          <w:rPr>
            <w:noProof/>
            <w:webHidden/>
          </w:rPr>
          <w:instrText xml:space="preserve"> PAGEREF _Toc401926076 \h </w:instrText>
        </w:r>
        <w:r w:rsidR="00616A2E">
          <w:rPr>
            <w:noProof/>
            <w:webHidden/>
          </w:rPr>
        </w:r>
        <w:r w:rsidR="00616A2E">
          <w:rPr>
            <w:noProof/>
            <w:webHidden/>
          </w:rPr>
          <w:fldChar w:fldCharType="separate"/>
        </w:r>
        <w:r w:rsidR="00616A2E">
          <w:rPr>
            <w:noProof/>
            <w:webHidden/>
          </w:rPr>
          <w:t>2</w:t>
        </w:r>
        <w:r w:rsidR="00616A2E">
          <w:rPr>
            <w:noProof/>
            <w:webHidden/>
          </w:rPr>
          <w:fldChar w:fldCharType="end"/>
        </w:r>
      </w:hyperlink>
    </w:p>
    <w:p w:rsidR="00616A2E" w:rsidRDefault="007F6036">
      <w:pPr>
        <w:pStyle w:val="Obsah1"/>
        <w:tabs>
          <w:tab w:val="left" w:pos="440"/>
          <w:tab w:val="right" w:leader="dot" w:pos="9062"/>
        </w:tabs>
        <w:rPr>
          <w:rFonts w:asciiTheme="minorHAnsi" w:eastAsiaTheme="minorEastAsia" w:hAnsiTheme="minorHAnsi" w:cstheme="minorBidi"/>
          <w:noProof/>
          <w:sz w:val="22"/>
          <w:szCs w:val="22"/>
        </w:rPr>
      </w:pPr>
      <w:hyperlink w:anchor="_Toc401926077" w:history="1">
        <w:r w:rsidR="00616A2E" w:rsidRPr="002A3C8A">
          <w:rPr>
            <w:rStyle w:val="Hypertextovodkaz"/>
            <w:noProof/>
          </w:rPr>
          <w:t>2.</w:t>
        </w:r>
        <w:r w:rsidR="00616A2E">
          <w:rPr>
            <w:rFonts w:asciiTheme="minorHAnsi" w:eastAsiaTheme="minorEastAsia" w:hAnsiTheme="minorHAnsi" w:cstheme="minorBidi"/>
            <w:noProof/>
            <w:sz w:val="22"/>
            <w:szCs w:val="22"/>
          </w:rPr>
          <w:tab/>
        </w:r>
        <w:r w:rsidR="00616A2E" w:rsidRPr="002A3C8A">
          <w:rPr>
            <w:rStyle w:val="Hypertextovodkaz"/>
            <w:noProof/>
          </w:rPr>
          <w:t>Definice vysoce specializované péče</w:t>
        </w:r>
        <w:r w:rsidR="00616A2E">
          <w:rPr>
            <w:noProof/>
            <w:webHidden/>
          </w:rPr>
          <w:tab/>
        </w:r>
        <w:r w:rsidR="00616A2E">
          <w:rPr>
            <w:noProof/>
            <w:webHidden/>
          </w:rPr>
          <w:fldChar w:fldCharType="begin"/>
        </w:r>
        <w:r w:rsidR="00616A2E">
          <w:rPr>
            <w:noProof/>
            <w:webHidden/>
          </w:rPr>
          <w:instrText xml:space="preserve"> PAGEREF _Toc401926077 \h </w:instrText>
        </w:r>
        <w:r w:rsidR="00616A2E">
          <w:rPr>
            <w:noProof/>
            <w:webHidden/>
          </w:rPr>
        </w:r>
        <w:r w:rsidR="00616A2E">
          <w:rPr>
            <w:noProof/>
            <w:webHidden/>
          </w:rPr>
          <w:fldChar w:fldCharType="separate"/>
        </w:r>
        <w:r w:rsidR="00616A2E">
          <w:rPr>
            <w:noProof/>
            <w:webHidden/>
          </w:rPr>
          <w:t>2</w:t>
        </w:r>
        <w:r w:rsidR="00616A2E">
          <w:rPr>
            <w:noProof/>
            <w:webHidden/>
          </w:rPr>
          <w:fldChar w:fldCharType="end"/>
        </w:r>
      </w:hyperlink>
    </w:p>
    <w:p w:rsidR="00616A2E" w:rsidRDefault="007F6036">
      <w:pPr>
        <w:pStyle w:val="Obsah1"/>
        <w:tabs>
          <w:tab w:val="left" w:pos="440"/>
          <w:tab w:val="right" w:leader="dot" w:pos="9062"/>
        </w:tabs>
        <w:rPr>
          <w:rFonts w:asciiTheme="minorHAnsi" w:eastAsiaTheme="minorEastAsia" w:hAnsiTheme="minorHAnsi" w:cstheme="minorBidi"/>
          <w:noProof/>
          <w:sz w:val="22"/>
          <w:szCs w:val="22"/>
        </w:rPr>
      </w:pPr>
      <w:hyperlink w:anchor="_Toc401926078" w:history="1">
        <w:r w:rsidR="00616A2E" w:rsidRPr="002A3C8A">
          <w:rPr>
            <w:rStyle w:val="Hypertextovodkaz"/>
            <w:noProof/>
          </w:rPr>
          <w:t>3.</w:t>
        </w:r>
        <w:r w:rsidR="00616A2E">
          <w:rPr>
            <w:rFonts w:asciiTheme="minorHAnsi" w:eastAsiaTheme="minorEastAsia" w:hAnsiTheme="minorHAnsi" w:cstheme="minorBidi"/>
            <w:noProof/>
            <w:sz w:val="22"/>
            <w:szCs w:val="22"/>
          </w:rPr>
          <w:tab/>
        </w:r>
        <w:r w:rsidR="00616A2E" w:rsidRPr="002A3C8A">
          <w:rPr>
            <w:rStyle w:val="Hypertextovodkaz"/>
            <w:noProof/>
          </w:rPr>
          <w:t>Definice návazné péče</w:t>
        </w:r>
        <w:r w:rsidR="00616A2E">
          <w:rPr>
            <w:noProof/>
            <w:webHidden/>
          </w:rPr>
          <w:tab/>
        </w:r>
        <w:r w:rsidR="00616A2E">
          <w:rPr>
            <w:noProof/>
            <w:webHidden/>
          </w:rPr>
          <w:fldChar w:fldCharType="begin"/>
        </w:r>
        <w:r w:rsidR="00616A2E">
          <w:rPr>
            <w:noProof/>
            <w:webHidden/>
          </w:rPr>
          <w:instrText xml:space="preserve"> PAGEREF _Toc401926078 \h </w:instrText>
        </w:r>
        <w:r w:rsidR="00616A2E">
          <w:rPr>
            <w:noProof/>
            <w:webHidden/>
          </w:rPr>
        </w:r>
        <w:r w:rsidR="00616A2E">
          <w:rPr>
            <w:noProof/>
            <w:webHidden/>
          </w:rPr>
          <w:fldChar w:fldCharType="separate"/>
        </w:r>
        <w:r w:rsidR="00616A2E">
          <w:rPr>
            <w:noProof/>
            <w:webHidden/>
          </w:rPr>
          <w:t>2</w:t>
        </w:r>
        <w:r w:rsidR="00616A2E">
          <w:rPr>
            <w:noProof/>
            <w:webHidden/>
          </w:rPr>
          <w:fldChar w:fldCharType="end"/>
        </w:r>
      </w:hyperlink>
    </w:p>
    <w:p w:rsidR="00616A2E" w:rsidRDefault="007F6036">
      <w:pPr>
        <w:pStyle w:val="Obsah1"/>
        <w:tabs>
          <w:tab w:val="left" w:pos="440"/>
          <w:tab w:val="right" w:leader="dot" w:pos="9062"/>
        </w:tabs>
        <w:rPr>
          <w:rFonts w:asciiTheme="minorHAnsi" w:eastAsiaTheme="minorEastAsia" w:hAnsiTheme="minorHAnsi" w:cstheme="minorBidi"/>
          <w:noProof/>
          <w:sz w:val="22"/>
          <w:szCs w:val="22"/>
        </w:rPr>
      </w:pPr>
      <w:hyperlink w:anchor="_Toc401926079" w:history="1">
        <w:r w:rsidR="00616A2E" w:rsidRPr="002A3C8A">
          <w:rPr>
            <w:rStyle w:val="Hypertextovodkaz"/>
            <w:noProof/>
          </w:rPr>
          <w:t>4.</w:t>
        </w:r>
        <w:r w:rsidR="00616A2E">
          <w:rPr>
            <w:rFonts w:asciiTheme="minorHAnsi" w:eastAsiaTheme="minorEastAsia" w:hAnsiTheme="minorHAnsi" w:cstheme="minorBidi"/>
            <w:noProof/>
            <w:sz w:val="22"/>
            <w:szCs w:val="22"/>
          </w:rPr>
          <w:tab/>
        </w:r>
        <w:r w:rsidR="00616A2E" w:rsidRPr="002A3C8A">
          <w:rPr>
            <w:rStyle w:val="Hypertextovodkaz"/>
            <w:noProof/>
          </w:rPr>
          <w:t>Regionální dimenze návazné péče</w:t>
        </w:r>
        <w:r w:rsidR="00616A2E">
          <w:rPr>
            <w:noProof/>
            <w:webHidden/>
          </w:rPr>
          <w:tab/>
        </w:r>
        <w:r w:rsidR="00616A2E">
          <w:rPr>
            <w:noProof/>
            <w:webHidden/>
          </w:rPr>
          <w:fldChar w:fldCharType="begin"/>
        </w:r>
        <w:r w:rsidR="00616A2E">
          <w:rPr>
            <w:noProof/>
            <w:webHidden/>
          </w:rPr>
          <w:instrText xml:space="preserve"> PAGEREF _Toc401926079 \h </w:instrText>
        </w:r>
        <w:r w:rsidR="00616A2E">
          <w:rPr>
            <w:noProof/>
            <w:webHidden/>
          </w:rPr>
        </w:r>
        <w:r w:rsidR="00616A2E">
          <w:rPr>
            <w:noProof/>
            <w:webHidden/>
          </w:rPr>
          <w:fldChar w:fldCharType="separate"/>
        </w:r>
        <w:r w:rsidR="00616A2E">
          <w:rPr>
            <w:noProof/>
            <w:webHidden/>
          </w:rPr>
          <w:t>4</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0" w:history="1">
        <w:r w:rsidR="00616A2E" w:rsidRPr="002A3C8A">
          <w:rPr>
            <w:rStyle w:val="Hypertextovodkaz"/>
            <w:noProof/>
          </w:rPr>
          <w:t>4.1.</w:t>
        </w:r>
        <w:r w:rsidR="00616A2E">
          <w:rPr>
            <w:rFonts w:asciiTheme="minorHAnsi" w:eastAsiaTheme="minorEastAsia" w:hAnsiTheme="minorHAnsi" w:cstheme="minorBidi"/>
            <w:noProof/>
            <w:sz w:val="22"/>
            <w:szCs w:val="22"/>
          </w:rPr>
          <w:tab/>
        </w:r>
        <w:r w:rsidR="00616A2E" w:rsidRPr="002A3C8A">
          <w:rPr>
            <w:rStyle w:val="Hypertextovodkaz"/>
            <w:noProof/>
          </w:rPr>
          <w:t>Traumatologie</w:t>
        </w:r>
        <w:r w:rsidR="00616A2E">
          <w:rPr>
            <w:noProof/>
            <w:webHidden/>
          </w:rPr>
          <w:tab/>
        </w:r>
        <w:r w:rsidR="00616A2E">
          <w:rPr>
            <w:noProof/>
            <w:webHidden/>
          </w:rPr>
          <w:fldChar w:fldCharType="begin"/>
        </w:r>
        <w:r w:rsidR="00616A2E">
          <w:rPr>
            <w:noProof/>
            <w:webHidden/>
          </w:rPr>
          <w:instrText xml:space="preserve"> PAGEREF _Toc401926080 \h </w:instrText>
        </w:r>
        <w:r w:rsidR="00616A2E">
          <w:rPr>
            <w:noProof/>
            <w:webHidden/>
          </w:rPr>
        </w:r>
        <w:r w:rsidR="00616A2E">
          <w:rPr>
            <w:noProof/>
            <w:webHidden/>
          </w:rPr>
          <w:fldChar w:fldCharType="separate"/>
        </w:r>
        <w:r w:rsidR="00616A2E">
          <w:rPr>
            <w:noProof/>
            <w:webHidden/>
          </w:rPr>
          <w:t>4</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1" w:history="1">
        <w:r w:rsidR="00616A2E" w:rsidRPr="002A3C8A">
          <w:rPr>
            <w:rStyle w:val="Hypertextovodkaz"/>
            <w:noProof/>
          </w:rPr>
          <w:t>4.2.</w:t>
        </w:r>
        <w:r w:rsidR="00616A2E">
          <w:rPr>
            <w:rFonts w:asciiTheme="minorHAnsi" w:eastAsiaTheme="minorEastAsia" w:hAnsiTheme="minorHAnsi" w:cstheme="minorBidi"/>
            <w:noProof/>
            <w:sz w:val="22"/>
            <w:szCs w:val="22"/>
          </w:rPr>
          <w:tab/>
        </w:r>
        <w:r w:rsidR="00616A2E" w:rsidRPr="002A3C8A">
          <w:rPr>
            <w:rStyle w:val="Hypertextovodkaz"/>
            <w:noProof/>
          </w:rPr>
          <w:t>Kardiovaskulární péče</w:t>
        </w:r>
        <w:r w:rsidR="00616A2E">
          <w:rPr>
            <w:noProof/>
            <w:webHidden/>
          </w:rPr>
          <w:tab/>
        </w:r>
        <w:r w:rsidR="00616A2E">
          <w:rPr>
            <w:noProof/>
            <w:webHidden/>
          </w:rPr>
          <w:fldChar w:fldCharType="begin"/>
        </w:r>
        <w:r w:rsidR="00616A2E">
          <w:rPr>
            <w:noProof/>
            <w:webHidden/>
          </w:rPr>
          <w:instrText xml:space="preserve"> PAGEREF _Toc401926081 \h </w:instrText>
        </w:r>
        <w:r w:rsidR="00616A2E">
          <w:rPr>
            <w:noProof/>
            <w:webHidden/>
          </w:rPr>
        </w:r>
        <w:r w:rsidR="00616A2E">
          <w:rPr>
            <w:noProof/>
            <w:webHidden/>
          </w:rPr>
          <w:fldChar w:fldCharType="separate"/>
        </w:r>
        <w:r w:rsidR="00616A2E">
          <w:rPr>
            <w:noProof/>
            <w:webHidden/>
          </w:rPr>
          <w:t>6</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2" w:history="1">
        <w:r w:rsidR="00616A2E" w:rsidRPr="002A3C8A">
          <w:rPr>
            <w:rStyle w:val="Hypertextovodkaz"/>
            <w:noProof/>
          </w:rPr>
          <w:t>4.3.</w:t>
        </w:r>
        <w:r w:rsidR="00616A2E">
          <w:rPr>
            <w:rFonts w:asciiTheme="minorHAnsi" w:eastAsiaTheme="minorEastAsia" w:hAnsiTheme="minorHAnsi" w:cstheme="minorBidi"/>
            <w:noProof/>
            <w:sz w:val="22"/>
            <w:szCs w:val="22"/>
          </w:rPr>
          <w:tab/>
        </w:r>
        <w:r w:rsidR="00616A2E" w:rsidRPr="002A3C8A">
          <w:rPr>
            <w:rStyle w:val="Hypertextovodkaz"/>
            <w:noProof/>
          </w:rPr>
          <w:t>Cerebrovaskulární péče</w:t>
        </w:r>
        <w:r w:rsidR="00616A2E">
          <w:rPr>
            <w:noProof/>
            <w:webHidden/>
          </w:rPr>
          <w:tab/>
        </w:r>
        <w:r w:rsidR="00616A2E">
          <w:rPr>
            <w:noProof/>
            <w:webHidden/>
          </w:rPr>
          <w:fldChar w:fldCharType="begin"/>
        </w:r>
        <w:r w:rsidR="00616A2E">
          <w:rPr>
            <w:noProof/>
            <w:webHidden/>
          </w:rPr>
          <w:instrText xml:space="preserve"> PAGEREF _Toc401926082 \h </w:instrText>
        </w:r>
        <w:r w:rsidR="00616A2E">
          <w:rPr>
            <w:noProof/>
            <w:webHidden/>
          </w:rPr>
        </w:r>
        <w:r w:rsidR="00616A2E">
          <w:rPr>
            <w:noProof/>
            <w:webHidden/>
          </w:rPr>
          <w:fldChar w:fldCharType="separate"/>
        </w:r>
        <w:r w:rsidR="00616A2E">
          <w:rPr>
            <w:noProof/>
            <w:webHidden/>
          </w:rPr>
          <w:t>7</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3" w:history="1">
        <w:r w:rsidR="00616A2E" w:rsidRPr="002A3C8A">
          <w:rPr>
            <w:rStyle w:val="Hypertextovodkaz"/>
            <w:noProof/>
          </w:rPr>
          <w:t>4.4.</w:t>
        </w:r>
        <w:r w:rsidR="00616A2E">
          <w:rPr>
            <w:rFonts w:asciiTheme="minorHAnsi" w:eastAsiaTheme="minorEastAsia" w:hAnsiTheme="minorHAnsi" w:cstheme="minorBidi"/>
            <w:noProof/>
            <w:sz w:val="22"/>
            <w:szCs w:val="22"/>
          </w:rPr>
          <w:tab/>
        </w:r>
        <w:r w:rsidR="00616A2E" w:rsidRPr="002A3C8A">
          <w:rPr>
            <w:rStyle w:val="Hypertextovodkaz"/>
            <w:noProof/>
          </w:rPr>
          <w:t>Perinatologie</w:t>
        </w:r>
        <w:r w:rsidR="00616A2E">
          <w:rPr>
            <w:noProof/>
            <w:webHidden/>
          </w:rPr>
          <w:tab/>
        </w:r>
        <w:r w:rsidR="00616A2E">
          <w:rPr>
            <w:noProof/>
            <w:webHidden/>
          </w:rPr>
          <w:fldChar w:fldCharType="begin"/>
        </w:r>
        <w:r w:rsidR="00616A2E">
          <w:rPr>
            <w:noProof/>
            <w:webHidden/>
          </w:rPr>
          <w:instrText xml:space="preserve"> PAGEREF _Toc401926083 \h </w:instrText>
        </w:r>
        <w:r w:rsidR="00616A2E">
          <w:rPr>
            <w:noProof/>
            <w:webHidden/>
          </w:rPr>
        </w:r>
        <w:r w:rsidR="00616A2E">
          <w:rPr>
            <w:noProof/>
            <w:webHidden/>
          </w:rPr>
          <w:fldChar w:fldCharType="separate"/>
        </w:r>
        <w:r w:rsidR="00616A2E">
          <w:rPr>
            <w:noProof/>
            <w:webHidden/>
          </w:rPr>
          <w:t>9</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4" w:history="1">
        <w:r w:rsidR="00616A2E" w:rsidRPr="002A3C8A">
          <w:rPr>
            <w:rStyle w:val="Hypertextovodkaz"/>
            <w:noProof/>
          </w:rPr>
          <w:t>4.5.</w:t>
        </w:r>
        <w:r w:rsidR="00616A2E">
          <w:rPr>
            <w:rFonts w:asciiTheme="minorHAnsi" w:eastAsiaTheme="minorEastAsia" w:hAnsiTheme="minorHAnsi" w:cstheme="minorBidi"/>
            <w:noProof/>
            <w:sz w:val="22"/>
            <w:szCs w:val="22"/>
          </w:rPr>
          <w:tab/>
        </w:r>
        <w:r w:rsidR="00616A2E" w:rsidRPr="002A3C8A">
          <w:rPr>
            <w:rStyle w:val="Hypertextovodkaz"/>
            <w:noProof/>
          </w:rPr>
          <w:t>Novotvary</w:t>
        </w:r>
        <w:r w:rsidR="00616A2E">
          <w:rPr>
            <w:noProof/>
            <w:webHidden/>
          </w:rPr>
          <w:tab/>
        </w:r>
        <w:r w:rsidR="00616A2E">
          <w:rPr>
            <w:noProof/>
            <w:webHidden/>
          </w:rPr>
          <w:fldChar w:fldCharType="begin"/>
        </w:r>
        <w:r w:rsidR="00616A2E">
          <w:rPr>
            <w:noProof/>
            <w:webHidden/>
          </w:rPr>
          <w:instrText xml:space="preserve"> PAGEREF _Toc401926084 \h </w:instrText>
        </w:r>
        <w:r w:rsidR="00616A2E">
          <w:rPr>
            <w:noProof/>
            <w:webHidden/>
          </w:rPr>
        </w:r>
        <w:r w:rsidR="00616A2E">
          <w:rPr>
            <w:noProof/>
            <w:webHidden/>
          </w:rPr>
          <w:fldChar w:fldCharType="separate"/>
        </w:r>
        <w:r w:rsidR="00616A2E">
          <w:rPr>
            <w:noProof/>
            <w:webHidden/>
          </w:rPr>
          <w:t>11</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5" w:history="1">
        <w:r w:rsidR="00616A2E" w:rsidRPr="002A3C8A">
          <w:rPr>
            <w:rStyle w:val="Hypertextovodkaz"/>
            <w:noProof/>
          </w:rPr>
          <w:t>4.6.</w:t>
        </w:r>
        <w:r w:rsidR="00616A2E">
          <w:rPr>
            <w:rFonts w:asciiTheme="minorHAnsi" w:eastAsiaTheme="minorEastAsia" w:hAnsiTheme="minorHAnsi" w:cstheme="minorBidi"/>
            <w:noProof/>
            <w:sz w:val="22"/>
            <w:szCs w:val="22"/>
          </w:rPr>
          <w:tab/>
        </w:r>
        <w:r w:rsidR="00616A2E" w:rsidRPr="002A3C8A">
          <w:rPr>
            <w:rStyle w:val="Hypertextovodkaz"/>
            <w:noProof/>
          </w:rPr>
          <w:t>Onkogynekologická péče</w:t>
        </w:r>
        <w:r w:rsidR="00616A2E">
          <w:rPr>
            <w:noProof/>
            <w:webHidden/>
          </w:rPr>
          <w:tab/>
        </w:r>
        <w:r w:rsidR="00616A2E">
          <w:rPr>
            <w:noProof/>
            <w:webHidden/>
          </w:rPr>
          <w:fldChar w:fldCharType="begin"/>
        </w:r>
        <w:r w:rsidR="00616A2E">
          <w:rPr>
            <w:noProof/>
            <w:webHidden/>
          </w:rPr>
          <w:instrText xml:space="preserve"> PAGEREF _Toc401926085 \h </w:instrText>
        </w:r>
        <w:r w:rsidR="00616A2E">
          <w:rPr>
            <w:noProof/>
            <w:webHidden/>
          </w:rPr>
        </w:r>
        <w:r w:rsidR="00616A2E">
          <w:rPr>
            <w:noProof/>
            <w:webHidden/>
          </w:rPr>
          <w:fldChar w:fldCharType="separate"/>
        </w:r>
        <w:r w:rsidR="00616A2E">
          <w:rPr>
            <w:noProof/>
            <w:webHidden/>
          </w:rPr>
          <w:t>12</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6" w:history="1">
        <w:r w:rsidR="00616A2E" w:rsidRPr="002A3C8A">
          <w:rPr>
            <w:rStyle w:val="Hypertextovodkaz"/>
            <w:noProof/>
          </w:rPr>
          <w:t>4.7.</w:t>
        </w:r>
        <w:r w:rsidR="00616A2E">
          <w:rPr>
            <w:rFonts w:asciiTheme="minorHAnsi" w:eastAsiaTheme="minorEastAsia" w:hAnsiTheme="minorHAnsi" w:cstheme="minorBidi"/>
            <w:noProof/>
            <w:sz w:val="22"/>
            <w:szCs w:val="22"/>
          </w:rPr>
          <w:tab/>
        </w:r>
        <w:r w:rsidR="00616A2E" w:rsidRPr="002A3C8A">
          <w:rPr>
            <w:rStyle w:val="Hypertextovodkaz"/>
            <w:noProof/>
          </w:rPr>
          <w:t>Shrnutí</w:t>
        </w:r>
        <w:r w:rsidR="00616A2E">
          <w:rPr>
            <w:noProof/>
            <w:webHidden/>
          </w:rPr>
          <w:tab/>
        </w:r>
        <w:r w:rsidR="00616A2E">
          <w:rPr>
            <w:noProof/>
            <w:webHidden/>
          </w:rPr>
          <w:fldChar w:fldCharType="begin"/>
        </w:r>
        <w:r w:rsidR="00616A2E">
          <w:rPr>
            <w:noProof/>
            <w:webHidden/>
          </w:rPr>
          <w:instrText xml:space="preserve"> PAGEREF _Toc401926086 \h </w:instrText>
        </w:r>
        <w:r w:rsidR="00616A2E">
          <w:rPr>
            <w:noProof/>
            <w:webHidden/>
          </w:rPr>
        </w:r>
        <w:r w:rsidR="00616A2E">
          <w:rPr>
            <w:noProof/>
            <w:webHidden/>
          </w:rPr>
          <w:fldChar w:fldCharType="separate"/>
        </w:r>
        <w:r w:rsidR="00616A2E">
          <w:rPr>
            <w:noProof/>
            <w:webHidden/>
          </w:rPr>
          <w:t>13</w:t>
        </w:r>
        <w:r w:rsidR="00616A2E">
          <w:rPr>
            <w:noProof/>
            <w:webHidden/>
          </w:rPr>
          <w:fldChar w:fldCharType="end"/>
        </w:r>
      </w:hyperlink>
    </w:p>
    <w:p w:rsidR="00616A2E" w:rsidRDefault="007F6036">
      <w:pPr>
        <w:pStyle w:val="Obsah1"/>
        <w:tabs>
          <w:tab w:val="left" w:pos="440"/>
          <w:tab w:val="right" w:leader="dot" w:pos="9062"/>
        </w:tabs>
        <w:rPr>
          <w:rFonts w:asciiTheme="minorHAnsi" w:eastAsiaTheme="minorEastAsia" w:hAnsiTheme="minorHAnsi" w:cstheme="minorBidi"/>
          <w:noProof/>
          <w:sz w:val="22"/>
          <w:szCs w:val="22"/>
        </w:rPr>
      </w:pPr>
      <w:hyperlink w:anchor="_Toc401926087" w:history="1">
        <w:r w:rsidR="00616A2E" w:rsidRPr="002A3C8A">
          <w:rPr>
            <w:rStyle w:val="Hypertextovodkaz"/>
            <w:noProof/>
          </w:rPr>
          <w:t>5.</w:t>
        </w:r>
        <w:r w:rsidR="00616A2E">
          <w:rPr>
            <w:rFonts w:asciiTheme="minorHAnsi" w:eastAsiaTheme="minorEastAsia" w:hAnsiTheme="minorHAnsi" w:cstheme="minorBidi"/>
            <w:noProof/>
            <w:sz w:val="22"/>
            <w:szCs w:val="22"/>
          </w:rPr>
          <w:tab/>
        </w:r>
        <w:r w:rsidR="00616A2E" w:rsidRPr="002A3C8A">
          <w:rPr>
            <w:rStyle w:val="Hypertextovodkaz"/>
            <w:noProof/>
          </w:rPr>
          <w:t>Specifické postavení fakultních nemocnic v rámci systému návazné péče</w:t>
        </w:r>
        <w:r w:rsidR="00616A2E">
          <w:rPr>
            <w:noProof/>
            <w:webHidden/>
          </w:rPr>
          <w:tab/>
        </w:r>
        <w:r w:rsidR="00616A2E">
          <w:rPr>
            <w:noProof/>
            <w:webHidden/>
          </w:rPr>
          <w:fldChar w:fldCharType="begin"/>
        </w:r>
        <w:r w:rsidR="00616A2E">
          <w:rPr>
            <w:noProof/>
            <w:webHidden/>
          </w:rPr>
          <w:instrText xml:space="preserve"> PAGEREF _Toc401926087 \h </w:instrText>
        </w:r>
        <w:r w:rsidR="00616A2E">
          <w:rPr>
            <w:noProof/>
            <w:webHidden/>
          </w:rPr>
        </w:r>
        <w:r w:rsidR="00616A2E">
          <w:rPr>
            <w:noProof/>
            <w:webHidden/>
          </w:rPr>
          <w:fldChar w:fldCharType="separate"/>
        </w:r>
        <w:r w:rsidR="00616A2E">
          <w:rPr>
            <w:noProof/>
            <w:webHidden/>
          </w:rPr>
          <w:t>17</w:t>
        </w:r>
        <w:r w:rsidR="00616A2E">
          <w:rPr>
            <w:noProof/>
            <w:webHidden/>
          </w:rPr>
          <w:fldChar w:fldCharType="end"/>
        </w:r>
      </w:hyperlink>
    </w:p>
    <w:p w:rsidR="00616A2E" w:rsidRDefault="007F6036">
      <w:pPr>
        <w:pStyle w:val="Obsah1"/>
        <w:tabs>
          <w:tab w:val="left" w:pos="440"/>
          <w:tab w:val="right" w:leader="dot" w:pos="9062"/>
        </w:tabs>
        <w:rPr>
          <w:rFonts w:asciiTheme="minorHAnsi" w:eastAsiaTheme="minorEastAsia" w:hAnsiTheme="minorHAnsi" w:cstheme="minorBidi"/>
          <w:noProof/>
          <w:sz w:val="22"/>
          <w:szCs w:val="22"/>
        </w:rPr>
      </w:pPr>
      <w:hyperlink w:anchor="_Toc401926088" w:history="1">
        <w:r w:rsidR="00616A2E" w:rsidRPr="002A3C8A">
          <w:rPr>
            <w:rStyle w:val="Hypertextovodkaz"/>
            <w:noProof/>
          </w:rPr>
          <w:t>6.</w:t>
        </w:r>
        <w:r w:rsidR="00616A2E">
          <w:rPr>
            <w:rFonts w:asciiTheme="minorHAnsi" w:eastAsiaTheme="minorEastAsia" w:hAnsiTheme="minorHAnsi" w:cstheme="minorBidi"/>
            <w:noProof/>
            <w:sz w:val="22"/>
            <w:szCs w:val="22"/>
          </w:rPr>
          <w:tab/>
        </w:r>
        <w:r w:rsidR="00616A2E" w:rsidRPr="002A3C8A">
          <w:rPr>
            <w:rStyle w:val="Hypertextovodkaz"/>
            <w:noProof/>
          </w:rPr>
          <w:t>Návazná péče v regionálním aspektu</w:t>
        </w:r>
        <w:r w:rsidR="00616A2E">
          <w:rPr>
            <w:noProof/>
            <w:webHidden/>
          </w:rPr>
          <w:tab/>
        </w:r>
        <w:r w:rsidR="00616A2E">
          <w:rPr>
            <w:noProof/>
            <w:webHidden/>
          </w:rPr>
          <w:fldChar w:fldCharType="begin"/>
        </w:r>
        <w:r w:rsidR="00616A2E">
          <w:rPr>
            <w:noProof/>
            <w:webHidden/>
          </w:rPr>
          <w:instrText xml:space="preserve"> PAGEREF _Toc401926088 \h </w:instrText>
        </w:r>
        <w:r w:rsidR="00616A2E">
          <w:rPr>
            <w:noProof/>
            <w:webHidden/>
          </w:rPr>
        </w:r>
        <w:r w:rsidR="00616A2E">
          <w:rPr>
            <w:noProof/>
            <w:webHidden/>
          </w:rPr>
          <w:fldChar w:fldCharType="separate"/>
        </w:r>
        <w:r w:rsidR="00616A2E">
          <w:rPr>
            <w:noProof/>
            <w:webHidden/>
          </w:rPr>
          <w:t>22</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89" w:history="1">
        <w:r w:rsidR="00616A2E" w:rsidRPr="002A3C8A">
          <w:rPr>
            <w:rStyle w:val="Hypertextovodkaz"/>
            <w:noProof/>
          </w:rPr>
          <w:t>6.1.</w:t>
        </w:r>
        <w:r w:rsidR="00616A2E">
          <w:rPr>
            <w:rFonts w:asciiTheme="minorHAnsi" w:eastAsiaTheme="minorEastAsia" w:hAnsiTheme="minorHAnsi" w:cstheme="minorBidi"/>
            <w:noProof/>
            <w:sz w:val="22"/>
            <w:szCs w:val="22"/>
          </w:rPr>
          <w:tab/>
        </w:r>
        <w:r w:rsidR="00616A2E" w:rsidRPr="002A3C8A">
          <w:rPr>
            <w:rStyle w:val="Hypertextovodkaz"/>
            <w:noProof/>
          </w:rPr>
          <w:t>Základní obory návazné péče – pilíř péče</w:t>
        </w:r>
        <w:r w:rsidR="00616A2E">
          <w:rPr>
            <w:noProof/>
            <w:webHidden/>
          </w:rPr>
          <w:tab/>
        </w:r>
        <w:r w:rsidR="00616A2E">
          <w:rPr>
            <w:noProof/>
            <w:webHidden/>
          </w:rPr>
          <w:fldChar w:fldCharType="begin"/>
        </w:r>
        <w:r w:rsidR="00616A2E">
          <w:rPr>
            <w:noProof/>
            <w:webHidden/>
          </w:rPr>
          <w:instrText xml:space="preserve"> PAGEREF _Toc401926089 \h </w:instrText>
        </w:r>
        <w:r w:rsidR="00616A2E">
          <w:rPr>
            <w:noProof/>
            <w:webHidden/>
          </w:rPr>
        </w:r>
        <w:r w:rsidR="00616A2E">
          <w:rPr>
            <w:noProof/>
            <w:webHidden/>
          </w:rPr>
          <w:fldChar w:fldCharType="separate"/>
        </w:r>
        <w:r w:rsidR="00616A2E">
          <w:rPr>
            <w:noProof/>
            <w:webHidden/>
          </w:rPr>
          <w:t>24</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90" w:history="1">
        <w:r w:rsidR="00616A2E" w:rsidRPr="002A3C8A">
          <w:rPr>
            <w:rStyle w:val="Hypertextovodkaz"/>
            <w:noProof/>
          </w:rPr>
          <w:t>6.2.</w:t>
        </w:r>
        <w:r w:rsidR="00616A2E">
          <w:rPr>
            <w:rFonts w:asciiTheme="minorHAnsi" w:eastAsiaTheme="minorEastAsia" w:hAnsiTheme="minorHAnsi" w:cstheme="minorBidi"/>
            <w:noProof/>
            <w:sz w:val="22"/>
            <w:szCs w:val="22"/>
          </w:rPr>
          <w:tab/>
        </w:r>
        <w:r w:rsidR="00616A2E" w:rsidRPr="002A3C8A">
          <w:rPr>
            <w:rStyle w:val="Hypertextovodkaz"/>
            <w:noProof/>
          </w:rPr>
          <w:t>Spádovost oborů návazné péče</w:t>
        </w:r>
        <w:r w:rsidR="00616A2E">
          <w:rPr>
            <w:noProof/>
            <w:webHidden/>
          </w:rPr>
          <w:tab/>
        </w:r>
        <w:r w:rsidR="00616A2E">
          <w:rPr>
            <w:noProof/>
            <w:webHidden/>
          </w:rPr>
          <w:fldChar w:fldCharType="begin"/>
        </w:r>
        <w:r w:rsidR="00616A2E">
          <w:rPr>
            <w:noProof/>
            <w:webHidden/>
          </w:rPr>
          <w:instrText xml:space="preserve"> PAGEREF _Toc401926090 \h </w:instrText>
        </w:r>
        <w:r w:rsidR="00616A2E">
          <w:rPr>
            <w:noProof/>
            <w:webHidden/>
          </w:rPr>
        </w:r>
        <w:r w:rsidR="00616A2E">
          <w:rPr>
            <w:noProof/>
            <w:webHidden/>
          </w:rPr>
          <w:fldChar w:fldCharType="separate"/>
        </w:r>
        <w:r w:rsidR="00616A2E">
          <w:rPr>
            <w:noProof/>
            <w:webHidden/>
          </w:rPr>
          <w:t>24</w:t>
        </w:r>
        <w:r w:rsidR="00616A2E">
          <w:rPr>
            <w:noProof/>
            <w:webHidden/>
          </w:rPr>
          <w:fldChar w:fldCharType="end"/>
        </w:r>
      </w:hyperlink>
    </w:p>
    <w:p w:rsidR="00616A2E" w:rsidRDefault="007F6036">
      <w:pPr>
        <w:pStyle w:val="Obsah2"/>
        <w:tabs>
          <w:tab w:val="left" w:pos="880"/>
          <w:tab w:val="right" w:leader="dot" w:pos="9062"/>
        </w:tabs>
        <w:rPr>
          <w:rFonts w:asciiTheme="minorHAnsi" w:eastAsiaTheme="minorEastAsia" w:hAnsiTheme="minorHAnsi" w:cstheme="minorBidi"/>
          <w:noProof/>
          <w:sz w:val="22"/>
          <w:szCs w:val="22"/>
        </w:rPr>
      </w:pPr>
      <w:hyperlink w:anchor="_Toc401926091" w:history="1">
        <w:r w:rsidR="00616A2E" w:rsidRPr="002A3C8A">
          <w:rPr>
            <w:rStyle w:val="Hypertextovodkaz"/>
            <w:noProof/>
          </w:rPr>
          <w:t>6.3.</w:t>
        </w:r>
        <w:r w:rsidR="00616A2E">
          <w:rPr>
            <w:rFonts w:asciiTheme="minorHAnsi" w:eastAsiaTheme="minorEastAsia" w:hAnsiTheme="minorHAnsi" w:cstheme="minorBidi"/>
            <w:noProof/>
            <w:sz w:val="22"/>
            <w:szCs w:val="22"/>
          </w:rPr>
          <w:tab/>
        </w:r>
        <w:r w:rsidR="00616A2E" w:rsidRPr="002A3C8A">
          <w:rPr>
            <w:rStyle w:val="Hypertextovodkaz"/>
            <w:noProof/>
          </w:rPr>
          <w:t>Role poskytovatele návazné péče v regionu a systému</w:t>
        </w:r>
        <w:r w:rsidR="00616A2E">
          <w:rPr>
            <w:noProof/>
            <w:webHidden/>
          </w:rPr>
          <w:tab/>
        </w:r>
        <w:r w:rsidR="00616A2E">
          <w:rPr>
            <w:noProof/>
            <w:webHidden/>
          </w:rPr>
          <w:fldChar w:fldCharType="begin"/>
        </w:r>
        <w:r w:rsidR="00616A2E">
          <w:rPr>
            <w:noProof/>
            <w:webHidden/>
          </w:rPr>
          <w:instrText xml:space="preserve"> PAGEREF _Toc401926091 \h </w:instrText>
        </w:r>
        <w:r w:rsidR="00616A2E">
          <w:rPr>
            <w:noProof/>
            <w:webHidden/>
          </w:rPr>
        </w:r>
        <w:r w:rsidR="00616A2E">
          <w:rPr>
            <w:noProof/>
            <w:webHidden/>
          </w:rPr>
          <w:fldChar w:fldCharType="separate"/>
        </w:r>
        <w:r w:rsidR="00616A2E">
          <w:rPr>
            <w:noProof/>
            <w:webHidden/>
          </w:rPr>
          <w:t>25</w:t>
        </w:r>
        <w:r w:rsidR="00616A2E">
          <w:rPr>
            <w:noProof/>
            <w:webHidden/>
          </w:rPr>
          <w:fldChar w:fldCharType="end"/>
        </w:r>
      </w:hyperlink>
    </w:p>
    <w:p w:rsidR="00616A2E" w:rsidRDefault="007F6036">
      <w:pPr>
        <w:pStyle w:val="Obsah1"/>
        <w:tabs>
          <w:tab w:val="left" w:pos="440"/>
          <w:tab w:val="right" w:leader="dot" w:pos="9062"/>
        </w:tabs>
        <w:rPr>
          <w:rFonts w:asciiTheme="minorHAnsi" w:eastAsiaTheme="minorEastAsia" w:hAnsiTheme="minorHAnsi" w:cstheme="minorBidi"/>
          <w:noProof/>
          <w:sz w:val="22"/>
          <w:szCs w:val="22"/>
        </w:rPr>
      </w:pPr>
      <w:hyperlink w:anchor="_Toc401926092" w:history="1">
        <w:r w:rsidR="00616A2E" w:rsidRPr="002A3C8A">
          <w:rPr>
            <w:rStyle w:val="Hypertextovodkaz"/>
            <w:noProof/>
          </w:rPr>
          <w:t>7.</w:t>
        </w:r>
        <w:r w:rsidR="00616A2E">
          <w:rPr>
            <w:rFonts w:asciiTheme="minorHAnsi" w:eastAsiaTheme="minorEastAsia" w:hAnsiTheme="minorHAnsi" w:cstheme="minorBidi"/>
            <w:noProof/>
            <w:sz w:val="22"/>
            <w:szCs w:val="22"/>
          </w:rPr>
          <w:tab/>
        </w:r>
        <w:r w:rsidR="00616A2E" w:rsidRPr="002A3C8A">
          <w:rPr>
            <w:rStyle w:val="Hypertextovodkaz"/>
            <w:noProof/>
          </w:rPr>
          <w:t>Přílohy</w:t>
        </w:r>
        <w:r w:rsidR="00616A2E">
          <w:rPr>
            <w:noProof/>
            <w:webHidden/>
          </w:rPr>
          <w:tab/>
        </w:r>
        <w:r w:rsidR="00616A2E">
          <w:rPr>
            <w:noProof/>
            <w:webHidden/>
          </w:rPr>
          <w:fldChar w:fldCharType="begin"/>
        </w:r>
        <w:r w:rsidR="00616A2E">
          <w:rPr>
            <w:noProof/>
            <w:webHidden/>
          </w:rPr>
          <w:instrText xml:space="preserve"> PAGEREF _Toc401926092 \h </w:instrText>
        </w:r>
        <w:r w:rsidR="00616A2E">
          <w:rPr>
            <w:noProof/>
            <w:webHidden/>
          </w:rPr>
        </w:r>
        <w:r w:rsidR="00616A2E">
          <w:rPr>
            <w:noProof/>
            <w:webHidden/>
          </w:rPr>
          <w:fldChar w:fldCharType="separate"/>
        </w:r>
        <w:r w:rsidR="00616A2E">
          <w:rPr>
            <w:noProof/>
            <w:webHidden/>
          </w:rPr>
          <w:t>26</w:t>
        </w:r>
        <w:r w:rsidR="00616A2E">
          <w:rPr>
            <w:noProof/>
            <w:webHidden/>
          </w:rPr>
          <w:fldChar w:fldCharType="end"/>
        </w:r>
      </w:hyperlink>
    </w:p>
    <w:p w:rsidR="00CA0AD2" w:rsidRDefault="00A64B21">
      <w:r w:rsidRPr="00302DDF">
        <w:fldChar w:fldCharType="end"/>
      </w:r>
      <w:r w:rsidR="00CA0AD2">
        <w:br w:type="page"/>
      </w:r>
    </w:p>
    <w:p w:rsidR="00A64B21" w:rsidRPr="00302DDF" w:rsidRDefault="00A64B21" w:rsidP="00B23207">
      <w:pPr>
        <w:pStyle w:val="Nadpis1"/>
        <w:numPr>
          <w:ilvl w:val="0"/>
          <w:numId w:val="40"/>
        </w:numPr>
      </w:pPr>
      <w:bookmarkStart w:id="0" w:name="_Toc401926076"/>
      <w:r w:rsidRPr="00302DDF">
        <w:lastRenderedPageBreak/>
        <w:t>Účel dokumentu</w:t>
      </w:r>
      <w:bookmarkEnd w:id="0"/>
      <w:r w:rsidRPr="00302DDF">
        <w:t xml:space="preserve"> </w:t>
      </w:r>
    </w:p>
    <w:p w:rsidR="00A64B21" w:rsidRPr="00302DDF" w:rsidRDefault="00A64B21" w:rsidP="00B23207">
      <w:pPr>
        <w:spacing w:before="100" w:beforeAutospacing="1" w:after="100" w:afterAutospacing="1"/>
        <w:jc w:val="both"/>
      </w:pPr>
      <w:r w:rsidRPr="00302DDF">
        <w:t>Cílem dokumentu je zmapovat územní rozdíly v přístupu k péči vysoce specializované a návazné, a vytvořit tak východisko pro směřování podpory v oblasti zdravotnické infrastruktury financované z prostředků Evropských strukturálních a investičních fondů (ESIF) v období 2014 – 2020. Analýza má za cíl především postihnout územní dimenzi případných intervencí. Je nutné zdůraznit, že data níže uvedená by neměla být chápána jako snaha dále rozšiřovat stávající síť vysoce specializovanou péči, neboť je v tuto chvíli dimenzována dostatečně a poskytuje péči takovému množství pacientů, kteří tuto úroveň péče potřebují. Naopak, mělo by být patrné, že péče návazná je stejně potřebná, neboť zařízení, která do ní spadají, fungují v mnoha regionech jako stěžejní a prvotní poskytovatel zdravotních služeb</w:t>
      </w:r>
      <w:r w:rsidR="00A35648">
        <w:t xml:space="preserve"> </w:t>
      </w:r>
      <w:r w:rsidR="007F6036">
        <w:rPr>
          <w:sz w:val="26"/>
        </w:rPr>
        <w:t>(</w:t>
      </w:r>
      <w:bookmarkStart w:id="1" w:name="_GoBack"/>
      <w:bookmarkEnd w:id="1"/>
      <w:r w:rsidR="00A35648">
        <w:t>dále též poskytovatel)</w:t>
      </w:r>
      <w:r w:rsidRPr="00302DDF">
        <w:t xml:space="preserve">. Postižení těchto regionálních specifik je hlavním záměrem tohoto materiálu. </w:t>
      </w:r>
    </w:p>
    <w:p w:rsidR="00A64B21" w:rsidRPr="00302DDF" w:rsidRDefault="00A64B21" w:rsidP="004E096F">
      <w:pPr>
        <w:pStyle w:val="Nadpis1"/>
        <w:numPr>
          <w:ilvl w:val="0"/>
          <w:numId w:val="40"/>
        </w:numPr>
        <w:ind w:left="357" w:hanging="357"/>
      </w:pPr>
      <w:bookmarkStart w:id="2" w:name="_Toc386631171"/>
      <w:bookmarkStart w:id="3" w:name="_Toc401926077"/>
      <w:bookmarkEnd w:id="2"/>
      <w:r w:rsidRPr="00302DDF">
        <w:t>Definice vysoce specializované péče</w:t>
      </w:r>
      <w:bookmarkEnd w:id="3"/>
    </w:p>
    <w:p w:rsidR="00A3028D" w:rsidRDefault="00A3028D" w:rsidP="00852469">
      <w:pPr>
        <w:pStyle w:val="Zkladntext2"/>
        <w:spacing w:before="120" w:after="0" w:line="240" w:lineRule="auto"/>
        <w:jc w:val="both"/>
        <w:rPr>
          <w:lang w:val="cs-CZ" w:eastAsia="cs-CZ"/>
        </w:rPr>
      </w:pPr>
      <w:r>
        <w:rPr>
          <w:lang w:val="cs-CZ" w:eastAsia="cs-CZ"/>
        </w:rPr>
        <w:t xml:space="preserve">Jako vysoce specializovaná péče je označována péče poskytovaná v centrech vysoce specializované péče, které jsou definovány zákonem </w:t>
      </w:r>
      <w:r w:rsidR="00255889">
        <w:rPr>
          <w:lang w:val="cs-CZ" w:eastAsia="cs-CZ"/>
        </w:rPr>
        <w:t>o zdravotních službách.</w:t>
      </w:r>
    </w:p>
    <w:p w:rsidR="00A64B21" w:rsidRPr="00302DDF" w:rsidRDefault="00A64B21" w:rsidP="00852469">
      <w:pPr>
        <w:pStyle w:val="Zkladntext2"/>
        <w:spacing w:before="120" w:after="0" w:line="240" w:lineRule="auto"/>
        <w:jc w:val="both"/>
        <w:rPr>
          <w:lang w:val="cs-CZ" w:eastAsia="cs-CZ"/>
        </w:rPr>
      </w:pPr>
      <w:r w:rsidRPr="00302DDF">
        <w:rPr>
          <w:lang w:val="cs-CZ" w:eastAsia="cs-CZ"/>
        </w:rPr>
        <w:t>V rámci programového období 2007-2013 probíhaly intervence na národní úrovni za podpory Integrovaného operačního programu do takzvané super specializované a specializované péče</w:t>
      </w:r>
      <w:r w:rsidRPr="00302DDF">
        <w:rPr>
          <w:rStyle w:val="Znakapoznpodarou"/>
          <w:lang w:val="cs-CZ" w:eastAsia="cs-CZ"/>
        </w:rPr>
        <w:footnoteReference w:id="1"/>
      </w:r>
      <w:r w:rsidRPr="00302DDF">
        <w:rPr>
          <w:lang w:val="cs-CZ" w:eastAsia="cs-CZ"/>
        </w:rPr>
        <w:t>, která se nyní transformuje do vysoce specializované péče podle zákona o zdravotních službách č. 372/2011 Sb. (dále označená pouze jako „CVSP“ – centra vysoce specializované péče).</w:t>
      </w:r>
    </w:p>
    <w:p w:rsidR="00A64B21" w:rsidRPr="00302DDF" w:rsidRDefault="00A64B21" w:rsidP="00852469">
      <w:pPr>
        <w:pStyle w:val="Zkladntext2"/>
        <w:spacing w:before="120" w:after="0" w:line="240" w:lineRule="auto"/>
        <w:jc w:val="both"/>
        <w:rPr>
          <w:lang w:val="cs-CZ" w:eastAsia="cs-CZ"/>
        </w:rPr>
      </w:pPr>
      <w:r w:rsidRPr="00302DDF">
        <w:rPr>
          <w:lang w:val="cs-CZ" w:eastAsia="cs-CZ"/>
        </w:rPr>
        <w:t>V programovacím období 2007 – 2013 byla podpora zaměřena na modernizaci a obnovu diagnostických a terapeutických zdravotnických prostředků v rámci vybraných specializovaných pracovišť:</w:t>
      </w:r>
    </w:p>
    <w:p w:rsidR="00A64B21" w:rsidRPr="00302DDF" w:rsidRDefault="00A64B21" w:rsidP="00AB27DF">
      <w:pPr>
        <w:pStyle w:val="Zkladntext2"/>
        <w:numPr>
          <w:ilvl w:val="0"/>
          <w:numId w:val="45"/>
        </w:numPr>
        <w:spacing w:before="120" w:after="0" w:line="240" w:lineRule="auto"/>
        <w:jc w:val="both"/>
        <w:rPr>
          <w:lang w:val="cs-CZ" w:eastAsia="cs-CZ"/>
        </w:rPr>
      </w:pPr>
      <w:r w:rsidRPr="00302DDF">
        <w:rPr>
          <w:lang w:val="cs-CZ" w:eastAsia="cs-CZ"/>
        </w:rPr>
        <w:t>Traumatologick</w:t>
      </w:r>
      <w:r w:rsidR="00950BB9">
        <w:rPr>
          <w:lang w:val="cs-CZ" w:eastAsia="cs-CZ"/>
        </w:rPr>
        <w:t>ých</w:t>
      </w:r>
      <w:r w:rsidRPr="00302DDF">
        <w:rPr>
          <w:lang w:val="cs-CZ" w:eastAsia="cs-CZ"/>
        </w:rPr>
        <w:t xml:space="preserve"> cent</w:t>
      </w:r>
      <w:r w:rsidR="00950BB9">
        <w:rPr>
          <w:lang w:val="cs-CZ" w:eastAsia="cs-CZ"/>
        </w:rPr>
        <w:t>e</w:t>
      </w:r>
      <w:r w:rsidRPr="00302DDF">
        <w:rPr>
          <w:lang w:val="cs-CZ" w:eastAsia="cs-CZ"/>
        </w:rPr>
        <w:t>r</w:t>
      </w:r>
    </w:p>
    <w:p w:rsidR="00A64B21" w:rsidRPr="00302DDF" w:rsidRDefault="00A64B21" w:rsidP="00AB27DF">
      <w:pPr>
        <w:pStyle w:val="Zkladntext2"/>
        <w:numPr>
          <w:ilvl w:val="0"/>
          <w:numId w:val="45"/>
        </w:numPr>
        <w:spacing w:before="120" w:after="0" w:line="240" w:lineRule="auto"/>
        <w:jc w:val="both"/>
        <w:rPr>
          <w:lang w:val="cs-CZ" w:eastAsia="cs-CZ"/>
        </w:rPr>
      </w:pPr>
      <w:r w:rsidRPr="00302DDF">
        <w:rPr>
          <w:lang w:val="cs-CZ" w:eastAsia="cs-CZ"/>
        </w:rPr>
        <w:t>Komplexních onkologických center</w:t>
      </w:r>
    </w:p>
    <w:p w:rsidR="00A64B21" w:rsidRPr="00302DDF" w:rsidRDefault="00A64B21" w:rsidP="00AB27DF">
      <w:pPr>
        <w:pStyle w:val="Zkladntext2"/>
        <w:numPr>
          <w:ilvl w:val="0"/>
          <w:numId w:val="45"/>
        </w:numPr>
        <w:spacing w:before="120" w:after="0" w:line="240" w:lineRule="auto"/>
        <w:jc w:val="both"/>
        <w:rPr>
          <w:lang w:val="cs-CZ" w:eastAsia="cs-CZ"/>
        </w:rPr>
      </w:pPr>
      <w:r w:rsidRPr="00302DDF">
        <w:rPr>
          <w:lang w:val="cs-CZ" w:eastAsia="cs-CZ"/>
        </w:rPr>
        <w:t>Kardiovaskulárních center</w:t>
      </w:r>
    </w:p>
    <w:p w:rsidR="00A64B21" w:rsidRPr="00302DDF" w:rsidRDefault="00A64B21" w:rsidP="00AB27DF">
      <w:pPr>
        <w:pStyle w:val="Zkladntext2"/>
        <w:numPr>
          <w:ilvl w:val="0"/>
          <w:numId w:val="45"/>
        </w:numPr>
        <w:spacing w:before="120" w:after="0" w:line="240" w:lineRule="auto"/>
        <w:jc w:val="both"/>
        <w:rPr>
          <w:lang w:val="cs-CZ" w:eastAsia="cs-CZ"/>
        </w:rPr>
      </w:pPr>
      <w:r w:rsidRPr="00302DDF">
        <w:rPr>
          <w:lang w:val="cs-CZ" w:eastAsia="cs-CZ"/>
        </w:rPr>
        <w:t>Cerebrovaskulárních a iktových center</w:t>
      </w:r>
    </w:p>
    <w:p w:rsidR="00A64B21" w:rsidRPr="00302DDF" w:rsidRDefault="00A64B21" w:rsidP="00AB27DF">
      <w:pPr>
        <w:pStyle w:val="Zkladntext2"/>
        <w:spacing w:before="120" w:after="0" w:line="240" w:lineRule="auto"/>
        <w:jc w:val="both"/>
        <w:rPr>
          <w:lang w:val="cs-CZ" w:eastAsia="cs-CZ"/>
        </w:rPr>
      </w:pPr>
      <w:r w:rsidRPr="00302DDF">
        <w:rPr>
          <w:lang w:val="cs-CZ" w:eastAsia="cs-CZ"/>
        </w:rPr>
        <w:t xml:space="preserve">Z nově ustanovených vysoce specializovaných sítí se bude plánovaná intervence týkat nově zřízených perinatologických a onkogynekologických center, s ohledem na epidemioiologický výskyt uvedených onemocnění a jejich socioekonomický dopad. </w:t>
      </w:r>
    </w:p>
    <w:p w:rsidR="00A64B21" w:rsidRPr="00302DDF" w:rsidRDefault="00A64B21" w:rsidP="00B23207">
      <w:pPr>
        <w:pStyle w:val="Nadpis1"/>
        <w:numPr>
          <w:ilvl w:val="0"/>
          <w:numId w:val="40"/>
        </w:numPr>
      </w:pPr>
      <w:bookmarkStart w:id="4" w:name="_Toc401926078"/>
      <w:r w:rsidRPr="00302DDF">
        <w:t>Definice návazné péče</w:t>
      </w:r>
      <w:bookmarkEnd w:id="4"/>
    </w:p>
    <w:p w:rsidR="00A64B21" w:rsidRPr="00302DDF" w:rsidRDefault="00A64B21" w:rsidP="00AB27DF">
      <w:pPr>
        <w:pStyle w:val="Zkladntext2"/>
        <w:spacing w:before="120" w:after="0" w:line="240" w:lineRule="auto"/>
        <w:jc w:val="both"/>
        <w:rPr>
          <w:lang w:val="cs-CZ" w:eastAsia="cs-CZ"/>
        </w:rPr>
      </w:pPr>
      <w:r w:rsidRPr="00302DDF">
        <w:rPr>
          <w:lang w:val="cs-CZ"/>
        </w:rPr>
        <w:t xml:space="preserve">Cílem intervencí do návazné péče je pokračovat v koncentraci a efektivizaci zdravotních služeb, které doplňují CVSP. </w:t>
      </w:r>
      <w:r w:rsidRPr="00302DDF">
        <w:rPr>
          <w:lang w:val="cs-CZ" w:eastAsia="cs-CZ"/>
        </w:rPr>
        <w:t xml:space="preserve">Návazná péče je definována v Koncepci Návazné péče (dále jen „Koncepce“), </w:t>
      </w:r>
      <w:r w:rsidR="00D45804">
        <w:rPr>
          <w:lang w:val="cs-CZ" w:eastAsia="cs-CZ"/>
        </w:rPr>
        <w:t xml:space="preserve">jejíž návrh byl odsouhlasen poradou vedení </w:t>
      </w:r>
      <w:r w:rsidRPr="00302DDF">
        <w:rPr>
          <w:lang w:val="cs-CZ" w:eastAsia="cs-CZ"/>
        </w:rPr>
        <w:t>Ministerstv</w:t>
      </w:r>
      <w:r w:rsidR="00D45804">
        <w:rPr>
          <w:lang w:val="cs-CZ" w:eastAsia="cs-CZ"/>
        </w:rPr>
        <w:t>a</w:t>
      </w:r>
      <w:r w:rsidRPr="00302DDF">
        <w:rPr>
          <w:lang w:val="cs-CZ" w:eastAsia="cs-CZ"/>
        </w:rPr>
        <w:t xml:space="preserve"> zdravotnictví ČR </w:t>
      </w:r>
      <w:r w:rsidR="00D45804">
        <w:rPr>
          <w:lang w:val="cs-CZ" w:eastAsia="cs-CZ"/>
        </w:rPr>
        <w:t xml:space="preserve">dne </w:t>
      </w:r>
      <w:r w:rsidRPr="00302DDF">
        <w:rPr>
          <w:lang w:val="cs-CZ" w:eastAsia="cs-CZ"/>
        </w:rPr>
        <w:lastRenderedPageBreak/>
        <w:t>11. června 2014. Zatímco Koncepce definuje rámec podpory, konkrétní směřování podpory v jednotlivých regionech bude vycházet z potřeb definovaných Ministerstvem zdravotnictví v kapitole 5 a Asociací krajů ČR v kapitole 6</w:t>
      </w:r>
      <w:r w:rsidR="00C5139E">
        <w:rPr>
          <w:lang w:val="cs-CZ" w:eastAsia="cs-CZ"/>
        </w:rPr>
        <w:t xml:space="preserve"> a strategických dokumentech jednotlivých krajů</w:t>
      </w:r>
      <w:r w:rsidRPr="00302DDF">
        <w:rPr>
          <w:lang w:val="cs-CZ" w:eastAsia="cs-CZ"/>
        </w:rPr>
        <w:t xml:space="preserve">. </w:t>
      </w:r>
    </w:p>
    <w:p w:rsidR="00A64B21" w:rsidRPr="00302DDF" w:rsidRDefault="00A64B21" w:rsidP="00AB27DF">
      <w:pPr>
        <w:pStyle w:val="Zkladntext2"/>
        <w:spacing w:before="120" w:after="0" w:line="240" w:lineRule="auto"/>
        <w:jc w:val="both"/>
        <w:rPr>
          <w:lang w:val="cs-CZ" w:eastAsia="cs-CZ"/>
        </w:rPr>
      </w:pPr>
      <w:r w:rsidRPr="00302DDF">
        <w:rPr>
          <w:lang w:val="cs-CZ" w:eastAsia="cs-CZ"/>
        </w:rPr>
        <w:t>Návazná péče z hlediska organizace zdravotní péče agreguje obory péče bezprostředně předcházející nebo přímo navazující na péči vysoce specializovanou (viz schéma č. 1).</w:t>
      </w:r>
    </w:p>
    <w:p w:rsidR="00A64B21" w:rsidRPr="00302DDF" w:rsidRDefault="00A64B21" w:rsidP="00AB27DF">
      <w:pPr>
        <w:pStyle w:val="Zkladntext2"/>
        <w:spacing w:before="120" w:after="0" w:line="240" w:lineRule="auto"/>
        <w:jc w:val="both"/>
        <w:rPr>
          <w:lang w:val="cs-CZ" w:eastAsia="cs-CZ"/>
        </w:rPr>
      </w:pPr>
      <w:r w:rsidRPr="00302DDF">
        <w:rPr>
          <w:lang w:val="cs-CZ" w:eastAsia="cs-CZ"/>
        </w:rPr>
        <w:t>Koncepce Návazné péče definuje návaznou péči jako péči, která:</w:t>
      </w:r>
    </w:p>
    <w:p w:rsidR="00A64B21" w:rsidRPr="00302DDF" w:rsidRDefault="00A64B21" w:rsidP="00FA0424">
      <w:pPr>
        <w:pStyle w:val="Odstavecseseznamem"/>
        <w:numPr>
          <w:ilvl w:val="0"/>
          <w:numId w:val="42"/>
        </w:numPr>
        <w:spacing w:before="100" w:beforeAutospacing="1" w:after="100" w:afterAutospacing="1"/>
        <w:jc w:val="both"/>
      </w:pPr>
      <w:r w:rsidRPr="00302DDF">
        <w:t xml:space="preserve">byla poskytována pacientovi před tím, než mu byla poskytnuta péče vysoce specializovaná. V průběhu této péče se ukázala potřeba péče vysoce specializované a na základě této potřeby byl pacient referován vysoce specializovanému pracovišti národní sítě poskytovatelů </w:t>
      </w:r>
      <w:r w:rsidR="003B38B2">
        <w:t>zdravotních služeb</w:t>
      </w:r>
      <w:r w:rsidRPr="00302DDF">
        <w:t xml:space="preserve">. Do této skupiny bude patřit především péče preventivní, diagnostická, dispenzární a v menší míře také péče léčebná, a to ve formě jak ambulantní, tak zejména lůžkové, poskytovaná poskytovateli lůžkové péče; </w:t>
      </w:r>
    </w:p>
    <w:p w:rsidR="00893815" w:rsidRDefault="00A64B21" w:rsidP="00FA0424">
      <w:pPr>
        <w:pStyle w:val="Odstavecseseznamem"/>
        <w:numPr>
          <w:ilvl w:val="0"/>
          <w:numId w:val="42"/>
        </w:numPr>
        <w:spacing w:before="100" w:beforeAutospacing="1" w:after="100" w:afterAutospacing="1"/>
        <w:jc w:val="both"/>
      </w:pPr>
      <w:r w:rsidRPr="00302DDF">
        <w:t>je poskytována pacientovi, jemuž již byla poskytnuta vysoce specializovaná péče, a jehož zdravotní stav tento stupeň péče již dále nevyžaduje.  Do této skupiny bude patřit především péče léčebná a léčebně rehabilitační, a to převážně v lůžkové formě</w:t>
      </w:r>
      <w:r w:rsidR="00893815">
        <w:t>,</w:t>
      </w:r>
    </w:p>
    <w:p w:rsidR="00A64B21" w:rsidRPr="00302DDF" w:rsidRDefault="00893815" w:rsidP="00057DCC">
      <w:pPr>
        <w:pStyle w:val="Odstavecseseznamem"/>
        <w:numPr>
          <w:ilvl w:val="0"/>
          <w:numId w:val="42"/>
        </w:numPr>
        <w:spacing w:before="100" w:beforeAutospacing="1" w:after="100" w:afterAutospacing="1"/>
        <w:jc w:val="both"/>
      </w:pPr>
      <w:r>
        <w:t xml:space="preserve">péče, u které je návaznost na vysoce specializovanou péči definována Věstníkem Ministerstva zdravotnictví ČR (např. péče v centrech perinatologické intermediární péče navazují na vysoce specializovanou perinatologickou péči, viz článek 6 Věstníku Ministerstva zdravotnictví ČR, Částka 7 z 26. 11. 2013). </w:t>
      </w:r>
    </w:p>
    <w:p w:rsidR="00A64B21" w:rsidRPr="00302DDF" w:rsidRDefault="00A64B21" w:rsidP="00AB27DF">
      <w:pPr>
        <w:pStyle w:val="Zkladntext2"/>
        <w:spacing w:before="120" w:after="0" w:line="240" w:lineRule="auto"/>
        <w:jc w:val="both"/>
        <w:rPr>
          <w:lang w:val="cs-CZ" w:eastAsia="cs-CZ"/>
        </w:rPr>
      </w:pPr>
      <w:r w:rsidRPr="00302DDF">
        <w:rPr>
          <w:lang w:val="cs-CZ" w:eastAsia="cs-CZ"/>
        </w:rPr>
        <w:t xml:space="preserve">Poskytovatelem návazné péče je pak </w:t>
      </w:r>
      <w:r w:rsidR="00950BB9">
        <w:rPr>
          <w:lang w:val="cs-CZ" w:eastAsia="cs-CZ"/>
        </w:rPr>
        <w:t>poskytovatel zdravotních služeb, který</w:t>
      </w:r>
      <w:r w:rsidRPr="00302DDF">
        <w:rPr>
          <w:lang w:val="cs-CZ" w:eastAsia="cs-CZ"/>
        </w:rPr>
        <w:t>:</w:t>
      </w:r>
    </w:p>
    <w:p w:rsidR="00A64B21" w:rsidRPr="00302DDF" w:rsidRDefault="00A64B21" w:rsidP="00FA0424">
      <w:pPr>
        <w:pStyle w:val="Odstavecseseznamem"/>
        <w:numPr>
          <w:ilvl w:val="0"/>
          <w:numId w:val="42"/>
        </w:numPr>
        <w:spacing w:before="100" w:beforeAutospacing="1" w:after="100" w:afterAutospacing="1"/>
        <w:jc w:val="both"/>
      </w:pPr>
      <w:r w:rsidRPr="00302DDF">
        <w:t xml:space="preserve">pacienty referuje pracovišti vysoce specializované péče přímo, nebo ke kterému jsou přímo referováni pacienti z pracovišť vysoce specializované péče </w:t>
      </w:r>
    </w:p>
    <w:p w:rsidR="00A64B21" w:rsidRPr="00302DDF" w:rsidRDefault="00A64B21" w:rsidP="00FA0424">
      <w:pPr>
        <w:pStyle w:val="Odstavecseseznamem"/>
        <w:numPr>
          <w:ilvl w:val="0"/>
          <w:numId w:val="42"/>
        </w:numPr>
        <w:spacing w:before="100" w:beforeAutospacing="1" w:after="100" w:afterAutospacing="1"/>
        <w:jc w:val="both"/>
      </w:pPr>
      <w:r w:rsidRPr="00302DDF">
        <w:t xml:space="preserve">anebo, které poskytuje jak návaznou i vysoce specializovanou péči, avšak na různých pracovištích. </w:t>
      </w:r>
    </w:p>
    <w:p w:rsidR="00A64B21" w:rsidRPr="00302DDF" w:rsidRDefault="00A64B21" w:rsidP="00057DCC">
      <w:pPr>
        <w:spacing w:after="120"/>
        <w:jc w:val="both"/>
      </w:pPr>
      <w:r w:rsidRPr="00302DDF">
        <w:t>Kvalita zdravotních služeb poskytovaných v rámci návazné péče (ať již jde o diagnostiku nebo například rehabilitaci) určuje, zda se pacient vůbec a jak rychle, dostane do další vysoce specializované péče</w:t>
      </w:r>
      <w:r w:rsidR="007A0674">
        <w:t>,</w:t>
      </w:r>
      <w:r w:rsidRPr="00302DDF">
        <w:t xml:space="preserve"> a jak rychle se po péči vysoce specializované vrátí do svého přirozeného prostředí.  </w:t>
      </w:r>
      <w:r w:rsidRPr="00302DDF">
        <w:rPr>
          <w:b/>
        </w:rPr>
        <w:t xml:space="preserve">Vzhledem k tomu, že kvalita návazné péče určuje, jak rychle se pacientovi dostane požadované péče (především péče v rámci CVSP), hraje úroveň infrastruktury klíčovou roli.   </w:t>
      </w:r>
    </w:p>
    <w:p w:rsidR="00A64B21" w:rsidRPr="00302DDF" w:rsidRDefault="00A64B21" w:rsidP="00057DCC">
      <w:pPr>
        <w:spacing w:after="120"/>
        <w:jc w:val="both"/>
        <w:rPr>
          <w:b/>
          <w:highlight w:val="yellow"/>
        </w:rPr>
      </w:pPr>
      <w:r w:rsidRPr="00302DDF">
        <w:rPr>
          <w:b/>
        </w:rPr>
        <w:t xml:space="preserve">Jak je zřejmé z níže uvedeného rozboru v tomto dokumentu, je většina zdravotních služeb týkající se epidemiologicky nejvýznamnějších diagnóz poskytována v zařízeních, která lze označit za poskytovatele návazné péče. Přesto, je úroveň infrastruktury u tohoto typu péče nevyhovující a často zastaralá. </w:t>
      </w:r>
    </w:p>
    <w:p w:rsidR="00A64B21" w:rsidRPr="00302DDF" w:rsidRDefault="00951461" w:rsidP="00B23207">
      <w:pPr>
        <w:jc w:val="both"/>
        <w:rPr>
          <w:b/>
        </w:rPr>
      </w:pPr>
      <w:r>
        <w:rPr>
          <w:noProof/>
        </w:rPr>
        <w:lastRenderedPageBreak/>
        <w:drawing>
          <wp:inline distT="0" distB="0" distL="0" distR="0" wp14:anchorId="0384B5B1" wp14:editId="153AEDBE">
            <wp:extent cx="5716905" cy="3824605"/>
            <wp:effectExtent l="0" t="0" r="0" b="4445"/>
            <wp:docPr id="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3824605"/>
                    </a:xfrm>
                    <a:prstGeom prst="rect">
                      <a:avLst/>
                    </a:prstGeom>
                    <a:noFill/>
                    <a:ln>
                      <a:noFill/>
                    </a:ln>
                  </pic:spPr>
                </pic:pic>
              </a:graphicData>
            </a:graphic>
          </wp:inline>
        </w:drawing>
      </w:r>
      <w:r w:rsidR="00A64B21" w:rsidRPr="00302DDF">
        <w:rPr>
          <w:b/>
        </w:rPr>
        <w:t xml:space="preserve"> </w:t>
      </w:r>
    </w:p>
    <w:p w:rsidR="00A64B21" w:rsidRPr="00302DDF" w:rsidRDefault="00A64B21" w:rsidP="00057DCC">
      <w:pPr>
        <w:pStyle w:val="Nadpis1"/>
        <w:numPr>
          <w:ilvl w:val="0"/>
          <w:numId w:val="40"/>
        </w:numPr>
        <w:spacing w:after="120"/>
      </w:pPr>
      <w:bookmarkStart w:id="5" w:name="_Toc401926079"/>
      <w:r w:rsidRPr="00302DDF">
        <w:t>Regionální dimenze návazné péče</w:t>
      </w:r>
      <w:bookmarkEnd w:id="5"/>
    </w:p>
    <w:p w:rsidR="00A64B21" w:rsidRPr="00302DDF" w:rsidRDefault="00A64B21" w:rsidP="00057DCC">
      <w:pPr>
        <w:spacing w:after="120"/>
        <w:jc w:val="both"/>
      </w:pPr>
      <w:r w:rsidRPr="00302DDF">
        <w:t>Následující analýza mapuje situaci v rámci vysoce specializované péče kardiovaskulární, cerebrovaskulární, traumatologické, perinatologické, onkogynekologické a léčby novotvarů, kde již péče byla nebo bude koncentrována a standardizována v rámci zmíněných CVSP. A dále situaci v péči, která na vysoce specializovanou péči navazuje (péče návazná).</w:t>
      </w:r>
    </w:p>
    <w:p w:rsidR="00A64B21" w:rsidRPr="00302DDF" w:rsidRDefault="00A64B21" w:rsidP="00057DCC">
      <w:pPr>
        <w:pStyle w:val="Nadpis2"/>
        <w:numPr>
          <w:ilvl w:val="1"/>
          <w:numId w:val="40"/>
        </w:numPr>
        <w:spacing w:after="120"/>
      </w:pPr>
      <w:bookmarkStart w:id="6" w:name="_Toc393366404"/>
      <w:bookmarkStart w:id="7" w:name="_Toc393366458"/>
      <w:bookmarkEnd w:id="6"/>
      <w:bookmarkEnd w:id="7"/>
      <w:r w:rsidRPr="00302DDF">
        <w:t xml:space="preserve"> </w:t>
      </w:r>
      <w:bookmarkStart w:id="8" w:name="_Toc401926080"/>
      <w:r w:rsidRPr="00302DDF">
        <w:t>Traumatologie</w:t>
      </w:r>
      <w:bookmarkEnd w:id="8"/>
    </w:p>
    <w:p w:rsidR="00A64B21" w:rsidRPr="00302DDF" w:rsidRDefault="00A64B21" w:rsidP="00057DCC">
      <w:pPr>
        <w:spacing w:after="120"/>
        <w:jc w:val="both"/>
      </w:pPr>
      <w:r w:rsidRPr="00302DDF">
        <w:t xml:space="preserve">V rámci níže uvedeného grafu (č. 2) můžeme vidět, že v rámci ČR je průměrně 88,2% pacientů po úrazech či nehodách hospitalizováno v rámci svých spádových oblastí. Ovšem pouze 27,6% pacientů je poskytnuta prvotní léčba v rámci CVSP. Respektive, až v sedmi krajích je velké procento pacientů, u nichž prvotní léčba byla poskytnuta jinde, mimo centrum vysoce specializované péče (viz graf č. 1). Důvodem tohoto stavu nemusí být nedostupnost specializované péče v rámci CVSP, ale specifičnost traumatologické péče, kdy pacient je ošetřen v nejbližším možném zařízení od místa nehody/úrazu. Jedná se konkrétně o tyto kraje: Jihomoravský, Středočeský, Moravskoslezský, Karlovarský, Kraj Vysočina, Pardubický a Zlínský kraj. Například v rámci posledně jmenovaného kraje je 6,2% pacientů prvotně ošetřeno v rámci CVSP. Z toho vyplývá, že většina ostatních pacientů je v daném regionu hospitalizována v zařízení poskytující návaznou péči. </w:t>
      </w:r>
    </w:p>
    <w:p w:rsidR="00A64B21" w:rsidRPr="00302DDF" w:rsidRDefault="00A64B21" w:rsidP="003A16AD">
      <w:pPr>
        <w:jc w:val="both"/>
      </w:pPr>
    </w:p>
    <w:p w:rsidR="00A64B21" w:rsidRPr="00302DDF" w:rsidRDefault="00A64B21" w:rsidP="005A06C7"/>
    <w:p w:rsidR="00A64B21" w:rsidRPr="00302DDF" w:rsidRDefault="00951461" w:rsidP="00ED63D5">
      <w:pPr>
        <w:keepNext/>
      </w:pPr>
      <w:r>
        <w:rPr>
          <w:noProof/>
        </w:rPr>
        <w:lastRenderedPageBreak/>
        <w:drawing>
          <wp:inline distT="0" distB="0" distL="0" distR="0" wp14:anchorId="10BF4C79" wp14:editId="15E56526">
            <wp:extent cx="2496820" cy="3260090"/>
            <wp:effectExtent l="0" t="0" r="0" b="0"/>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3260090"/>
                    </a:xfrm>
                    <a:prstGeom prst="rect">
                      <a:avLst/>
                    </a:prstGeom>
                    <a:noFill/>
                    <a:ln>
                      <a:noFill/>
                    </a:ln>
                  </pic:spPr>
                </pic:pic>
              </a:graphicData>
            </a:graphic>
          </wp:inline>
        </w:drawing>
      </w:r>
      <w:r>
        <w:rPr>
          <w:noProof/>
        </w:rPr>
        <w:drawing>
          <wp:inline distT="0" distB="0" distL="0" distR="0" wp14:anchorId="1C661635" wp14:editId="136EB9F6">
            <wp:extent cx="2496820" cy="3267710"/>
            <wp:effectExtent l="0" t="0" r="0" b="0"/>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3267710"/>
                    </a:xfrm>
                    <a:prstGeom prst="rect">
                      <a:avLst/>
                    </a:prstGeom>
                    <a:noFill/>
                    <a:ln>
                      <a:noFill/>
                    </a:ln>
                  </pic:spPr>
                </pic:pic>
              </a:graphicData>
            </a:graphic>
          </wp:inline>
        </w:drawing>
      </w:r>
    </w:p>
    <w:p w:rsidR="00A64B21" w:rsidRPr="00302DDF" w:rsidRDefault="00A64B21" w:rsidP="003A16AD">
      <w:pPr>
        <w:rPr>
          <w:sz w:val="20"/>
        </w:rPr>
      </w:pPr>
      <w:r w:rsidRPr="00302DDF">
        <w:rPr>
          <w:sz w:val="20"/>
        </w:rPr>
        <w:t>Graf č. 1 Hospitalizace v traumacentrech, graf č. 2 Hospitalizace ve spádových oblastech</w:t>
      </w:r>
    </w:p>
    <w:p w:rsidR="00A64B21" w:rsidRPr="00302DDF" w:rsidRDefault="00A64B21" w:rsidP="004C1D39"/>
    <w:p w:rsidR="00A64B21" w:rsidRPr="00302DDF" w:rsidRDefault="00A64B21" w:rsidP="00A97468">
      <w:pPr>
        <w:jc w:val="both"/>
      </w:pPr>
    </w:p>
    <w:p w:rsidR="00A64B21" w:rsidRPr="00302DDF" w:rsidRDefault="00A64B21" w:rsidP="008B3EA4">
      <w:pPr>
        <w:jc w:val="both"/>
      </w:pPr>
      <w:r w:rsidRPr="00302DDF">
        <w:t>Z grafu č. 3 jsou patrné velké rozdíly v přístupu k traumatologické péči mezi jednotlivými kraji. Například v Zlínském kraji, kde není zřízeno</w:t>
      </w:r>
      <w:r>
        <w:t xml:space="preserve"> </w:t>
      </w:r>
      <w:r w:rsidRPr="00302DDF">
        <w:t xml:space="preserve">CVSP, je celých 93,8 % pacientů závislých na zdravotnických zařízení poskytující návaznou péči. V dalších 10 krajích (Pardubickém kraji, Kraji Vysočina, Karlovarském, Moravskoslezském, Středočeském, Jihomoravském, Olomouckém, Ústeckém a Královehradeckém kraji) je také významný podíl pacientů (nad 60%) hospitalizováno v rámci nemocnic poskytující návaznou péči. To je důkazem významné úlohy těchto zařízení, neboť v nich většina obyvatel podstupuje prvotní péči. </w:t>
      </w:r>
    </w:p>
    <w:p w:rsidR="00A64B21" w:rsidRPr="00302DDF" w:rsidRDefault="00A64B21" w:rsidP="008B3EA4">
      <w:pPr>
        <w:jc w:val="both"/>
      </w:pPr>
    </w:p>
    <w:p w:rsidR="00A64B21" w:rsidRPr="00302DDF" w:rsidRDefault="00951461" w:rsidP="00ED63D5">
      <w:pPr>
        <w:keepNext/>
      </w:pPr>
      <w:r>
        <w:rPr>
          <w:noProof/>
        </w:rPr>
        <w:lastRenderedPageBreak/>
        <w:drawing>
          <wp:inline distT="0" distB="0" distL="0" distR="0" wp14:anchorId="19E0C984" wp14:editId="5F9F9ACD">
            <wp:extent cx="5231765" cy="3649345"/>
            <wp:effectExtent l="0" t="0" r="0" b="8255"/>
            <wp:docPr id="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765" cy="3649345"/>
                    </a:xfrm>
                    <a:prstGeom prst="rect">
                      <a:avLst/>
                    </a:prstGeom>
                    <a:noFill/>
                    <a:ln>
                      <a:noFill/>
                    </a:ln>
                  </pic:spPr>
                </pic:pic>
              </a:graphicData>
            </a:graphic>
          </wp:inline>
        </w:drawing>
      </w:r>
    </w:p>
    <w:p w:rsidR="00A64B21" w:rsidRPr="00302DDF" w:rsidRDefault="00A64B21" w:rsidP="004C1D39">
      <w:pPr>
        <w:rPr>
          <w:sz w:val="20"/>
        </w:rPr>
      </w:pPr>
      <w:r w:rsidRPr="00302DDF">
        <w:rPr>
          <w:sz w:val="20"/>
        </w:rPr>
        <w:t>Graf č. 3 Hospitalizace v rámci center specializované péče  - traumatologie, zdroj: ÚZIS</w:t>
      </w:r>
    </w:p>
    <w:p w:rsidR="00A64B21" w:rsidRPr="00302DDF" w:rsidRDefault="00A64B21" w:rsidP="004C1D39">
      <w:pPr>
        <w:rPr>
          <w:sz w:val="20"/>
        </w:rPr>
      </w:pPr>
    </w:p>
    <w:p w:rsidR="00A64B21" w:rsidRPr="00302DDF" w:rsidRDefault="00A64B21" w:rsidP="00057DCC">
      <w:pPr>
        <w:pStyle w:val="Nadpis2"/>
        <w:numPr>
          <w:ilvl w:val="1"/>
          <w:numId w:val="40"/>
        </w:numPr>
        <w:spacing w:after="120"/>
      </w:pPr>
      <w:bookmarkStart w:id="9" w:name="_Toc386631174"/>
      <w:bookmarkStart w:id="10" w:name="_Toc401926081"/>
      <w:bookmarkEnd w:id="9"/>
      <w:r w:rsidRPr="00302DDF">
        <w:t>Kardiovaskulární péče</w:t>
      </w:r>
      <w:bookmarkEnd w:id="10"/>
    </w:p>
    <w:p w:rsidR="00A64B21" w:rsidRPr="00302DDF" w:rsidRDefault="00A64B21" w:rsidP="00057DCC">
      <w:pPr>
        <w:spacing w:after="120"/>
        <w:jc w:val="both"/>
      </w:pPr>
      <w:r w:rsidRPr="00302DDF">
        <w:t xml:space="preserve">U kardiovaskulární péče je situace odlišná. Průměrně je 88,2% pacientů v ČR hospitalizováno v rámci svých spádových oblastí (graf č. 5), a průměrně také 44,9% pacientů v rámci ČR vstoupí do systému přímo skrze CVSP poskytující kardiovaskulární péči. </w:t>
      </w:r>
    </w:p>
    <w:p w:rsidR="00A64B21" w:rsidRPr="00302DDF" w:rsidRDefault="00A64B21" w:rsidP="00964D1B"/>
    <w:p w:rsidR="00A64B21" w:rsidRPr="00302DDF" w:rsidRDefault="00951461" w:rsidP="00ED63D5">
      <w:pPr>
        <w:keepNext/>
      </w:pPr>
      <w:r>
        <w:rPr>
          <w:noProof/>
        </w:rPr>
        <w:drawing>
          <wp:inline distT="0" distB="0" distL="0" distR="0" wp14:anchorId="0902A01D" wp14:editId="44C532C1">
            <wp:extent cx="5200015" cy="3251835"/>
            <wp:effectExtent l="0" t="0" r="0" b="0"/>
            <wp:docPr id="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015" cy="3251835"/>
                    </a:xfrm>
                    <a:prstGeom prst="rect">
                      <a:avLst/>
                    </a:prstGeom>
                    <a:noFill/>
                    <a:ln>
                      <a:noFill/>
                    </a:ln>
                  </pic:spPr>
                </pic:pic>
              </a:graphicData>
            </a:graphic>
          </wp:inline>
        </w:drawing>
      </w:r>
    </w:p>
    <w:p w:rsidR="00A64B21" w:rsidRPr="00302DDF" w:rsidRDefault="00A64B21" w:rsidP="00964D1B">
      <w:pPr>
        <w:rPr>
          <w:sz w:val="20"/>
        </w:rPr>
      </w:pPr>
      <w:r w:rsidRPr="00302DDF">
        <w:rPr>
          <w:sz w:val="20"/>
        </w:rPr>
        <w:t xml:space="preserve">Graf č. 4 Hospitalizace v kardiocentrech, graf č. 5 Hospitalizace ve spádových oblastech </w:t>
      </w:r>
    </w:p>
    <w:p w:rsidR="00A64B21" w:rsidRPr="00302DDF" w:rsidRDefault="00A64B21" w:rsidP="00964D1B"/>
    <w:p w:rsidR="00A64B21" w:rsidRPr="00302DDF" w:rsidRDefault="00A64B21" w:rsidP="00BB66EF">
      <w:pPr>
        <w:jc w:val="both"/>
      </w:pPr>
    </w:p>
    <w:p w:rsidR="00A64B21" w:rsidRPr="00302DDF" w:rsidRDefault="00A64B21" w:rsidP="00057DCC">
      <w:pPr>
        <w:spacing w:after="120"/>
        <w:jc w:val="both"/>
      </w:pPr>
      <w:r w:rsidRPr="00302DDF">
        <w:lastRenderedPageBreak/>
        <w:t>Přesto</w:t>
      </w:r>
      <w:r w:rsidR="00950BB9">
        <w:t>,</w:t>
      </w:r>
      <w:r w:rsidRPr="00302DDF">
        <w:t xml:space="preserve"> že mezi jednotlivými kraji není takový rozdíl v rozmístění prvotní kardiovaskulární péče, v rámci Středočeského, Ústeckého, Královehradeckého kraje je více než 60% pacientům poskytnuta prvotní péče v rámci nemocnic poskytující návaznou péči. Navíc, v dalších 7 krajích (Jihomoravský kraj, kraj Vysočina, Zlínský, Olomoucký, Moravskoslezský, Jihočeský, Liberecký kraj) je více než 50% pacientů hospitalizováno v rámci poskytovatelů návazné péče (viz graf č. 6). Opět se zde ukazuje významná úloha tohoto segmentu při zajištění přístupu ke zdravotním službám.   </w:t>
      </w:r>
    </w:p>
    <w:p w:rsidR="00A64B21" w:rsidRPr="00302DDF" w:rsidRDefault="00A64B21" w:rsidP="00057DCC">
      <w:pPr>
        <w:spacing w:after="120"/>
        <w:jc w:val="both"/>
      </w:pPr>
      <w:r w:rsidRPr="00302DDF">
        <w:t xml:space="preserve">Zajímavostí je, že v rámci kardio péče dochází k vyšší migraci pacientů mezi regiony. Například až 24% pacientů v rámci Karlovarského kraje není hospitalizováno v rámci své spádové oblasti. K větším migracím za komplexní kardiovaskulární péče dochází i v Libereckém, Ústeckém a Zlínském kraji a Kraji Vysočina. </w:t>
      </w:r>
    </w:p>
    <w:p w:rsidR="00A64B21" w:rsidRPr="00302DDF" w:rsidRDefault="00A64B21" w:rsidP="00964D1B"/>
    <w:p w:rsidR="00A64B21" w:rsidRPr="00302DDF" w:rsidRDefault="00951461" w:rsidP="00ED63D5">
      <w:pPr>
        <w:keepNext/>
      </w:pPr>
      <w:r>
        <w:rPr>
          <w:noProof/>
        </w:rPr>
        <w:drawing>
          <wp:inline distT="0" distB="0" distL="0" distR="0" wp14:anchorId="7DA25239" wp14:editId="57394D44">
            <wp:extent cx="4866005" cy="3450590"/>
            <wp:effectExtent l="0" t="0" r="0" b="0"/>
            <wp:docPr id="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6005" cy="3450590"/>
                    </a:xfrm>
                    <a:prstGeom prst="rect">
                      <a:avLst/>
                    </a:prstGeom>
                    <a:noFill/>
                    <a:ln>
                      <a:noFill/>
                    </a:ln>
                  </pic:spPr>
                </pic:pic>
              </a:graphicData>
            </a:graphic>
          </wp:inline>
        </w:drawing>
      </w:r>
    </w:p>
    <w:p w:rsidR="00A64B21" w:rsidRPr="00302DDF" w:rsidRDefault="00A64B21" w:rsidP="00964D1B">
      <w:pPr>
        <w:rPr>
          <w:sz w:val="20"/>
        </w:rPr>
      </w:pPr>
      <w:r w:rsidRPr="00302DDF">
        <w:rPr>
          <w:sz w:val="20"/>
        </w:rPr>
        <w:t>Graf č. 6 Hospitalizace v rámci kardio center, zdroj: ÚZIS</w:t>
      </w:r>
    </w:p>
    <w:p w:rsidR="00A64B21" w:rsidRPr="00302DDF" w:rsidRDefault="00A64B21" w:rsidP="00964D1B"/>
    <w:p w:rsidR="00A64B21" w:rsidRPr="00302DDF" w:rsidRDefault="00A64B21" w:rsidP="00057DCC">
      <w:pPr>
        <w:pStyle w:val="Nadpis2"/>
        <w:numPr>
          <w:ilvl w:val="1"/>
          <w:numId w:val="40"/>
        </w:numPr>
        <w:spacing w:after="120"/>
      </w:pPr>
      <w:bookmarkStart w:id="11" w:name="_Toc401926082"/>
      <w:r w:rsidRPr="00302DDF">
        <w:t>Cerebrovaskulární péče</w:t>
      </w:r>
      <w:bookmarkEnd w:id="11"/>
    </w:p>
    <w:p w:rsidR="00A64B21" w:rsidRPr="00302DDF" w:rsidRDefault="00A64B21" w:rsidP="00057DCC">
      <w:pPr>
        <w:spacing w:after="120"/>
        <w:jc w:val="both"/>
      </w:pPr>
      <w:r w:rsidRPr="00302DDF">
        <w:t>U cerebrovaskulární péče je v ČR průměrně 93% pacientů hospitalizováno v rámci svých spádových oblastí (viz. graf č. 8), a průměrně 64% pacientů čerpá prvotní péči v rámci cerebrovaskulárních center, tedy center vysoce specializované péče (viz. graf č. 7).</w:t>
      </w:r>
    </w:p>
    <w:p w:rsidR="00A64B21" w:rsidRPr="00302DDF" w:rsidRDefault="00A64B21" w:rsidP="00E76B0E"/>
    <w:p w:rsidR="00A64B21" w:rsidRPr="00302DDF" w:rsidRDefault="00951461" w:rsidP="00A4476C">
      <w:pPr>
        <w:keepNext/>
      </w:pPr>
      <w:r>
        <w:rPr>
          <w:noProof/>
        </w:rPr>
        <w:lastRenderedPageBreak/>
        <w:drawing>
          <wp:inline distT="0" distB="0" distL="0" distR="0" wp14:anchorId="4C560D95" wp14:editId="1C53EBD7">
            <wp:extent cx="5104765" cy="3434715"/>
            <wp:effectExtent l="0" t="0" r="0" b="0"/>
            <wp:docPr id="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rsidR="00A64B21" w:rsidRPr="00302DDF" w:rsidRDefault="00A64B21" w:rsidP="00A4476C">
      <w:pPr>
        <w:rPr>
          <w:sz w:val="22"/>
        </w:rPr>
      </w:pPr>
      <w:r w:rsidRPr="00302DDF">
        <w:rPr>
          <w:sz w:val="20"/>
        </w:rPr>
        <w:t xml:space="preserve">Graf č. 7 Hospitalizace v cerebrocentrech, graf č. 8 Hospitalizace ve spádových </w:t>
      </w:r>
      <w:r w:rsidRPr="00302DDF">
        <w:rPr>
          <w:sz w:val="22"/>
        </w:rPr>
        <w:t xml:space="preserve">oblastech </w:t>
      </w:r>
    </w:p>
    <w:p w:rsidR="00A64B21" w:rsidRPr="00302DDF" w:rsidRDefault="00A64B21" w:rsidP="00E76B0E"/>
    <w:p w:rsidR="00A64B21" w:rsidRPr="00302DDF" w:rsidRDefault="00A64B21" w:rsidP="00B3710B">
      <w:pPr>
        <w:jc w:val="both"/>
      </w:pPr>
      <w:r w:rsidRPr="00302DDF">
        <w:t>U cerebrovaskulární péče je ve většině krajů dobrá dostupnost CVSP, které zvládne pokrýt většinu obyvatel ve své spádové oblasti. Výjimku zde tvoří Olomoucký, Plzeňský kraj a kraj Vysočina, kde je kolem 50% pacientů</w:t>
      </w:r>
      <w:r>
        <w:t>,</w:t>
      </w:r>
      <w:r w:rsidRPr="00302DDF">
        <w:t xml:space="preserve"> je prvotně hospitalizováno v nemocnicích poskytující návaznou péči (viz graf č. 9). V rámci uvedené diagnózy již lze vysledovat rozdíly mezi jednotlivými kraji. Zatímco v Karlovarském kraji celých 84,7% pacientů čerpá prvotní péči v  CVSP, v rámci Olomouckém kraje to je pouze 46,7%. To znamená, že segment návazné péče v této diagnóze hraje větší roli v rámci Olomouckého kraje než je tomu v Karlovarském kraji.  </w:t>
      </w:r>
    </w:p>
    <w:p w:rsidR="00A64B21" w:rsidRPr="00302DDF" w:rsidRDefault="00A64B21" w:rsidP="00B3710B">
      <w:pPr>
        <w:jc w:val="both"/>
      </w:pPr>
    </w:p>
    <w:p w:rsidR="00A64B21" w:rsidRPr="00302DDF" w:rsidRDefault="00951461" w:rsidP="0087157A">
      <w:pPr>
        <w:keepNext/>
      </w:pPr>
      <w:r>
        <w:rPr>
          <w:noProof/>
        </w:rPr>
        <w:lastRenderedPageBreak/>
        <w:drawing>
          <wp:inline distT="0" distB="0" distL="0" distR="0" wp14:anchorId="5A8B615C" wp14:editId="3022E07D">
            <wp:extent cx="5327650" cy="3768725"/>
            <wp:effectExtent l="0" t="0" r="0" b="3175"/>
            <wp:docPr id="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3768725"/>
                    </a:xfrm>
                    <a:prstGeom prst="rect">
                      <a:avLst/>
                    </a:prstGeom>
                    <a:noFill/>
                    <a:ln>
                      <a:noFill/>
                    </a:ln>
                  </pic:spPr>
                </pic:pic>
              </a:graphicData>
            </a:graphic>
          </wp:inline>
        </w:drawing>
      </w:r>
    </w:p>
    <w:p w:rsidR="00A64B21" w:rsidRPr="00302DDF" w:rsidRDefault="00A64B21" w:rsidP="00E76B0E">
      <w:pPr>
        <w:rPr>
          <w:sz w:val="20"/>
        </w:rPr>
      </w:pPr>
      <w:r w:rsidRPr="00302DDF">
        <w:rPr>
          <w:sz w:val="20"/>
        </w:rPr>
        <w:t>Graf č. 9 Hospitalizace v rámci cerebro center, zdroj: ÚZIS</w:t>
      </w:r>
    </w:p>
    <w:p w:rsidR="00A64B21" w:rsidRPr="00302DDF" w:rsidRDefault="00A64B21" w:rsidP="00E76B0E">
      <w:pPr>
        <w:rPr>
          <w:sz w:val="20"/>
        </w:rPr>
      </w:pPr>
    </w:p>
    <w:p w:rsidR="00A64B21" w:rsidRPr="00302DDF" w:rsidRDefault="00A64B21" w:rsidP="00057DCC">
      <w:pPr>
        <w:pStyle w:val="Nadpis2"/>
        <w:numPr>
          <w:ilvl w:val="1"/>
          <w:numId w:val="40"/>
        </w:numPr>
        <w:spacing w:after="120"/>
      </w:pPr>
      <w:bookmarkStart w:id="12" w:name="_Toc401926083"/>
      <w:r w:rsidRPr="00302DDF">
        <w:t>Perinatologie</w:t>
      </w:r>
      <w:bookmarkEnd w:id="12"/>
    </w:p>
    <w:p w:rsidR="00A64B21" w:rsidRPr="00302DDF" w:rsidRDefault="00A64B21" w:rsidP="00057DCC">
      <w:pPr>
        <w:spacing w:after="120"/>
        <w:jc w:val="both"/>
      </w:pPr>
      <w:r w:rsidRPr="00302DDF">
        <w:t>Rovněž v případě perinatologie p</w:t>
      </w:r>
      <w:r>
        <w:t>l</w:t>
      </w:r>
      <w:r w:rsidRPr="00302DDF">
        <w:t>atí, že většina paci</w:t>
      </w:r>
      <w:r>
        <w:t>e</w:t>
      </w:r>
      <w:r w:rsidRPr="00302DDF">
        <w:t>ntů v ČR (průměrně je 88,2%) je hospitalizována v rámci své spádové oblasti (viz graf č. 11). Signifikantně však přibývá krajů, kde je výrazné procento obyvatel prvotně hospitalizováno nikoliv ve specializovaných perinatologických centrech, ale v rámci jiných nemocnic, poskytující návaznou péči (viz graf č. 10). Důvodem je mimo jiné skutečnost, že perinatologická síť CVSP se stále etabluje.</w:t>
      </w:r>
    </w:p>
    <w:p w:rsidR="00A64B21" w:rsidRPr="00302DDF" w:rsidRDefault="00A64B21" w:rsidP="00B3710B"/>
    <w:p w:rsidR="00A64B21" w:rsidRPr="00302DDF" w:rsidRDefault="00951461" w:rsidP="0087157A">
      <w:pPr>
        <w:keepNext/>
      </w:pPr>
      <w:r>
        <w:rPr>
          <w:noProof/>
        </w:rPr>
        <w:lastRenderedPageBreak/>
        <w:drawing>
          <wp:inline distT="0" distB="0" distL="0" distR="0" wp14:anchorId="450ADBA0" wp14:editId="4C985627">
            <wp:extent cx="5470525" cy="3665855"/>
            <wp:effectExtent l="0" t="0" r="0" b="0"/>
            <wp:docPr id="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0525" cy="3665855"/>
                    </a:xfrm>
                    <a:prstGeom prst="rect">
                      <a:avLst/>
                    </a:prstGeom>
                    <a:noFill/>
                    <a:ln>
                      <a:noFill/>
                    </a:ln>
                  </pic:spPr>
                </pic:pic>
              </a:graphicData>
            </a:graphic>
          </wp:inline>
        </w:drawing>
      </w:r>
    </w:p>
    <w:p w:rsidR="00A64B21" w:rsidRPr="00302DDF" w:rsidRDefault="00A64B21" w:rsidP="00E76B0E">
      <w:pPr>
        <w:rPr>
          <w:sz w:val="20"/>
        </w:rPr>
      </w:pPr>
      <w:r w:rsidRPr="00302DDF">
        <w:rPr>
          <w:sz w:val="20"/>
        </w:rPr>
        <w:t>Graf č.10 Hospitalizace v perinatologických centrech, graf č.11 Hospitalizace ve spádových oblastech</w:t>
      </w:r>
    </w:p>
    <w:p w:rsidR="00A64B21" w:rsidRPr="00302DDF" w:rsidRDefault="00A64B21" w:rsidP="00E76B0E"/>
    <w:p w:rsidR="00A64B21" w:rsidRPr="00302DDF" w:rsidRDefault="00A64B21" w:rsidP="008A4913">
      <w:pPr>
        <w:jc w:val="both"/>
      </w:pPr>
      <w:r w:rsidRPr="00302DDF">
        <w:t>Z interpretace dat vyplývá, že mezi kraje s největším využíváním nemocnic poskytujících návaznou péči (nad 66</w:t>
      </w:r>
      <w:r>
        <w:t xml:space="preserve"> </w:t>
      </w:r>
      <w:r w:rsidRPr="00302DDF">
        <w:t xml:space="preserve">% pacientů) v rámci perinatologie patří: Kraj Vysočina, Liberecký, Moravskoslezský, Královehradecký, Středočeský, Ústecký, Pardubický, Karlovarský, Zlínský kraj (graf č. 12). </w:t>
      </w:r>
    </w:p>
    <w:p w:rsidR="00A64B21" w:rsidRPr="00302DDF" w:rsidRDefault="00A64B21" w:rsidP="00E76B0E"/>
    <w:p w:rsidR="00A64B21" w:rsidRPr="00302DDF" w:rsidRDefault="00951461" w:rsidP="00E76B0E">
      <w:pPr>
        <w:rPr>
          <w:lang w:eastAsia="en-GB"/>
        </w:rPr>
      </w:pPr>
      <w:r>
        <w:rPr>
          <w:noProof/>
        </w:rPr>
        <w:drawing>
          <wp:inline distT="0" distB="0" distL="0" distR="0" wp14:anchorId="0B2DE585" wp14:editId="7ACAE080">
            <wp:extent cx="5144770" cy="3649345"/>
            <wp:effectExtent l="0" t="0" r="0" b="8255"/>
            <wp:docPr id="10"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770" cy="3649345"/>
                    </a:xfrm>
                    <a:prstGeom prst="rect">
                      <a:avLst/>
                    </a:prstGeom>
                    <a:noFill/>
                    <a:ln>
                      <a:noFill/>
                    </a:ln>
                  </pic:spPr>
                </pic:pic>
              </a:graphicData>
            </a:graphic>
          </wp:inline>
        </w:drawing>
      </w:r>
    </w:p>
    <w:p w:rsidR="00A64B21" w:rsidRPr="00302DDF" w:rsidRDefault="00A64B21" w:rsidP="00E76B0E">
      <w:pPr>
        <w:rPr>
          <w:sz w:val="20"/>
        </w:rPr>
      </w:pPr>
      <w:r w:rsidRPr="00302DDF">
        <w:rPr>
          <w:sz w:val="20"/>
        </w:rPr>
        <w:t>Graf č. 12 Hospitalizace v rámci perinatologických center, zdroj: ÚZIS</w:t>
      </w:r>
    </w:p>
    <w:p w:rsidR="00A64B21" w:rsidRPr="00302DDF" w:rsidRDefault="00A64B21" w:rsidP="00057DCC">
      <w:pPr>
        <w:pStyle w:val="Nadpis2"/>
        <w:numPr>
          <w:ilvl w:val="1"/>
          <w:numId w:val="40"/>
        </w:numPr>
        <w:spacing w:after="120"/>
      </w:pPr>
      <w:bookmarkStart w:id="13" w:name="_Toc401926084"/>
      <w:r w:rsidRPr="00302DDF">
        <w:lastRenderedPageBreak/>
        <w:t>Novotvary</w:t>
      </w:r>
      <w:bookmarkEnd w:id="13"/>
    </w:p>
    <w:p w:rsidR="00A64B21" w:rsidRPr="00302DDF" w:rsidRDefault="00A64B21" w:rsidP="00057DCC">
      <w:pPr>
        <w:spacing w:after="120"/>
        <w:jc w:val="both"/>
      </w:pPr>
      <w:r w:rsidRPr="00302DDF">
        <w:t>V rámci ČR více než polovina onkologických pacientů zahajuje léčbu mimo CVSP (46,3%, viz graf č. 13), a v průměru 85,3% pacientů je hospitalizovaných v rámci své spádové oblasti (viz graf č. 14). Opět zde lze vysledovat rozdíly mezi regiony v místě vstupu do systému péče ve specializovaných centrech. Například v Plzeňském kraji čerpá více než 60 % pacientů prvotní léčbu v CVSP, oproti 23,7 % v kraji Pardubickém. Důvodem může být skutečnost, že Fakultní nemocnice Plzeň, kde je CVSP umístěno, hraje také pro většinu obyvatel regionu roli poskytovatele návazné péče, neboť je jejich jedinou spádovou nemocnicí. Na rozdíl od opačné strany spektra Pardubického kraje, kde návaznou péči poskytuje více zařízení.</w:t>
      </w:r>
    </w:p>
    <w:p w:rsidR="00A64B21" w:rsidRPr="00302DDF" w:rsidRDefault="00A64B21" w:rsidP="00FD10B5"/>
    <w:p w:rsidR="00A64B21" w:rsidRPr="00302DDF" w:rsidRDefault="00A64B21" w:rsidP="00FD10B5"/>
    <w:p w:rsidR="00A64B21" w:rsidRPr="00302DDF" w:rsidRDefault="00951461" w:rsidP="006731A3">
      <w:pPr>
        <w:keepNext/>
      </w:pPr>
      <w:r>
        <w:rPr>
          <w:noProof/>
        </w:rPr>
        <w:drawing>
          <wp:inline distT="0" distB="0" distL="0" distR="0" wp14:anchorId="54138FC0" wp14:editId="0D7E9F55">
            <wp:extent cx="5709285" cy="3601720"/>
            <wp:effectExtent l="0" t="0" r="0" b="0"/>
            <wp:docPr id="1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285" cy="3601720"/>
                    </a:xfrm>
                    <a:prstGeom prst="rect">
                      <a:avLst/>
                    </a:prstGeom>
                    <a:noFill/>
                    <a:ln>
                      <a:noFill/>
                    </a:ln>
                  </pic:spPr>
                </pic:pic>
              </a:graphicData>
            </a:graphic>
          </wp:inline>
        </w:drawing>
      </w:r>
    </w:p>
    <w:p w:rsidR="00A64B21" w:rsidRPr="00302DDF" w:rsidRDefault="00A64B21" w:rsidP="0087157A">
      <w:pPr>
        <w:rPr>
          <w:sz w:val="20"/>
        </w:rPr>
      </w:pPr>
      <w:r w:rsidRPr="00302DDF">
        <w:rPr>
          <w:sz w:val="20"/>
        </w:rPr>
        <w:t>Graf č.13 Hospitalizace v onkologických centrech, graf č.14 Hospitalizace ve spádových oblastech</w:t>
      </w:r>
    </w:p>
    <w:p w:rsidR="00A64B21" w:rsidRPr="00302DDF" w:rsidRDefault="00A64B21" w:rsidP="00FD10B5"/>
    <w:p w:rsidR="00A64B21" w:rsidRPr="00302DDF" w:rsidRDefault="00A64B21" w:rsidP="00FD10B5"/>
    <w:p w:rsidR="00A64B21" w:rsidRPr="00302DDF" w:rsidRDefault="00A64B21" w:rsidP="00FD10B5">
      <w:pPr>
        <w:jc w:val="both"/>
      </w:pPr>
      <w:r w:rsidRPr="00302DDF">
        <w:t>Výrazné jsou z hlediska místa zahájení léčby rozdíly také mezi některými kraji navzájem. Například v Pardubickém a Karlovarském kraji je přes 70</w:t>
      </w:r>
      <w:r>
        <w:t xml:space="preserve"> </w:t>
      </w:r>
      <w:r w:rsidRPr="00302DDF">
        <w:t>% pacientů hospitalizováno v rámci regionálních nemocnic poskytujících návaznou péči. Výrazné je také procento pacientů u Středočeského a Libereckého kraje, kteří musí za péčí cestovat – u Středočeského kraje se jedná o 16</w:t>
      </w:r>
      <w:r>
        <w:t xml:space="preserve"> </w:t>
      </w:r>
      <w:r w:rsidRPr="00302DDF">
        <w:t xml:space="preserve">% pacientů, kteří, aby jim byla poskytnuta péče v oblasti léčby novotvarů, musí hledat péči mimo své spádové centrum. Důvodem je skutečnost, že pro velkou část Středočeského kraje jsou přirozeným spádovým místem nemocnice v Praze (viz graf č. 15). </w:t>
      </w:r>
    </w:p>
    <w:p w:rsidR="00A64B21" w:rsidRPr="00302DDF" w:rsidRDefault="00A64B21" w:rsidP="00FD10B5"/>
    <w:p w:rsidR="00A64B21" w:rsidRPr="00302DDF" w:rsidRDefault="00951461" w:rsidP="006731A3">
      <w:pPr>
        <w:keepNext/>
      </w:pPr>
      <w:r>
        <w:rPr>
          <w:noProof/>
        </w:rPr>
        <w:lastRenderedPageBreak/>
        <w:drawing>
          <wp:inline distT="0" distB="0" distL="0" distR="0" wp14:anchorId="4DB3268B" wp14:editId="6CDA71D8">
            <wp:extent cx="5048885" cy="3578225"/>
            <wp:effectExtent l="0" t="0" r="0" b="3175"/>
            <wp:docPr id="12"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885" cy="3578225"/>
                    </a:xfrm>
                    <a:prstGeom prst="rect">
                      <a:avLst/>
                    </a:prstGeom>
                    <a:noFill/>
                    <a:ln>
                      <a:noFill/>
                    </a:ln>
                  </pic:spPr>
                </pic:pic>
              </a:graphicData>
            </a:graphic>
          </wp:inline>
        </w:drawing>
      </w:r>
    </w:p>
    <w:p w:rsidR="00A64B21" w:rsidRPr="00302DDF" w:rsidRDefault="00A64B21" w:rsidP="0087157A">
      <w:pPr>
        <w:rPr>
          <w:sz w:val="20"/>
        </w:rPr>
      </w:pPr>
      <w:r w:rsidRPr="00302DDF">
        <w:rPr>
          <w:sz w:val="20"/>
        </w:rPr>
        <w:t>Graf č. 15 Hospitalizace v rámci onkologických center, zdroj: ÚZIS</w:t>
      </w:r>
    </w:p>
    <w:p w:rsidR="00A64B21" w:rsidRPr="00302DDF" w:rsidRDefault="00A64B21" w:rsidP="00FD10B5"/>
    <w:p w:rsidR="00A64B21" w:rsidRPr="00302DDF" w:rsidRDefault="00A64B21" w:rsidP="00057DCC">
      <w:pPr>
        <w:pStyle w:val="Nadpis2"/>
        <w:numPr>
          <w:ilvl w:val="1"/>
          <w:numId w:val="40"/>
        </w:numPr>
        <w:spacing w:after="120"/>
      </w:pPr>
      <w:bookmarkStart w:id="14" w:name="_Toc401926085"/>
      <w:r w:rsidRPr="00302DDF">
        <w:t>Onkogynekologická péče</w:t>
      </w:r>
      <w:bookmarkEnd w:id="14"/>
    </w:p>
    <w:p w:rsidR="00A64B21" w:rsidRPr="00302DDF" w:rsidRDefault="00A64B21" w:rsidP="00057DCC">
      <w:pPr>
        <w:spacing w:after="120"/>
        <w:jc w:val="both"/>
      </w:pPr>
      <w:r w:rsidRPr="00302DDF">
        <w:t>U onkogynekologie je průměrně 86,8</w:t>
      </w:r>
      <w:r>
        <w:t xml:space="preserve"> </w:t>
      </w:r>
      <w:r w:rsidRPr="00302DDF">
        <w:t xml:space="preserve">% pacientů v ČR hospitalizováno v rámci svých spádových oblastí (viz graf č. 17) a průměrně je 55,6% pacientů je léčeno od počátku v rámci CVSP (viz graf č. 16).  </w:t>
      </w:r>
    </w:p>
    <w:p w:rsidR="00A64B21" w:rsidRPr="00302DDF" w:rsidRDefault="00A64B21" w:rsidP="00D258E5">
      <w:pPr>
        <w:jc w:val="both"/>
      </w:pPr>
    </w:p>
    <w:p w:rsidR="00A64B21" w:rsidRPr="00302DDF" w:rsidRDefault="00951461" w:rsidP="00D258E5">
      <w:pPr>
        <w:keepNext/>
      </w:pPr>
      <w:r>
        <w:rPr>
          <w:noProof/>
        </w:rPr>
        <w:drawing>
          <wp:inline distT="0" distB="0" distL="0" distR="0" wp14:anchorId="134E5306" wp14:editId="3ED3C1B4">
            <wp:extent cx="5287645" cy="3546475"/>
            <wp:effectExtent l="0" t="0" r="0" b="0"/>
            <wp:docPr id="13"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645" cy="3546475"/>
                    </a:xfrm>
                    <a:prstGeom prst="rect">
                      <a:avLst/>
                    </a:prstGeom>
                    <a:noFill/>
                    <a:ln>
                      <a:noFill/>
                    </a:ln>
                  </pic:spPr>
                </pic:pic>
              </a:graphicData>
            </a:graphic>
          </wp:inline>
        </w:drawing>
      </w:r>
    </w:p>
    <w:p w:rsidR="00A64B21" w:rsidRPr="00302DDF" w:rsidRDefault="00A64B21" w:rsidP="00D258E5">
      <w:pPr>
        <w:jc w:val="both"/>
        <w:rPr>
          <w:sz w:val="20"/>
        </w:rPr>
      </w:pPr>
      <w:r w:rsidRPr="00302DDF">
        <w:rPr>
          <w:sz w:val="20"/>
        </w:rPr>
        <w:t>Graf č. 16 Hospitalizace v onkologynekologických centrech, graf č. 17 Hospitalizace ve spádových oblastech</w:t>
      </w:r>
    </w:p>
    <w:p w:rsidR="00A64B21" w:rsidRPr="00302DDF" w:rsidRDefault="00A64B21" w:rsidP="00D258E5">
      <w:pPr>
        <w:jc w:val="both"/>
      </w:pPr>
      <w:r w:rsidRPr="00302DDF">
        <w:lastRenderedPageBreak/>
        <w:t xml:space="preserve">Při detailní interpretaci kolektovaných dat (graf č. 18) je patrné, že mezi jednotlivými regiony existují velké rozdíly. Zatímco v Libereckém kraji musí pacientky za onkogynekologickou péčí dojíždět do jiného regionu a 80% pacientů vstupuje do systému péče skrze návaznou péči, v Jihomoravském kraji 68,9% pacientů vstupuje do systému přímo přes CVSP.  </w:t>
      </w:r>
    </w:p>
    <w:p w:rsidR="00A64B21" w:rsidRPr="00302DDF" w:rsidRDefault="00A64B21" w:rsidP="00D258E5">
      <w:pPr>
        <w:jc w:val="both"/>
        <w:rPr>
          <w:sz w:val="20"/>
        </w:rPr>
      </w:pPr>
    </w:p>
    <w:p w:rsidR="00A64B21" w:rsidRPr="00302DDF" w:rsidRDefault="00A64B21" w:rsidP="00D258E5">
      <w:pPr>
        <w:jc w:val="both"/>
        <w:rPr>
          <w:sz w:val="20"/>
        </w:rPr>
      </w:pPr>
    </w:p>
    <w:p w:rsidR="00A64B21" w:rsidRPr="00302DDF" w:rsidRDefault="00A64B21" w:rsidP="00D258E5">
      <w:pPr>
        <w:jc w:val="both"/>
        <w:rPr>
          <w:sz w:val="20"/>
        </w:rPr>
      </w:pPr>
    </w:p>
    <w:p w:rsidR="00A64B21" w:rsidRPr="00302DDF" w:rsidRDefault="00951461" w:rsidP="00D258E5">
      <w:pPr>
        <w:keepNext/>
      </w:pPr>
      <w:r>
        <w:rPr>
          <w:noProof/>
        </w:rPr>
        <w:drawing>
          <wp:inline distT="0" distB="0" distL="0" distR="0" wp14:anchorId="5CBAFCE4" wp14:editId="0C84A341">
            <wp:extent cx="5574030" cy="3649345"/>
            <wp:effectExtent l="0" t="0" r="0" b="0"/>
            <wp:docPr id="14"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4030" cy="3649345"/>
                    </a:xfrm>
                    <a:prstGeom prst="rect">
                      <a:avLst/>
                    </a:prstGeom>
                    <a:noFill/>
                    <a:ln>
                      <a:noFill/>
                    </a:ln>
                  </pic:spPr>
                </pic:pic>
              </a:graphicData>
            </a:graphic>
          </wp:inline>
        </w:drawing>
      </w:r>
    </w:p>
    <w:p w:rsidR="00A64B21" w:rsidRPr="00302DDF" w:rsidRDefault="00A64B21" w:rsidP="00D258E5">
      <w:pPr>
        <w:rPr>
          <w:sz w:val="20"/>
        </w:rPr>
      </w:pPr>
      <w:r w:rsidRPr="00302DDF">
        <w:rPr>
          <w:sz w:val="20"/>
        </w:rPr>
        <w:t>Graf č. 18 Hospitalizace v rámci onkologynekologických center, zdroj: ÚZIS</w:t>
      </w:r>
    </w:p>
    <w:p w:rsidR="00A64B21" w:rsidRPr="00302DDF" w:rsidRDefault="00A64B21" w:rsidP="00057DCC">
      <w:pPr>
        <w:pStyle w:val="Nadpis2"/>
        <w:numPr>
          <w:ilvl w:val="1"/>
          <w:numId w:val="40"/>
        </w:numPr>
        <w:spacing w:after="120"/>
      </w:pPr>
      <w:bookmarkStart w:id="15" w:name="_Toc401926086"/>
      <w:r w:rsidRPr="00302DDF">
        <w:t>Shrnutí</w:t>
      </w:r>
      <w:bookmarkEnd w:id="15"/>
      <w:r w:rsidRPr="00302DDF">
        <w:t xml:space="preserve"> </w:t>
      </w:r>
    </w:p>
    <w:p w:rsidR="00A64B21" w:rsidRPr="00302DDF" w:rsidRDefault="00A64B21" w:rsidP="00276D1E">
      <w:pPr>
        <w:spacing w:after="120"/>
        <w:jc w:val="both"/>
      </w:pPr>
      <w:r w:rsidRPr="00302DDF">
        <w:t xml:space="preserve">Analýza ukázala regionální rozdílnosti a specifika v přístupu ke kvalitní péči, která přímo navazuje na péči vysoce specializovanou. Většina pacientů s epidemiologicky nejvýznamnějšími diagnózami čerpá prvotní péči v rámci nemocnic, které lze označit za poskytovatele tzv. návazné péče. To dokládá klíčovou roli tohoto segmentu v systému veřejného zdravotnictví, neboť fakticky zprostředkovávají přístup ke kvalitním zdravotním službám pro většinu obyvatel České republiky. </w:t>
      </w:r>
    </w:p>
    <w:p w:rsidR="00A64B21" w:rsidRPr="00302DDF" w:rsidRDefault="00A64B21" w:rsidP="00276D1E">
      <w:pPr>
        <w:spacing w:after="120"/>
        <w:jc w:val="both"/>
      </w:pPr>
      <w:r w:rsidRPr="00302DDF">
        <w:t>Kvalita péče v těchto zařízení</w:t>
      </w:r>
      <w:r>
        <w:t>ch</w:t>
      </w:r>
      <w:r w:rsidRPr="00302DDF">
        <w:t xml:space="preserve"> však není na stejné úrovni jako v rámci CVSP a často se velmi výrazně liší i mezi jednotlivými návaznými zařízeními navzájem. Smyslem případných intervencí samozřejmě není vyrovnat medicínskou úroveň CVSP a poskytovatelů návazné péče, neboť tím by se zcela popřela myšlenka koncentrace a specializace péče, ale modernizovat infrastrukturu tak, aby zařízení, která poskytují návaznou péči, mohla kvalitně plnit svou funkci místa, kde pacient nejčastěji vstupuje do systému a odkud je případně dál referován jiným specializovaným pracovištím. Přičemž je zřejmé, že v některých případech plní funkci návazné péče zařízení, ve kterých jsou rovněž umístěna CVSP. Tyto případy jsou popsány na příkladu fakultních nemocnic v kapitole 5.</w:t>
      </w:r>
    </w:p>
    <w:p w:rsidR="00276D1E" w:rsidRDefault="00A64B21" w:rsidP="00276D1E">
      <w:pPr>
        <w:spacing w:after="120"/>
        <w:jc w:val="both"/>
      </w:pPr>
      <w:r w:rsidRPr="00302DDF">
        <w:t>Analýza ukázala regionální rozdíly především v souvislosti s jed</w:t>
      </w:r>
      <w:r>
        <w:t>notlivými epidemiologickými obla</w:t>
      </w:r>
      <w:r w:rsidRPr="00302DDF">
        <w:t>stmi</w:t>
      </w:r>
      <w:r w:rsidR="00276D1E">
        <w:t>:</w:t>
      </w:r>
    </w:p>
    <w:p w:rsidR="00A64B21" w:rsidRPr="00302DDF" w:rsidRDefault="00A64B21" w:rsidP="00057DCC">
      <w:pPr>
        <w:pStyle w:val="Odstavecseseznamem"/>
        <w:numPr>
          <w:ilvl w:val="0"/>
          <w:numId w:val="59"/>
        </w:numPr>
        <w:spacing w:after="120"/>
        <w:jc w:val="both"/>
      </w:pPr>
      <w:r w:rsidRPr="00302DDF">
        <w:lastRenderedPageBreak/>
        <w:t xml:space="preserve">V případě </w:t>
      </w:r>
      <w:r w:rsidRPr="00276D1E">
        <w:rPr>
          <w:b/>
        </w:rPr>
        <w:t>traumatologie</w:t>
      </w:r>
      <w:r w:rsidRPr="00302DDF">
        <w:t xml:space="preserve"> existuje signifikantní potřeba podpory poskytovatelů návazné péče v kraji Zlínském, Pardubickém, Kraji Vysočina, Karlovarském a Moravskoslezském kraji, neboť zde přes 83</w:t>
      </w:r>
      <w:r>
        <w:t xml:space="preserve"> </w:t>
      </w:r>
      <w:r w:rsidRPr="00302DDF">
        <w:t xml:space="preserve">% pacientů čerpá prvotní péči v nemocnicích poskytujících návaznou péči. A zejména v případě traumatologie rozhoduje prvotní včasná a kvalitní péče o délce léčby a případných následcích. </w:t>
      </w:r>
    </w:p>
    <w:p w:rsidR="00A64B21" w:rsidRPr="00302DDF" w:rsidRDefault="00A64B21" w:rsidP="00057DCC">
      <w:pPr>
        <w:pStyle w:val="Odstavecseseznamem"/>
        <w:numPr>
          <w:ilvl w:val="0"/>
          <w:numId w:val="59"/>
        </w:numPr>
        <w:spacing w:after="120"/>
        <w:jc w:val="both"/>
      </w:pPr>
      <w:r w:rsidRPr="00302DDF">
        <w:t xml:space="preserve">V rámci </w:t>
      </w:r>
      <w:r w:rsidRPr="00276D1E">
        <w:rPr>
          <w:b/>
        </w:rPr>
        <w:t>kardiovaskulární péče</w:t>
      </w:r>
      <w:r w:rsidRPr="00302DDF">
        <w:t xml:space="preserve"> je situace lepší, přesto například v rámci Ústeckého kraje je u poskytovatelů návazné péče prvotně hospitalizováno celých 80</w:t>
      </w:r>
      <w:r>
        <w:t xml:space="preserve"> </w:t>
      </w:r>
      <w:r w:rsidRPr="00302DDF">
        <w:t xml:space="preserve">% pacientů. </w:t>
      </w:r>
    </w:p>
    <w:p w:rsidR="00A64B21" w:rsidRPr="00302DDF" w:rsidRDefault="00A64B21" w:rsidP="00057DCC">
      <w:pPr>
        <w:pStyle w:val="Odstavecseseznamem"/>
        <w:numPr>
          <w:ilvl w:val="0"/>
          <w:numId w:val="59"/>
        </w:numPr>
        <w:spacing w:after="120"/>
        <w:jc w:val="both"/>
      </w:pPr>
      <w:r w:rsidRPr="00302DDF">
        <w:t xml:space="preserve">U </w:t>
      </w:r>
      <w:r w:rsidRPr="00276D1E">
        <w:rPr>
          <w:b/>
        </w:rPr>
        <w:t>cerebrovaskulární a iktové</w:t>
      </w:r>
      <w:r w:rsidRPr="00302DDF">
        <w:t xml:space="preserve"> péče vykazuje nejvyšší podíl pacientů hospitalizovaných v návazné péči Olomoucký kraj s 53 % pacientů. </w:t>
      </w:r>
    </w:p>
    <w:p w:rsidR="00A64B21" w:rsidRPr="00302DDF" w:rsidRDefault="00A64B21" w:rsidP="00057DCC">
      <w:pPr>
        <w:pStyle w:val="Odstavecseseznamem"/>
        <w:numPr>
          <w:ilvl w:val="0"/>
          <w:numId w:val="59"/>
        </w:numPr>
        <w:spacing w:after="120"/>
        <w:jc w:val="both"/>
      </w:pPr>
      <w:r w:rsidRPr="00302DDF">
        <w:t>V souvislosti s </w:t>
      </w:r>
      <w:r w:rsidRPr="00276D1E">
        <w:rPr>
          <w:b/>
        </w:rPr>
        <w:t>péčí perinatologickou</w:t>
      </w:r>
      <w:r w:rsidRPr="00302DDF">
        <w:t xml:space="preserve"> existuje celých 9 krajů (Kraj Vysočina, Liberecký kraj, Moravskoslezský kraj, Královéhradecký kraj, Středočeský kraj, Ústecký kraj, Pardubický kraj, Karlovarský kraj a Zlínský kraj), kde je nad 66</w:t>
      </w:r>
      <w:r>
        <w:t xml:space="preserve"> </w:t>
      </w:r>
      <w:r w:rsidRPr="00302DDF">
        <w:t xml:space="preserve">% pacientů primárně léčeno u poskytovatelů návazné péče. </w:t>
      </w:r>
    </w:p>
    <w:p w:rsidR="00A64B21" w:rsidRPr="00302DDF" w:rsidRDefault="00A64B21" w:rsidP="00057DCC">
      <w:pPr>
        <w:pStyle w:val="Odstavecseseznamem"/>
        <w:numPr>
          <w:ilvl w:val="0"/>
          <w:numId w:val="59"/>
        </w:numPr>
        <w:spacing w:after="120"/>
        <w:jc w:val="both"/>
      </w:pPr>
      <w:r w:rsidRPr="00302DDF">
        <w:t xml:space="preserve">Při léčbě </w:t>
      </w:r>
      <w:r w:rsidRPr="00276D1E">
        <w:rPr>
          <w:b/>
        </w:rPr>
        <w:t>novotvarů</w:t>
      </w:r>
      <w:r w:rsidRPr="00302DDF">
        <w:t xml:space="preserve"> je přes 70 % pacientů v rámci Pardubického a Karlovarského kraje hospitalizováno v rámci regionálních nemocnic poskytující návaznou péči. </w:t>
      </w:r>
    </w:p>
    <w:p w:rsidR="00A64B21" w:rsidRPr="00302DDF" w:rsidRDefault="00A64B21" w:rsidP="00057DCC">
      <w:pPr>
        <w:pStyle w:val="Odstavecseseznamem"/>
        <w:numPr>
          <w:ilvl w:val="0"/>
          <w:numId w:val="59"/>
        </w:numPr>
        <w:spacing w:after="120"/>
        <w:jc w:val="both"/>
      </w:pPr>
      <w:r w:rsidRPr="00302DDF">
        <w:t xml:space="preserve">V rámci </w:t>
      </w:r>
      <w:r w:rsidRPr="00276D1E">
        <w:rPr>
          <w:b/>
        </w:rPr>
        <w:t xml:space="preserve">onkogynekologie </w:t>
      </w:r>
      <w:r w:rsidRPr="00302DDF">
        <w:t>vykazuje Liberecký a Pardubický kraj významné procento pacientů (74 a 80</w:t>
      </w:r>
      <w:r>
        <w:t xml:space="preserve"> </w:t>
      </w:r>
      <w:r w:rsidRPr="00302DDF">
        <w:t xml:space="preserve">%), které je primárně léčeno poskytovateli návazné péče. </w:t>
      </w:r>
    </w:p>
    <w:p w:rsidR="00A64B21" w:rsidRPr="00302DDF" w:rsidRDefault="00A64B21" w:rsidP="00057DCC">
      <w:pPr>
        <w:pStyle w:val="Odstavecseseznamem"/>
        <w:numPr>
          <w:ilvl w:val="0"/>
          <w:numId w:val="59"/>
        </w:numPr>
        <w:spacing w:after="120"/>
        <w:jc w:val="both"/>
      </w:pPr>
      <w:r w:rsidRPr="00302DDF">
        <w:t xml:space="preserve">Specifikem je Středočeský kraj, kde jsou okresy jako Kladno, Nymburk, Praha-východ, Praha-západ, Beroun, Benešov které mají spádovost přirozeně v Praze, proto je potřeba i v rámci hlavního města posílit úroveň návazné péče. </w:t>
      </w:r>
    </w:p>
    <w:p w:rsidR="00A64B21" w:rsidRPr="00302DDF" w:rsidRDefault="00A64B21" w:rsidP="00276D1E">
      <w:pPr>
        <w:spacing w:after="120"/>
        <w:jc w:val="both"/>
        <w:rPr>
          <w:b/>
        </w:rPr>
      </w:pPr>
      <w:r w:rsidRPr="00302DDF">
        <w:rPr>
          <w:b/>
        </w:rPr>
        <w:t xml:space="preserve">V případě podpory do návazné péče je proto nutné se v jednotlivých regionech primárně soustředit na obory navazující na péči v  oblastech, ve kterých je segment návazné péče dominantní. V případě cerebrovaskulární a iktové péče, kde je rychlost poskytnutí lékařského ošetření nejdůležitější </w:t>
      </w:r>
      <w:r w:rsidRPr="00302DDF">
        <w:t>(z tohoto</w:t>
      </w:r>
      <w:r w:rsidRPr="00302DDF">
        <w:rPr>
          <w:b/>
        </w:rPr>
        <w:t xml:space="preserve"> </w:t>
      </w:r>
      <w:r w:rsidRPr="00302DDF">
        <w:t>důvodu je síť CVSP nejrozsáhlejší)</w:t>
      </w:r>
      <w:r w:rsidRPr="00302DDF">
        <w:rPr>
          <w:b/>
        </w:rPr>
        <w:t xml:space="preserve">, by měla být podpora dokonce soustředěna už tam, kde je v segmentu návazné péče prvotně ošetřeno alespoň 30 % pacientů. </w:t>
      </w:r>
    </w:p>
    <w:p w:rsidR="00A64B21" w:rsidRPr="00302DDF" w:rsidRDefault="00A64B21" w:rsidP="00276D1E">
      <w:pPr>
        <w:spacing w:after="120"/>
        <w:jc w:val="both"/>
      </w:pPr>
      <w:r w:rsidRPr="00302DDF">
        <w:t xml:space="preserve">Z pohledu významu poskytovatelů návazné péče by měla být podpora v jednotlivých regionech soustředěna </w:t>
      </w:r>
      <w:r>
        <w:t xml:space="preserve">tak, aby bylo </w:t>
      </w:r>
      <w:r>
        <w:rPr>
          <w:b/>
        </w:rPr>
        <w:t xml:space="preserve">především </w:t>
      </w:r>
      <w:r>
        <w:t>zajištěno propojení s těmito typy vysoce specializované péče</w:t>
      </w:r>
      <w:r w:rsidRPr="00302DDF">
        <w:t>:</w:t>
      </w:r>
    </w:p>
    <w:p w:rsidR="00B47CD4" w:rsidRDefault="00B47CD4" w:rsidP="00CD01A3">
      <w:pPr>
        <w:jc w:val="both"/>
        <w:rPr>
          <w:b/>
        </w:rPr>
        <w:sectPr w:rsidR="00B47CD4" w:rsidSect="003E027F">
          <w:footerReference w:type="default" r:id="rId23"/>
          <w:pgSz w:w="11906" w:h="16838"/>
          <w:pgMar w:top="1417" w:right="1417" w:bottom="1417" w:left="1417" w:header="708" w:footer="708" w:gutter="0"/>
          <w:cols w:space="708"/>
          <w:docGrid w:linePitch="360"/>
        </w:sectPr>
      </w:pPr>
    </w:p>
    <w:p w:rsidR="00A64B21" w:rsidRPr="00302DDF" w:rsidRDefault="00A64B21" w:rsidP="00CD01A3">
      <w:pPr>
        <w:jc w:val="both"/>
        <w:rPr>
          <w:b/>
        </w:rPr>
      </w:pPr>
    </w:p>
    <w:p w:rsidR="00A64B21" w:rsidRPr="00724244" w:rsidRDefault="00A64B21" w:rsidP="00CD01A3">
      <w:pPr>
        <w:jc w:val="both"/>
        <w:rPr>
          <w:b/>
        </w:rPr>
      </w:pPr>
      <w:r w:rsidRPr="00724244">
        <w:rPr>
          <w:b/>
        </w:rPr>
        <w:t>Středočeský kraj:</w:t>
      </w:r>
    </w:p>
    <w:p w:rsidR="00A64B21" w:rsidRPr="00302DDF" w:rsidRDefault="00A64B21" w:rsidP="00620018">
      <w:pPr>
        <w:pStyle w:val="Odstavecseseznamem"/>
        <w:numPr>
          <w:ilvl w:val="0"/>
          <w:numId w:val="47"/>
        </w:numPr>
        <w:jc w:val="both"/>
      </w:pPr>
      <w:r w:rsidRPr="00302DDF">
        <w:t>traumatologie</w:t>
      </w:r>
      <w:r w:rsidR="00F31B98">
        <w:t xml:space="preserve"> </w:t>
      </w:r>
    </w:p>
    <w:p w:rsidR="00A64B21" w:rsidRPr="00302DDF" w:rsidRDefault="00A64B21" w:rsidP="00620018">
      <w:pPr>
        <w:pStyle w:val="Odstavecseseznamem"/>
        <w:numPr>
          <w:ilvl w:val="0"/>
          <w:numId w:val="47"/>
        </w:numPr>
        <w:jc w:val="both"/>
      </w:pPr>
      <w:r w:rsidRPr="00302DDF">
        <w:t xml:space="preserve">kardiologie </w:t>
      </w:r>
    </w:p>
    <w:p w:rsidR="00A64B21" w:rsidRPr="00302DDF" w:rsidRDefault="00A64B21" w:rsidP="00620018">
      <w:pPr>
        <w:pStyle w:val="Odstavecseseznamem"/>
        <w:numPr>
          <w:ilvl w:val="0"/>
          <w:numId w:val="47"/>
        </w:numPr>
        <w:jc w:val="both"/>
      </w:pPr>
      <w:r w:rsidRPr="00302DDF">
        <w:t>cerebrovaskulární a iktová péče</w:t>
      </w:r>
    </w:p>
    <w:p w:rsidR="00A64B21" w:rsidRPr="00302DDF" w:rsidRDefault="00A64B21" w:rsidP="00620018">
      <w:pPr>
        <w:pStyle w:val="Odstavecseseznamem"/>
        <w:numPr>
          <w:ilvl w:val="0"/>
          <w:numId w:val="47"/>
        </w:numPr>
        <w:jc w:val="both"/>
      </w:pPr>
      <w:r w:rsidRPr="00302DDF">
        <w:t>perinatologie</w:t>
      </w:r>
    </w:p>
    <w:p w:rsidR="00A64B21" w:rsidRDefault="00A64B21" w:rsidP="00620018">
      <w:pPr>
        <w:pStyle w:val="Odstavecseseznamem"/>
        <w:numPr>
          <w:ilvl w:val="0"/>
          <w:numId w:val="47"/>
        </w:numPr>
        <w:jc w:val="both"/>
      </w:pPr>
      <w:r w:rsidRPr="00302DDF">
        <w:t>onkologie</w:t>
      </w:r>
    </w:p>
    <w:p w:rsidR="00F31B98" w:rsidRDefault="00F31B98" w:rsidP="00F31B98">
      <w:pPr>
        <w:ind w:left="360"/>
        <w:jc w:val="both"/>
      </w:pPr>
      <w:r>
        <w:t xml:space="preserve">(jde tedy zejména o obory vnitřního lékařství, ortopedii a traumatologii pohybového ústrojí, </w:t>
      </w:r>
      <w:r w:rsidR="00660DAC">
        <w:t>chirurgické obory, neurologii, rehabilitační a fyzikální medicín</w:t>
      </w:r>
      <w:r w:rsidR="00D455DA">
        <w:t>u</w:t>
      </w:r>
      <w:r w:rsidR="00E533A0">
        <w:t xml:space="preserve"> a gynekologii a porodnictví</w:t>
      </w:r>
      <w:r w:rsidR="00660DAC">
        <w:t>)</w:t>
      </w:r>
    </w:p>
    <w:p w:rsidR="00F93E88" w:rsidRPr="00302DDF" w:rsidRDefault="00F93E88" w:rsidP="00F31B98">
      <w:pPr>
        <w:ind w:left="360"/>
        <w:jc w:val="both"/>
      </w:pPr>
    </w:p>
    <w:p w:rsidR="00A64B21" w:rsidRPr="00724244" w:rsidRDefault="00A64B21" w:rsidP="005320C0">
      <w:pPr>
        <w:jc w:val="both"/>
        <w:rPr>
          <w:b/>
        </w:rPr>
      </w:pPr>
      <w:r w:rsidRPr="00724244">
        <w:rPr>
          <w:b/>
        </w:rPr>
        <w:t>Liberecký kraj:</w:t>
      </w:r>
    </w:p>
    <w:p w:rsidR="00A64B21" w:rsidRPr="00302DDF" w:rsidRDefault="00A64B21" w:rsidP="00620018">
      <w:pPr>
        <w:pStyle w:val="Odstavecseseznamem"/>
        <w:numPr>
          <w:ilvl w:val="0"/>
          <w:numId w:val="48"/>
        </w:numPr>
        <w:jc w:val="both"/>
      </w:pPr>
      <w:r w:rsidRPr="00302DDF">
        <w:t>traumatologie</w:t>
      </w:r>
    </w:p>
    <w:p w:rsidR="00A64B21" w:rsidRPr="00302DDF" w:rsidRDefault="00A64B21" w:rsidP="00620018">
      <w:pPr>
        <w:pStyle w:val="Odstavecseseznamem"/>
        <w:numPr>
          <w:ilvl w:val="0"/>
          <w:numId w:val="48"/>
        </w:numPr>
        <w:jc w:val="both"/>
      </w:pPr>
      <w:r w:rsidRPr="00302DDF">
        <w:t>kardiologie</w:t>
      </w:r>
    </w:p>
    <w:p w:rsidR="00A64B21" w:rsidRPr="00302DDF" w:rsidRDefault="00A64B21" w:rsidP="00A92B63">
      <w:pPr>
        <w:pStyle w:val="Odstavecseseznamem"/>
        <w:numPr>
          <w:ilvl w:val="0"/>
          <w:numId w:val="48"/>
        </w:numPr>
        <w:jc w:val="both"/>
      </w:pPr>
      <w:r w:rsidRPr="00302DDF">
        <w:t>cerebrovaskulární a iktová péče</w:t>
      </w:r>
    </w:p>
    <w:p w:rsidR="00A64B21" w:rsidRPr="00302DDF" w:rsidRDefault="00A64B21" w:rsidP="00A92B63">
      <w:pPr>
        <w:pStyle w:val="Odstavecseseznamem"/>
        <w:numPr>
          <w:ilvl w:val="0"/>
          <w:numId w:val="48"/>
        </w:numPr>
        <w:jc w:val="both"/>
      </w:pPr>
      <w:r w:rsidRPr="00302DDF">
        <w:t>perinatologie</w:t>
      </w:r>
    </w:p>
    <w:p w:rsidR="00A64B21" w:rsidRPr="00302DDF" w:rsidRDefault="00A64B21" w:rsidP="00A92B63">
      <w:pPr>
        <w:pStyle w:val="Odstavecseseznamem"/>
        <w:numPr>
          <w:ilvl w:val="0"/>
          <w:numId w:val="48"/>
        </w:numPr>
        <w:jc w:val="both"/>
      </w:pPr>
      <w:r w:rsidRPr="00302DDF">
        <w:t>onkologie</w:t>
      </w:r>
    </w:p>
    <w:p w:rsidR="00A64B21" w:rsidRDefault="00A64B21" w:rsidP="00A92B63">
      <w:pPr>
        <w:pStyle w:val="Odstavecseseznamem"/>
        <w:numPr>
          <w:ilvl w:val="0"/>
          <w:numId w:val="48"/>
        </w:numPr>
        <w:jc w:val="both"/>
      </w:pPr>
      <w:r w:rsidRPr="00302DDF">
        <w:lastRenderedPageBreak/>
        <w:t>onkogynekologie</w:t>
      </w:r>
    </w:p>
    <w:p w:rsidR="00F93E88" w:rsidRDefault="00F93E88" w:rsidP="00F93E88">
      <w:pPr>
        <w:ind w:left="360"/>
        <w:jc w:val="both"/>
      </w:pPr>
      <w:r>
        <w:t>(jde tedy zejména o obory vnitřního lékařství, ortopedii a traumatologii pohybového ústrojí, chirurgické obory, neurologii, rehabilita</w:t>
      </w:r>
      <w:r w:rsidR="00D455DA">
        <w:t>ční a fyzikální medicínu</w:t>
      </w:r>
      <w:r>
        <w:t>)</w:t>
      </w:r>
    </w:p>
    <w:p w:rsidR="00F93E88" w:rsidRPr="00302DDF" w:rsidRDefault="00F93E88" w:rsidP="00F93E88">
      <w:pPr>
        <w:pStyle w:val="Odstavecseseznamem"/>
        <w:jc w:val="both"/>
      </w:pPr>
    </w:p>
    <w:p w:rsidR="00A64B21" w:rsidRPr="00954D7D" w:rsidRDefault="00A64B21" w:rsidP="00620018">
      <w:pPr>
        <w:jc w:val="both"/>
        <w:rPr>
          <w:b/>
        </w:rPr>
      </w:pPr>
      <w:r w:rsidRPr="00954D7D">
        <w:rPr>
          <w:b/>
        </w:rPr>
        <w:t>Ústecký kraj:</w:t>
      </w:r>
    </w:p>
    <w:p w:rsidR="00A64B21" w:rsidRPr="00302DDF" w:rsidRDefault="00A64B21" w:rsidP="00620018">
      <w:pPr>
        <w:pStyle w:val="Odstavecseseznamem"/>
        <w:numPr>
          <w:ilvl w:val="0"/>
          <w:numId w:val="49"/>
        </w:numPr>
        <w:jc w:val="both"/>
      </w:pPr>
      <w:r w:rsidRPr="00302DDF">
        <w:t>traumatologie</w:t>
      </w:r>
    </w:p>
    <w:p w:rsidR="00A64B21" w:rsidRPr="00302DDF" w:rsidRDefault="00A64B21" w:rsidP="00620018">
      <w:pPr>
        <w:pStyle w:val="Odstavecseseznamem"/>
        <w:numPr>
          <w:ilvl w:val="0"/>
          <w:numId w:val="49"/>
        </w:numPr>
        <w:jc w:val="both"/>
      </w:pPr>
      <w:r w:rsidRPr="00302DDF">
        <w:t>kardiologie</w:t>
      </w:r>
    </w:p>
    <w:p w:rsidR="00A64B21" w:rsidRPr="00302DDF" w:rsidRDefault="00A64B21" w:rsidP="00620018">
      <w:pPr>
        <w:pStyle w:val="Odstavecseseznamem"/>
        <w:numPr>
          <w:ilvl w:val="0"/>
          <w:numId w:val="49"/>
        </w:numPr>
        <w:jc w:val="both"/>
      </w:pPr>
      <w:r w:rsidRPr="00302DDF">
        <w:t>perinatologie</w:t>
      </w:r>
    </w:p>
    <w:p w:rsidR="00A64B21" w:rsidRPr="00302DDF" w:rsidRDefault="00A64B21" w:rsidP="00620018">
      <w:pPr>
        <w:pStyle w:val="Odstavecseseznamem"/>
        <w:numPr>
          <w:ilvl w:val="0"/>
          <w:numId w:val="49"/>
        </w:numPr>
        <w:jc w:val="both"/>
      </w:pPr>
      <w:r w:rsidRPr="00302DDF">
        <w:t>onkologie</w:t>
      </w:r>
    </w:p>
    <w:p w:rsidR="00A64B21" w:rsidRDefault="00A64B21" w:rsidP="00620018">
      <w:pPr>
        <w:pStyle w:val="Odstavecseseznamem"/>
        <w:numPr>
          <w:ilvl w:val="0"/>
          <w:numId w:val="49"/>
        </w:numPr>
        <w:jc w:val="both"/>
      </w:pPr>
      <w:r w:rsidRPr="00302DDF">
        <w:t>onkogynekologie</w:t>
      </w:r>
    </w:p>
    <w:p w:rsidR="00095D7E" w:rsidRDefault="00095D7E" w:rsidP="00095D7E">
      <w:pPr>
        <w:ind w:left="360"/>
        <w:jc w:val="both"/>
      </w:pPr>
      <w:r>
        <w:t>(jde tedy zejména o obory vnitřního lékařství, ortopedii a traumatologii pohybového ústrojí, chirurgické obory, rehabilitační a fyzikální medicín</w:t>
      </w:r>
      <w:r w:rsidR="00D455DA">
        <w:t>u</w:t>
      </w:r>
      <w:r>
        <w:t>)</w:t>
      </w:r>
    </w:p>
    <w:p w:rsidR="00095D7E" w:rsidRPr="00302DDF" w:rsidRDefault="00095D7E" w:rsidP="00095D7E">
      <w:pPr>
        <w:pStyle w:val="Odstavecseseznamem"/>
        <w:jc w:val="both"/>
      </w:pPr>
    </w:p>
    <w:p w:rsidR="00A64B21" w:rsidRPr="006E3144" w:rsidRDefault="00A64B21" w:rsidP="00D455DA">
      <w:pPr>
        <w:keepNext/>
        <w:jc w:val="both"/>
        <w:rPr>
          <w:b/>
        </w:rPr>
      </w:pPr>
      <w:r w:rsidRPr="006E3144">
        <w:rPr>
          <w:b/>
        </w:rPr>
        <w:lastRenderedPageBreak/>
        <w:t>Karlovarský kraj:</w:t>
      </w:r>
    </w:p>
    <w:p w:rsidR="00A64B21" w:rsidRPr="00302DDF" w:rsidRDefault="00A64B21" w:rsidP="00620018">
      <w:pPr>
        <w:pStyle w:val="Odstavecseseznamem"/>
        <w:numPr>
          <w:ilvl w:val="0"/>
          <w:numId w:val="50"/>
        </w:numPr>
        <w:jc w:val="both"/>
      </w:pPr>
      <w:r w:rsidRPr="00302DDF">
        <w:t>traumatologie</w:t>
      </w:r>
    </w:p>
    <w:p w:rsidR="00A64B21" w:rsidRPr="00302DDF" w:rsidRDefault="00A64B21" w:rsidP="00620018">
      <w:pPr>
        <w:pStyle w:val="Odstavecseseznamem"/>
        <w:numPr>
          <w:ilvl w:val="0"/>
          <w:numId w:val="50"/>
        </w:numPr>
        <w:jc w:val="both"/>
      </w:pPr>
      <w:r w:rsidRPr="00302DDF">
        <w:t>perinatologie</w:t>
      </w:r>
    </w:p>
    <w:p w:rsidR="00A64B21" w:rsidRPr="00302DDF" w:rsidRDefault="00A64B21" w:rsidP="00620018">
      <w:pPr>
        <w:pStyle w:val="Odstavecseseznamem"/>
        <w:numPr>
          <w:ilvl w:val="0"/>
          <w:numId w:val="50"/>
        </w:numPr>
        <w:jc w:val="both"/>
      </w:pPr>
      <w:r w:rsidRPr="00302DDF">
        <w:t>onkologie</w:t>
      </w:r>
    </w:p>
    <w:p w:rsidR="00A64B21" w:rsidRDefault="00A64B21" w:rsidP="00620018">
      <w:pPr>
        <w:pStyle w:val="Odstavecseseznamem"/>
        <w:numPr>
          <w:ilvl w:val="0"/>
          <w:numId w:val="50"/>
        </w:numPr>
        <w:jc w:val="both"/>
      </w:pPr>
      <w:r w:rsidRPr="00302DDF">
        <w:t>onkogynekologie</w:t>
      </w:r>
    </w:p>
    <w:p w:rsidR="00D455DA" w:rsidRDefault="00D455DA" w:rsidP="00D455DA">
      <w:pPr>
        <w:ind w:left="360"/>
        <w:jc w:val="both"/>
      </w:pPr>
      <w:r>
        <w:t>(jde tedy zejména o ortopedii a traumatologii pohybového ústrojí, chirurgické obory,</w:t>
      </w:r>
      <w:r w:rsidR="00814A9D">
        <w:t xml:space="preserve"> obory vnitřního lékařství,</w:t>
      </w:r>
      <w:r>
        <w:t xml:space="preserve"> rehabilitační a fyzikální medicínu</w:t>
      </w:r>
      <w:r w:rsidR="00814A9D">
        <w:t xml:space="preserve"> a gynekologii a porodnictví</w:t>
      </w:r>
      <w:r>
        <w:t>)</w:t>
      </w:r>
    </w:p>
    <w:p w:rsidR="00E533A0" w:rsidRDefault="00E533A0" w:rsidP="00D455DA">
      <w:pPr>
        <w:ind w:left="360"/>
        <w:jc w:val="both"/>
      </w:pPr>
    </w:p>
    <w:p w:rsidR="00A64B21" w:rsidRPr="001B0CE0" w:rsidRDefault="00A64B21" w:rsidP="00E533A0">
      <w:pPr>
        <w:keepNext/>
        <w:jc w:val="both"/>
        <w:rPr>
          <w:b/>
        </w:rPr>
      </w:pPr>
      <w:r w:rsidRPr="001B0CE0">
        <w:rPr>
          <w:b/>
        </w:rPr>
        <w:t>Plzeňský kraj:</w:t>
      </w:r>
    </w:p>
    <w:p w:rsidR="00A64B21" w:rsidRPr="00302DDF" w:rsidRDefault="00A64B21" w:rsidP="00620018">
      <w:pPr>
        <w:pStyle w:val="Odstavecseseznamem"/>
        <w:numPr>
          <w:ilvl w:val="0"/>
          <w:numId w:val="51"/>
        </w:numPr>
        <w:jc w:val="both"/>
      </w:pPr>
      <w:r w:rsidRPr="00302DDF">
        <w:t>kardiologie</w:t>
      </w:r>
    </w:p>
    <w:p w:rsidR="00A64B21" w:rsidRDefault="00A64B21" w:rsidP="001F1610">
      <w:pPr>
        <w:pStyle w:val="Odstavecseseznamem"/>
        <w:numPr>
          <w:ilvl w:val="0"/>
          <w:numId w:val="51"/>
        </w:numPr>
        <w:jc w:val="both"/>
      </w:pPr>
      <w:r w:rsidRPr="00302DDF">
        <w:t>cerebrovaskulární a iktová péče</w:t>
      </w:r>
    </w:p>
    <w:p w:rsidR="00395132" w:rsidRDefault="00395132" w:rsidP="00395132">
      <w:pPr>
        <w:ind w:left="360"/>
        <w:jc w:val="both"/>
      </w:pPr>
      <w:r>
        <w:t xml:space="preserve">(jde tedy zejména o obory vnitřního lékařství, chirurgické obory, neurologii a rehabilitační a fyzikální medicínu) </w:t>
      </w:r>
    </w:p>
    <w:p w:rsidR="00395132" w:rsidRPr="00302DDF" w:rsidRDefault="00395132" w:rsidP="00395132">
      <w:pPr>
        <w:ind w:left="360"/>
        <w:jc w:val="both"/>
      </w:pPr>
    </w:p>
    <w:p w:rsidR="00A64B21" w:rsidRPr="00D2115B" w:rsidRDefault="00A64B21" w:rsidP="00620018">
      <w:pPr>
        <w:jc w:val="both"/>
        <w:rPr>
          <w:b/>
        </w:rPr>
      </w:pPr>
      <w:r w:rsidRPr="00D2115B">
        <w:rPr>
          <w:b/>
        </w:rPr>
        <w:t>Jihočeský kraj:</w:t>
      </w:r>
    </w:p>
    <w:p w:rsidR="00A64B21" w:rsidRPr="00302DDF" w:rsidRDefault="00A64B21" w:rsidP="00620018">
      <w:pPr>
        <w:pStyle w:val="Odstavecseseznamem"/>
        <w:numPr>
          <w:ilvl w:val="0"/>
          <w:numId w:val="52"/>
        </w:numPr>
        <w:jc w:val="both"/>
      </w:pPr>
      <w:r w:rsidRPr="00302DDF">
        <w:t>traumatologie</w:t>
      </w:r>
    </w:p>
    <w:p w:rsidR="00A64B21" w:rsidRPr="00302DDF" w:rsidRDefault="00A64B21" w:rsidP="00620018">
      <w:pPr>
        <w:pStyle w:val="Odstavecseseznamem"/>
        <w:numPr>
          <w:ilvl w:val="0"/>
          <w:numId w:val="52"/>
        </w:numPr>
        <w:jc w:val="both"/>
      </w:pPr>
      <w:r w:rsidRPr="00302DDF">
        <w:t>kardiologie</w:t>
      </w:r>
    </w:p>
    <w:p w:rsidR="00A64B21" w:rsidRPr="00302DDF" w:rsidRDefault="00A64B21" w:rsidP="00AC32AA">
      <w:pPr>
        <w:pStyle w:val="Odstavecseseznamem"/>
        <w:numPr>
          <w:ilvl w:val="0"/>
          <w:numId w:val="52"/>
        </w:numPr>
        <w:jc w:val="both"/>
      </w:pPr>
      <w:r w:rsidRPr="00302DDF">
        <w:t>cerebrovaskulární a iktová péče</w:t>
      </w:r>
    </w:p>
    <w:p w:rsidR="00A64B21" w:rsidRDefault="00A64B21" w:rsidP="00AC32AA">
      <w:pPr>
        <w:pStyle w:val="Odstavecseseznamem"/>
        <w:numPr>
          <w:ilvl w:val="0"/>
          <w:numId w:val="52"/>
        </w:numPr>
        <w:jc w:val="both"/>
      </w:pPr>
      <w:r w:rsidRPr="00302DDF">
        <w:t>onkologie</w:t>
      </w:r>
    </w:p>
    <w:p w:rsidR="00E533A0" w:rsidRDefault="00E533A0" w:rsidP="00E533A0">
      <w:pPr>
        <w:ind w:left="360"/>
        <w:jc w:val="both"/>
      </w:pPr>
      <w:r>
        <w:t>(jde tedy zejména o obory vnitřního lékařství, ortopedii a traumatologii pohybového ústrojí, chirurgické obory, neurologii, rehabilitační a fyzikální medicínu)</w:t>
      </w:r>
    </w:p>
    <w:p w:rsidR="00E533A0" w:rsidRPr="00302DDF" w:rsidRDefault="00E533A0" w:rsidP="00E533A0">
      <w:pPr>
        <w:ind w:left="360"/>
        <w:jc w:val="both"/>
      </w:pPr>
    </w:p>
    <w:p w:rsidR="00A64B21" w:rsidRPr="000A0AE5" w:rsidRDefault="00A64B21" w:rsidP="00620018">
      <w:pPr>
        <w:jc w:val="both"/>
        <w:rPr>
          <w:b/>
        </w:rPr>
      </w:pPr>
      <w:r w:rsidRPr="000A0AE5">
        <w:rPr>
          <w:b/>
        </w:rPr>
        <w:t>Kraj Vysočina</w:t>
      </w:r>
      <w:r w:rsidR="000A0AE5">
        <w:rPr>
          <w:b/>
        </w:rPr>
        <w:t>:</w:t>
      </w:r>
    </w:p>
    <w:p w:rsidR="00A64B21" w:rsidRPr="00302DDF" w:rsidRDefault="00A64B21" w:rsidP="00620018">
      <w:pPr>
        <w:pStyle w:val="Odstavecseseznamem"/>
        <w:numPr>
          <w:ilvl w:val="0"/>
          <w:numId w:val="53"/>
        </w:numPr>
        <w:jc w:val="both"/>
      </w:pPr>
      <w:r w:rsidRPr="00302DDF">
        <w:t>traumatologie</w:t>
      </w:r>
    </w:p>
    <w:p w:rsidR="00A64B21" w:rsidRPr="00302DDF" w:rsidRDefault="00A64B21" w:rsidP="00620018">
      <w:pPr>
        <w:pStyle w:val="Odstavecseseznamem"/>
        <w:numPr>
          <w:ilvl w:val="0"/>
          <w:numId w:val="53"/>
        </w:numPr>
        <w:jc w:val="both"/>
      </w:pPr>
      <w:r w:rsidRPr="00302DDF">
        <w:t>kardiologie</w:t>
      </w:r>
    </w:p>
    <w:p w:rsidR="00A64B21" w:rsidRPr="00302DDF" w:rsidRDefault="00A64B21" w:rsidP="00620018">
      <w:pPr>
        <w:pStyle w:val="Odstavecseseznamem"/>
        <w:numPr>
          <w:ilvl w:val="0"/>
          <w:numId w:val="53"/>
        </w:numPr>
        <w:jc w:val="both"/>
      </w:pPr>
      <w:r w:rsidRPr="00302DDF">
        <w:t>perinatologie</w:t>
      </w:r>
    </w:p>
    <w:p w:rsidR="00A64B21" w:rsidRPr="00302DDF" w:rsidRDefault="00A64B21" w:rsidP="00620018">
      <w:pPr>
        <w:pStyle w:val="Odstavecseseznamem"/>
        <w:numPr>
          <w:ilvl w:val="0"/>
          <w:numId w:val="53"/>
        </w:numPr>
        <w:jc w:val="both"/>
      </w:pPr>
      <w:r w:rsidRPr="00302DDF">
        <w:t>onkologie</w:t>
      </w:r>
    </w:p>
    <w:p w:rsidR="00A64B21" w:rsidRDefault="00A64B21" w:rsidP="00620018">
      <w:pPr>
        <w:pStyle w:val="Odstavecseseznamem"/>
        <w:numPr>
          <w:ilvl w:val="0"/>
          <w:numId w:val="53"/>
        </w:numPr>
        <w:jc w:val="both"/>
      </w:pPr>
      <w:r w:rsidRPr="00302DDF">
        <w:t>onkogynekologie</w:t>
      </w:r>
    </w:p>
    <w:p w:rsidR="00871838" w:rsidRDefault="00871838" w:rsidP="00871838">
      <w:pPr>
        <w:ind w:left="360"/>
        <w:jc w:val="both"/>
      </w:pPr>
      <w:r>
        <w:t>(jde tedy zejména o obory vnitřního lékařství, ortopedii a traumatologii pohybového ústrojí, chirurgické obory, rehabilitační a fyzikální medicínu)</w:t>
      </w:r>
    </w:p>
    <w:p w:rsidR="00871838" w:rsidRPr="00302DDF" w:rsidRDefault="00871838" w:rsidP="00871838">
      <w:pPr>
        <w:ind w:left="360"/>
        <w:jc w:val="both"/>
      </w:pPr>
    </w:p>
    <w:p w:rsidR="00A64B21" w:rsidRPr="00304612" w:rsidRDefault="00A64B21" w:rsidP="00620018">
      <w:pPr>
        <w:jc w:val="both"/>
        <w:rPr>
          <w:b/>
        </w:rPr>
      </w:pPr>
      <w:r w:rsidRPr="00304612">
        <w:rPr>
          <w:b/>
        </w:rPr>
        <w:t>Královéhradecký kraj:</w:t>
      </w:r>
    </w:p>
    <w:p w:rsidR="00A64B21" w:rsidRPr="00302DDF" w:rsidRDefault="00A64B21" w:rsidP="00620018">
      <w:pPr>
        <w:pStyle w:val="Odstavecseseznamem"/>
        <w:numPr>
          <w:ilvl w:val="0"/>
          <w:numId w:val="54"/>
        </w:numPr>
        <w:jc w:val="both"/>
      </w:pPr>
      <w:r w:rsidRPr="00302DDF">
        <w:t>traumatologie</w:t>
      </w:r>
    </w:p>
    <w:p w:rsidR="00A64B21" w:rsidRPr="00302DDF" w:rsidRDefault="00A64B21" w:rsidP="00620018">
      <w:pPr>
        <w:pStyle w:val="Odstavecseseznamem"/>
        <w:numPr>
          <w:ilvl w:val="0"/>
          <w:numId w:val="54"/>
        </w:numPr>
        <w:jc w:val="both"/>
      </w:pPr>
      <w:r w:rsidRPr="00302DDF">
        <w:t>kardiologie</w:t>
      </w:r>
    </w:p>
    <w:p w:rsidR="00A64B21" w:rsidRDefault="00A64B21" w:rsidP="00620018">
      <w:pPr>
        <w:pStyle w:val="Odstavecseseznamem"/>
        <w:numPr>
          <w:ilvl w:val="0"/>
          <w:numId w:val="54"/>
        </w:numPr>
        <w:jc w:val="both"/>
      </w:pPr>
      <w:r w:rsidRPr="00302DDF">
        <w:t>perinatologie</w:t>
      </w:r>
    </w:p>
    <w:p w:rsidR="00395132" w:rsidRDefault="00395132" w:rsidP="00395132">
      <w:pPr>
        <w:ind w:left="360"/>
        <w:jc w:val="both"/>
      </w:pPr>
      <w:r>
        <w:t>(jde tedy zejména o ortopedii a traumatologii pohybového ústrojí, chirurgické obory, obory vnitřního lékařství, rehabilitační a fyzikální medicínu a gynekologii a porodnictví)</w:t>
      </w:r>
    </w:p>
    <w:p w:rsidR="00A64B21" w:rsidRPr="001B0CE0" w:rsidRDefault="00A64B21" w:rsidP="00620018">
      <w:pPr>
        <w:jc w:val="both"/>
        <w:rPr>
          <w:b/>
        </w:rPr>
      </w:pPr>
      <w:r w:rsidRPr="001B0CE0">
        <w:rPr>
          <w:b/>
        </w:rPr>
        <w:lastRenderedPageBreak/>
        <w:t>Pardubický kraj:</w:t>
      </w:r>
    </w:p>
    <w:p w:rsidR="00A64B21" w:rsidRPr="00302DDF" w:rsidRDefault="00A64B21" w:rsidP="00620018">
      <w:pPr>
        <w:pStyle w:val="Odstavecseseznamem"/>
        <w:numPr>
          <w:ilvl w:val="0"/>
          <w:numId w:val="55"/>
        </w:numPr>
        <w:jc w:val="both"/>
      </w:pPr>
      <w:r w:rsidRPr="00302DDF">
        <w:t>traumatologie</w:t>
      </w:r>
    </w:p>
    <w:p w:rsidR="00A64B21" w:rsidRPr="00302DDF" w:rsidRDefault="00A64B21" w:rsidP="00620018">
      <w:pPr>
        <w:pStyle w:val="Odstavecseseznamem"/>
        <w:numPr>
          <w:ilvl w:val="0"/>
          <w:numId w:val="55"/>
        </w:numPr>
        <w:jc w:val="both"/>
      </w:pPr>
      <w:r w:rsidRPr="00302DDF">
        <w:t>perinatologie</w:t>
      </w:r>
    </w:p>
    <w:p w:rsidR="00A64B21" w:rsidRDefault="00A64B21" w:rsidP="00620018">
      <w:pPr>
        <w:pStyle w:val="Odstavecseseznamem"/>
        <w:numPr>
          <w:ilvl w:val="0"/>
          <w:numId w:val="55"/>
        </w:numPr>
        <w:jc w:val="both"/>
      </w:pPr>
      <w:r w:rsidRPr="00302DDF">
        <w:t>onkologie</w:t>
      </w:r>
    </w:p>
    <w:p w:rsidR="00A64B21" w:rsidRDefault="00A64B21" w:rsidP="00620018">
      <w:pPr>
        <w:pStyle w:val="Odstavecseseznamem"/>
        <w:numPr>
          <w:ilvl w:val="0"/>
          <w:numId w:val="55"/>
        </w:numPr>
        <w:jc w:val="both"/>
      </w:pPr>
      <w:r w:rsidRPr="00302DDF">
        <w:t>onkogynekologie</w:t>
      </w:r>
    </w:p>
    <w:p w:rsidR="00E533A0" w:rsidRPr="00302DDF" w:rsidRDefault="00E533A0" w:rsidP="00E533A0">
      <w:pPr>
        <w:keepNext/>
        <w:ind w:left="360"/>
        <w:jc w:val="both"/>
      </w:pPr>
      <w:r>
        <w:t>(jde tedy zejména o ortopedii a traumatologii pohybového ústrojí, chirurgické obory, obory vnitřního lékařství, rehabilitační a fyzikální medicínu a gynekologii a porodnictví</w:t>
      </w:r>
    </w:p>
    <w:p w:rsidR="00E533A0" w:rsidRPr="00302DDF" w:rsidRDefault="00E533A0" w:rsidP="00E533A0">
      <w:pPr>
        <w:ind w:left="360"/>
        <w:jc w:val="both"/>
      </w:pPr>
    </w:p>
    <w:p w:rsidR="00A64B21" w:rsidRPr="001B0CE0" w:rsidRDefault="00A64B21" w:rsidP="00620018">
      <w:pPr>
        <w:jc w:val="both"/>
        <w:rPr>
          <w:b/>
        </w:rPr>
      </w:pPr>
      <w:r w:rsidRPr="001B0CE0">
        <w:rPr>
          <w:b/>
        </w:rPr>
        <w:t>Jihomoravský kraj:</w:t>
      </w:r>
    </w:p>
    <w:p w:rsidR="00A64B21" w:rsidRPr="00302DDF" w:rsidRDefault="00A64B21" w:rsidP="00620018">
      <w:pPr>
        <w:pStyle w:val="Odstavecseseznamem"/>
        <w:numPr>
          <w:ilvl w:val="0"/>
          <w:numId w:val="56"/>
        </w:numPr>
        <w:jc w:val="both"/>
      </w:pPr>
      <w:r w:rsidRPr="00302DDF">
        <w:t>traumatologie</w:t>
      </w:r>
    </w:p>
    <w:p w:rsidR="00A64B21" w:rsidRPr="00302DDF" w:rsidRDefault="00A64B21" w:rsidP="00620018">
      <w:pPr>
        <w:pStyle w:val="Odstavecseseznamem"/>
        <w:numPr>
          <w:ilvl w:val="0"/>
          <w:numId w:val="56"/>
        </w:numPr>
        <w:jc w:val="both"/>
      </w:pPr>
      <w:r w:rsidRPr="00302DDF">
        <w:t>kardiologie</w:t>
      </w:r>
    </w:p>
    <w:p w:rsidR="00A64B21" w:rsidRPr="00302DDF" w:rsidRDefault="00A64B21" w:rsidP="00ED4659">
      <w:pPr>
        <w:pStyle w:val="Odstavecseseznamem"/>
        <w:numPr>
          <w:ilvl w:val="0"/>
          <w:numId w:val="47"/>
        </w:numPr>
        <w:jc w:val="both"/>
      </w:pPr>
      <w:r w:rsidRPr="00302DDF">
        <w:t>cerebrovaskulární a iktová péče</w:t>
      </w:r>
    </w:p>
    <w:p w:rsidR="00A64B21" w:rsidRDefault="00A64B21" w:rsidP="00620018">
      <w:pPr>
        <w:pStyle w:val="Odstavecseseznamem"/>
        <w:numPr>
          <w:ilvl w:val="0"/>
          <w:numId w:val="56"/>
        </w:numPr>
        <w:jc w:val="both"/>
      </w:pPr>
      <w:r w:rsidRPr="00302DDF">
        <w:t>perinatologie</w:t>
      </w:r>
    </w:p>
    <w:p w:rsidR="007F654B" w:rsidRDefault="007F654B" w:rsidP="007F654B">
      <w:pPr>
        <w:ind w:left="360"/>
        <w:jc w:val="both"/>
      </w:pPr>
      <w:r>
        <w:t>(jde tedy zejména o obory vnitřního lékařství, ortopedii a traumatologii pohybového ústrojí, chirurgické obory, neurologii, rehabilitační a fyzikální medicínu)</w:t>
      </w:r>
    </w:p>
    <w:p w:rsidR="007F654B" w:rsidRDefault="007F654B" w:rsidP="007F654B">
      <w:pPr>
        <w:ind w:left="360"/>
        <w:jc w:val="both"/>
      </w:pPr>
    </w:p>
    <w:p w:rsidR="00A64B21" w:rsidRPr="000A0AE5" w:rsidRDefault="00A64B21" w:rsidP="00620018">
      <w:pPr>
        <w:jc w:val="both"/>
        <w:rPr>
          <w:b/>
        </w:rPr>
      </w:pPr>
      <w:r w:rsidRPr="000A0AE5">
        <w:rPr>
          <w:b/>
        </w:rPr>
        <w:t>Olomoucký kraj:</w:t>
      </w:r>
    </w:p>
    <w:p w:rsidR="00A64B21" w:rsidRPr="00302DDF" w:rsidRDefault="00A64B21" w:rsidP="00620018">
      <w:pPr>
        <w:pStyle w:val="Odstavecseseznamem"/>
        <w:numPr>
          <w:ilvl w:val="0"/>
          <w:numId w:val="56"/>
        </w:numPr>
        <w:jc w:val="both"/>
      </w:pPr>
      <w:r w:rsidRPr="00302DDF">
        <w:t>perinatologie</w:t>
      </w:r>
    </w:p>
    <w:p w:rsidR="00A64B21" w:rsidRPr="00302DDF" w:rsidRDefault="00A64B21" w:rsidP="00827A82">
      <w:pPr>
        <w:pStyle w:val="Odstavecseseznamem"/>
        <w:numPr>
          <w:ilvl w:val="0"/>
          <w:numId w:val="56"/>
        </w:numPr>
        <w:jc w:val="both"/>
      </w:pPr>
      <w:r w:rsidRPr="00302DDF">
        <w:t>cerebrovaskulární a iktová péče</w:t>
      </w:r>
    </w:p>
    <w:p w:rsidR="00A64B21" w:rsidRPr="00302DDF" w:rsidRDefault="00A64B21" w:rsidP="00620018">
      <w:pPr>
        <w:pStyle w:val="Odstavecseseznamem"/>
        <w:numPr>
          <w:ilvl w:val="0"/>
          <w:numId w:val="56"/>
        </w:numPr>
        <w:jc w:val="both"/>
      </w:pPr>
      <w:r w:rsidRPr="00302DDF">
        <w:t>kardiologie</w:t>
      </w:r>
    </w:p>
    <w:p w:rsidR="00A64B21" w:rsidRDefault="00A64B21" w:rsidP="00620018">
      <w:pPr>
        <w:pStyle w:val="Odstavecseseznamem"/>
        <w:numPr>
          <w:ilvl w:val="0"/>
          <w:numId w:val="56"/>
        </w:numPr>
        <w:jc w:val="both"/>
      </w:pPr>
      <w:r w:rsidRPr="00302DDF">
        <w:t>traumatologie</w:t>
      </w:r>
    </w:p>
    <w:p w:rsidR="00CE2F2A" w:rsidRDefault="00CE2F2A" w:rsidP="00CE2F2A">
      <w:pPr>
        <w:ind w:left="360"/>
        <w:jc w:val="both"/>
      </w:pPr>
      <w:r>
        <w:t>(jde tedy zejména o obory vnitřního lékařství, ortopedii a traumatologii pohybového ústrojí, chirurgické obory, neurologii, rehabilitační a fyzikální medicínu)</w:t>
      </w:r>
    </w:p>
    <w:p w:rsidR="00E533A0" w:rsidRPr="00302DDF" w:rsidRDefault="00E533A0" w:rsidP="00E533A0">
      <w:pPr>
        <w:pStyle w:val="Odstavecseseznamem"/>
        <w:jc w:val="both"/>
      </w:pPr>
    </w:p>
    <w:p w:rsidR="00A64B21" w:rsidRPr="000A0AE5" w:rsidRDefault="00A64B21" w:rsidP="00620018">
      <w:pPr>
        <w:jc w:val="both"/>
        <w:rPr>
          <w:b/>
        </w:rPr>
      </w:pPr>
      <w:r w:rsidRPr="000A0AE5">
        <w:rPr>
          <w:b/>
        </w:rPr>
        <w:t>Zlínský kraj:</w:t>
      </w:r>
    </w:p>
    <w:p w:rsidR="00A64B21" w:rsidRPr="00302DDF" w:rsidRDefault="00A64B21" w:rsidP="00620018">
      <w:pPr>
        <w:pStyle w:val="Odstavecseseznamem"/>
        <w:numPr>
          <w:ilvl w:val="0"/>
          <w:numId w:val="57"/>
        </w:numPr>
        <w:jc w:val="both"/>
      </w:pPr>
      <w:r w:rsidRPr="00302DDF">
        <w:t>traumatologie</w:t>
      </w:r>
    </w:p>
    <w:p w:rsidR="00A64B21" w:rsidRPr="00302DDF" w:rsidRDefault="00A64B21" w:rsidP="00620018">
      <w:pPr>
        <w:pStyle w:val="Odstavecseseznamem"/>
        <w:numPr>
          <w:ilvl w:val="0"/>
          <w:numId w:val="57"/>
        </w:numPr>
        <w:jc w:val="both"/>
      </w:pPr>
      <w:r w:rsidRPr="00302DDF">
        <w:t>kardiologie</w:t>
      </w:r>
    </w:p>
    <w:p w:rsidR="00A64B21" w:rsidRPr="00302DDF" w:rsidRDefault="00A64B21" w:rsidP="00620018">
      <w:pPr>
        <w:pStyle w:val="Odstavecseseznamem"/>
        <w:numPr>
          <w:ilvl w:val="0"/>
          <w:numId w:val="57"/>
        </w:numPr>
        <w:jc w:val="both"/>
      </w:pPr>
      <w:r w:rsidRPr="00302DDF">
        <w:t>perinatologie</w:t>
      </w:r>
    </w:p>
    <w:p w:rsidR="00A64B21" w:rsidRDefault="00A64B21" w:rsidP="00620018">
      <w:pPr>
        <w:pStyle w:val="Odstavecseseznamem"/>
        <w:numPr>
          <w:ilvl w:val="0"/>
          <w:numId w:val="57"/>
        </w:numPr>
        <w:jc w:val="both"/>
      </w:pPr>
      <w:r w:rsidRPr="00302DDF">
        <w:t>onkogynekologie</w:t>
      </w:r>
    </w:p>
    <w:p w:rsidR="00E23240" w:rsidRDefault="00E23240" w:rsidP="00E23240">
      <w:pPr>
        <w:ind w:left="360"/>
        <w:jc w:val="both"/>
      </w:pPr>
      <w:r>
        <w:t>(jde tedy zejména o obory vnitřního lékařství, ortopedii a traumatologii pohybového ústrojí, chirurgické obory, rehabilitační a fyzikální medicínu)</w:t>
      </w:r>
    </w:p>
    <w:p w:rsidR="00E23240" w:rsidRDefault="00E23240" w:rsidP="00E23240">
      <w:pPr>
        <w:ind w:left="360"/>
        <w:jc w:val="both"/>
      </w:pPr>
    </w:p>
    <w:p w:rsidR="00A64B21" w:rsidRPr="001E4638" w:rsidRDefault="00A64B21" w:rsidP="00620018">
      <w:pPr>
        <w:jc w:val="both"/>
        <w:rPr>
          <w:b/>
        </w:rPr>
      </w:pPr>
      <w:r w:rsidRPr="001E4638">
        <w:rPr>
          <w:b/>
        </w:rPr>
        <w:t>Moravskoslezsk</w:t>
      </w:r>
      <w:r w:rsidR="00057DCC" w:rsidRPr="001E4638">
        <w:rPr>
          <w:b/>
        </w:rPr>
        <w:t>ý kraj</w:t>
      </w:r>
      <w:r w:rsidR="001E4638" w:rsidRPr="001E4638">
        <w:rPr>
          <w:b/>
        </w:rPr>
        <w:t>:</w:t>
      </w:r>
    </w:p>
    <w:p w:rsidR="00A64B21" w:rsidRPr="00302DDF" w:rsidRDefault="00A64B21" w:rsidP="00620018">
      <w:pPr>
        <w:pStyle w:val="Odstavecseseznamem"/>
        <w:numPr>
          <w:ilvl w:val="0"/>
          <w:numId w:val="58"/>
        </w:numPr>
        <w:jc w:val="both"/>
      </w:pPr>
      <w:r w:rsidRPr="00302DDF">
        <w:t xml:space="preserve">onkogynekologie </w:t>
      </w:r>
    </w:p>
    <w:p w:rsidR="00A64B21" w:rsidRPr="00302DDF" w:rsidRDefault="00A64B21" w:rsidP="00620018">
      <w:pPr>
        <w:pStyle w:val="Odstavecseseznamem"/>
        <w:numPr>
          <w:ilvl w:val="0"/>
          <w:numId w:val="58"/>
        </w:numPr>
        <w:jc w:val="both"/>
      </w:pPr>
      <w:r w:rsidRPr="00302DDF">
        <w:t xml:space="preserve">onkologie </w:t>
      </w:r>
    </w:p>
    <w:p w:rsidR="00A64B21" w:rsidRPr="00302DDF" w:rsidRDefault="00A64B21" w:rsidP="00620018">
      <w:pPr>
        <w:pStyle w:val="Odstavecseseznamem"/>
        <w:numPr>
          <w:ilvl w:val="0"/>
          <w:numId w:val="58"/>
        </w:numPr>
        <w:jc w:val="both"/>
      </w:pPr>
      <w:r w:rsidRPr="00302DDF">
        <w:t>perinatologie</w:t>
      </w:r>
    </w:p>
    <w:p w:rsidR="00A64B21" w:rsidRPr="00302DDF" w:rsidRDefault="00A64B21" w:rsidP="005B154E">
      <w:pPr>
        <w:pStyle w:val="Odstavecseseznamem"/>
        <w:numPr>
          <w:ilvl w:val="0"/>
          <w:numId w:val="58"/>
        </w:numPr>
        <w:jc w:val="both"/>
      </w:pPr>
      <w:r w:rsidRPr="00302DDF">
        <w:t>cerebrovaskulární a iktová péče</w:t>
      </w:r>
    </w:p>
    <w:p w:rsidR="00A64B21" w:rsidRPr="00302DDF" w:rsidRDefault="00A64B21" w:rsidP="00620018">
      <w:pPr>
        <w:pStyle w:val="Odstavecseseznamem"/>
        <w:numPr>
          <w:ilvl w:val="0"/>
          <w:numId w:val="58"/>
        </w:numPr>
        <w:jc w:val="both"/>
      </w:pPr>
      <w:r w:rsidRPr="00302DDF">
        <w:t>kardiologie</w:t>
      </w:r>
    </w:p>
    <w:p w:rsidR="00A64B21" w:rsidRDefault="00A64B21" w:rsidP="00620018">
      <w:pPr>
        <w:pStyle w:val="Odstavecseseznamem"/>
        <w:numPr>
          <w:ilvl w:val="0"/>
          <w:numId w:val="58"/>
        </w:numPr>
        <w:jc w:val="both"/>
      </w:pPr>
      <w:r w:rsidRPr="00302DDF">
        <w:lastRenderedPageBreak/>
        <w:t>traumatologie</w:t>
      </w:r>
    </w:p>
    <w:p w:rsidR="006F6EAD" w:rsidRDefault="006F6EAD" w:rsidP="006F6EAD">
      <w:pPr>
        <w:ind w:left="360"/>
        <w:jc w:val="both"/>
      </w:pPr>
      <w:r>
        <w:t>(jde tedy zejména o obory vnitřního lékařství, ortopedii a traumatologii pohybového ústrojí, chirurgické obory, neurologii, rehabilitační a fyzikální medicínu a gynekologii a porodnictví)</w:t>
      </w:r>
    </w:p>
    <w:p w:rsidR="006F6EAD" w:rsidRPr="00302DDF" w:rsidRDefault="006F6EAD" w:rsidP="006F6EAD">
      <w:pPr>
        <w:pStyle w:val="Odstavecseseznamem"/>
        <w:jc w:val="both"/>
      </w:pPr>
    </w:p>
    <w:p w:rsidR="00B47CD4" w:rsidRDefault="00B47CD4" w:rsidP="00057DCC">
      <w:pPr>
        <w:pStyle w:val="Nadpis1"/>
      </w:pPr>
      <w:bookmarkStart w:id="16" w:name="_Toc393445519"/>
      <w:bookmarkStart w:id="17" w:name="_Toc393366412"/>
      <w:bookmarkStart w:id="18" w:name="_Toc393366466"/>
      <w:bookmarkEnd w:id="16"/>
      <w:bookmarkEnd w:id="17"/>
      <w:bookmarkEnd w:id="18"/>
    </w:p>
    <w:p w:rsidR="006F6EAD" w:rsidRDefault="006F6EAD" w:rsidP="006F6EAD"/>
    <w:p w:rsidR="00C21B67" w:rsidRDefault="00C21B67" w:rsidP="006F6EAD">
      <w:pPr>
        <w:sectPr w:rsidR="00C21B67" w:rsidSect="00057DCC">
          <w:type w:val="continuous"/>
          <w:pgSz w:w="11906" w:h="16838"/>
          <w:pgMar w:top="1417" w:right="1417" w:bottom="1417" w:left="1417" w:header="708" w:footer="708" w:gutter="0"/>
          <w:cols w:num="2" w:space="708"/>
          <w:docGrid w:linePitch="360"/>
        </w:sectPr>
      </w:pPr>
    </w:p>
    <w:p w:rsidR="00C21B67" w:rsidRDefault="00C21B67" w:rsidP="006F6EAD">
      <w:pPr>
        <w:sectPr w:rsidR="00C21B67" w:rsidSect="00057DCC">
          <w:type w:val="continuous"/>
          <w:pgSz w:w="11906" w:h="16838"/>
          <w:pgMar w:top="1417" w:right="1417" w:bottom="1417" w:left="1417" w:header="708" w:footer="708" w:gutter="0"/>
          <w:cols w:num="2" w:space="708"/>
          <w:docGrid w:linePitch="360"/>
        </w:sectPr>
      </w:pPr>
    </w:p>
    <w:p w:rsidR="00C21B67" w:rsidRDefault="00C21B67" w:rsidP="006F6EAD"/>
    <w:p w:rsidR="00A64B21" w:rsidRPr="00302DDF" w:rsidRDefault="00A64B21" w:rsidP="004357A0">
      <w:pPr>
        <w:pStyle w:val="Nadpis1"/>
        <w:numPr>
          <w:ilvl w:val="0"/>
          <w:numId w:val="40"/>
        </w:numPr>
      </w:pPr>
      <w:bookmarkStart w:id="19" w:name="_Toc401926087"/>
      <w:r w:rsidRPr="00302DDF">
        <w:t>Specifické postavení fakultních nemocnic v rámci systému návazné péče</w:t>
      </w:r>
      <w:bookmarkEnd w:id="19"/>
    </w:p>
    <w:p w:rsidR="00A64B21" w:rsidRPr="00302DDF" w:rsidRDefault="00A64B21" w:rsidP="00140CDE">
      <w:pPr>
        <w:jc w:val="both"/>
      </w:pPr>
      <w:r w:rsidRPr="00302DDF">
        <w:t xml:space="preserve">V současné době funguje v České republice devět fakultních nemocnice, jejichž zřizovatelem je Ministerstvo zdravotnictví ČR. </w:t>
      </w:r>
    </w:p>
    <w:p w:rsidR="00A64B21" w:rsidRPr="00302DDF" w:rsidRDefault="00A64B21" w:rsidP="00140CDE">
      <w:pPr>
        <w:jc w:val="both"/>
      </w:pPr>
      <w:r w:rsidRPr="00302DDF">
        <w:t>Jsou to:</w:t>
      </w:r>
    </w:p>
    <w:p w:rsidR="00A64B21" w:rsidRPr="00302DDF" w:rsidRDefault="00A64B21" w:rsidP="00140CDE">
      <w:pPr>
        <w:pStyle w:val="Odstavecseseznamem"/>
        <w:numPr>
          <w:ilvl w:val="0"/>
          <w:numId w:val="46"/>
        </w:numPr>
        <w:jc w:val="both"/>
      </w:pPr>
      <w:r w:rsidRPr="00302DDF">
        <w:t>Fakultní nemocnice v Motole</w:t>
      </w:r>
    </w:p>
    <w:p w:rsidR="00A64B21" w:rsidRPr="00302DDF" w:rsidRDefault="00A64B21" w:rsidP="00140CDE">
      <w:pPr>
        <w:pStyle w:val="Odstavecseseznamem"/>
        <w:numPr>
          <w:ilvl w:val="0"/>
          <w:numId w:val="46"/>
        </w:numPr>
        <w:jc w:val="both"/>
      </w:pPr>
      <w:r w:rsidRPr="00302DDF">
        <w:t>Fakultní nemocnice Královské Vinohrady</w:t>
      </w:r>
    </w:p>
    <w:p w:rsidR="00A64B21" w:rsidRPr="00302DDF" w:rsidRDefault="00A64B21" w:rsidP="00140CDE">
      <w:pPr>
        <w:pStyle w:val="Odstavecseseznamem"/>
        <w:numPr>
          <w:ilvl w:val="0"/>
          <w:numId w:val="46"/>
        </w:numPr>
        <w:jc w:val="both"/>
      </w:pPr>
      <w:r w:rsidRPr="00302DDF">
        <w:t>Všeobecná fakultní nemocnice v Praze</w:t>
      </w:r>
    </w:p>
    <w:p w:rsidR="00A64B21" w:rsidRPr="00302DDF" w:rsidRDefault="00A64B21" w:rsidP="00140CDE">
      <w:pPr>
        <w:pStyle w:val="Odstavecseseznamem"/>
        <w:numPr>
          <w:ilvl w:val="0"/>
          <w:numId w:val="46"/>
        </w:numPr>
        <w:jc w:val="both"/>
      </w:pPr>
      <w:r w:rsidRPr="00302DDF">
        <w:t>Fakultní nemocnice Plzeň</w:t>
      </w:r>
    </w:p>
    <w:p w:rsidR="00A64B21" w:rsidRPr="00302DDF" w:rsidRDefault="00A64B21" w:rsidP="00140CDE">
      <w:pPr>
        <w:pStyle w:val="Odstavecseseznamem"/>
        <w:numPr>
          <w:ilvl w:val="0"/>
          <w:numId w:val="46"/>
        </w:numPr>
        <w:jc w:val="both"/>
      </w:pPr>
      <w:r w:rsidRPr="00302DDF">
        <w:t xml:space="preserve">Fakultní nemocnice Hradec Králové </w:t>
      </w:r>
    </w:p>
    <w:p w:rsidR="00A64B21" w:rsidRPr="00302DDF" w:rsidRDefault="00A64B21" w:rsidP="00140CDE">
      <w:pPr>
        <w:pStyle w:val="Odstavecseseznamem"/>
        <w:numPr>
          <w:ilvl w:val="0"/>
          <w:numId w:val="46"/>
        </w:numPr>
        <w:jc w:val="both"/>
      </w:pPr>
      <w:r w:rsidRPr="00302DDF">
        <w:t>Fakultní nemocnice Brno</w:t>
      </w:r>
    </w:p>
    <w:p w:rsidR="00A64B21" w:rsidRPr="00302DDF" w:rsidRDefault="00A64B21" w:rsidP="00140CDE">
      <w:pPr>
        <w:pStyle w:val="Odstavecseseznamem"/>
        <w:numPr>
          <w:ilvl w:val="0"/>
          <w:numId w:val="46"/>
        </w:numPr>
        <w:jc w:val="both"/>
      </w:pPr>
      <w:r w:rsidRPr="00302DDF">
        <w:t>Fakultní nemocnice u svaté Anny v Brně</w:t>
      </w:r>
    </w:p>
    <w:p w:rsidR="00A64B21" w:rsidRPr="00302DDF" w:rsidRDefault="00A64B21" w:rsidP="00140CDE">
      <w:pPr>
        <w:pStyle w:val="Odstavecseseznamem"/>
        <w:numPr>
          <w:ilvl w:val="0"/>
          <w:numId w:val="46"/>
        </w:numPr>
        <w:jc w:val="both"/>
      </w:pPr>
      <w:r w:rsidRPr="00302DDF">
        <w:t>Fakultní nemocnice Olomouc</w:t>
      </w:r>
    </w:p>
    <w:p w:rsidR="00A64B21" w:rsidRPr="00302DDF" w:rsidRDefault="00A64B21" w:rsidP="00140CDE">
      <w:pPr>
        <w:pStyle w:val="Odstavecseseznamem"/>
        <w:numPr>
          <w:ilvl w:val="0"/>
          <w:numId w:val="46"/>
        </w:numPr>
        <w:jc w:val="both"/>
      </w:pPr>
      <w:r w:rsidRPr="00302DDF">
        <w:t>Fakultní nemocnice Ostrava</w:t>
      </w:r>
    </w:p>
    <w:p w:rsidR="00276D1E" w:rsidRDefault="00276D1E" w:rsidP="00140CDE">
      <w:pPr>
        <w:jc w:val="both"/>
      </w:pPr>
    </w:p>
    <w:p w:rsidR="00A64B21" w:rsidRPr="00302DDF" w:rsidRDefault="00A64B21" w:rsidP="00276D1E">
      <w:pPr>
        <w:spacing w:after="120"/>
        <w:jc w:val="both"/>
      </w:pPr>
      <w:r w:rsidRPr="00302DDF">
        <w:t xml:space="preserve">Tato zdravotnická zařízení plní v systému veřejného zdravotnictví několik rolí, respektive vystupují jako zařízení, které poskytuje zdravotní služby na několika úrovních. </w:t>
      </w:r>
    </w:p>
    <w:p w:rsidR="00A64B21" w:rsidRPr="00302DDF" w:rsidRDefault="00A64B21" w:rsidP="00276D1E">
      <w:pPr>
        <w:spacing w:after="120"/>
        <w:jc w:val="both"/>
      </w:pPr>
      <w:r w:rsidRPr="00302DDF">
        <w:t xml:space="preserve">Kromě nejvyšší úrovně – vysoce specializované péče, která často souvisí i s výzkumnou činností, která zde probíhá, je zde poskytována rovněž péče „nižších“ úrovní, jako je například primární péče nebo péče, kterou lze označit za návaznou. </w:t>
      </w:r>
    </w:p>
    <w:p w:rsidR="00A64B21" w:rsidRPr="00302DDF" w:rsidRDefault="00A64B21" w:rsidP="00276D1E">
      <w:pPr>
        <w:spacing w:after="120"/>
        <w:jc w:val="both"/>
      </w:pPr>
      <w:r w:rsidRPr="00302DDF">
        <w:t>Víceúrovňovost poskytovaných zdravotních služeb vychází ze skutečnosti, že pro velkou část obyvatel regionů, ve kterých se tato zařízení nacházejí, funguje fakultní nemocnice jako přirozené spádové centrum zdravotní péče a tedy místo prvotní hospitalizace a vstupu pacienta do systému. Místo fakultních nemocnic v segmentu návazné péče je tak nezpochybnitelné.</w:t>
      </w:r>
    </w:p>
    <w:p w:rsidR="00A64B21" w:rsidRPr="00302DDF" w:rsidRDefault="00A64B21" w:rsidP="00276D1E">
      <w:pPr>
        <w:spacing w:after="120"/>
        <w:jc w:val="both"/>
      </w:pPr>
      <w:r w:rsidRPr="00302DDF">
        <w:t>Z dat nemocničních informačních systémů fakultních nemocnic byly získány následující údaje, které ukazují, pro jaký podíl pacientů byla v roce 2013 fakultní nemocnice místem jejich první hospitalizace</w:t>
      </w:r>
      <w:r w:rsidR="00276D1E">
        <w:t>,</w:t>
      </w:r>
      <w:r w:rsidRPr="00302DDF">
        <w:t xml:space="preserve"> a tedy jejich přirozeným spádovým místem péče </w:t>
      </w:r>
      <w:r w:rsidR="00276D1E">
        <w:t xml:space="preserve">z hlediska péče návazné. </w:t>
      </w:r>
    </w:p>
    <w:tbl>
      <w:tblPr>
        <w:tblW w:w="6394" w:type="dxa"/>
        <w:tblInd w:w="55" w:type="dxa"/>
        <w:tblCellMar>
          <w:left w:w="70" w:type="dxa"/>
          <w:right w:w="70" w:type="dxa"/>
        </w:tblCellMar>
        <w:tblLook w:val="00A0" w:firstRow="1" w:lastRow="0" w:firstColumn="1" w:lastColumn="0" w:noHBand="0" w:noVBand="0"/>
      </w:tblPr>
      <w:tblGrid>
        <w:gridCol w:w="3700"/>
        <w:gridCol w:w="2694"/>
      </w:tblGrid>
      <w:tr w:rsidR="00A64B21" w:rsidRPr="00302DDF" w:rsidTr="00140CDE">
        <w:trPr>
          <w:trHeight w:val="1200"/>
        </w:trPr>
        <w:tc>
          <w:tcPr>
            <w:tcW w:w="3700" w:type="dxa"/>
            <w:tcBorders>
              <w:top w:val="single" w:sz="4" w:space="0" w:color="auto"/>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 </w:t>
            </w:r>
            <w:r w:rsidR="00276D1E">
              <w:rPr>
                <w:rFonts w:ascii="Calibri" w:hAnsi="Calibri"/>
                <w:color w:val="000000"/>
                <w:sz w:val="22"/>
                <w:szCs w:val="22"/>
              </w:rPr>
              <w:t>Fakultní nemocnice</w:t>
            </w:r>
          </w:p>
        </w:tc>
        <w:tc>
          <w:tcPr>
            <w:tcW w:w="2694" w:type="dxa"/>
            <w:tcBorders>
              <w:top w:val="single" w:sz="4" w:space="0" w:color="auto"/>
              <w:left w:val="nil"/>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Místo první hospitalizace - průměrný podíl pacientů</w:t>
            </w:r>
          </w:p>
        </w:tc>
      </w:tr>
      <w:tr w:rsidR="00A64B21" w:rsidRPr="00302DDF" w:rsidTr="00140CDE">
        <w:trPr>
          <w:trHeight w:val="6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Všeobecná fakultní nemocnice v Praze</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73,38%</w:t>
            </w:r>
          </w:p>
        </w:tc>
      </w:tr>
      <w:tr w:rsidR="00A64B21" w:rsidRPr="00302DDF" w:rsidTr="00140CDE">
        <w:trPr>
          <w:trHeight w:val="3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v Motole</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94,88%</w:t>
            </w:r>
          </w:p>
        </w:tc>
      </w:tr>
      <w:tr w:rsidR="00A64B21" w:rsidRPr="00302DDF" w:rsidTr="00140CDE">
        <w:trPr>
          <w:trHeight w:val="6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Královské Vinohrady</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93,73%</w:t>
            </w:r>
          </w:p>
        </w:tc>
      </w:tr>
      <w:tr w:rsidR="00A64B21" w:rsidRPr="00302DDF" w:rsidTr="00140CDE">
        <w:trPr>
          <w:trHeight w:val="6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u Svaté Anny v Brně</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95,58%</w:t>
            </w:r>
          </w:p>
        </w:tc>
      </w:tr>
      <w:tr w:rsidR="00A64B21" w:rsidRPr="00302DDF" w:rsidTr="00140CDE">
        <w:trPr>
          <w:trHeight w:val="3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Brno</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70,80%</w:t>
            </w:r>
          </w:p>
        </w:tc>
      </w:tr>
      <w:tr w:rsidR="00A64B21" w:rsidRPr="00302DDF" w:rsidTr="00140CDE">
        <w:trPr>
          <w:trHeight w:val="3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Plzeň</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94,73%</w:t>
            </w:r>
          </w:p>
        </w:tc>
      </w:tr>
      <w:tr w:rsidR="00A64B21" w:rsidRPr="00302DDF" w:rsidTr="00140CDE">
        <w:trPr>
          <w:trHeight w:val="3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Olomouc</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97,23%</w:t>
            </w:r>
          </w:p>
        </w:tc>
      </w:tr>
      <w:tr w:rsidR="00A64B21" w:rsidRPr="00302DDF" w:rsidTr="00140CDE">
        <w:trPr>
          <w:trHeight w:val="3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Ostrava</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84,85%</w:t>
            </w:r>
          </w:p>
        </w:tc>
      </w:tr>
      <w:tr w:rsidR="00A64B21" w:rsidRPr="00302DDF" w:rsidTr="00140CDE">
        <w:trPr>
          <w:trHeight w:val="300"/>
        </w:trPr>
        <w:tc>
          <w:tcPr>
            <w:tcW w:w="3700"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Hradec Králové</w:t>
            </w:r>
          </w:p>
        </w:tc>
        <w:tc>
          <w:tcPr>
            <w:tcW w:w="2694"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92,34%</w:t>
            </w:r>
          </w:p>
        </w:tc>
      </w:tr>
    </w:tbl>
    <w:p w:rsidR="00A64B21" w:rsidRPr="00302DDF" w:rsidRDefault="00A64B21" w:rsidP="00140CDE">
      <w:pPr>
        <w:jc w:val="both"/>
      </w:pPr>
      <w:r w:rsidRPr="00302DDF">
        <w:t xml:space="preserve">  </w:t>
      </w:r>
    </w:p>
    <w:p w:rsidR="00A64B21" w:rsidRPr="00302DDF" w:rsidRDefault="00A64B21" w:rsidP="00140CDE">
      <w:pPr>
        <w:jc w:val="both"/>
        <w:rPr>
          <w:sz w:val="16"/>
          <w:szCs w:val="16"/>
        </w:rPr>
      </w:pPr>
      <w:r w:rsidRPr="00302DDF">
        <w:rPr>
          <w:sz w:val="16"/>
          <w:szCs w:val="16"/>
        </w:rPr>
        <w:lastRenderedPageBreak/>
        <w:t>Tabulka č. 1 Podíl prvně hospitalizovaných pacientů ve fakultních nemocnicích</w:t>
      </w:r>
    </w:p>
    <w:p w:rsidR="00A64B21" w:rsidRPr="00302DDF" w:rsidRDefault="00A64B21" w:rsidP="00140CDE">
      <w:pPr>
        <w:jc w:val="both"/>
      </w:pPr>
    </w:p>
    <w:p w:rsidR="00A64B21" w:rsidRPr="00302DDF" w:rsidRDefault="004D0221" w:rsidP="004D0221">
      <w:pPr>
        <w:jc w:val="both"/>
      </w:pPr>
      <w:r w:rsidRPr="00302DDF">
        <w:rPr>
          <w:noProof/>
        </w:rPr>
        <w:drawing>
          <wp:inline distT="0" distB="0" distL="0" distR="0" wp14:anchorId="280F146A" wp14:editId="658EE093">
            <wp:extent cx="5588000" cy="4051300"/>
            <wp:effectExtent l="0" t="0" r="12700" b="2540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7CD4" w:rsidRPr="00057DCC" w:rsidRDefault="00B47CD4" w:rsidP="00B47CD4">
      <w:pPr>
        <w:jc w:val="both"/>
        <w:rPr>
          <w:sz w:val="20"/>
        </w:rPr>
      </w:pPr>
      <w:r w:rsidRPr="00057DCC">
        <w:rPr>
          <w:sz w:val="20"/>
        </w:rPr>
        <w:t xml:space="preserve">Graf 19: </w:t>
      </w:r>
      <w:r w:rsidRPr="00057DCC">
        <w:rPr>
          <w:bCs/>
          <w:sz w:val="20"/>
        </w:rPr>
        <w:t xml:space="preserve">Průměrný podíl pacientů, pro které </w:t>
      </w:r>
      <w:r w:rsidR="00057DCC">
        <w:rPr>
          <w:bCs/>
          <w:sz w:val="20"/>
        </w:rPr>
        <w:t>j</w:t>
      </w:r>
      <w:r w:rsidRPr="00057DCC">
        <w:rPr>
          <w:bCs/>
          <w:sz w:val="20"/>
        </w:rPr>
        <w:t>e fakultní nemocnice místem první hospitalizace</w:t>
      </w:r>
    </w:p>
    <w:p w:rsidR="00A64B21" w:rsidRPr="00302DDF" w:rsidRDefault="00A64B21" w:rsidP="00140CDE">
      <w:pPr>
        <w:jc w:val="both"/>
      </w:pPr>
    </w:p>
    <w:p w:rsidR="00A64B21" w:rsidRPr="00302DDF" w:rsidRDefault="00A64B21" w:rsidP="00140CDE">
      <w:pPr>
        <w:jc w:val="both"/>
      </w:pPr>
    </w:p>
    <w:p w:rsidR="00A64B21" w:rsidRPr="00302DDF" w:rsidRDefault="00A64B21" w:rsidP="002376E0">
      <w:pPr>
        <w:jc w:val="both"/>
      </w:pPr>
      <w:r w:rsidRPr="002376E0">
        <w:t xml:space="preserve">Tabulka č. 1 ukazuje, že ve všech případech je podíl pacientů, pro které je fakultní nemocnice místem první hospitalizace, </w:t>
      </w:r>
      <w:r w:rsidR="00057DCC" w:rsidRPr="002376E0">
        <w:t xml:space="preserve">vyšší než </w:t>
      </w:r>
      <w:r w:rsidRPr="002376E0">
        <w:t xml:space="preserve">70%. Tato skupina pacientů zahrnuje jak osoby, které v dané fakultní nemocnici čerpají péči mimo CVSP, tak i ty, kteří </w:t>
      </w:r>
      <w:r w:rsidR="002376E0" w:rsidRPr="002376E0">
        <w:t xml:space="preserve">mohou být později </w:t>
      </w:r>
      <w:r w:rsidRPr="002376E0">
        <w:t>v průběhu léčby do CVSP v rámci nemocnice přeřazeni.</w:t>
      </w:r>
      <w:r w:rsidRPr="00302DDF">
        <w:t xml:space="preserve"> </w:t>
      </w:r>
      <w:r w:rsidR="002376E0">
        <w:t xml:space="preserve">Jinými slovy, jde o podíl pacientů, pro které je fakultní nemocnice přirozeným místem vstupu do systému zdravotních služeb. </w:t>
      </w:r>
      <w:r w:rsidRPr="00302DDF">
        <w:t>Podíl těchto pacientů ve fakultní nemocnici se dále liší podle jednotlivých oborů, které byly definovány jako obory navazující na péči vysoce specializovanou. Tyto odlišnosti mezi odbornostmi v jednotlivých fakultních nemocnicích ukazuje Tabulka č. 2.</w:t>
      </w:r>
    </w:p>
    <w:tbl>
      <w:tblPr>
        <w:tblW w:w="8997" w:type="dxa"/>
        <w:tblInd w:w="55" w:type="dxa"/>
        <w:tblLayout w:type="fixed"/>
        <w:tblCellMar>
          <w:left w:w="70" w:type="dxa"/>
          <w:right w:w="70" w:type="dxa"/>
        </w:tblCellMar>
        <w:tblLook w:val="00A0" w:firstRow="1" w:lastRow="0" w:firstColumn="1" w:lastColumn="0" w:noHBand="0" w:noVBand="0"/>
      </w:tblPr>
      <w:tblGrid>
        <w:gridCol w:w="1493"/>
        <w:gridCol w:w="894"/>
        <w:gridCol w:w="725"/>
        <w:gridCol w:w="872"/>
        <w:gridCol w:w="725"/>
        <w:gridCol w:w="725"/>
        <w:gridCol w:w="913"/>
        <w:gridCol w:w="807"/>
        <w:gridCol w:w="876"/>
        <w:gridCol w:w="967"/>
      </w:tblGrid>
      <w:tr w:rsidR="00A64B21" w:rsidRPr="00302DDF" w:rsidTr="00391266">
        <w:trPr>
          <w:trHeight w:val="300"/>
        </w:trPr>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 </w:t>
            </w:r>
          </w:p>
        </w:tc>
        <w:tc>
          <w:tcPr>
            <w:tcW w:w="894"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 xml:space="preserve">FN </w:t>
            </w:r>
          </w:p>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BRNO</w:t>
            </w:r>
          </w:p>
        </w:tc>
        <w:tc>
          <w:tcPr>
            <w:tcW w:w="725"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FN</w:t>
            </w:r>
          </w:p>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USA</w:t>
            </w:r>
          </w:p>
        </w:tc>
        <w:tc>
          <w:tcPr>
            <w:tcW w:w="872"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 xml:space="preserve">FN </w:t>
            </w:r>
          </w:p>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OSTRAVA</w:t>
            </w:r>
          </w:p>
        </w:tc>
        <w:tc>
          <w:tcPr>
            <w:tcW w:w="725"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FN HK</w:t>
            </w:r>
          </w:p>
        </w:tc>
        <w:tc>
          <w:tcPr>
            <w:tcW w:w="725"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FN KV</w:t>
            </w:r>
          </w:p>
        </w:tc>
        <w:tc>
          <w:tcPr>
            <w:tcW w:w="913"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 xml:space="preserve">FN </w:t>
            </w:r>
          </w:p>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Motol</w:t>
            </w:r>
          </w:p>
        </w:tc>
        <w:tc>
          <w:tcPr>
            <w:tcW w:w="807"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VFN Praha</w:t>
            </w:r>
          </w:p>
        </w:tc>
        <w:tc>
          <w:tcPr>
            <w:tcW w:w="876"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FN</w:t>
            </w:r>
          </w:p>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 xml:space="preserve"> Plzeň</w:t>
            </w:r>
          </w:p>
        </w:tc>
        <w:tc>
          <w:tcPr>
            <w:tcW w:w="967" w:type="dxa"/>
            <w:tcBorders>
              <w:top w:val="single" w:sz="4" w:space="0" w:color="auto"/>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 xml:space="preserve">FN </w:t>
            </w:r>
          </w:p>
          <w:p w:rsidR="00A64B21" w:rsidRPr="00302DDF" w:rsidRDefault="00A64B21">
            <w:pPr>
              <w:rPr>
                <w:rFonts w:ascii="Calibri" w:hAnsi="Calibri"/>
                <w:b/>
                <w:bCs/>
                <w:color w:val="000000"/>
                <w:sz w:val="18"/>
                <w:szCs w:val="18"/>
              </w:rPr>
            </w:pPr>
            <w:r w:rsidRPr="00302DDF">
              <w:rPr>
                <w:rFonts w:ascii="Calibri" w:hAnsi="Calibri"/>
                <w:b/>
                <w:bCs/>
                <w:color w:val="000000"/>
                <w:sz w:val="18"/>
                <w:szCs w:val="18"/>
              </w:rPr>
              <w:t>Olomouc</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angiologie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94,95%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98,28%</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cévní 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95,10%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98,39%</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dětské lékařství</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94,60%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88,58%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80,13%</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99,09%</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97,44%</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96,93%</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96,80%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96,85%</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ergoterapie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gastroenterologie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89,08%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96,10%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96,58%</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geriatrie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56,79%</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96,24%</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23,38%</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87,29%</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98,84%</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98,93%</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gynekologie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62,80%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70,77%</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96,29%</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96,14%</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99,18%</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99,29%</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99,98%</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97,76%</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hematologie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74,48%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95,12%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78,32%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99,38%</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99,91%</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89,42%</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98,52%</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hrudní 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98,64%</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83,30%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94,88%</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96,46%</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94,47%</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90,12%</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97,64%</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69,54%</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97,80%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94,80%</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imunologie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100,00%</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kardiochirurgie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83,39%</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83,20%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98,55%</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98,56%</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50,00%</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94,23%</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97,48%</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kardiologie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65,72%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84,73%</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82,04%</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87,53%</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96,99%</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98,24%</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46,53%</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95,84%</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87,07%</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klinická onkologie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97,82%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99,57%</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92,95%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97,78%</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98,23%</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97,08%</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99,90%</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lastRenderedPageBreak/>
              <w:t>lékařská genetika</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100,00%</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logopedie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nefrologie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50,91%</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96,78%</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neonatologie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4,22%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22,50%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97,78%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98,65%</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98,72%</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78,27%</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99,92%</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97,35%</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neurochirurgie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78,77%</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94,30%</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81,50%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86,53%</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84,76%</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95,58%</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91,69%</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92,68%</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neurologie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67,82%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97,01%</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86,93%</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94,15%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97,05%</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97,77%</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53,68%</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99,25%</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97,66%</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nukleární medicína</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100,00%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99,95%</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100,00%</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orální 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84,79%</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96,10%</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100,00%</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64,52%</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99,70%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97,77%</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ortopedie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96,78%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97,71%</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99,64%</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97,35%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95,03%</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99,24%</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99,00%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99,97%</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plastická 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90,43%</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99,20%</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99,49%</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98,42%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99,62%</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99,80%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95,53%</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pneumologie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71,66%</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96,41%</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96,05%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97,42%</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50,93%</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98,45%</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94,34%</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popáleninová medicína</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35,98%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75,51%</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75,86%</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6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radiologie/zobrazovací metody</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99,63%</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100,00%</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rehabilitační</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46,95%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94,94%</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59,22%</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90,61%</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76,70%</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99,47%</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28,20%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99,38%</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spondylochirurgie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87,65%</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93,28%</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traumatologie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52,78%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92,88%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96,57%</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85,32%</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94,42%</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 </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97,24%</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98,95%</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urologie</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92,55%</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98,41%</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94,81%</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98,66%</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99,31%</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99,94%</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95,22%</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98,89%</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99,85%</w:t>
            </w:r>
          </w:p>
        </w:tc>
      </w:tr>
      <w:tr w:rsidR="00A64B21" w:rsidRPr="00302DDF" w:rsidTr="00391266">
        <w:trPr>
          <w:trHeight w:val="300"/>
        </w:trPr>
        <w:tc>
          <w:tcPr>
            <w:tcW w:w="1493" w:type="dxa"/>
            <w:tcBorders>
              <w:top w:val="nil"/>
              <w:left w:val="single" w:sz="4" w:space="0" w:color="auto"/>
              <w:bottom w:val="single" w:sz="4" w:space="0" w:color="auto"/>
              <w:right w:val="single" w:sz="4" w:space="0" w:color="auto"/>
            </w:tcBorders>
            <w:shd w:val="clear" w:color="000000" w:fill="FFFFFF"/>
            <w:vAlign w:val="bottom"/>
          </w:tcPr>
          <w:p w:rsidR="00A64B21" w:rsidRPr="00302DDF" w:rsidRDefault="00A64B21">
            <w:pPr>
              <w:rPr>
                <w:rFonts w:ascii="Calibri" w:hAnsi="Calibri"/>
                <w:color w:val="000000"/>
                <w:sz w:val="18"/>
                <w:szCs w:val="18"/>
              </w:rPr>
            </w:pPr>
            <w:r w:rsidRPr="00302DDF">
              <w:rPr>
                <w:rFonts w:ascii="Calibri" w:hAnsi="Calibri"/>
                <w:color w:val="000000"/>
                <w:sz w:val="18"/>
                <w:szCs w:val="18"/>
              </w:rPr>
              <w:t>vnitřní lékařství</w:t>
            </w:r>
          </w:p>
        </w:tc>
        <w:tc>
          <w:tcPr>
            <w:tcW w:w="894"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68,68%</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95,03%</w:t>
            </w:r>
          </w:p>
        </w:tc>
        <w:tc>
          <w:tcPr>
            <w:tcW w:w="872"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90,83%</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87,67%</w:t>
            </w:r>
          </w:p>
        </w:tc>
        <w:tc>
          <w:tcPr>
            <w:tcW w:w="725"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97,23%</w:t>
            </w:r>
          </w:p>
        </w:tc>
        <w:tc>
          <w:tcPr>
            <w:tcW w:w="913"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99,43%</w:t>
            </w:r>
          </w:p>
        </w:tc>
        <w:tc>
          <w:tcPr>
            <w:tcW w:w="80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94,73%</w:t>
            </w:r>
          </w:p>
        </w:tc>
        <w:tc>
          <w:tcPr>
            <w:tcW w:w="876"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98,90%</w:t>
            </w:r>
          </w:p>
        </w:tc>
        <w:tc>
          <w:tcPr>
            <w:tcW w:w="967" w:type="dxa"/>
            <w:tcBorders>
              <w:top w:val="nil"/>
              <w:left w:val="nil"/>
              <w:bottom w:val="single" w:sz="4" w:space="0" w:color="auto"/>
              <w:right w:val="single" w:sz="4" w:space="0" w:color="auto"/>
            </w:tcBorders>
            <w:shd w:val="clear" w:color="000000" w:fill="FFFFFF"/>
            <w:noWrap/>
            <w:vAlign w:val="bottom"/>
          </w:tcPr>
          <w:p w:rsidR="00A64B21" w:rsidRPr="00302DDF" w:rsidRDefault="00A64B21">
            <w:pPr>
              <w:jc w:val="right"/>
              <w:rPr>
                <w:rFonts w:ascii="Calibri" w:hAnsi="Calibri"/>
                <w:color w:val="000000"/>
                <w:sz w:val="18"/>
                <w:szCs w:val="18"/>
              </w:rPr>
            </w:pPr>
            <w:r w:rsidRPr="00302DDF">
              <w:rPr>
                <w:rFonts w:ascii="Calibri" w:hAnsi="Calibri"/>
                <w:color w:val="000000"/>
                <w:sz w:val="18"/>
                <w:szCs w:val="18"/>
              </w:rPr>
              <w:t>95,85%</w:t>
            </w:r>
          </w:p>
        </w:tc>
      </w:tr>
    </w:tbl>
    <w:p w:rsidR="00A64B21" w:rsidRPr="00302DDF" w:rsidRDefault="00A64B21" w:rsidP="00E76B0E">
      <w:pPr>
        <w:rPr>
          <w:sz w:val="16"/>
          <w:szCs w:val="16"/>
        </w:rPr>
      </w:pPr>
      <w:r w:rsidRPr="00302DDF">
        <w:rPr>
          <w:sz w:val="16"/>
          <w:szCs w:val="16"/>
        </w:rPr>
        <w:t>Tabulka č. 2 Podíl prvně hospitalizovaných pacientů ve fakultních nemocnicích dle oborů návazné péče</w:t>
      </w:r>
    </w:p>
    <w:p w:rsidR="00A64B21" w:rsidRPr="00302DDF" w:rsidRDefault="00A64B21" w:rsidP="00E76B0E">
      <w:pPr>
        <w:rPr>
          <w:sz w:val="16"/>
          <w:szCs w:val="16"/>
        </w:rPr>
      </w:pPr>
    </w:p>
    <w:p w:rsidR="00A64B21" w:rsidRPr="00302DDF" w:rsidRDefault="00A64B21" w:rsidP="00ED5116">
      <w:pPr>
        <w:spacing w:after="120"/>
        <w:jc w:val="both"/>
      </w:pPr>
      <w:r w:rsidRPr="00302DDF">
        <w:t xml:space="preserve">Obecně lze říci, že čím je procento v daném oboru vyšší, tím je významnější postavení fakultní nemocnice v regionu coby „běžné“ spádové nemocnice. Příkladem může být Fakultní nemocnice Plzeň, která je v Plzeňském kraji zcela dominantním zdravotnickým zařízením. Z dalších </w:t>
      </w:r>
      <w:r>
        <w:t xml:space="preserve">devíti nemocnic, které v kraji </w:t>
      </w:r>
      <w:r w:rsidRPr="00302DDF">
        <w:t>fungují, jich šest má méně než 200 lůžek.</w:t>
      </w:r>
    </w:p>
    <w:p w:rsidR="009047EF" w:rsidRPr="00ED5116" w:rsidRDefault="00A64B21" w:rsidP="00ED5116">
      <w:pPr>
        <w:spacing w:after="120"/>
        <w:jc w:val="both"/>
      </w:pPr>
      <w:r w:rsidRPr="00302DDF">
        <w:t>Postavení fakultních nemocnic, coby poskytovatelů návazné péče, ukazují dále údaje o procentu pacientů, které bylo z fakultních nemocnic referováno jiným zařízením po poskytnutí vysoce specializované péče. Tyto podíly ukazuje tabulka č. 3.</w:t>
      </w:r>
      <w:r w:rsidR="00ED5116">
        <w:t xml:space="preserve"> </w:t>
      </w:r>
      <w:r w:rsidRPr="00302DDF">
        <w:t xml:space="preserve">Význam návazné péče, která následuje po vysoce specializované péči, se zde jasně ukazuje zejména v případě </w:t>
      </w:r>
      <w:r w:rsidRPr="00ED5116">
        <w:t xml:space="preserve">léčby traumatologické a cerebrovaskulární, které vyžadují intenzivní rehabilitaci. </w:t>
      </w:r>
    </w:p>
    <w:p w:rsidR="00A64B21" w:rsidRPr="00302DDF" w:rsidRDefault="00A64B21" w:rsidP="00D10FD6">
      <w:pPr>
        <w:jc w:val="both"/>
      </w:pPr>
      <w:r w:rsidRPr="00ED5116">
        <w:t xml:space="preserve">Z čísel dále vyplývá, že </w:t>
      </w:r>
      <w:r w:rsidR="009047EF" w:rsidRPr="00ED5116">
        <w:t xml:space="preserve">fakultní nemocnice </w:t>
      </w:r>
      <w:r w:rsidRPr="00ED5116">
        <w:t xml:space="preserve">vykazují </w:t>
      </w:r>
      <w:r w:rsidR="009047EF" w:rsidRPr="00ED5116">
        <w:t xml:space="preserve">v rámci uvedených oborů </w:t>
      </w:r>
      <w:r w:rsidRPr="00ED5116">
        <w:t xml:space="preserve">nízké procento referovaných pacientů, </w:t>
      </w:r>
      <w:r w:rsidR="00B47CD4" w:rsidRPr="00ED5116">
        <w:t>což znamená, že většina pacientů je i po poskytnutí péči v rámci CVSP doléčena v rámci fakultní nemocnice</w:t>
      </w:r>
      <w:r w:rsidR="00ED5116" w:rsidRPr="00ED5116">
        <w:t xml:space="preserve">, avšak zpravidla </w:t>
      </w:r>
      <w:r w:rsidR="00B47CD4" w:rsidRPr="00ED5116">
        <w:t xml:space="preserve">na jiném oddělení. Tím </w:t>
      </w:r>
      <w:r w:rsidRPr="00ED5116">
        <w:t>vystupuje fakultní nemocnice také jak</w:t>
      </w:r>
      <w:r w:rsidR="0015338C" w:rsidRPr="00ED5116">
        <w:t>o</w:t>
      </w:r>
      <w:r w:rsidRPr="00ED5116">
        <w:t xml:space="preserve"> poskytovatel návazné péče.</w:t>
      </w:r>
    </w:p>
    <w:p w:rsidR="00A64B21" w:rsidRPr="00302DDF" w:rsidRDefault="00A64B21" w:rsidP="00140CDE">
      <w:pPr>
        <w:jc w:val="both"/>
      </w:pPr>
    </w:p>
    <w:tbl>
      <w:tblPr>
        <w:tblW w:w="8789" w:type="dxa"/>
        <w:tblInd w:w="55" w:type="dxa"/>
        <w:tblCellMar>
          <w:left w:w="70" w:type="dxa"/>
          <w:right w:w="70" w:type="dxa"/>
        </w:tblCellMar>
        <w:tblLook w:val="00A0" w:firstRow="1" w:lastRow="0" w:firstColumn="1" w:lastColumn="0" w:noHBand="0" w:noVBand="0"/>
      </w:tblPr>
      <w:tblGrid>
        <w:gridCol w:w="2196"/>
        <w:gridCol w:w="1372"/>
        <w:gridCol w:w="1120"/>
        <w:gridCol w:w="854"/>
        <w:gridCol w:w="884"/>
        <w:gridCol w:w="957"/>
        <w:gridCol w:w="801"/>
        <w:gridCol w:w="973"/>
      </w:tblGrid>
      <w:tr w:rsidR="00A64B21" w:rsidRPr="00302DDF" w:rsidTr="00ED5116">
        <w:trPr>
          <w:trHeight w:val="1127"/>
        </w:trPr>
        <w:tc>
          <w:tcPr>
            <w:tcW w:w="2841" w:type="dxa"/>
            <w:tcBorders>
              <w:top w:val="single" w:sz="4" w:space="0" w:color="auto"/>
              <w:left w:val="single" w:sz="4" w:space="0" w:color="auto"/>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759" w:type="dxa"/>
            <w:tcBorders>
              <w:top w:val="single" w:sz="4" w:space="0" w:color="auto"/>
              <w:left w:val="nil"/>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Všeobecná fakultní nemocnice v Praze</w:t>
            </w:r>
          </w:p>
        </w:tc>
        <w:tc>
          <w:tcPr>
            <w:tcW w:w="1428" w:type="dxa"/>
            <w:tcBorders>
              <w:top w:val="single" w:sz="4" w:space="0" w:color="auto"/>
              <w:left w:val="nil"/>
              <w:bottom w:val="single" w:sz="4" w:space="0" w:color="auto"/>
              <w:right w:val="single" w:sz="4" w:space="0" w:color="auto"/>
            </w:tcBorders>
            <w:vAlign w:val="bottom"/>
          </w:tcPr>
          <w:p w:rsidR="00A64B21" w:rsidRPr="00ED5116" w:rsidRDefault="00DE3BCA">
            <w:pPr>
              <w:rPr>
                <w:rFonts w:ascii="Calibri" w:hAnsi="Calibri"/>
                <w:color w:val="000000"/>
                <w:sz w:val="20"/>
              </w:rPr>
            </w:pPr>
            <w:r w:rsidRPr="00ED5116">
              <w:rPr>
                <w:rFonts w:ascii="Calibri" w:hAnsi="Calibri"/>
                <w:color w:val="000000"/>
                <w:sz w:val="20"/>
                <w:szCs w:val="22"/>
              </w:rPr>
              <w:t>FN</w:t>
            </w:r>
            <w:r w:rsidR="00A64B21" w:rsidRPr="00ED5116">
              <w:rPr>
                <w:rFonts w:ascii="Calibri" w:hAnsi="Calibri"/>
                <w:color w:val="000000"/>
                <w:sz w:val="20"/>
                <w:szCs w:val="22"/>
              </w:rPr>
              <w:t xml:space="preserve"> u Svaté Anny v Brně</w:t>
            </w:r>
          </w:p>
        </w:tc>
        <w:tc>
          <w:tcPr>
            <w:tcW w:w="1078" w:type="dxa"/>
            <w:tcBorders>
              <w:top w:val="single" w:sz="4" w:space="0" w:color="auto"/>
              <w:left w:val="nil"/>
              <w:bottom w:val="single" w:sz="4" w:space="0" w:color="auto"/>
              <w:right w:val="single" w:sz="4" w:space="0" w:color="auto"/>
            </w:tcBorders>
            <w:vAlign w:val="bottom"/>
          </w:tcPr>
          <w:p w:rsidR="00A64B21" w:rsidRPr="00ED5116" w:rsidRDefault="00DE3BCA">
            <w:pPr>
              <w:rPr>
                <w:rFonts w:ascii="Calibri" w:hAnsi="Calibri"/>
                <w:color w:val="000000"/>
                <w:sz w:val="20"/>
              </w:rPr>
            </w:pPr>
            <w:r w:rsidRPr="00ED5116">
              <w:rPr>
                <w:rFonts w:ascii="Calibri" w:hAnsi="Calibri"/>
                <w:color w:val="000000"/>
                <w:sz w:val="20"/>
                <w:szCs w:val="22"/>
              </w:rPr>
              <w:t>FN</w:t>
            </w:r>
            <w:r w:rsidR="00A64B21" w:rsidRPr="00ED5116">
              <w:rPr>
                <w:rFonts w:ascii="Calibri" w:hAnsi="Calibri"/>
                <w:color w:val="000000"/>
                <w:sz w:val="20"/>
                <w:szCs w:val="22"/>
              </w:rPr>
              <w:t xml:space="preserve"> Hradec Králové</w:t>
            </w:r>
          </w:p>
        </w:tc>
        <w:tc>
          <w:tcPr>
            <w:tcW w:w="1117" w:type="dxa"/>
            <w:tcBorders>
              <w:top w:val="single" w:sz="4" w:space="0" w:color="auto"/>
              <w:left w:val="nil"/>
              <w:bottom w:val="single" w:sz="4" w:space="0" w:color="auto"/>
              <w:right w:val="single" w:sz="4" w:space="0" w:color="auto"/>
            </w:tcBorders>
            <w:vAlign w:val="bottom"/>
          </w:tcPr>
          <w:p w:rsidR="00A64B21" w:rsidRPr="00ED5116" w:rsidRDefault="00DE3BCA">
            <w:pPr>
              <w:rPr>
                <w:rFonts w:ascii="Calibri" w:hAnsi="Calibri"/>
                <w:color w:val="000000"/>
                <w:sz w:val="20"/>
              </w:rPr>
            </w:pPr>
            <w:r w:rsidRPr="00ED5116">
              <w:rPr>
                <w:rFonts w:ascii="Calibri" w:hAnsi="Calibri"/>
                <w:color w:val="000000"/>
                <w:sz w:val="20"/>
                <w:szCs w:val="22"/>
              </w:rPr>
              <w:t>FN</w:t>
            </w:r>
            <w:r w:rsidR="00A64B21" w:rsidRPr="00ED5116">
              <w:rPr>
                <w:rFonts w:ascii="Calibri" w:hAnsi="Calibri"/>
                <w:color w:val="000000"/>
                <w:sz w:val="20"/>
                <w:szCs w:val="22"/>
              </w:rPr>
              <w:t xml:space="preserve"> Plzeň</w:t>
            </w:r>
          </w:p>
        </w:tc>
        <w:tc>
          <w:tcPr>
            <w:tcW w:w="1214" w:type="dxa"/>
            <w:tcBorders>
              <w:top w:val="single" w:sz="4" w:space="0" w:color="auto"/>
              <w:left w:val="nil"/>
              <w:bottom w:val="single" w:sz="4" w:space="0" w:color="auto"/>
              <w:right w:val="single" w:sz="4" w:space="0" w:color="auto"/>
            </w:tcBorders>
            <w:vAlign w:val="bottom"/>
          </w:tcPr>
          <w:p w:rsidR="00A64B21" w:rsidRPr="00ED5116" w:rsidRDefault="00DE3BCA">
            <w:pPr>
              <w:rPr>
                <w:rFonts w:ascii="Calibri" w:hAnsi="Calibri"/>
                <w:color w:val="000000"/>
                <w:sz w:val="20"/>
              </w:rPr>
            </w:pPr>
            <w:r w:rsidRPr="00ED5116">
              <w:rPr>
                <w:rFonts w:ascii="Calibri" w:hAnsi="Calibri"/>
                <w:color w:val="000000"/>
                <w:sz w:val="20"/>
                <w:szCs w:val="22"/>
              </w:rPr>
              <w:t>FN</w:t>
            </w:r>
            <w:r w:rsidR="00A64B21" w:rsidRPr="00ED5116">
              <w:rPr>
                <w:rFonts w:ascii="Calibri" w:hAnsi="Calibri"/>
                <w:color w:val="000000"/>
                <w:sz w:val="20"/>
                <w:szCs w:val="22"/>
              </w:rPr>
              <w:t xml:space="preserve"> Ostrava</w:t>
            </w:r>
          </w:p>
        </w:tc>
        <w:tc>
          <w:tcPr>
            <w:tcW w:w="1009" w:type="dxa"/>
            <w:tcBorders>
              <w:top w:val="single" w:sz="4" w:space="0" w:color="auto"/>
              <w:left w:val="nil"/>
              <w:bottom w:val="single" w:sz="4" w:space="0" w:color="auto"/>
              <w:right w:val="single" w:sz="4" w:space="0" w:color="auto"/>
            </w:tcBorders>
            <w:vAlign w:val="bottom"/>
          </w:tcPr>
          <w:p w:rsidR="00A64B21" w:rsidRPr="00ED5116" w:rsidRDefault="00DE3BCA">
            <w:pPr>
              <w:rPr>
                <w:rFonts w:ascii="Calibri" w:hAnsi="Calibri"/>
                <w:color w:val="000000"/>
                <w:sz w:val="20"/>
              </w:rPr>
            </w:pPr>
            <w:r w:rsidRPr="00ED5116">
              <w:rPr>
                <w:rFonts w:ascii="Calibri" w:hAnsi="Calibri"/>
                <w:color w:val="000000"/>
                <w:sz w:val="20"/>
                <w:szCs w:val="22"/>
              </w:rPr>
              <w:t>FN</w:t>
            </w:r>
            <w:r w:rsidR="00A64B21" w:rsidRPr="00ED5116">
              <w:rPr>
                <w:rFonts w:ascii="Calibri" w:hAnsi="Calibri"/>
                <w:color w:val="000000"/>
                <w:sz w:val="20"/>
                <w:szCs w:val="22"/>
              </w:rPr>
              <w:t xml:space="preserve"> v Motole</w:t>
            </w:r>
          </w:p>
        </w:tc>
        <w:tc>
          <w:tcPr>
            <w:tcW w:w="1234" w:type="dxa"/>
            <w:tcBorders>
              <w:top w:val="single" w:sz="4" w:space="0" w:color="auto"/>
              <w:left w:val="nil"/>
              <w:bottom w:val="single" w:sz="4" w:space="0" w:color="auto"/>
              <w:right w:val="single" w:sz="4" w:space="0" w:color="auto"/>
            </w:tcBorders>
            <w:vAlign w:val="bottom"/>
          </w:tcPr>
          <w:p w:rsidR="00A64B21" w:rsidRPr="00ED5116" w:rsidRDefault="00DE3BCA">
            <w:pPr>
              <w:rPr>
                <w:rFonts w:ascii="Calibri" w:hAnsi="Calibri"/>
                <w:color w:val="000000"/>
                <w:sz w:val="20"/>
              </w:rPr>
            </w:pPr>
            <w:r w:rsidRPr="00ED5116">
              <w:rPr>
                <w:rFonts w:ascii="Calibri" w:hAnsi="Calibri"/>
                <w:color w:val="000000"/>
                <w:sz w:val="20"/>
                <w:szCs w:val="22"/>
              </w:rPr>
              <w:t>FN</w:t>
            </w:r>
            <w:r w:rsidR="00A64B21" w:rsidRPr="00ED5116">
              <w:rPr>
                <w:rFonts w:ascii="Calibri" w:hAnsi="Calibri"/>
                <w:color w:val="000000"/>
                <w:sz w:val="20"/>
                <w:szCs w:val="22"/>
              </w:rPr>
              <w:t xml:space="preserve"> Brno</w:t>
            </w:r>
          </w:p>
        </w:tc>
      </w:tr>
      <w:tr w:rsidR="00A64B21" w:rsidRPr="00302DDF" w:rsidTr="00140CDE">
        <w:trPr>
          <w:trHeight w:val="300"/>
        </w:trPr>
        <w:tc>
          <w:tcPr>
            <w:tcW w:w="2841" w:type="dxa"/>
            <w:tcBorders>
              <w:top w:val="nil"/>
              <w:left w:val="single" w:sz="4" w:space="0" w:color="auto"/>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Kardiologická péče</w:t>
            </w:r>
          </w:p>
        </w:tc>
        <w:tc>
          <w:tcPr>
            <w:tcW w:w="175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20,00%</w:t>
            </w:r>
          </w:p>
        </w:tc>
        <w:tc>
          <w:tcPr>
            <w:tcW w:w="142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15,99%</w:t>
            </w:r>
          </w:p>
        </w:tc>
        <w:tc>
          <w:tcPr>
            <w:tcW w:w="107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13,30%</w:t>
            </w:r>
          </w:p>
        </w:tc>
        <w:tc>
          <w:tcPr>
            <w:tcW w:w="1117"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14,30%</w:t>
            </w:r>
          </w:p>
        </w:tc>
        <w:tc>
          <w:tcPr>
            <w:tcW w:w="121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6,58%</w:t>
            </w:r>
          </w:p>
        </w:tc>
        <w:tc>
          <w:tcPr>
            <w:tcW w:w="100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5,00%</w:t>
            </w:r>
          </w:p>
        </w:tc>
        <w:tc>
          <w:tcPr>
            <w:tcW w:w="123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1,75%</w:t>
            </w:r>
          </w:p>
        </w:tc>
      </w:tr>
      <w:tr w:rsidR="00A64B21" w:rsidRPr="00302DDF" w:rsidTr="00140CDE">
        <w:trPr>
          <w:trHeight w:val="300"/>
        </w:trPr>
        <w:tc>
          <w:tcPr>
            <w:tcW w:w="2841" w:type="dxa"/>
            <w:tcBorders>
              <w:top w:val="nil"/>
              <w:left w:val="single" w:sz="4" w:space="0" w:color="auto"/>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Onkologická péče</w:t>
            </w:r>
          </w:p>
        </w:tc>
        <w:tc>
          <w:tcPr>
            <w:tcW w:w="175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20,00%</w:t>
            </w:r>
          </w:p>
        </w:tc>
        <w:tc>
          <w:tcPr>
            <w:tcW w:w="142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1,74%</w:t>
            </w:r>
          </w:p>
        </w:tc>
        <w:tc>
          <w:tcPr>
            <w:tcW w:w="107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2,40%</w:t>
            </w:r>
          </w:p>
        </w:tc>
        <w:tc>
          <w:tcPr>
            <w:tcW w:w="1117"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5,83%</w:t>
            </w:r>
          </w:p>
        </w:tc>
        <w:tc>
          <w:tcPr>
            <w:tcW w:w="121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3,82%</w:t>
            </w:r>
          </w:p>
        </w:tc>
        <w:tc>
          <w:tcPr>
            <w:tcW w:w="100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2,00%</w:t>
            </w:r>
          </w:p>
        </w:tc>
        <w:tc>
          <w:tcPr>
            <w:tcW w:w="123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0,25%</w:t>
            </w:r>
          </w:p>
        </w:tc>
      </w:tr>
      <w:tr w:rsidR="00A64B21" w:rsidRPr="00302DDF" w:rsidTr="00140CDE">
        <w:trPr>
          <w:trHeight w:val="300"/>
        </w:trPr>
        <w:tc>
          <w:tcPr>
            <w:tcW w:w="2841" w:type="dxa"/>
            <w:tcBorders>
              <w:top w:val="nil"/>
              <w:left w:val="single" w:sz="4" w:space="0" w:color="auto"/>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Traumatologická péče</w:t>
            </w:r>
          </w:p>
        </w:tc>
        <w:tc>
          <w:tcPr>
            <w:tcW w:w="1759"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428"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07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11,80%</w:t>
            </w:r>
          </w:p>
        </w:tc>
        <w:tc>
          <w:tcPr>
            <w:tcW w:w="1117"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19,07%</w:t>
            </w:r>
          </w:p>
        </w:tc>
        <w:tc>
          <w:tcPr>
            <w:tcW w:w="121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10,13%</w:t>
            </w:r>
          </w:p>
        </w:tc>
        <w:tc>
          <w:tcPr>
            <w:tcW w:w="100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12,00%</w:t>
            </w:r>
          </w:p>
        </w:tc>
        <w:tc>
          <w:tcPr>
            <w:tcW w:w="123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37,38%</w:t>
            </w:r>
          </w:p>
        </w:tc>
      </w:tr>
      <w:tr w:rsidR="00A64B21" w:rsidRPr="00302DDF" w:rsidTr="00140CDE">
        <w:trPr>
          <w:trHeight w:val="600"/>
        </w:trPr>
        <w:tc>
          <w:tcPr>
            <w:tcW w:w="2841" w:type="dxa"/>
            <w:tcBorders>
              <w:top w:val="nil"/>
              <w:left w:val="single" w:sz="4" w:space="0" w:color="auto"/>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Cerebrovaskulární a iktová péče</w:t>
            </w:r>
          </w:p>
        </w:tc>
        <w:tc>
          <w:tcPr>
            <w:tcW w:w="175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40,00%</w:t>
            </w:r>
          </w:p>
        </w:tc>
        <w:tc>
          <w:tcPr>
            <w:tcW w:w="142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14,76%</w:t>
            </w:r>
          </w:p>
        </w:tc>
        <w:tc>
          <w:tcPr>
            <w:tcW w:w="1078"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33,10%</w:t>
            </w:r>
          </w:p>
        </w:tc>
        <w:tc>
          <w:tcPr>
            <w:tcW w:w="1117"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12,28%</w:t>
            </w:r>
          </w:p>
        </w:tc>
        <w:tc>
          <w:tcPr>
            <w:tcW w:w="1214"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00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8,00%</w:t>
            </w:r>
          </w:p>
        </w:tc>
        <w:tc>
          <w:tcPr>
            <w:tcW w:w="1234"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10,00%</w:t>
            </w:r>
          </w:p>
        </w:tc>
      </w:tr>
      <w:tr w:rsidR="00A64B21" w:rsidRPr="00302DDF" w:rsidTr="00140CDE">
        <w:trPr>
          <w:trHeight w:val="300"/>
        </w:trPr>
        <w:tc>
          <w:tcPr>
            <w:tcW w:w="2841" w:type="dxa"/>
            <w:tcBorders>
              <w:top w:val="nil"/>
              <w:left w:val="single" w:sz="4" w:space="0" w:color="auto"/>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Onkogynekologická péče</w:t>
            </w:r>
          </w:p>
        </w:tc>
        <w:tc>
          <w:tcPr>
            <w:tcW w:w="175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20,00%</w:t>
            </w:r>
          </w:p>
        </w:tc>
        <w:tc>
          <w:tcPr>
            <w:tcW w:w="1428"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078"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117"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214"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009"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234"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r>
      <w:tr w:rsidR="00A64B21" w:rsidRPr="00302DDF" w:rsidTr="00140CDE">
        <w:trPr>
          <w:trHeight w:val="300"/>
        </w:trPr>
        <w:tc>
          <w:tcPr>
            <w:tcW w:w="2841" w:type="dxa"/>
            <w:tcBorders>
              <w:top w:val="nil"/>
              <w:left w:val="single" w:sz="4" w:space="0" w:color="auto"/>
              <w:bottom w:val="single" w:sz="4" w:space="0" w:color="auto"/>
              <w:right w:val="single" w:sz="4" w:space="0" w:color="auto"/>
            </w:tcBorders>
            <w:vAlign w:val="bottom"/>
          </w:tcPr>
          <w:p w:rsidR="00A64B21" w:rsidRPr="00ED5116" w:rsidRDefault="00A64B21">
            <w:pPr>
              <w:rPr>
                <w:rFonts w:ascii="Calibri" w:hAnsi="Calibri"/>
                <w:color w:val="000000"/>
                <w:sz w:val="20"/>
              </w:rPr>
            </w:pPr>
            <w:r w:rsidRPr="00ED5116">
              <w:rPr>
                <w:rFonts w:ascii="Calibri" w:hAnsi="Calibri"/>
                <w:color w:val="000000"/>
                <w:sz w:val="20"/>
                <w:szCs w:val="22"/>
              </w:rPr>
              <w:t>Perinatologická péče</w:t>
            </w:r>
          </w:p>
        </w:tc>
        <w:tc>
          <w:tcPr>
            <w:tcW w:w="1759" w:type="dxa"/>
            <w:tcBorders>
              <w:top w:val="nil"/>
              <w:left w:val="nil"/>
              <w:bottom w:val="single" w:sz="4" w:space="0" w:color="auto"/>
              <w:right w:val="single" w:sz="4" w:space="0" w:color="auto"/>
            </w:tcBorders>
            <w:noWrap/>
            <w:vAlign w:val="bottom"/>
          </w:tcPr>
          <w:p w:rsidR="00A64B21" w:rsidRPr="00ED5116" w:rsidRDefault="00A64B21">
            <w:pPr>
              <w:jc w:val="right"/>
              <w:rPr>
                <w:rFonts w:ascii="Calibri" w:hAnsi="Calibri"/>
                <w:color w:val="000000"/>
                <w:sz w:val="20"/>
              </w:rPr>
            </w:pPr>
            <w:r w:rsidRPr="00ED5116">
              <w:rPr>
                <w:rFonts w:ascii="Calibri" w:hAnsi="Calibri"/>
                <w:color w:val="000000"/>
                <w:sz w:val="20"/>
                <w:szCs w:val="22"/>
              </w:rPr>
              <w:t>4,00%</w:t>
            </w:r>
          </w:p>
        </w:tc>
        <w:tc>
          <w:tcPr>
            <w:tcW w:w="1428"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078"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117"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214"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009"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c>
          <w:tcPr>
            <w:tcW w:w="1234" w:type="dxa"/>
            <w:tcBorders>
              <w:top w:val="nil"/>
              <w:left w:val="nil"/>
              <w:bottom w:val="single" w:sz="4" w:space="0" w:color="auto"/>
              <w:right w:val="single" w:sz="4" w:space="0" w:color="auto"/>
            </w:tcBorders>
            <w:noWrap/>
            <w:vAlign w:val="bottom"/>
          </w:tcPr>
          <w:p w:rsidR="00A64B21" w:rsidRPr="00ED5116" w:rsidRDefault="00A64B21">
            <w:pPr>
              <w:rPr>
                <w:rFonts w:ascii="Calibri" w:hAnsi="Calibri"/>
                <w:color w:val="000000"/>
                <w:sz w:val="20"/>
              </w:rPr>
            </w:pPr>
            <w:r w:rsidRPr="00ED5116">
              <w:rPr>
                <w:rFonts w:ascii="Calibri" w:hAnsi="Calibri"/>
                <w:color w:val="000000"/>
                <w:sz w:val="20"/>
                <w:szCs w:val="22"/>
              </w:rPr>
              <w:t> </w:t>
            </w:r>
          </w:p>
        </w:tc>
      </w:tr>
    </w:tbl>
    <w:p w:rsidR="00A64B21" w:rsidRDefault="00A64B21" w:rsidP="00140CDE">
      <w:pPr>
        <w:jc w:val="both"/>
        <w:rPr>
          <w:sz w:val="18"/>
          <w:szCs w:val="18"/>
        </w:rPr>
      </w:pPr>
      <w:r w:rsidRPr="00302DDF">
        <w:rPr>
          <w:sz w:val="18"/>
          <w:szCs w:val="18"/>
        </w:rPr>
        <w:t>Tabulka č. 3 Procento pacientů, které bylo po CVSP referováno jiným</w:t>
      </w:r>
      <w:r w:rsidRPr="00302DDF">
        <w:t xml:space="preserve"> </w:t>
      </w:r>
      <w:r w:rsidRPr="00302DDF">
        <w:rPr>
          <w:sz w:val="18"/>
          <w:szCs w:val="18"/>
        </w:rPr>
        <w:t>zařízením</w:t>
      </w:r>
      <w:r w:rsidRPr="00302DDF">
        <w:rPr>
          <w:rStyle w:val="Znakapoznpodarou"/>
          <w:sz w:val="18"/>
          <w:szCs w:val="18"/>
        </w:rPr>
        <w:footnoteReference w:id="2"/>
      </w:r>
      <w:r w:rsidRPr="00302DDF">
        <w:rPr>
          <w:sz w:val="18"/>
          <w:szCs w:val="18"/>
        </w:rPr>
        <w:t>.</w:t>
      </w:r>
    </w:p>
    <w:p w:rsidR="009047EF" w:rsidRPr="00302DDF" w:rsidRDefault="009047EF" w:rsidP="00140CDE">
      <w:pPr>
        <w:jc w:val="both"/>
      </w:pPr>
    </w:p>
    <w:p w:rsidR="00A64B21" w:rsidRPr="00302DDF" w:rsidRDefault="006C6E3E" w:rsidP="00140CDE">
      <w:pPr>
        <w:jc w:val="both"/>
      </w:pPr>
      <w:r w:rsidRPr="00302DDF">
        <w:rPr>
          <w:noProof/>
        </w:rPr>
        <w:drawing>
          <wp:inline distT="0" distB="0" distL="0" distR="0" wp14:anchorId="354A5ED7" wp14:editId="0125261E">
            <wp:extent cx="5760720" cy="3877286"/>
            <wp:effectExtent l="0" t="0" r="11430" b="952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4B21" w:rsidRPr="00ED5116" w:rsidRDefault="00B47CD4" w:rsidP="00140CDE">
      <w:pPr>
        <w:jc w:val="both"/>
        <w:rPr>
          <w:sz w:val="20"/>
        </w:rPr>
      </w:pPr>
      <w:r>
        <w:rPr>
          <w:sz w:val="20"/>
        </w:rPr>
        <w:t>Graf 20:</w:t>
      </w:r>
      <w:r w:rsidR="009047EF" w:rsidRPr="00ED5116">
        <w:rPr>
          <w:sz w:val="20"/>
        </w:rPr>
        <w:t xml:space="preserve"> Procento pacientů referovaných z CVSP fakultních nemocnic do jiných zařízení </w:t>
      </w:r>
    </w:p>
    <w:p w:rsidR="00A64B21" w:rsidRPr="00302DDF" w:rsidRDefault="00A64B21" w:rsidP="00140CDE">
      <w:pPr>
        <w:jc w:val="both"/>
      </w:pPr>
    </w:p>
    <w:p w:rsidR="00A64B21" w:rsidRPr="00302DDF" w:rsidRDefault="00A64B21" w:rsidP="00140CDE">
      <w:pPr>
        <w:jc w:val="both"/>
      </w:pPr>
    </w:p>
    <w:p w:rsidR="00A64B21" w:rsidRPr="00302DDF" w:rsidRDefault="00A64B21" w:rsidP="00A247ED">
      <w:pPr>
        <w:jc w:val="both"/>
      </w:pPr>
      <w:r w:rsidRPr="00302DDF">
        <w:t>Specifickou situaci lze vysledovat v případě pražských fakultních nemocnic (Všeobecná fakultní nemocnice v Praze, Fakultní nemocnice v Motole a Fakultní nemocnice Královské Vinohrady). Tato zařízení totiž nefungují jako spádové nemocnice pouze pro oblast Prahy, ale také pro velkou část Středočeského kraje. V případě Fakultní nemocnice v Motole tvoří pacienti ze Středočeského kraje dokonce 26% podíl.</w:t>
      </w:r>
      <w:r w:rsidR="00B47CD4">
        <w:t xml:space="preserve"> </w:t>
      </w:r>
      <w:r w:rsidRPr="00302DDF">
        <w:t xml:space="preserve">Zastoupení mimopražských pacientů v těchto nemocnicích ukazuje tabulka č. 4. </w:t>
      </w:r>
    </w:p>
    <w:p w:rsidR="00A64B21" w:rsidRPr="00302DDF" w:rsidRDefault="00A64B21" w:rsidP="00A247ED">
      <w:pPr>
        <w:jc w:val="both"/>
      </w:pPr>
    </w:p>
    <w:p w:rsidR="00A64B21" w:rsidRPr="00302DDF" w:rsidRDefault="00A64B21" w:rsidP="00A247ED">
      <w:pPr>
        <w:jc w:val="both"/>
      </w:pPr>
    </w:p>
    <w:tbl>
      <w:tblPr>
        <w:tblW w:w="5457" w:type="dxa"/>
        <w:tblInd w:w="55" w:type="dxa"/>
        <w:tblCellMar>
          <w:left w:w="70" w:type="dxa"/>
          <w:right w:w="70" w:type="dxa"/>
        </w:tblCellMar>
        <w:tblLook w:val="00A0" w:firstRow="1" w:lastRow="0" w:firstColumn="1" w:lastColumn="0" w:noHBand="0" w:noVBand="0"/>
      </w:tblPr>
      <w:tblGrid>
        <w:gridCol w:w="2709"/>
        <w:gridCol w:w="2748"/>
      </w:tblGrid>
      <w:tr w:rsidR="00A64B21" w:rsidRPr="00302DDF" w:rsidTr="009C5DB7">
        <w:trPr>
          <w:trHeight w:val="681"/>
        </w:trPr>
        <w:tc>
          <w:tcPr>
            <w:tcW w:w="2709" w:type="dxa"/>
            <w:tcBorders>
              <w:top w:val="single" w:sz="4" w:space="0" w:color="auto"/>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 Fakultní nemocnice</w:t>
            </w:r>
          </w:p>
        </w:tc>
        <w:tc>
          <w:tcPr>
            <w:tcW w:w="2748" w:type="dxa"/>
            <w:tcBorders>
              <w:top w:val="single" w:sz="4" w:space="0" w:color="auto"/>
              <w:left w:val="nil"/>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Podíl mimopražských pacientů</w:t>
            </w:r>
          </w:p>
        </w:tc>
      </w:tr>
      <w:tr w:rsidR="00A64B21" w:rsidRPr="00302DDF" w:rsidTr="00140CDE">
        <w:trPr>
          <w:trHeight w:val="695"/>
        </w:trPr>
        <w:tc>
          <w:tcPr>
            <w:tcW w:w="2709"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Všeobecná fakultní nemocnice v Praze</w:t>
            </w:r>
          </w:p>
        </w:tc>
        <w:tc>
          <w:tcPr>
            <w:tcW w:w="2748"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44,19%</w:t>
            </w:r>
          </w:p>
        </w:tc>
      </w:tr>
      <w:tr w:rsidR="00A64B21" w:rsidRPr="00302DDF" w:rsidTr="00140CDE">
        <w:trPr>
          <w:trHeight w:val="600"/>
        </w:trPr>
        <w:tc>
          <w:tcPr>
            <w:tcW w:w="2709"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v Motole</w:t>
            </w:r>
          </w:p>
        </w:tc>
        <w:tc>
          <w:tcPr>
            <w:tcW w:w="2748"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52,50%</w:t>
            </w:r>
          </w:p>
        </w:tc>
      </w:tr>
      <w:tr w:rsidR="00A64B21" w:rsidRPr="00302DDF" w:rsidTr="00140CDE">
        <w:trPr>
          <w:trHeight w:val="600"/>
        </w:trPr>
        <w:tc>
          <w:tcPr>
            <w:tcW w:w="2709" w:type="dxa"/>
            <w:tcBorders>
              <w:top w:val="nil"/>
              <w:left w:val="single" w:sz="4" w:space="0" w:color="auto"/>
              <w:bottom w:val="single" w:sz="4" w:space="0" w:color="auto"/>
              <w:right w:val="single" w:sz="4" w:space="0" w:color="auto"/>
            </w:tcBorders>
            <w:vAlign w:val="bottom"/>
          </w:tcPr>
          <w:p w:rsidR="00A64B21" w:rsidRPr="00302DDF" w:rsidRDefault="00A64B21">
            <w:pPr>
              <w:rPr>
                <w:rFonts w:ascii="Calibri" w:hAnsi="Calibri"/>
                <w:color w:val="000000"/>
              </w:rPr>
            </w:pPr>
            <w:r w:rsidRPr="00302DDF">
              <w:rPr>
                <w:rFonts w:ascii="Calibri" w:hAnsi="Calibri"/>
                <w:color w:val="000000"/>
                <w:sz w:val="22"/>
                <w:szCs w:val="22"/>
              </w:rPr>
              <w:t>Fakultní nemocnice Královské Vinohrady</w:t>
            </w:r>
          </w:p>
        </w:tc>
        <w:tc>
          <w:tcPr>
            <w:tcW w:w="2748" w:type="dxa"/>
            <w:tcBorders>
              <w:top w:val="nil"/>
              <w:left w:val="nil"/>
              <w:bottom w:val="single" w:sz="4" w:space="0" w:color="auto"/>
              <w:right w:val="single" w:sz="4" w:space="0" w:color="auto"/>
            </w:tcBorders>
            <w:vAlign w:val="bottom"/>
          </w:tcPr>
          <w:p w:rsidR="00A64B21" w:rsidRPr="00302DDF" w:rsidRDefault="00A64B21">
            <w:pPr>
              <w:jc w:val="right"/>
              <w:rPr>
                <w:rFonts w:ascii="Calibri" w:hAnsi="Calibri"/>
                <w:color w:val="000000"/>
              </w:rPr>
            </w:pPr>
            <w:r w:rsidRPr="00302DDF">
              <w:rPr>
                <w:rFonts w:ascii="Calibri" w:hAnsi="Calibri"/>
                <w:color w:val="000000"/>
                <w:sz w:val="22"/>
                <w:szCs w:val="22"/>
              </w:rPr>
              <w:t>27,95%</w:t>
            </w:r>
          </w:p>
        </w:tc>
      </w:tr>
    </w:tbl>
    <w:p w:rsidR="00A64B21" w:rsidRDefault="00A64B21" w:rsidP="00A247ED">
      <w:pPr>
        <w:jc w:val="both"/>
        <w:rPr>
          <w:sz w:val="18"/>
          <w:szCs w:val="18"/>
        </w:rPr>
      </w:pPr>
      <w:r w:rsidRPr="00302DDF">
        <w:rPr>
          <w:sz w:val="18"/>
          <w:szCs w:val="18"/>
        </w:rPr>
        <w:t>Tabulka č. 4 Podíl mimopražských pacientů v pražských fakultních nemocnicích</w:t>
      </w:r>
    </w:p>
    <w:p w:rsidR="00B47CD4" w:rsidRPr="00302DDF" w:rsidRDefault="00B47CD4" w:rsidP="00A247ED">
      <w:pPr>
        <w:jc w:val="both"/>
        <w:rPr>
          <w:sz w:val="18"/>
          <w:szCs w:val="18"/>
        </w:rPr>
      </w:pPr>
    </w:p>
    <w:p w:rsidR="00A64B21" w:rsidRPr="00302DDF" w:rsidRDefault="003D113F" w:rsidP="00A247ED">
      <w:pPr>
        <w:jc w:val="both"/>
      </w:pPr>
      <w:r w:rsidRPr="00302DDF">
        <w:rPr>
          <w:noProof/>
        </w:rPr>
        <w:lastRenderedPageBreak/>
        <w:drawing>
          <wp:inline distT="0" distB="0" distL="0" distR="0" wp14:anchorId="5C11FF99" wp14:editId="398767F3">
            <wp:extent cx="4572000" cy="2743200"/>
            <wp:effectExtent l="0" t="0" r="19050" b="190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4B21" w:rsidRPr="004C50D5" w:rsidRDefault="00B47CD4" w:rsidP="00A247ED">
      <w:pPr>
        <w:jc w:val="both"/>
        <w:rPr>
          <w:sz w:val="20"/>
        </w:rPr>
      </w:pPr>
      <w:r>
        <w:rPr>
          <w:sz w:val="20"/>
        </w:rPr>
        <w:t xml:space="preserve">Graf 21: </w:t>
      </w:r>
      <w:r w:rsidRPr="004C50D5">
        <w:rPr>
          <w:sz w:val="20"/>
        </w:rPr>
        <w:t>Podíl mimopražských pacientů pražských fakultních nemocnic v roce 2013</w:t>
      </w:r>
    </w:p>
    <w:p w:rsidR="00B47CD4" w:rsidRPr="00302DDF" w:rsidRDefault="00B47CD4" w:rsidP="00A247ED">
      <w:pPr>
        <w:jc w:val="both"/>
      </w:pPr>
    </w:p>
    <w:p w:rsidR="00A64B21" w:rsidRPr="00302DDF" w:rsidRDefault="00A64B21" w:rsidP="00A247ED">
      <w:pPr>
        <w:jc w:val="both"/>
      </w:pPr>
      <w:r w:rsidRPr="00302DDF">
        <w:t>Fakultní nemocnice, jako významné regionální poskytovatele návazné péče, je tedy nezbytně nutné zařadit mezi zařízení, do kterých budou případné intervence směřovat. I zde je nutné zohlednit regionální odlišnosti, především význam segmentu návazné péče v daném oboru. Ve vztahu k zajištění kvalitní návazné péče ve středočeském regionu a s přihlédnutím k potřebě dodržovat princip koncentrace, je smysluplné omezit podporu pražských fakultních nemocnic na Fakultní nemocnici v Motole a Všeobecnou fakultní nemocnici v Praze, neboť výrazné procento pacientů jsou obyvatelé Středočeského kraje.</w:t>
      </w:r>
    </w:p>
    <w:p w:rsidR="00A64B21" w:rsidRDefault="00A64B21"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pPr>
    </w:p>
    <w:p w:rsidR="00B47CD4" w:rsidRDefault="00B47CD4" w:rsidP="00A247ED">
      <w:pPr>
        <w:jc w:val="both"/>
        <w:sectPr w:rsidR="00B47CD4" w:rsidSect="00DE3BCA">
          <w:pgSz w:w="11906" w:h="16838"/>
          <w:pgMar w:top="709" w:right="1417" w:bottom="1417" w:left="1417" w:header="708" w:footer="708" w:gutter="0"/>
          <w:cols w:space="708"/>
          <w:docGrid w:linePitch="360"/>
        </w:sectPr>
      </w:pPr>
    </w:p>
    <w:p w:rsidR="00A64B21" w:rsidRPr="00302DDF" w:rsidRDefault="00A64B21" w:rsidP="004C50D5">
      <w:pPr>
        <w:pStyle w:val="Nadpis1"/>
        <w:numPr>
          <w:ilvl w:val="0"/>
          <w:numId w:val="40"/>
        </w:numPr>
        <w:spacing w:after="120"/>
      </w:pPr>
      <w:bookmarkStart w:id="20" w:name="_Toc400972361"/>
      <w:bookmarkStart w:id="21" w:name="_Toc400972644"/>
      <w:bookmarkStart w:id="22" w:name="_Toc400975849"/>
      <w:bookmarkStart w:id="23" w:name="_Toc401926088"/>
      <w:bookmarkEnd w:id="20"/>
      <w:bookmarkEnd w:id="21"/>
      <w:bookmarkEnd w:id="22"/>
      <w:r w:rsidRPr="00302DDF">
        <w:lastRenderedPageBreak/>
        <w:t xml:space="preserve">Návazná péče </w:t>
      </w:r>
      <w:r>
        <w:t>v regionálním aspektu</w:t>
      </w:r>
      <w:bookmarkEnd w:id="23"/>
    </w:p>
    <w:p w:rsidR="00A64B21" w:rsidRPr="00302DDF" w:rsidRDefault="00A64B21" w:rsidP="004C50D5">
      <w:pPr>
        <w:spacing w:after="120"/>
        <w:jc w:val="both"/>
      </w:pPr>
      <w:r w:rsidRPr="00302DDF">
        <w:t>Při mapování návazné péče v jednotlivých regionech, byla oslovena Asociace krajů ČR s žádostí o spolupráci a definování individuálních potřeb v této oblasti.</w:t>
      </w:r>
    </w:p>
    <w:p w:rsidR="00A64B21" w:rsidRDefault="00A64B21" w:rsidP="004C50D5">
      <w:pPr>
        <w:spacing w:after="120"/>
        <w:jc w:val="both"/>
      </w:pPr>
      <w:r w:rsidRPr="00302DDF">
        <w:t xml:space="preserve">Na základě předdefinovaných kritérií návazné péče, která jsou blíže popsána v Koncepci návazné péče, byl sestaven seznam </w:t>
      </w:r>
      <w:r>
        <w:t xml:space="preserve">páteřních </w:t>
      </w:r>
      <w:r w:rsidRPr="00302DDF">
        <w:t>zdravotnických zařízení, která</w:t>
      </w:r>
      <w:r>
        <w:t xml:space="preserve"> dle názoru zástupů regionů plní funkci poskytovatelů návazné péče a zprostředkovaně tak umožňují </w:t>
      </w:r>
      <w:r w:rsidRPr="00302DDF">
        <w:t>přístup k</w:t>
      </w:r>
      <w:r>
        <w:t xml:space="preserve"> péči</w:t>
      </w:r>
      <w:r w:rsidRPr="00302DDF">
        <w:t> vysoce specializovan</w:t>
      </w:r>
      <w:r>
        <w:t>é</w:t>
      </w:r>
      <w:r w:rsidRPr="00302DDF">
        <w:t xml:space="preserve">. </w:t>
      </w:r>
      <w:r w:rsidRPr="00302DDF">
        <w:rPr>
          <w:u w:val="single"/>
        </w:rPr>
        <w:t xml:space="preserve"> </w:t>
      </w:r>
      <w:r w:rsidRPr="00302DDF">
        <w:t xml:space="preserve"> </w:t>
      </w:r>
    </w:p>
    <w:p w:rsidR="00A64B21" w:rsidRDefault="00A64B21" w:rsidP="004C50D5">
      <w:pPr>
        <w:spacing w:after="120"/>
        <w:jc w:val="both"/>
      </w:pPr>
      <w:r>
        <w:t>Seznam zdravotnických zařízení obsahuje celkem 71 poskytovatelů zdravotní</w:t>
      </w:r>
      <w:r w:rsidR="003B38B2">
        <w:t>ch</w:t>
      </w:r>
      <w:r>
        <w:t xml:space="preserve"> </w:t>
      </w:r>
      <w:r w:rsidR="003B38B2">
        <w:t>služeb</w:t>
      </w:r>
      <w:r>
        <w:t>, z čehož 61 splňuje obecná kritéria Koncepce a 10 zařízení je z pohledu zajištění zdravotní péče v regionech natolik významných, že ačkoliv daná kritéria nesplňují, měla by mezi poskytovatele návazné péče být zařazena</w:t>
      </w:r>
      <w:r w:rsidR="00F9668F">
        <w:t xml:space="preserve"> (seznam uveden v tabulce č.</w:t>
      </w:r>
      <w:r w:rsidR="00D043C6">
        <w:t xml:space="preserve"> </w:t>
      </w:r>
      <w:r w:rsidR="00F9668F">
        <w:t>5)</w:t>
      </w:r>
      <w:r>
        <w:t>.</w:t>
      </w:r>
    </w:p>
    <w:p w:rsidR="00B47CD4" w:rsidRDefault="00B47CD4" w:rsidP="004C50D5">
      <w:pPr>
        <w:spacing w:after="120"/>
        <w:jc w:val="both"/>
      </w:pPr>
      <w:r>
        <w:t>Přestože se může v průběhu času síť poskytovatelů návazné péče měnit co do složení i počtu zařízení v důsledku přirozeného vývoje sektoru zdravotnictví, dá se předpokládat, že výraznější odchylky od současné situace nenastanou a princip fungování systému zůstane totožný.</w:t>
      </w:r>
    </w:p>
    <w:p w:rsidR="00B47CD4" w:rsidRDefault="00B47CD4" w:rsidP="004C50D5">
      <w:pPr>
        <w:spacing w:after="120"/>
        <w:jc w:val="both"/>
      </w:pPr>
      <w:r>
        <w:t xml:space="preserve">V dalším kroku mapování byl na základě analýzy dat z nemocničních informačních systémů u sledovaných poskytovatelů vytvořen přehled spádovosti oborů návazné péče v jednotlivých krajích. Ačkoliv při tvorbě analýzy nebyla k dispozici data čtyř zařízení ze seznamu nemocnic, které byly </w:t>
      </w:r>
      <w:r w:rsidR="002A7AE1">
        <w:t xml:space="preserve">Asociací </w:t>
      </w:r>
      <w:r>
        <w:t>kraj</w:t>
      </w:r>
      <w:r w:rsidR="002A7AE1">
        <w:t>ů</w:t>
      </w:r>
      <w:r>
        <w:t xml:space="preserve"> navrženy do systému návazné péče, (jednoho v Jihomoravském kraji a tří v Moravskoslezském kraji), byl získaný vzorek již dostatečně velký, aby bylo možné vysledovat určité trendy a společné znaky pohybu a chování pacientů v rámci návazné péče. Pro analýzu spádovosti oborů rovněž nebyla použita data velkých fakultních nemocnic. V nich byla spádovost oborů sledována z jiného úhlu a navíc by mohla, vzhledem k postavení fakultních nemocnic jako poskytovatelů nejširšího spektra </w:t>
      </w:r>
      <w:r w:rsidR="005B597B">
        <w:t>zdravotních služeb</w:t>
      </w:r>
      <w:r>
        <w:t xml:space="preserve"> nejvyšší úrovně, výrazně zkreslit získané údaje.</w:t>
      </w:r>
    </w:p>
    <w:p w:rsidR="00A64B21" w:rsidRDefault="00A64B21" w:rsidP="004C50D5">
      <w:pPr>
        <w:spacing w:after="120"/>
        <w:jc w:val="both"/>
        <w:sectPr w:rsidR="00A64B21" w:rsidSect="004C50D5">
          <w:pgSz w:w="11906" w:h="16838"/>
          <w:pgMar w:top="1134" w:right="1417" w:bottom="1417" w:left="1417" w:header="708" w:footer="708" w:gutter="0"/>
          <w:cols w:space="708"/>
          <w:docGrid w:linePitch="360"/>
        </w:sectPr>
      </w:pPr>
    </w:p>
    <w:p w:rsidR="00A64B21" w:rsidRDefault="00C21B67" w:rsidP="00B34B0D">
      <w:pPr>
        <w:jc w:val="both"/>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35pt;height:370.75pt" o:ole="">
            <v:imagedata r:id="rId27" o:title=""/>
          </v:shape>
          <o:OLEObject Type="Embed" ProgID="AcroExch.Document.11" ShapeID="_x0000_i1025" DrawAspect="Content" ObjectID="_1477381065" r:id="rId28"/>
        </w:object>
      </w:r>
      <w:r w:rsidR="002A7AE1" w:rsidRPr="002A7AE1">
        <w:t xml:space="preserve"> </w:t>
      </w:r>
    </w:p>
    <w:p w:rsidR="00F9668F" w:rsidRPr="00D043C6" w:rsidRDefault="00F9668F" w:rsidP="00F9668F">
      <w:pPr>
        <w:rPr>
          <w:sz w:val="20"/>
        </w:rPr>
      </w:pPr>
      <w:r w:rsidRPr="00D043C6">
        <w:rPr>
          <w:sz w:val="20"/>
        </w:rPr>
        <w:t>Tabulka č. 5: Seznam páteřních zdravotnických zařízení nominovaných Asociací krajů ČR</w:t>
      </w:r>
    </w:p>
    <w:p w:rsidR="00F9668F" w:rsidRDefault="00F9668F" w:rsidP="00F9668F"/>
    <w:p w:rsidR="00090A63" w:rsidRDefault="00090A63" w:rsidP="00AD12F8">
      <w:pPr>
        <w:sectPr w:rsidR="00090A63" w:rsidSect="00763ED0">
          <w:pgSz w:w="16838" w:h="11906" w:orient="landscape"/>
          <w:pgMar w:top="1417" w:right="1417" w:bottom="1417" w:left="1417" w:header="708" w:footer="708" w:gutter="0"/>
          <w:cols w:space="708"/>
          <w:docGrid w:linePitch="360"/>
        </w:sectPr>
      </w:pPr>
    </w:p>
    <w:p w:rsidR="00A64B21" w:rsidRDefault="00A64B21" w:rsidP="00D043C6">
      <w:pPr>
        <w:pStyle w:val="Nadpis2"/>
        <w:numPr>
          <w:ilvl w:val="1"/>
          <w:numId w:val="40"/>
        </w:numPr>
        <w:spacing w:after="120"/>
      </w:pPr>
      <w:bookmarkStart w:id="24" w:name="_Toc401926089"/>
      <w:r>
        <w:lastRenderedPageBreak/>
        <w:t>Základní obory návazné péče – pilíř péče</w:t>
      </w:r>
      <w:bookmarkEnd w:id="24"/>
    </w:p>
    <w:p w:rsidR="00A64B21" w:rsidRDefault="00A64B21" w:rsidP="00D043C6">
      <w:pPr>
        <w:spacing w:after="120"/>
        <w:jc w:val="both"/>
      </w:pPr>
      <w:r>
        <w:t xml:space="preserve">Jak se dalo předpokládat, většina návazné péče je na úrovni regionálních poskytovatelů zdravotních služeb poskytována v rámci tzv. „základních“ oborů, kterými jsou vnitřní lékařství, chirurgie, dětské lékařství a gynekologie a porodnictví. Společná existence těchto oborů ve zdravotnickém zařízení funguje jako minimální záruka zajištění komplexity péče a byla proto stanovena jako základní kritérium návazné péče. </w:t>
      </w:r>
    </w:p>
    <w:p w:rsidR="00A64B21" w:rsidRDefault="00A64B21" w:rsidP="00D043C6">
      <w:pPr>
        <w:spacing w:after="120"/>
        <w:jc w:val="both"/>
      </w:pPr>
      <w:r>
        <w:t xml:space="preserve">V základních oborech je hospitalizováno průměrně 67 % všech pacientů návazné péče. Největší podíl základních oborů na návazné péči je ve Středočeském kraji (77,8 %) a nejmenší v Plzeňském kraji (54,13 %). Důvodem více než dvacetiprocentního rozdílu je složení sledovaného vzorku. Zatímco ve Středočeském kraji je síť poskytovatelů návazné péče tvořena větším počtem nemocnic s menším počtem oborů (bývalé okresní nemocnice, nyní oblastní nemocnice zřizované Středočeským krajem), v Plzeňském kraji jde o dvě zařízení, z nichž jedním je fakultní nemocnice s širokým spektrem péče. </w:t>
      </w:r>
    </w:p>
    <w:p w:rsidR="00A64B21" w:rsidRDefault="00A64B21" w:rsidP="00D043C6">
      <w:pPr>
        <w:spacing w:after="120"/>
        <w:jc w:val="both"/>
      </w:pPr>
      <w:r>
        <w:t xml:space="preserve">Oborem s největším podílem pacientů je potom vnitřní lékařství. V průměru pětina (20,99 %) všech pacientů návazné péče v ČR je hospitalizována v souvislosti s péčí v rámci oboru vnitřního lékařství. Kromě krajů Vysočina, Plzeňského a Jihomoravského, jde ve všech ostatních regionech o obor s největším podílem pacientů. Následuje chirurgie (průměrně 17,5 % pacientů, dětské lékařství 14,66 % a gynekologie a porodnictví 13,82 %). Kvalita péče v těchto základních oborech je tedy rozhodující pro dostupnost zdravotní péče v regionech obecně. </w:t>
      </w:r>
    </w:p>
    <w:p w:rsidR="00A64B21" w:rsidRDefault="00A64B21" w:rsidP="00D043C6">
      <w:pPr>
        <w:pStyle w:val="Nadpis2"/>
        <w:numPr>
          <w:ilvl w:val="1"/>
          <w:numId w:val="40"/>
        </w:numPr>
        <w:spacing w:after="120"/>
      </w:pPr>
      <w:bookmarkStart w:id="25" w:name="_Toc401926090"/>
      <w:r>
        <w:t>Spádovost oborů návazné péče</w:t>
      </w:r>
      <w:bookmarkEnd w:id="25"/>
    </w:p>
    <w:p w:rsidR="00A64B21" w:rsidRDefault="00A64B21" w:rsidP="00D043C6">
      <w:pPr>
        <w:spacing w:after="120"/>
        <w:jc w:val="both"/>
      </w:pPr>
      <w:r>
        <w:t>Dalším sledovaným jevem byla spádovost jednotlivých oborů. Zatímco v případě základních oborů tvoří naprostou většinu pacientů sledovaných zařízení obyvatelé daného regionu (přirozené spádové oblasti), u dalších oborů návazné péče se ukazuje, že pacienti za zdravotními službami migrují. Pro tyto účely bylo nejdříve určeno průměrné zastoupení pacientů ze sledovaných lokalit (nejčastěji šlo o úroveň okresů příslušného kraje) na poč</w:t>
      </w:r>
      <w:r w:rsidR="00F9668F">
        <w:t>e</w:t>
      </w:r>
      <w:r>
        <w:t>t všech pacientů v oborech návazné péče daného zařízení. V případě okresů z jiných krajů, byly ze sledovaného vzorku vyloučeny ty, jejichž zastoupení na celkové skupině pacientů bylo nižší než 1 procento, neboť nejde o signifikantní zastoupení. V dalším kroku byly označeny obory, ve kterých zastoupení pacientů z jiných okresů činilo dvo</w:t>
      </w:r>
      <w:r w:rsidR="000D3CE4">
        <w:t>j</w:t>
      </w:r>
      <w:r>
        <w:t>násobek (a více) průměru, 1,5 násobek a 1,3 násobek průměru. Tím byl získán seznam oborů, které mají ve sledovaných zařízeních nadprůměrně širokou spádovou oblast</w:t>
      </w:r>
      <w:r w:rsidR="00F9668F">
        <w:t xml:space="preserve"> (viz tabulky v Příloze)</w:t>
      </w:r>
      <w:r>
        <w:t xml:space="preserve">.   </w:t>
      </w:r>
    </w:p>
    <w:p w:rsidR="00A64B21" w:rsidRDefault="00A64B21" w:rsidP="00D043C6">
      <w:pPr>
        <w:spacing w:after="120"/>
        <w:jc w:val="both"/>
      </w:pPr>
      <w:r>
        <w:t>Mezi obory, za kterými pacienti cestují nejčastěji, patří ortopedie (16 z 64 sledovaných nemocnic), urologie (9 nemocnic), rehabilitační medicína (5 nemocnic) a neurologie (5 nemocnic). Výjimku opět tvoří Plzeňský kraj, kde je tímto oborem gynekologie a porodnictví. Důvodem je opět skutečnost, že komplexní lůžkovou péči v kraji prakticky poskytuj pouze nemocnice Klatovy a Fakultní nemocnice Plzeň, přičemž většinu pacientů v jiných než základních oborech zachytí právě Fakultní nemocnice</w:t>
      </w:r>
      <w:r w:rsidR="00DE3BCA">
        <w:t xml:space="preserve"> Plzeň</w:t>
      </w:r>
      <w:r>
        <w:t>.</w:t>
      </w:r>
    </w:p>
    <w:p w:rsidR="00A64B21" w:rsidRDefault="00A64B21" w:rsidP="00D043C6">
      <w:pPr>
        <w:spacing w:after="120"/>
        <w:jc w:val="both"/>
      </w:pPr>
      <w:r>
        <w:t>Nejzajímavějším výsledkem této analýzy však je zjištění, že ve většině případů existuje přirozené rozložení péče mezi poskytovateli v rámci kraje, tj. v každém zdravotnickém zařízení se jako „nejspádovější“ ukazuje jiný obor.  Důvodů této „specializace“ může být několik. Zejména je to však skutečnost, že menší zdravotnická zařízení disponují užším spektrem oborů a je tedy logické, že z oborů jiných než základních, se zaměřují pouze na některé. Síť nemocnic a geografické podmínky České republiky tento jev naštěstí umožňují.</w:t>
      </w:r>
    </w:p>
    <w:p w:rsidR="00A64B21" w:rsidRDefault="00A64B21" w:rsidP="00D043C6">
      <w:pPr>
        <w:pStyle w:val="Nadpis2"/>
        <w:numPr>
          <w:ilvl w:val="1"/>
          <w:numId w:val="40"/>
        </w:numPr>
        <w:spacing w:after="120"/>
      </w:pPr>
      <w:bookmarkStart w:id="26" w:name="_Toc401926091"/>
      <w:r>
        <w:lastRenderedPageBreak/>
        <w:t>Role poskytovatele návazné péče v regionu a systému</w:t>
      </w:r>
      <w:bookmarkEnd w:id="26"/>
    </w:p>
    <w:p w:rsidR="00A64B21" w:rsidRDefault="00A64B21" w:rsidP="00257423">
      <w:pPr>
        <w:spacing w:after="120"/>
        <w:jc w:val="both"/>
      </w:pPr>
      <w:r>
        <w:t xml:space="preserve">Výše uvedená zjištění potvrzují prvotní předpoklad a zároveň cíl celé koncepce návazné péče. V systému lůžkové péče v České republice existují zdravotnická zařízení poskytující zdravotní služby na různých úrovních. </w:t>
      </w:r>
    </w:p>
    <w:p w:rsidR="00A64B21" w:rsidRDefault="00A64B21" w:rsidP="00257423">
      <w:pPr>
        <w:spacing w:after="120"/>
        <w:jc w:val="both"/>
      </w:pPr>
      <w:r>
        <w:t>Místem vstupu do systému je v případě potřeby péče v základních oborech zařízení v místě bydliště (v okresu) pacienta. V případě dalších oborů, je již místem vstupu nemocnice, která je pro péči v daném oboru „spádová“ pro daleko širší region nežli okres. Většinou jde o menší regionální poskytovatele zdravotních služeb, bývalé okresní a městské nemocnice, nicméně v některých okresech tuto roli plní i fakultní nemocnice, případně velké krajské nemocnice s širokým spektrem oborů. V těchto zařízeních dochází k prvnímu ošetření, prvnímu stanovení diagnózy a zahájení léčby. V případě potřeby péče „vyšší úrovně“ je pacient referován jinému zařízení – centru vysoce specializované péče</w:t>
      </w:r>
      <w:r>
        <w:rPr>
          <w:rStyle w:val="Znakapoznpodarou"/>
        </w:rPr>
        <w:footnoteReference w:id="3"/>
      </w:r>
      <w:r>
        <w:t xml:space="preserve"> , odkud je, po poskytnutí péče vysoce specializované, přemístěn do zař</w:t>
      </w:r>
      <w:r w:rsidR="0072594E">
        <w:t>ízení „nižší úrovně“.</w:t>
      </w:r>
      <w:r>
        <w:t xml:space="preserve"> Tento víceúrovňový systém zdravotní péče je při správném fungování předpokladem zajištění dostupnosti všech typů péče nejširšímu okruhu pacientů, umožňuje úspory z rozsahu, koncentraci specializovaných technických i personálních kapacit a v konečném důsledku urychlení, zlevnění a zlepšené zdravotní péče. </w:t>
      </w:r>
    </w:p>
    <w:p w:rsidR="00392460" w:rsidRDefault="00A64B21" w:rsidP="00D043C6">
      <w:pPr>
        <w:spacing w:after="120"/>
        <w:jc w:val="both"/>
      </w:pPr>
      <w:r>
        <w:t xml:space="preserve">Bez dostatečně kvalitní materiálně-technické základny, však nejsou zařízení poskytující návaznou péči (ať už na vstupu nebo na výstupu) schopna plnit svou roli, systém se stává neefektivním a péče nedostupná. Deficity v materiálně-technickém vybavení poskytovatelů návazné péče </w:t>
      </w:r>
      <w:r w:rsidR="00392460">
        <w:t>mohou vést k následujícím dopadům:</w:t>
      </w:r>
    </w:p>
    <w:p w:rsidR="00392460" w:rsidRDefault="00A64B21" w:rsidP="00D043C6">
      <w:pPr>
        <w:pStyle w:val="Odstavecseseznamem"/>
        <w:numPr>
          <w:ilvl w:val="0"/>
          <w:numId w:val="60"/>
        </w:numPr>
        <w:spacing w:after="120"/>
        <w:jc w:val="both"/>
      </w:pPr>
      <w:r>
        <w:t xml:space="preserve">potřeba vysoce specializované péče není u pacienta zjištěna (nebo zjištěna včas) a vysoce specializovaná péče mu není zpřístupněna; </w:t>
      </w:r>
    </w:p>
    <w:p w:rsidR="00392460" w:rsidRDefault="00A64B21" w:rsidP="00D043C6">
      <w:pPr>
        <w:pStyle w:val="Odstavecseseznamem"/>
        <w:numPr>
          <w:ilvl w:val="0"/>
          <w:numId w:val="60"/>
        </w:numPr>
        <w:spacing w:after="120"/>
        <w:jc w:val="both"/>
      </w:pPr>
      <w:r>
        <w:t>pacient referován centru vysoce specializované péče</w:t>
      </w:r>
      <w:r w:rsidR="00CD7753">
        <w:t xml:space="preserve"> </w:t>
      </w:r>
      <w:r>
        <w:t xml:space="preserve">pouze z kapacitních  důvodů; </w:t>
      </w:r>
    </w:p>
    <w:p w:rsidR="00392460" w:rsidRDefault="00A64B21" w:rsidP="00D043C6">
      <w:pPr>
        <w:pStyle w:val="Odstavecseseznamem"/>
        <w:numPr>
          <w:ilvl w:val="0"/>
          <w:numId w:val="60"/>
        </w:numPr>
        <w:spacing w:after="120"/>
        <w:jc w:val="both"/>
      </w:pPr>
      <w:r>
        <w:t xml:space="preserve">pacient </w:t>
      </w:r>
      <w:r w:rsidR="00D043C6">
        <w:t xml:space="preserve">je </w:t>
      </w:r>
      <w:r>
        <w:t>referován CVSP pouze z důvodu nedostatečného technického vybavení prvotního zdravotnického</w:t>
      </w:r>
      <w:r w:rsidR="00392460">
        <w:t>,</w:t>
      </w:r>
      <w:r>
        <w:t xml:space="preserve"> ačkoliv stav pacienta péči vysoce specializovanou nutně nevyžaduje. </w:t>
      </w:r>
    </w:p>
    <w:p w:rsidR="00A64B21" w:rsidRDefault="00A64B21" w:rsidP="00D043C6">
      <w:pPr>
        <w:spacing w:after="120"/>
        <w:jc w:val="both"/>
      </w:pPr>
      <w:r>
        <w:t>Tím se zbytečně blokují kapacity CVSP, a stávají se tak nedostupné pro jiné pacienty.</w:t>
      </w:r>
    </w:p>
    <w:p w:rsidR="00A64B21" w:rsidRDefault="00A64B21" w:rsidP="00D043C6">
      <w:pPr>
        <w:spacing w:after="120"/>
        <w:jc w:val="both"/>
      </w:pPr>
      <w:r>
        <w:t>Jak ukázala předchozí analýza, není nutné investovat u všech poskytovatelů návazné péče do všech oborů, které dané zařízení poskytuje. Jako klíčové se však ukazují tzv. obory základní obory (vnitřní lékařství, chirurgie, gynekologie a porodnictví a dětské lékařství)</w:t>
      </w:r>
      <w:r w:rsidR="009E026B">
        <w:rPr>
          <w:rStyle w:val="Znakapoznpodarou"/>
        </w:rPr>
        <w:footnoteReference w:id="4"/>
      </w:r>
      <w:r>
        <w:t xml:space="preserve"> a obory, které mají pro dané zařízení nadprůměrnou spádovou oblast (ve většině zařízení jde o jeden, maximálně dva obory). </w:t>
      </w:r>
    </w:p>
    <w:p w:rsidR="00A64B21" w:rsidRDefault="00A64B21" w:rsidP="00D043C6">
      <w:pPr>
        <w:spacing w:after="120"/>
        <w:jc w:val="both"/>
      </w:pPr>
    </w:p>
    <w:p w:rsidR="00BE7DA0" w:rsidRDefault="00BE7DA0">
      <w:r>
        <w:br w:type="page"/>
      </w:r>
    </w:p>
    <w:p w:rsidR="00F3664A" w:rsidRDefault="00F3664A">
      <w:pPr>
        <w:sectPr w:rsidR="00F3664A" w:rsidSect="004B3DB8">
          <w:pgSz w:w="11906" w:h="16838"/>
          <w:pgMar w:top="1417" w:right="1417" w:bottom="1417" w:left="1417" w:header="708" w:footer="708" w:gutter="0"/>
          <w:cols w:space="708"/>
          <w:docGrid w:linePitch="360"/>
        </w:sectPr>
      </w:pPr>
    </w:p>
    <w:p w:rsidR="00DE3BCA" w:rsidRDefault="00DE3BCA" w:rsidP="00D043C6">
      <w:pPr>
        <w:pStyle w:val="Nadpis1"/>
        <w:numPr>
          <w:ilvl w:val="0"/>
          <w:numId w:val="40"/>
        </w:numPr>
        <w:spacing w:after="120"/>
      </w:pPr>
      <w:bookmarkStart w:id="27" w:name="_Toc400975854"/>
      <w:bookmarkStart w:id="28" w:name="_Toc401926092"/>
      <w:bookmarkEnd w:id="27"/>
      <w:r>
        <w:lastRenderedPageBreak/>
        <w:t>Přílohy</w:t>
      </w:r>
      <w:bookmarkEnd w:id="28"/>
      <w:r>
        <w:t xml:space="preserve"> </w:t>
      </w:r>
    </w:p>
    <w:p w:rsidR="00DE3BCA" w:rsidRDefault="00DE3BCA" w:rsidP="00B34B0D">
      <w:pPr>
        <w:jc w:val="both"/>
      </w:pPr>
    </w:p>
    <w:p w:rsidR="00A64B21" w:rsidRDefault="00B66883" w:rsidP="00B34B0D">
      <w:pPr>
        <w:jc w:val="both"/>
      </w:pPr>
      <w:r>
        <w:t>Příloha: Tabulky s údaji o zastoupení a spádovosti oborů návazné péče.</w:t>
      </w:r>
    </w:p>
    <w:p w:rsidR="00D11133" w:rsidRDefault="00D711E1" w:rsidP="00B34B0D">
      <w:pPr>
        <w:jc w:val="both"/>
        <w:sectPr w:rsidR="00D11133" w:rsidSect="00D11133">
          <w:pgSz w:w="11906" w:h="16838"/>
          <w:pgMar w:top="1417" w:right="1417" w:bottom="1417" w:left="993" w:header="708" w:footer="708" w:gutter="0"/>
          <w:cols w:space="708"/>
          <w:docGrid w:linePitch="360"/>
        </w:sectPr>
      </w:pPr>
      <w:r>
        <w:t xml:space="preserve">Smyslem následujících dat není exaktně </w:t>
      </w:r>
      <w:r w:rsidR="005832C5">
        <w:t>vyčíslit</w:t>
      </w:r>
      <w:r>
        <w:t xml:space="preserve"> počty pacientů v jednotlivých oborech ve sledovaných nemocnicích, ale určit trendy a </w:t>
      </w:r>
      <w:r w:rsidR="000A308E">
        <w:t xml:space="preserve">popsat jevy, které jsou pro návaznou péči společné ve všech regionech. </w:t>
      </w:r>
      <w:r w:rsidR="008D0B3E">
        <w:t>Data jsou získána z</w:t>
      </w:r>
      <w:r w:rsidR="00BF6CF6">
        <w:t xml:space="preserve"> nemocničních informačních systémů </w:t>
      </w:r>
      <w:r w:rsidR="00627122">
        <w:t>poskytovatelů zdravotních služeb a budou dále verifikována jednotlivými kraji</w:t>
      </w:r>
      <w:r w:rsidR="00F4414B">
        <w:t>, případně upravena.</w:t>
      </w:r>
    </w:p>
    <w:p w:rsidR="00B66883" w:rsidRPr="00302DDF" w:rsidRDefault="00B66883" w:rsidP="00B34B0D">
      <w:pPr>
        <w:jc w:val="both"/>
      </w:pPr>
    </w:p>
    <w:tbl>
      <w:tblPr>
        <w:tblW w:w="13755" w:type="dxa"/>
        <w:tblInd w:w="65" w:type="dxa"/>
        <w:tblCellMar>
          <w:left w:w="70" w:type="dxa"/>
          <w:right w:w="70" w:type="dxa"/>
        </w:tblCellMar>
        <w:tblLook w:val="04A0" w:firstRow="1" w:lastRow="0" w:firstColumn="1" w:lastColumn="0" w:noHBand="0" w:noVBand="1"/>
      </w:tblPr>
      <w:tblGrid>
        <w:gridCol w:w="2273"/>
        <w:gridCol w:w="1145"/>
        <w:gridCol w:w="1690"/>
        <w:gridCol w:w="1701"/>
        <w:gridCol w:w="1418"/>
        <w:gridCol w:w="1701"/>
        <w:gridCol w:w="1984"/>
        <w:gridCol w:w="1843"/>
      </w:tblGrid>
      <w:tr w:rsidR="00326BD9" w:rsidTr="00D623FA">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D78" w:rsidRDefault="00914D78">
            <w:pPr>
              <w:rPr>
                <w:rFonts w:ascii="Calibri" w:hAnsi="Calibri"/>
                <w:b/>
                <w:bCs/>
                <w:color w:val="000000"/>
                <w:sz w:val="22"/>
                <w:szCs w:val="22"/>
              </w:rPr>
            </w:pPr>
            <w:r>
              <w:rPr>
                <w:rFonts w:ascii="Calibri" w:hAnsi="Calibri"/>
                <w:b/>
                <w:bCs/>
                <w:color w:val="000000"/>
                <w:sz w:val="22"/>
                <w:szCs w:val="22"/>
              </w:rPr>
              <w:t>STŘEDOČESKÝ KRAJ</w:t>
            </w:r>
          </w:p>
        </w:tc>
        <w:tc>
          <w:tcPr>
            <w:tcW w:w="1145"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690"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r>
      <w:tr w:rsidR="00326BD9" w:rsidTr="00D623FA">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914D78" w:rsidRDefault="00914D78">
            <w:pPr>
              <w:rPr>
                <w:rFonts w:ascii="Calibri" w:hAnsi="Calibri"/>
                <w:color w:val="000000"/>
                <w:sz w:val="22"/>
                <w:szCs w:val="22"/>
              </w:rPr>
            </w:pPr>
            <w:r>
              <w:rPr>
                <w:rFonts w:ascii="Calibri" w:hAnsi="Calibri"/>
                <w:color w:val="000000"/>
                <w:sz w:val="22"/>
                <w:szCs w:val="22"/>
              </w:rPr>
              <w:t>Počet obyvatel kraje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1 291 816</w:t>
            </w:r>
          </w:p>
        </w:tc>
        <w:tc>
          <w:tcPr>
            <w:tcW w:w="1690"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r>
      <w:tr w:rsidR="00326BD9" w:rsidTr="00D623FA">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914D78" w:rsidRDefault="00914D78">
            <w:pPr>
              <w:rPr>
                <w:rFonts w:ascii="Calibri" w:hAnsi="Calibri"/>
                <w:color w:val="000000"/>
                <w:sz w:val="22"/>
                <w:szCs w:val="22"/>
              </w:rPr>
            </w:pPr>
            <w:r>
              <w:rPr>
                <w:rFonts w:ascii="Calibri" w:hAnsi="Calibri"/>
                <w:color w:val="000000"/>
                <w:sz w:val="22"/>
                <w:szCs w:val="22"/>
              </w:rPr>
              <w:t>Počet lůžek v kraji</w:t>
            </w:r>
          </w:p>
        </w:tc>
        <w:tc>
          <w:tcPr>
            <w:tcW w:w="1145" w:type="dxa"/>
            <w:tcBorders>
              <w:top w:val="nil"/>
              <w:left w:val="nil"/>
              <w:bottom w:val="nil"/>
              <w:right w:val="single" w:sz="4" w:space="0" w:color="auto"/>
            </w:tcBorders>
            <w:shd w:val="clear" w:color="auto" w:fill="auto"/>
            <w:noWrap/>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5 871</w:t>
            </w:r>
          </w:p>
        </w:tc>
        <w:tc>
          <w:tcPr>
            <w:tcW w:w="1690"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914D78" w:rsidRDefault="00914D78">
            <w:pPr>
              <w:rPr>
                <w:rFonts w:ascii="Calibri" w:hAnsi="Calibri"/>
                <w:color w:val="000000"/>
                <w:sz w:val="22"/>
                <w:szCs w:val="22"/>
              </w:rPr>
            </w:pPr>
          </w:p>
        </w:tc>
      </w:tr>
      <w:tr w:rsidR="00326BD9" w:rsidTr="00AF0FFC">
        <w:trPr>
          <w:trHeight w:val="1197"/>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914D78" w:rsidRDefault="00914D78">
            <w:pPr>
              <w:rPr>
                <w:rFonts w:ascii="Calibri" w:hAnsi="Calibri"/>
                <w:color w:val="000000"/>
                <w:sz w:val="22"/>
                <w:szCs w:val="22"/>
              </w:rPr>
            </w:pPr>
            <w:r>
              <w:rPr>
                <w:rFonts w:ascii="Calibri" w:hAnsi="Calibri"/>
                <w:color w:val="000000"/>
                <w:sz w:val="22"/>
                <w:szCs w:val="22"/>
              </w:rPr>
              <w:t> </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Splňuje kritéria</w:t>
            </w:r>
          </w:p>
        </w:tc>
        <w:tc>
          <w:tcPr>
            <w:tcW w:w="1690"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Obor s největší spádovostí</w:t>
            </w:r>
          </w:p>
        </w:tc>
      </w:tr>
      <w:tr w:rsidR="00326BD9" w:rsidTr="00D623FA">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26BD9" w:rsidRDefault="00326BD9">
            <w:pPr>
              <w:rPr>
                <w:rFonts w:ascii="Calibri" w:hAnsi="Calibri"/>
                <w:color w:val="000000"/>
                <w:sz w:val="22"/>
                <w:szCs w:val="22"/>
              </w:rPr>
            </w:pPr>
            <w:r>
              <w:rPr>
                <w:rFonts w:ascii="Calibri" w:hAnsi="Calibri"/>
                <w:color w:val="000000"/>
                <w:sz w:val="22"/>
                <w:szCs w:val="22"/>
              </w:rPr>
              <w:t xml:space="preserve">Nemocnice Rudolfa a Stefanie </w:t>
            </w:r>
          </w:p>
          <w:p w:rsidR="00914D78" w:rsidRDefault="00914D78">
            <w:pPr>
              <w:rPr>
                <w:rFonts w:ascii="Calibri" w:hAnsi="Calibri"/>
                <w:color w:val="000000"/>
                <w:sz w:val="22"/>
                <w:szCs w:val="22"/>
              </w:rPr>
            </w:pPr>
            <w:r>
              <w:rPr>
                <w:rFonts w:ascii="Calibri" w:hAnsi="Calibri"/>
                <w:color w:val="000000"/>
                <w:sz w:val="22"/>
                <w:szCs w:val="22"/>
              </w:rPr>
              <w:t>Benešov</w:t>
            </w:r>
            <w:r w:rsidR="001935EA">
              <w:rPr>
                <w:rFonts w:ascii="Calibri" w:hAnsi="Calibri"/>
                <w:color w:val="000000"/>
                <w:sz w:val="22"/>
                <w:szCs w:val="22"/>
              </w:rPr>
              <w:t>, a.s., nemocnice Středočeského kraje</w:t>
            </w:r>
          </w:p>
        </w:tc>
        <w:tc>
          <w:tcPr>
            <w:tcW w:w="1145"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Ano</w:t>
            </w:r>
          </w:p>
        </w:tc>
        <w:tc>
          <w:tcPr>
            <w:tcW w:w="1690"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0,01</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vnitřní lékařství (23,78 %)</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neurologie (2,84 %)</w:t>
            </w:r>
          </w:p>
        </w:tc>
        <w:tc>
          <w:tcPr>
            <w:tcW w:w="1984"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neurologie (6,03 %)</w:t>
            </w:r>
          </w:p>
        </w:tc>
        <w:tc>
          <w:tcPr>
            <w:tcW w:w="1843" w:type="dxa"/>
            <w:tcBorders>
              <w:top w:val="nil"/>
              <w:left w:val="nil"/>
              <w:bottom w:val="single" w:sz="4" w:space="0" w:color="auto"/>
              <w:right w:val="single" w:sz="4" w:space="0" w:color="auto"/>
            </w:tcBorders>
            <w:shd w:val="clear" w:color="auto" w:fill="auto"/>
            <w:vAlign w:val="bottom"/>
            <w:hideMark/>
          </w:tcPr>
          <w:p w:rsidR="00914D78" w:rsidRDefault="009E6B33">
            <w:pPr>
              <w:rPr>
                <w:rFonts w:ascii="Calibri" w:hAnsi="Calibri"/>
                <w:color w:val="000000"/>
                <w:sz w:val="22"/>
                <w:szCs w:val="22"/>
              </w:rPr>
            </w:pPr>
            <w:r>
              <w:rPr>
                <w:rFonts w:ascii="Calibri" w:hAnsi="Calibri"/>
                <w:color w:val="000000"/>
                <w:sz w:val="22"/>
                <w:szCs w:val="22"/>
              </w:rPr>
              <w:t>d</w:t>
            </w:r>
            <w:r w:rsidR="004E0505">
              <w:rPr>
                <w:rFonts w:ascii="Calibri" w:hAnsi="Calibri"/>
                <w:color w:val="000000"/>
                <w:sz w:val="22"/>
                <w:szCs w:val="22"/>
              </w:rPr>
              <w:t>ětské lékařství</w:t>
            </w:r>
          </w:p>
        </w:tc>
      </w:tr>
      <w:tr w:rsidR="00326BD9" w:rsidTr="00D623FA">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914D78" w:rsidRDefault="00326BD9">
            <w:pPr>
              <w:rPr>
                <w:rFonts w:ascii="Calibri" w:hAnsi="Calibri"/>
                <w:color w:val="000000"/>
                <w:sz w:val="22"/>
                <w:szCs w:val="22"/>
              </w:rPr>
            </w:pPr>
            <w:r>
              <w:rPr>
                <w:rFonts w:ascii="Calibri" w:hAnsi="Calibri"/>
                <w:color w:val="000000"/>
                <w:sz w:val="22"/>
                <w:szCs w:val="22"/>
              </w:rPr>
              <w:t xml:space="preserve">Oblastní nemocnice </w:t>
            </w:r>
            <w:r w:rsidR="00914D78">
              <w:rPr>
                <w:rFonts w:ascii="Calibri" w:hAnsi="Calibri"/>
                <w:color w:val="000000"/>
                <w:sz w:val="22"/>
                <w:szCs w:val="22"/>
              </w:rPr>
              <w:t>Kladno</w:t>
            </w:r>
            <w:r w:rsidR="001935EA">
              <w:rPr>
                <w:rFonts w:ascii="Calibri" w:hAnsi="Calibri"/>
                <w:color w:val="000000"/>
                <w:sz w:val="22"/>
                <w:szCs w:val="22"/>
              </w:rPr>
              <w:t>, a.s., nemocnice Středočeského kraje</w:t>
            </w:r>
          </w:p>
        </w:tc>
        <w:tc>
          <w:tcPr>
            <w:tcW w:w="1145"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Ano</w:t>
            </w:r>
          </w:p>
        </w:tc>
        <w:tc>
          <w:tcPr>
            <w:tcW w:w="1690"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0,19</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vnitřní lékařství (20,56 %)</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rsidP="00821A55">
            <w:pPr>
              <w:rPr>
                <w:rFonts w:ascii="Calibri" w:hAnsi="Calibri"/>
                <w:color w:val="000000"/>
                <w:sz w:val="22"/>
                <w:szCs w:val="22"/>
              </w:rPr>
            </w:pPr>
            <w:r>
              <w:rPr>
                <w:rFonts w:ascii="Calibri" w:hAnsi="Calibri"/>
                <w:color w:val="000000"/>
                <w:sz w:val="22"/>
                <w:szCs w:val="22"/>
              </w:rPr>
              <w:t>rehabilitační (76,34 %)</w:t>
            </w:r>
          </w:p>
        </w:tc>
        <w:tc>
          <w:tcPr>
            <w:tcW w:w="1984"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pneumologie (8,75 %)</w:t>
            </w:r>
          </w:p>
        </w:tc>
        <w:tc>
          <w:tcPr>
            <w:tcW w:w="1843"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urologie</w:t>
            </w:r>
          </w:p>
        </w:tc>
      </w:tr>
      <w:tr w:rsidR="00326BD9" w:rsidTr="00D623FA">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914D78" w:rsidRDefault="00326BD9">
            <w:pPr>
              <w:rPr>
                <w:rFonts w:ascii="Calibri" w:hAnsi="Calibri"/>
                <w:color w:val="000000"/>
                <w:sz w:val="22"/>
                <w:szCs w:val="22"/>
              </w:rPr>
            </w:pPr>
            <w:r>
              <w:rPr>
                <w:rFonts w:ascii="Calibri" w:hAnsi="Calibri"/>
                <w:color w:val="000000"/>
                <w:sz w:val="22"/>
                <w:szCs w:val="22"/>
              </w:rPr>
              <w:t xml:space="preserve">Oblastní nemocnice </w:t>
            </w:r>
            <w:r w:rsidR="00914D78">
              <w:rPr>
                <w:rFonts w:ascii="Calibri" w:hAnsi="Calibri"/>
                <w:color w:val="000000"/>
                <w:sz w:val="22"/>
                <w:szCs w:val="22"/>
              </w:rPr>
              <w:t>Kolín</w:t>
            </w:r>
            <w:r w:rsidR="001935EA">
              <w:rPr>
                <w:rFonts w:ascii="Calibri" w:hAnsi="Calibri"/>
                <w:color w:val="000000"/>
                <w:sz w:val="22"/>
                <w:szCs w:val="22"/>
              </w:rPr>
              <w:t>, a.s., nemocnice Středočeského kraje</w:t>
            </w:r>
          </w:p>
        </w:tc>
        <w:tc>
          <w:tcPr>
            <w:tcW w:w="1145"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Ano</w:t>
            </w:r>
          </w:p>
        </w:tc>
        <w:tc>
          <w:tcPr>
            <w:tcW w:w="1690"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0,12</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0,06</w:t>
            </w:r>
          </w:p>
        </w:tc>
        <w:tc>
          <w:tcPr>
            <w:tcW w:w="1418"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dětské lékařství (21,08)</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rsidP="00821A55">
            <w:pPr>
              <w:rPr>
                <w:rFonts w:ascii="Calibri" w:hAnsi="Calibri"/>
                <w:color w:val="000000"/>
                <w:sz w:val="22"/>
                <w:szCs w:val="22"/>
              </w:rPr>
            </w:pPr>
            <w:r>
              <w:rPr>
                <w:rFonts w:ascii="Calibri" w:hAnsi="Calibri"/>
                <w:color w:val="000000"/>
                <w:sz w:val="22"/>
                <w:szCs w:val="22"/>
              </w:rPr>
              <w:t>rehabilitační (93,05 %)</w:t>
            </w:r>
          </w:p>
        </w:tc>
        <w:tc>
          <w:tcPr>
            <w:tcW w:w="1984"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ortopedie (19,59 %)</w:t>
            </w:r>
          </w:p>
        </w:tc>
        <w:tc>
          <w:tcPr>
            <w:tcW w:w="1843"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dětská chirurgie</w:t>
            </w:r>
          </w:p>
        </w:tc>
      </w:tr>
      <w:tr w:rsidR="00326BD9" w:rsidTr="00D623FA">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914D78" w:rsidRDefault="00326BD9">
            <w:pPr>
              <w:rPr>
                <w:rFonts w:ascii="Calibri" w:hAnsi="Calibri"/>
                <w:color w:val="000000"/>
                <w:sz w:val="22"/>
                <w:szCs w:val="22"/>
              </w:rPr>
            </w:pPr>
            <w:r>
              <w:rPr>
                <w:rFonts w:ascii="Calibri" w:hAnsi="Calibri"/>
                <w:color w:val="000000"/>
                <w:sz w:val="22"/>
                <w:szCs w:val="22"/>
              </w:rPr>
              <w:t xml:space="preserve">Oblastní nemocnice </w:t>
            </w:r>
            <w:r w:rsidR="00914D78">
              <w:rPr>
                <w:rFonts w:ascii="Calibri" w:hAnsi="Calibri"/>
                <w:color w:val="000000"/>
                <w:sz w:val="22"/>
                <w:szCs w:val="22"/>
              </w:rPr>
              <w:t>Ml. Boleslav</w:t>
            </w:r>
            <w:r w:rsidR="001935EA">
              <w:rPr>
                <w:rFonts w:ascii="Calibri" w:hAnsi="Calibri"/>
                <w:color w:val="000000"/>
                <w:sz w:val="22"/>
                <w:szCs w:val="22"/>
              </w:rPr>
              <w:t>, a.s., nemocnice Středočeského kraje</w:t>
            </w:r>
          </w:p>
        </w:tc>
        <w:tc>
          <w:tcPr>
            <w:tcW w:w="1145"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Ano</w:t>
            </w:r>
          </w:p>
        </w:tc>
        <w:tc>
          <w:tcPr>
            <w:tcW w:w="1690"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1,74</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2,60</w:t>
            </w:r>
          </w:p>
        </w:tc>
        <w:tc>
          <w:tcPr>
            <w:tcW w:w="1418"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vnitřní lékařství (20,98)</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rsidP="00821A55">
            <w:pPr>
              <w:rPr>
                <w:rFonts w:ascii="Calibri" w:hAnsi="Calibri"/>
                <w:color w:val="000000"/>
                <w:sz w:val="22"/>
                <w:szCs w:val="22"/>
              </w:rPr>
            </w:pPr>
            <w:r>
              <w:rPr>
                <w:rFonts w:ascii="Calibri" w:hAnsi="Calibri"/>
                <w:color w:val="000000"/>
                <w:sz w:val="22"/>
                <w:szCs w:val="22"/>
              </w:rPr>
              <w:t>vnitřní lékařství (6,05 %)</w:t>
            </w:r>
          </w:p>
        </w:tc>
        <w:tc>
          <w:tcPr>
            <w:tcW w:w="1984" w:type="dxa"/>
            <w:tcBorders>
              <w:top w:val="nil"/>
              <w:left w:val="nil"/>
              <w:bottom w:val="single" w:sz="4" w:space="0" w:color="auto"/>
              <w:right w:val="single" w:sz="4" w:space="0" w:color="auto"/>
            </w:tcBorders>
            <w:shd w:val="clear" w:color="auto" w:fill="auto"/>
            <w:vAlign w:val="bottom"/>
            <w:hideMark/>
          </w:tcPr>
          <w:p w:rsidR="00914D78" w:rsidRDefault="00821A55">
            <w:pPr>
              <w:rPr>
                <w:rFonts w:ascii="Calibri" w:hAnsi="Calibri"/>
                <w:color w:val="000000"/>
                <w:sz w:val="22"/>
                <w:szCs w:val="22"/>
              </w:rPr>
            </w:pPr>
            <w:r>
              <w:rPr>
                <w:rFonts w:ascii="Calibri" w:hAnsi="Calibri"/>
                <w:color w:val="000000"/>
                <w:sz w:val="22"/>
                <w:szCs w:val="22"/>
              </w:rPr>
              <w:t xml:space="preserve">vnitřní lékařství </w:t>
            </w:r>
            <w:r w:rsidR="00914D78">
              <w:rPr>
                <w:rFonts w:ascii="Calibri" w:hAnsi="Calibri"/>
                <w:color w:val="000000"/>
                <w:sz w:val="22"/>
                <w:szCs w:val="22"/>
              </w:rPr>
              <w:t>(6,15 %)</w:t>
            </w:r>
          </w:p>
        </w:tc>
        <w:tc>
          <w:tcPr>
            <w:tcW w:w="1843"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 xml:space="preserve">rehabilitační </w:t>
            </w:r>
          </w:p>
        </w:tc>
      </w:tr>
      <w:tr w:rsidR="00326BD9" w:rsidTr="00D623FA">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914D78" w:rsidRDefault="00326BD9">
            <w:pPr>
              <w:rPr>
                <w:rFonts w:ascii="Calibri" w:hAnsi="Calibri"/>
                <w:color w:val="000000"/>
                <w:sz w:val="22"/>
                <w:szCs w:val="22"/>
              </w:rPr>
            </w:pPr>
            <w:r>
              <w:rPr>
                <w:rFonts w:ascii="Calibri" w:hAnsi="Calibri"/>
                <w:color w:val="000000"/>
                <w:sz w:val="22"/>
                <w:szCs w:val="22"/>
              </w:rPr>
              <w:t xml:space="preserve">Oblastní nemocnice </w:t>
            </w:r>
            <w:r w:rsidR="00914D78">
              <w:rPr>
                <w:rFonts w:ascii="Calibri" w:hAnsi="Calibri"/>
                <w:color w:val="000000"/>
                <w:sz w:val="22"/>
                <w:szCs w:val="22"/>
              </w:rPr>
              <w:t>Příbram</w:t>
            </w:r>
            <w:r w:rsidR="001935EA">
              <w:rPr>
                <w:rFonts w:ascii="Calibri" w:hAnsi="Calibri"/>
                <w:color w:val="000000"/>
                <w:sz w:val="22"/>
                <w:szCs w:val="22"/>
              </w:rPr>
              <w:t>, a.s.</w:t>
            </w:r>
          </w:p>
        </w:tc>
        <w:tc>
          <w:tcPr>
            <w:tcW w:w="1145"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Ano</w:t>
            </w:r>
          </w:p>
        </w:tc>
        <w:tc>
          <w:tcPr>
            <w:tcW w:w="1690"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6,34</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3,98</w:t>
            </w:r>
          </w:p>
        </w:tc>
        <w:tc>
          <w:tcPr>
            <w:tcW w:w="1418"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vnitřní lékařství (19,23 %)</w:t>
            </w:r>
          </w:p>
        </w:tc>
        <w:tc>
          <w:tcPr>
            <w:tcW w:w="1701"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urologie (13,15 %)</w:t>
            </w:r>
          </w:p>
        </w:tc>
        <w:tc>
          <w:tcPr>
            <w:tcW w:w="1984" w:type="dxa"/>
            <w:tcBorders>
              <w:top w:val="nil"/>
              <w:left w:val="nil"/>
              <w:bottom w:val="single" w:sz="4" w:space="0" w:color="auto"/>
              <w:right w:val="single" w:sz="4" w:space="0" w:color="auto"/>
            </w:tcBorders>
            <w:shd w:val="clear" w:color="auto" w:fill="auto"/>
            <w:vAlign w:val="bottom"/>
            <w:hideMark/>
          </w:tcPr>
          <w:p w:rsidR="00914D78" w:rsidRDefault="00914D78">
            <w:pPr>
              <w:rPr>
                <w:rFonts w:ascii="Calibri" w:hAnsi="Calibri"/>
                <w:color w:val="000000"/>
                <w:sz w:val="22"/>
                <w:szCs w:val="22"/>
              </w:rPr>
            </w:pPr>
            <w:r>
              <w:rPr>
                <w:rFonts w:ascii="Calibri" w:hAnsi="Calibri"/>
                <w:color w:val="000000"/>
                <w:sz w:val="22"/>
                <w:szCs w:val="22"/>
              </w:rPr>
              <w:t>geriatrie (15,6 %)</w:t>
            </w:r>
          </w:p>
        </w:tc>
        <w:tc>
          <w:tcPr>
            <w:tcW w:w="1843" w:type="dxa"/>
            <w:tcBorders>
              <w:top w:val="nil"/>
              <w:left w:val="nil"/>
              <w:bottom w:val="single" w:sz="4" w:space="0" w:color="auto"/>
              <w:right w:val="single" w:sz="4" w:space="0" w:color="auto"/>
            </w:tcBorders>
            <w:shd w:val="clear" w:color="auto" w:fill="auto"/>
            <w:vAlign w:val="bottom"/>
            <w:hideMark/>
          </w:tcPr>
          <w:p w:rsidR="00914D78" w:rsidRDefault="00AF3D2F">
            <w:pPr>
              <w:rPr>
                <w:rFonts w:ascii="Calibri" w:hAnsi="Calibri"/>
                <w:color w:val="000000"/>
                <w:sz w:val="22"/>
                <w:szCs w:val="22"/>
              </w:rPr>
            </w:pPr>
            <w:r>
              <w:rPr>
                <w:rFonts w:ascii="Calibri" w:hAnsi="Calibri"/>
                <w:color w:val="000000"/>
                <w:sz w:val="22"/>
                <w:szCs w:val="22"/>
              </w:rPr>
              <w:t>N</w:t>
            </w:r>
            <w:r w:rsidR="00914D78">
              <w:rPr>
                <w:rFonts w:ascii="Calibri" w:hAnsi="Calibri"/>
                <w:color w:val="000000"/>
                <w:sz w:val="22"/>
                <w:szCs w:val="22"/>
              </w:rPr>
              <w:t>eurologie</w:t>
            </w:r>
            <w:r>
              <w:rPr>
                <w:rFonts w:ascii="Calibri" w:hAnsi="Calibri"/>
                <w:color w:val="000000"/>
                <w:sz w:val="22"/>
                <w:szCs w:val="22"/>
              </w:rPr>
              <w:t>, gynekologie</w:t>
            </w:r>
          </w:p>
        </w:tc>
      </w:tr>
      <w:tr w:rsidR="00326BD9" w:rsidTr="00D623FA">
        <w:trPr>
          <w:trHeight w:val="900"/>
        </w:trPr>
        <w:tc>
          <w:tcPr>
            <w:tcW w:w="2273" w:type="dxa"/>
            <w:tcBorders>
              <w:top w:val="nil"/>
              <w:left w:val="single" w:sz="4" w:space="0" w:color="auto"/>
              <w:bottom w:val="single" w:sz="4" w:space="0" w:color="auto"/>
              <w:right w:val="single" w:sz="4" w:space="0" w:color="auto"/>
            </w:tcBorders>
            <w:shd w:val="clear" w:color="000000" w:fill="EEECE1"/>
            <w:vAlign w:val="bottom"/>
            <w:hideMark/>
          </w:tcPr>
          <w:p w:rsidR="00914D78" w:rsidRDefault="00030636">
            <w:pPr>
              <w:rPr>
                <w:rFonts w:ascii="Calibri" w:hAnsi="Calibri"/>
                <w:color w:val="000000"/>
                <w:sz w:val="22"/>
                <w:szCs w:val="22"/>
              </w:rPr>
            </w:pPr>
            <w:r>
              <w:rPr>
                <w:rFonts w:ascii="Calibri" w:hAnsi="Calibri"/>
                <w:color w:val="000000"/>
                <w:sz w:val="22"/>
                <w:szCs w:val="22"/>
              </w:rPr>
              <w:t>Oblastní nemocnice Kolín, a.s., nemocnice Kutná Hora</w:t>
            </w:r>
          </w:p>
        </w:tc>
        <w:tc>
          <w:tcPr>
            <w:tcW w:w="1145" w:type="dxa"/>
            <w:tcBorders>
              <w:top w:val="nil"/>
              <w:left w:val="nil"/>
              <w:bottom w:val="single" w:sz="4" w:space="0" w:color="auto"/>
              <w:right w:val="single" w:sz="4" w:space="0" w:color="auto"/>
            </w:tcBorders>
            <w:shd w:val="clear" w:color="000000" w:fill="EEECE1"/>
            <w:vAlign w:val="bottom"/>
            <w:hideMark/>
          </w:tcPr>
          <w:p w:rsidR="00914D78" w:rsidRDefault="00914D78">
            <w:pPr>
              <w:rPr>
                <w:rFonts w:ascii="Calibri" w:hAnsi="Calibri"/>
                <w:color w:val="000000"/>
                <w:sz w:val="22"/>
                <w:szCs w:val="22"/>
              </w:rPr>
            </w:pPr>
            <w:r>
              <w:rPr>
                <w:rFonts w:ascii="Calibri" w:hAnsi="Calibri"/>
                <w:color w:val="000000"/>
                <w:sz w:val="22"/>
                <w:szCs w:val="22"/>
              </w:rPr>
              <w:t>Ne (součást Nemocnice Kolín)</w:t>
            </w:r>
          </w:p>
        </w:tc>
        <w:tc>
          <w:tcPr>
            <w:tcW w:w="1690" w:type="dxa"/>
            <w:tcBorders>
              <w:top w:val="nil"/>
              <w:left w:val="nil"/>
              <w:bottom w:val="single" w:sz="4" w:space="0" w:color="auto"/>
              <w:right w:val="single" w:sz="4" w:space="0" w:color="auto"/>
            </w:tcBorders>
            <w:shd w:val="clear" w:color="000000" w:fill="EEECE1"/>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2,57</w:t>
            </w:r>
          </w:p>
        </w:tc>
        <w:tc>
          <w:tcPr>
            <w:tcW w:w="1701" w:type="dxa"/>
            <w:tcBorders>
              <w:top w:val="nil"/>
              <w:left w:val="nil"/>
              <w:bottom w:val="single" w:sz="4" w:space="0" w:color="auto"/>
              <w:right w:val="single" w:sz="4" w:space="0" w:color="auto"/>
            </w:tcBorders>
            <w:shd w:val="clear" w:color="000000" w:fill="EEECE1"/>
            <w:vAlign w:val="bottom"/>
            <w:hideMark/>
          </w:tcPr>
          <w:p w:rsidR="00914D78" w:rsidRDefault="00914D78">
            <w:pPr>
              <w:jc w:val="right"/>
              <w:rPr>
                <w:rFonts w:ascii="Calibri" w:hAnsi="Calibri"/>
                <w:color w:val="000000"/>
                <w:sz w:val="22"/>
                <w:szCs w:val="22"/>
              </w:rPr>
            </w:pPr>
            <w:r>
              <w:rPr>
                <w:rFonts w:ascii="Calibri" w:hAnsi="Calibri"/>
                <w:color w:val="000000"/>
                <w:sz w:val="22"/>
                <w:szCs w:val="22"/>
              </w:rPr>
              <w:t>4,88</w:t>
            </w:r>
          </w:p>
        </w:tc>
        <w:tc>
          <w:tcPr>
            <w:tcW w:w="1418" w:type="dxa"/>
            <w:tcBorders>
              <w:top w:val="nil"/>
              <w:left w:val="nil"/>
              <w:bottom w:val="single" w:sz="4" w:space="0" w:color="auto"/>
              <w:right w:val="single" w:sz="4" w:space="0" w:color="auto"/>
            </w:tcBorders>
            <w:shd w:val="clear" w:color="000000" w:fill="EEECE1"/>
            <w:vAlign w:val="bottom"/>
            <w:hideMark/>
          </w:tcPr>
          <w:p w:rsidR="00914D78" w:rsidRDefault="00914D78">
            <w:pPr>
              <w:rPr>
                <w:rFonts w:ascii="Calibri" w:hAnsi="Calibri"/>
                <w:color w:val="000000"/>
                <w:sz w:val="22"/>
                <w:szCs w:val="22"/>
              </w:rPr>
            </w:pPr>
            <w:r>
              <w:rPr>
                <w:rFonts w:ascii="Calibri" w:hAnsi="Calibri"/>
                <w:color w:val="000000"/>
                <w:sz w:val="22"/>
                <w:szCs w:val="22"/>
              </w:rPr>
              <w:t>vnitřní lékařství (60,14 %)</w:t>
            </w:r>
          </w:p>
        </w:tc>
        <w:tc>
          <w:tcPr>
            <w:tcW w:w="1701" w:type="dxa"/>
            <w:tcBorders>
              <w:top w:val="nil"/>
              <w:left w:val="nil"/>
              <w:bottom w:val="single" w:sz="4" w:space="0" w:color="auto"/>
              <w:right w:val="single" w:sz="4" w:space="0" w:color="auto"/>
            </w:tcBorders>
            <w:shd w:val="clear" w:color="000000" w:fill="EEECE1"/>
            <w:vAlign w:val="bottom"/>
            <w:hideMark/>
          </w:tcPr>
          <w:p w:rsidR="00914D78" w:rsidRDefault="00D623FA">
            <w:pPr>
              <w:rPr>
                <w:rFonts w:ascii="Calibri" w:hAnsi="Calibri"/>
                <w:color w:val="000000"/>
                <w:sz w:val="22"/>
                <w:szCs w:val="22"/>
              </w:rPr>
            </w:pPr>
            <w:r>
              <w:rPr>
                <w:rFonts w:ascii="Calibri" w:hAnsi="Calibri"/>
                <w:color w:val="000000"/>
                <w:sz w:val="22"/>
                <w:szCs w:val="22"/>
              </w:rPr>
              <w:t>vnitřní lékařství</w:t>
            </w:r>
            <w:r w:rsidR="00914D78">
              <w:rPr>
                <w:rFonts w:ascii="Calibri" w:hAnsi="Calibri"/>
                <w:color w:val="000000"/>
                <w:sz w:val="22"/>
                <w:szCs w:val="22"/>
              </w:rPr>
              <w:t xml:space="preserve"> (4,18 %)</w:t>
            </w:r>
          </w:p>
        </w:tc>
        <w:tc>
          <w:tcPr>
            <w:tcW w:w="1984" w:type="dxa"/>
            <w:tcBorders>
              <w:top w:val="nil"/>
              <w:left w:val="nil"/>
              <w:bottom w:val="single" w:sz="4" w:space="0" w:color="auto"/>
              <w:right w:val="single" w:sz="4" w:space="0" w:color="auto"/>
            </w:tcBorders>
            <w:shd w:val="clear" w:color="000000" w:fill="EEECE1"/>
            <w:vAlign w:val="bottom"/>
            <w:hideMark/>
          </w:tcPr>
          <w:p w:rsidR="00914D78" w:rsidRDefault="00914D78">
            <w:pPr>
              <w:rPr>
                <w:rFonts w:ascii="Calibri" w:hAnsi="Calibri"/>
                <w:color w:val="000000"/>
                <w:sz w:val="22"/>
                <w:szCs w:val="22"/>
              </w:rPr>
            </w:pPr>
            <w:r>
              <w:rPr>
                <w:rFonts w:ascii="Calibri" w:hAnsi="Calibri"/>
                <w:color w:val="000000"/>
                <w:sz w:val="22"/>
                <w:szCs w:val="22"/>
              </w:rPr>
              <w:t>vnitřní lékařství (7,72 %)</w:t>
            </w:r>
          </w:p>
        </w:tc>
        <w:tc>
          <w:tcPr>
            <w:tcW w:w="1843" w:type="dxa"/>
            <w:tcBorders>
              <w:top w:val="nil"/>
              <w:left w:val="nil"/>
              <w:bottom w:val="single" w:sz="4" w:space="0" w:color="auto"/>
              <w:right w:val="single" w:sz="4" w:space="0" w:color="auto"/>
            </w:tcBorders>
            <w:shd w:val="clear" w:color="000000" w:fill="EEECE1"/>
            <w:vAlign w:val="bottom"/>
            <w:hideMark/>
          </w:tcPr>
          <w:p w:rsidR="00914D78" w:rsidRDefault="00914D78">
            <w:pPr>
              <w:rPr>
                <w:rFonts w:ascii="Calibri" w:hAnsi="Calibri"/>
                <w:color w:val="000000"/>
                <w:sz w:val="22"/>
                <w:szCs w:val="22"/>
              </w:rPr>
            </w:pPr>
            <w:r>
              <w:rPr>
                <w:rFonts w:ascii="Calibri" w:hAnsi="Calibri"/>
                <w:color w:val="000000"/>
                <w:sz w:val="22"/>
                <w:szCs w:val="22"/>
              </w:rPr>
              <w:t xml:space="preserve">chirurgie </w:t>
            </w:r>
          </w:p>
        </w:tc>
      </w:tr>
    </w:tbl>
    <w:p w:rsidR="00B45BC7" w:rsidRDefault="00B45BC7" w:rsidP="00B34B0D">
      <w:pPr>
        <w:rPr>
          <w:color w:val="FF0000"/>
        </w:rPr>
      </w:pPr>
    </w:p>
    <w:p w:rsidR="00B45BC7" w:rsidRDefault="00B45BC7" w:rsidP="00B45BC7"/>
    <w:p w:rsidR="00C36C18" w:rsidRDefault="00C36C18">
      <w:pPr>
        <w:rPr>
          <w:color w:val="FF0000"/>
        </w:rPr>
      </w:pPr>
    </w:p>
    <w:p w:rsidR="00A64B21" w:rsidRDefault="00A64B21"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134"/>
        <w:gridCol w:w="1701"/>
        <w:gridCol w:w="1701"/>
        <w:gridCol w:w="1418"/>
        <w:gridCol w:w="1701"/>
        <w:gridCol w:w="1984"/>
        <w:gridCol w:w="1843"/>
      </w:tblGrid>
      <w:tr w:rsidR="00F3664A" w:rsidTr="00410F22">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4DF" w:rsidRDefault="003344DF">
            <w:pPr>
              <w:rPr>
                <w:rFonts w:ascii="Calibri" w:hAnsi="Calibri"/>
                <w:b/>
                <w:bCs/>
                <w:color w:val="000000"/>
                <w:sz w:val="22"/>
                <w:szCs w:val="22"/>
              </w:rPr>
            </w:pPr>
            <w:r>
              <w:rPr>
                <w:rFonts w:ascii="Calibri" w:hAnsi="Calibri"/>
                <w:b/>
                <w:bCs/>
                <w:color w:val="000000"/>
                <w:sz w:val="22"/>
                <w:szCs w:val="22"/>
              </w:rPr>
              <w:t>ÚSTECKÝ KRAJ</w:t>
            </w:r>
          </w:p>
        </w:tc>
        <w:tc>
          <w:tcPr>
            <w:tcW w:w="113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r>
      <w:tr w:rsidR="003344DF" w:rsidTr="00410F22">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3344DF" w:rsidRDefault="003344DF">
            <w:pPr>
              <w:rPr>
                <w:rFonts w:ascii="Calibri" w:hAnsi="Calibri"/>
                <w:color w:val="000000"/>
                <w:sz w:val="22"/>
                <w:szCs w:val="22"/>
              </w:rPr>
            </w:pPr>
            <w:r>
              <w:rPr>
                <w:rFonts w:ascii="Calibri" w:hAnsi="Calibri"/>
                <w:color w:val="000000"/>
                <w:sz w:val="22"/>
                <w:szCs w:val="22"/>
              </w:rPr>
              <w:t>Počet obyvatel kraje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827 317</w:t>
            </w: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r>
      <w:tr w:rsidR="003344DF" w:rsidTr="00410F22">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3344DF" w:rsidRDefault="003344DF">
            <w:pPr>
              <w:rPr>
                <w:rFonts w:ascii="Calibri" w:hAnsi="Calibri"/>
                <w:color w:val="000000"/>
                <w:sz w:val="22"/>
                <w:szCs w:val="22"/>
              </w:rPr>
            </w:pPr>
            <w:r>
              <w:rPr>
                <w:rFonts w:ascii="Calibri" w:hAnsi="Calibri"/>
                <w:color w:val="000000"/>
                <w:sz w:val="22"/>
                <w:szCs w:val="22"/>
              </w:rPr>
              <w:t>Počet lůžek v kraji</w:t>
            </w:r>
          </w:p>
        </w:tc>
        <w:tc>
          <w:tcPr>
            <w:tcW w:w="1134" w:type="dxa"/>
            <w:tcBorders>
              <w:top w:val="nil"/>
              <w:left w:val="nil"/>
              <w:bottom w:val="nil"/>
              <w:right w:val="single" w:sz="4" w:space="0" w:color="auto"/>
            </w:tcBorders>
            <w:shd w:val="clear" w:color="auto" w:fill="auto"/>
            <w:noWrap/>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4 978</w:t>
            </w: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r>
      <w:tr w:rsidR="00F3664A" w:rsidTr="00410F22">
        <w:trPr>
          <w:trHeight w:val="1055"/>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44DF" w:rsidRDefault="003344DF">
            <w:pPr>
              <w:rPr>
                <w:rFonts w:ascii="Calibri" w:hAnsi="Calibri"/>
                <w:color w:val="000000"/>
                <w:sz w:val="22"/>
                <w:szCs w:val="22"/>
              </w:rPr>
            </w:pPr>
            <w:r>
              <w:rPr>
                <w:rFonts w:ascii="Calibri"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Splňuje kritéria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103C6C">
            <w:pPr>
              <w:rPr>
                <w:rFonts w:ascii="Calibri" w:hAnsi="Calibri"/>
                <w:color w:val="000000"/>
                <w:sz w:val="22"/>
                <w:szCs w:val="22"/>
              </w:rPr>
            </w:pPr>
            <w:r>
              <w:rPr>
                <w:rFonts w:ascii="Calibri" w:hAnsi="Calibri"/>
                <w:color w:val="000000"/>
                <w:sz w:val="22"/>
                <w:szCs w:val="22"/>
              </w:rPr>
              <w:t xml:space="preserve">Podíl pacientů </w:t>
            </w:r>
            <w:r w:rsidR="003344DF">
              <w:rPr>
                <w:rFonts w:ascii="Calibri" w:hAnsi="Calibri"/>
                <w:color w:val="000000"/>
                <w:sz w:val="22"/>
                <w:szCs w:val="22"/>
              </w:rPr>
              <w:t>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 spádovostí</w:t>
            </w:r>
          </w:p>
        </w:tc>
      </w:tr>
      <w:tr w:rsidR="00F3664A" w:rsidTr="00410F22">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D338D6">
            <w:pPr>
              <w:rPr>
                <w:rFonts w:ascii="Calibri" w:hAnsi="Calibri"/>
                <w:color w:val="000000"/>
                <w:sz w:val="22"/>
                <w:szCs w:val="22"/>
              </w:rPr>
            </w:pPr>
            <w:r>
              <w:rPr>
                <w:rFonts w:ascii="Calibri" w:hAnsi="Calibri"/>
                <w:color w:val="000000"/>
                <w:sz w:val="22"/>
                <w:szCs w:val="22"/>
              </w:rPr>
              <w:t xml:space="preserve">Krajská zdravotní, a.s. - </w:t>
            </w:r>
            <w:r w:rsidR="00496D9F">
              <w:rPr>
                <w:rFonts w:ascii="Calibri" w:hAnsi="Calibri"/>
                <w:color w:val="000000"/>
                <w:sz w:val="22"/>
                <w:szCs w:val="22"/>
              </w:rPr>
              <w:t>Masarykova nemocnice v Ústí nad Labem</w:t>
            </w:r>
            <w:r>
              <w:rPr>
                <w:rFonts w:ascii="Calibri" w:hAnsi="Calibri"/>
                <w:color w:val="000000"/>
                <w:sz w:val="22"/>
                <w:szCs w:val="22"/>
              </w:rPr>
              <w:t xml:space="preserve">, o. z. </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4,95</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4,02</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gynekologie (13,91 %)</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kardiologie (31,69 %)</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kardiologie (24,34 %)</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neurochirurgie</w:t>
            </w:r>
          </w:p>
        </w:tc>
      </w:tr>
      <w:tr w:rsidR="00F3664A" w:rsidTr="00410F22">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D338D6">
            <w:pPr>
              <w:rPr>
                <w:rFonts w:ascii="Calibri" w:hAnsi="Calibri"/>
                <w:color w:val="000000"/>
                <w:sz w:val="22"/>
                <w:szCs w:val="22"/>
              </w:rPr>
            </w:pPr>
            <w:r>
              <w:rPr>
                <w:rFonts w:ascii="Calibri" w:hAnsi="Calibri"/>
                <w:color w:val="000000"/>
                <w:sz w:val="22"/>
                <w:szCs w:val="22"/>
              </w:rPr>
              <w:t xml:space="preserve">Krajská zdravotní, a.s. - </w:t>
            </w:r>
            <w:r w:rsidR="00496D9F">
              <w:rPr>
                <w:rFonts w:ascii="Calibri" w:hAnsi="Calibri"/>
                <w:color w:val="000000"/>
                <w:sz w:val="22"/>
                <w:szCs w:val="22"/>
              </w:rPr>
              <w:t xml:space="preserve">Nemocnice </w:t>
            </w:r>
            <w:r w:rsidR="003344DF">
              <w:rPr>
                <w:rFonts w:ascii="Calibri" w:hAnsi="Calibri"/>
                <w:color w:val="000000"/>
                <w:sz w:val="22"/>
                <w:szCs w:val="22"/>
              </w:rPr>
              <w:t>Děčín</w:t>
            </w:r>
            <w:r w:rsidR="007445B6">
              <w:rPr>
                <w:rFonts w:ascii="Calibri" w:hAnsi="Calibri"/>
                <w:color w:val="000000"/>
                <w:sz w:val="22"/>
                <w:szCs w:val="22"/>
              </w:rPr>
              <w:t>, o. z.</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3,29</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7,42</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chirurgie (26,87 %)</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rsidP="00821A55">
            <w:pPr>
              <w:rPr>
                <w:rFonts w:ascii="Calibri" w:hAnsi="Calibri"/>
                <w:color w:val="000000"/>
                <w:sz w:val="22"/>
                <w:szCs w:val="22"/>
              </w:rPr>
            </w:pPr>
            <w:r>
              <w:rPr>
                <w:rFonts w:ascii="Calibri" w:hAnsi="Calibri"/>
                <w:color w:val="000000"/>
                <w:sz w:val="22"/>
                <w:szCs w:val="22"/>
              </w:rPr>
              <w:t>rehabilitační (6,91 %)</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rehabilitační (21,81 %)</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chirurgie</w:t>
            </w:r>
          </w:p>
        </w:tc>
      </w:tr>
      <w:tr w:rsidR="00F3664A" w:rsidTr="00410F22">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D338D6">
            <w:pPr>
              <w:rPr>
                <w:rFonts w:ascii="Calibri" w:hAnsi="Calibri"/>
                <w:color w:val="000000"/>
                <w:sz w:val="22"/>
                <w:szCs w:val="22"/>
              </w:rPr>
            </w:pPr>
            <w:r>
              <w:rPr>
                <w:rFonts w:ascii="Calibri" w:hAnsi="Calibri"/>
                <w:color w:val="000000"/>
                <w:sz w:val="22"/>
                <w:szCs w:val="22"/>
              </w:rPr>
              <w:t xml:space="preserve">Krajská zdravotní, a.s. - </w:t>
            </w:r>
            <w:r w:rsidR="00496D9F">
              <w:rPr>
                <w:rFonts w:ascii="Calibri" w:hAnsi="Calibri"/>
                <w:color w:val="000000"/>
                <w:sz w:val="22"/>
                <w:szCs w:val="22"/>
              </w:rPr>
              <w:t xml:space="preserve">Nemocnice </w:t>
            </w:r>
            <w:r w:rsidR="003344DF">
              <w:rPr>
                <w:rFonts w:ascii="Calibri" w:hAnsi="Calibri"/>
                <w:color w:val="000000"/>
                <w:sz w:val="22"/>
                <w:szCs w:val="22"/>
              </w:rPr>
              <w:t>Most</w:t>
            </w:r>
            <w:r w:rsidR="007445B6">
              <w:rPr>
                <w:rFonts w:ascii="Calibri" w:hAnsi="Calibri"/>
                <w:color w:val="000000"/>
                <w:sz w:val="22"/>
                <w:szCs w:val="22"/>
              </w:rPr>
              <w:t>, o. z.</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4,06</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3,38</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neurologie (7,86 %)</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neurologie (7,60 %)</w:t>
            </w:r>
          </w:p>
        </w:tc>
        <w:tc>
          <w:tcPr>
            <w:tcW w:w="1984" w:type="dxa"/>
            <w:tcBorders>
              <w:top w:val="nil"/>
              <w:left w:val="nil"/>
              <w:bottom w:val="nil"/>
              <w:right w:val="nil"/>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neurologie (7,6 %)</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ortopedie</w:t>
            </w:r>
          </w:p>
        </w:tc>
      </w:tr>
      <w:tr w:rsidR="00F3664A" w:rsidTr="00410F22">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D338D6">
            <w:pPr>
              <w:rPr>
                <w:rFonts w:ascii="Calibri" w:hAnsi="Calibri"/>
                <w:color w:val="000000"/>
                <w:sz w:val="22"/>
                <w:szCs w:val="22"/>
              </w:rPr>
            </w:pPr>
            <w:r>
              <w:rPr>
                <w:rFonts w:ascii="Calibri" w:hAnsi="Calibri"/>
                <w:color w:val="000000"/>
                <w:sz w:val="22"/>
                <w:szCs w:val="22"/>
              </w:rPr>
              <w:t xml:space="preserve">Krajská zdravotní, a.s. - </w:t>
            </w:r>
            <w:r w:rsidR="00496D9F">
              <w:rPr>
                <w:rFonts w:ascii="Calibri" w:hAnsi="Calibri"/>
                <w:color w:val="000000"/>
                <w:sz w:val="22"/>
                <w:szCs w:val="22"/>
              </w:rPr>
              <w:t xml:space="preserve">Nemocnice </w:t>
            </w:r>
            <w:r w:rsidR="003344DF">
              <w:rPr>
                <w:rFonts w:ascii="Calibri" w:hAnsi="Calibri"/>
                <w:color w:val="000000"/>
                <w:sz w:val="22"/>
                <w:szCs w:val="22"/>
              </w:rPr>
              <w:t>Teplice</w:t>
            </w:r>
            <w:r w:rsidR="007445B6">
              <w:rPr>
                <w:rFonts w:ascii="Calibri" w:hAnsi="Calibri"/>
                <w:color w:val="000000"/>
                <w:sz w:val="22"/>
                <w:szCs w:val="22"/>
              </w:rPr>
              <w:t>, o. z.</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4,91</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3,93</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(23,59 %)</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rsidP="00821A55">
            <w:pPr>
              <w:rPr>
                <w:rFonts w:ascii="Calibri" w:hAnsi="Calibri"/>
                <w:color w:val="000000"/>
                <w:sz w:val="22"/>
                <w:szCs w:val="22"/>
              </w:rPr>
            </w:pPr>
            <w:r>
              <w:rPr>
                <w:rFonts w:ascii="Calibri" w:hAnsi="Calibri"/>
                <w:color w:val="000000"/>
                <w:sz w:val="22"/>
                <w:szCs w:val="22"/>
              </w:rPr>
              <w:t>rehabilitační (19,19 %)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(9,87 %)</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ortopedie, urologie</w:t>
            </w:r>
          </w:p>
        </w:tc>
      </w:tr>
      <w:tr w:rsidR="00F3664A" w:rsidTr="00410F22">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D338D6">
            <w:pPr>
              <w:rPr>
                <w:rFonts w:ascii="Calibri" w:hAnsi="Calibri"/>
                <w:color w:val="000000"/>
                <w:sz w:val="22"/>
                <w:szCs w:val="22"/>
              </w:rPr>
            </w:pPr>
            <w:r>
              <w:rPr>
                <w:rFonts w:ascii="Calibri" w:hAnsi="Calibri"/>
                <w:color w:val="000000"/>
                <w:sz w:val="22"/>
                <w:szCs w:val="22"/>
              </w:rPr>
              <w:t xml:space="preserve">Krajská zdravotní, a.s. - </w:t>
            </w:r>
            <w:r w:rsidR="00496D9F">
              <w:rPr>
                <w:rFonts w:ascii="Calibri" w:hAnsi="Calibri"/>
                <w:color w:val="000000"/>
                <w:sz w:val="22"/>
                <w:szCs w:val="22"/>
              </w:rPr>
              <w:t xml:space="preserve">Nemocnice </w:t>
            </w:r>
            <w:r w:rsidR="003344DF">
              <w:rPr>
                <w:rFonts w:ascii="Calibri" w:hAnsi="Calibri"/>
                <w:color w:val="000000"/>
                <w:sz w:val="22"/>
                <w:szCs w:val="22"/>
              </w:rPr>
              <w:t>Chomutov</w:t>
            </w:r>
            <w:r w:rsidR="007445B6">
              <w:rPr>
                <w:rFonts w:ascii="Calibri" w:hAnsi="Calibri"/>
                <w:color w:val="000000"/>
                <w:sz w:val="22"/>
                <w:szCs w:val="22"/>
              </w:rPr>
              <w:t>, o. z.</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6,85</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4,32</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(21,88 %)</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rsidP="00F3664A">
            <w:pPr>
              <w:rPr>
                <w:rFonts w:ascii="Calibri" w:hAnsi="Calibri"/>
                <w:color w:val="000000"/>
                <w:sz w:val="22"/>
                <w:szCs w:val="22"/>
              </w:rPr>
            </w:pPr>
            <w:r>
              <w:rPr>
                <w:rFonts w:ascii="Calibri" w:hAnsi="Calibri"/>
                <w:color w:val="000000"/>
                <w:sz w:val="22"/>
                <w:szCs w:val="22"/>
              </w:rPr>
              <w:t>rehabilitační (37,5 %)</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neurologie (13,55 %)</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klinická onkologie</w:t>
            </w:r>
          </w:p>
        </w:tc>
      </w:tr>
      <w:tr w:rsidR="00F3664A" w:rsidTr="00410F22">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496D9F" w:rsidP="00496D9F">
            <w:pPr>
              <w:rPr>
                <w:rFonts w:ascii="Calibri" w:hAnsi="Calibri"/>
                <w:color w:val="000000"/>
                <w:sz w:val="22"/>
                <w:szCs w:val="22"/>
              </w:rPr>
            </w:pPr>
            <w:r>
              <w:rPr>
                <w:rFonts w:ascii="Calibri" w:hAnsi="Calibri"/>
                <w:color w:val="000000"/>
                <w:sz w:val="22"/>
                <w:szCs w:val="22"/>
              </w:rPr>
              <w:t>Městská nemocnice v Litoměřicích</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2,35</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2,45</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dětské lékařství (26,4 %)</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rehabilitační (8,4 %)</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rehabilitační (9,16 %)</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x</w:t>
            </w:r>
          </w:p>
        </w:tc>
      </w:tr>
      <w:tr w:rsidR="00F3664A" w:rsidTr="00410F22">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496D9F">
            <w:pPr>
              <w:rPr>
                <w:rFonts w:ascii="Calibri" w:hAnsi="Calibri"/>
                <w:color w:val="000000"/>
                <w:sz w:val="22"/>
                <w:szCs w:val="22"/>
              </w:rPr>
            </w:pPr>
            <w:r>
              <w:rPr>
                <w:rFonts w:ascii="Calibri" w:hAnsi="Calibri"/>
                <w:color w:val="000000"/>
                <w:sz w:val="22"/>
                <w:szCs w:val="22"/>
              </w:rPr>
              <w:t xml:space="preserve">Nemocnice </w:t>
            </w:r>
            <w:r w:rsidR="003344DF">
              <w:rPr>
                <w:rFonts w:ascii="Calibri" w:hAnsi="Calibri"/>
                <w:color w:val="000000"/>
                <w:sz w:val="22"/>
                <w:szCs w:val="22"/>
              </w:rPr>
              <w:t>Žatec</w:t>
            </w:r>
            <w:r w:rsidR="00D338D6">
              <w:rPr>
                <w:rFonts w:ascii="Calibri" w:hAnsi="Calibri"/>
                <w:color w:val="000000"/>
                <w:sz w:val="22"/>
                <w:szCs w:val="22"/>
              </w:rPr>
              <w:t>, o. p. s.</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0A5C5C">
            <w:pPr>
              <w:rPr>
                <w:rFonts w:ascii="Calibri" w:hAnsi="Calibri"/>
                <w:color w:val="000000"/>
                <w:sz w:val="22"/>
                <w:szCs w:val="22"/>
              </w:rPr>
            </w:pPr>
            <w:r>
              <w:rPr>
                <w:rFonts w:ascii="Calibri" w:hAnsi="Calibri"/>
                <w:color w:val="000000"/>
                <w:sz w:val="22"/>
                <w:szCs w:val="22"/>
              </w:rPr>
              <w:t>NE - kraj požaduje výjimku</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1,40</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chirurgie (30,96)</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(3,2 %)</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(0,07 %)</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gynekologie</w:t>
            </w:r>
          </w:p>
        </w:tc>
      </w:tr>
    </w:tbl>
    <w:p w:rsidR="00D11133" w:rsidRDefault="00D11133" w:rsidP="00B34B0D">
      <w:pPr>
        <w:rPr>
          <w:color w:val="FF0000"/>
        </w:rPr>
      </w:pPr>
    </w:p>
    <w:p w:rsidR="00D11133" w:rsidRDefault="00D11133" w:rsidP="00D11133">
      <w:r>
        <w:br w:type="page"/>
      </w:r>
    </w:p>
    <w:p w:rsidR="003344DF" w:rsidRDefault="003344DF" w:rsidP="00B34B0D">
      <w:pPr>
        <w:rPr>
          <w:color w:val="FF0000"/>
        </w:rPr>
      </w:pPr>
    </w:p>
    <w:tbl>
      <w:tblPr>
        <w:tblpPr w:leftFromText="141" w:rightFromText="141" w:horzAnchor="margin" w:tblpY="2246"/>
        <w:tblW w:w="13820" w:type="dxa"/>
        <w:tblLayout w:type="fixed"/>
        <w:tblCellMar>
          <w:left w:w="70" w:type="dxa"/>
          <w:right w:w="70" w:type="dxa"/>
        </w:tblCellMar>
        <w:tblLook w:val="04A0" w:firstRow="1" w:lastRow="0" w:firstColumn="1" w:lastColumn="0" w:noHBand="0" w:noVBand="1"/>
      </w:tblPr>
      <w:tblGrid>
        <w:gridCol w:w="2273"/>
        <w:gridCol w:w="1199"/>
        <w:gridCol w:w="1701"/>
        <w:gridCol w:w="1701"/>
        <w:gridCol w:w="1418"/>
        <w:gridCol w:w="1701"/>
        <w:gridCol w:w="1984"/>
        <w:gridCol w:w="1843"/>
      </w:tblGrid>
      <w:tr w:rsidR="00F3664A" w:rsidTr="004D0E10">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4DF" w:rsidRDefault="003344DF" w:rsidP="004D0E10">
            <w:pPr>
              <w:rPr>
                <w:rFonts w:ascii="Calibri" w:hAnsi="Calibri"/>
                <w:b/>
                <w:bCs/>
                <w:color w:val="000000"/>
                <w:sz w:val="22"/>
                <w:szCs w:val="22"/>
              </w:rPr>
            </w:pPr>
            <w:r>
              <w:rPr>
                <w:rFonts w:ascii="Calibri" w:hAnsi="Calibri"/>
                <w:b/>
                <w:bCs/>
                <w:color w:val="000000"/>
                <w:sz w:val="22"/>
                <w:szCs w:val="22"/>
              </w:rPr>
              <w:t>PLZEŇSKÝ</w:t>
            </w:r>
          </w:p>
        </w:tc>
        <w:tc>
          <w:tcPr>
            <w:tcW w:w="1199"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r>
      <w:tr w:rsidR="003344DF" w:rsidTr="004D0E10">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Počet obyvatel kraje</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3344DF" w:rsidRDefault="003344DF" w:rsidP="004D0E10">
            <w:pPr>
              <w:jc w:val="right"/>
              <w:rPr>
                <w:rFonts w:ascii="Calibri" w:hAnsi="Calibri"/>
                <w:color w:val="000000"/>
                <w:sz w:val="22"/>
                <w:szCs w:val="22"/>
              </w:rPr>
            </w:pPr>
            <w:r>
              <w:rPr>
                <w:rFonts w:ascii="Calibri" w:hAnsi="Calibri"/>
                <w:color w:val="000000"/>
                <w:sz w:val="22"/>
                <w:szCs w:val="22"/>
              </w:rPr>
              <w:t>572 016</w:t>
            </w: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r>
      <w:tr w:rsidR="003344DF" w:rsidTr="004D0E10">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Počet lůžek v kraji</w:t>
            </w:r>
          </w:p>
        </w:tc>
        <w:tc>
          <w:tcPr>
            <w:tcW w:w="1199" w:type="dxa"/>
            <w:tcBorders>
              <w:top w:val="nil"/>
              <w:left w:val="nil"/>
              <w:bottom w:val="nil"/>
              <w:right w:val="single" w:sz="4" w:space="0" w:color="auto"/>
            </w:tcBorders>
            <w:shd w:val="clear" w:color="auto" w:fill="auto"/>
            <w:noWrap/>
            <w:vAlign w:val="bottom"/>
            <w:hideMark/>
          </w:tcPr>
          <w:p w:rsidR="003344DF" w:rsidRDefault="003344DF" w:rsidP="004D0E10">
            <w:pPr>
              <w:jc w:val="right"/>
              <w:rPr>
                <w:rFonts w:ascii="Calibri" w:hAnsi="Calibri"/>
                <w:color w:val="000000"/>
                <w:sz w:val="22"/>
                <w:szCs w:val="22"/>
              </w:rPr>
            </w:pPr>
            <w:r>
              <w:rPr>
                <w:rFonts w:ascii="Calibri" w:hAnsi="Calibri"/>
                <w:color w:val="000000"/>
                <w:sz w:val="22"/>
                <w:szCs w:val="22"/>
              </w:rPr>
              <w:t>3 462</w:t>
            </w: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p>
        </w:tc>
      </w:tr>
      <w:tr w:rsidR="00F3664A" w:rsidTr="004D0E10">
        <w:trPr>
          <w:trHeight w:val="1800"/>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 </w:t>
            </w:r>
          </w:p>
        </w:tc>
        <w:tc>
          <w:tcPr>
            <w:tcW w:w="1199"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Splňuje kritéria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103C6C" w:rsidP="004D0E10">
            <w:pPr>
              <w:rPr>
                <w:rFonts w:ascii="Calibri" w:hAnsi="Calibri"/>
                <w:color w:val="000000"/>
                <w:sz w:val="22"/>
                <w:szCs w:val="22"/>
              </w:rPr>
            </w:pPr>
            <w:r>
              <w:rPr>
                <w:rFonts w:ascii="Calibri" w:hAnsi="Calibri"/>
                <w:color w:val="000000"/>
                <w:sz w:val="22"/>
                <w:szCs w:val="22"/>
              </w:rPr>
              <w:t xml:space="preserve">Podíl pacientů </w:t>
            </w:r>
            <w:r w:rsidR="003344DF">
              <w:rPr>
                <w:rFonts w:ascii="Calibri" w:hAnsi="Calibri"/>
                <w:color w:val="000000"/>
                <w:sz w:val="22"/>
                <w:szCs w:val="22"/>
              </w:rPr>
              <w:t>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Obor s největší spádovostí</w:t>
            </w:r>
          </w:p>
        </w:tc>
      </w:tr>
      <w:tr w:rsidR="00F3664A" w:rsidTr="004D0E10">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Klatovská nemocnice</w:t>
            </w:r>
            <w:r w:rsidR="002D4610">
              <w:rPr>
                <w:rFonts w:ascii="Calibri" w:hAnsi="Calibri"/>
                <w:color w:val="000000"/>
                <w:sz w:val="22"/>
                <w:szCs w:val="22"/>
              </w:rPr>
              <w:t>, a.</w:t>
            </w:r>
            <w:r w:rsidR="000B6F97">
              <w:rPr>
                <w:rFonts w:ascii="Calibri" w:hAnsi="Calibri"/>
                <w:color w:val="000000"/>
                <w:sz w:val="22"/>
                <w:szCs w:val="22"/>
              </w:rPr>
              <w:t xml:space="preserve"> </w:t>
            </w:r>
            <w:r w:rsidR="002D4610">
              <w:rPr>
                <w:rFonts w:ascii="Calibri" w:hAnsi="Calibri"/>
                <w:color w:val="000000"/>
                <w:sz w:val="22"/>
                <w:szCs w:val="22"/>
              </w:rPr>
              <w:t>s.</w:t>
            </w:r>
            <w:r>
              <w:rPr>
                <w:rFonts w:ascii="Calibri" w:hAnsi="Calibri"/>
                <w:color w:val="000000"/>
                <w:sz w:val="22"/>
                <w:szCs w:val="22"/>
              </w:rPr>
              <w:t xml:space="preserve"> </w:t>
            </w:r>
          </w:p>
        </w:tc>
        <w:tc>
          <w:tcPr>
            <w:tcW w:w="1199" w:type="dxa"/>
            <w:tcBorders>
              <w:top w:val="nil"/>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NE - kraj požaduje výjimku</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rsidP="004D0E10">
            <w:pPr>
              <w:jc w:val="right"/>
              <w:rPr>
                <w:rFonts w:ascii="Calibri" w:hAnsi="Calibri"/>
                <w:color w:val="000000"/>
                <w:sz w:val="22"/>
                <w:szCs w:val="22"/>
              </w:rPr>
            </w:pPr>
            <w:r>
              <w:rPr>
                <w:rFonts w:ascii="Calibri" w:hAnsi="Calibri"/>
                <w:color w:val="000000"/>
                <w:sz w:val="22"/>
                <w:szCs w:val="22"/>
              </w:rPr>
              <w:t>3,89</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rsidP="004D0E10">
            <w:pPr>
              <w:jc w:val="right"/>
              <w:rPr>
                <w:rFonts w:ascii="Calibri" w:hAnsi="Calibri"/>
                <w:color w:val="000000"/>
                <w:sz w:val="22"/>
                <w:szCs w:val="22"/>
              </w:rPr>
            </w:pPr>
            <w:r>
              <w:rPr>
                <w:rFonts w:ascii="Calibri" w:hAnsi="Calibri"/>
                <w:color w:val="000000"/>
                <w:sz w:val="22"/>
                <w:szCs w:val="22"/>
              </w:rPr>
              <w:t>9,10</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dětské lékařství (30,39)</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pneumologie (9,42)</w:t>
            </w:r>
          </w:p>
        </w:tc>
        <w:tc>
          <w:tcPr>
            <w:tcW w:w="1984" w:type="dxa"/>
            <w:tcBorders>
              <w:top w:val="nil"/>
              <w:left w:val="nil"/>
              <w:bottom w:val="nil"/>
              <w:right w:val="nil"/>
            </w:tcBorders>
            <w:shd w:val="clear" w:color="auto" w:fill="auto"/>
            <w:noWrap/>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ortopedie (26,77)</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rsidP="004D0E10">
            <w:pPr>
              <w:rPr>
                <w:rFonts w:ascii="Calibri" w:hAnsi="Calibri"/>
                <w:color w:val="000000"/>
                <w:sz w:val="22"/>
                <w:szCs w:val="22"/>
              </w:rPr>
            </w:pPr>
            <w:r>
              <w:rPr>
                <w:rFonts w:ascii="Calibri" w:hAnsi="Calibri"/>
                <w:color w:val="000000"/>
                <w:sz w:val="22"/>
                <w:szCs w:val="22"/>
              </w:rPr>
              <w:t>gynekologie</w:t>
            </w:r>
          </w:p>
        </w:tc>
      </w:tr>
    </w:tbl>
    <w:p w:rsidR="003344DF" w:rsidRDefault="003344DF" w:rsidP="00B34B0D">
      <w:pPr>
        <w:rPr>
          <w:color w:val="FF0000"/>
        </w:rPr>
      </w:pPr>
    </w:p>
    <w:p w:rsidR="008E6276" w:rsidRDefault="008E6276">
      <w:pPr>
        <w:rPr>
          <w:color w:val="FF0000"/>
        </w:rPr>
      </w:pPr>
      <w:r>
        <w:rPr>
          <w:color w:val="FF0000"/>
        </w:rPr>
        <w:br w:type="page"/>
      </w:r>
    </w:p>
    <w:p w:rsidR="003344DF" w:rsidRDefault="003344DF"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134"/>
        <w:gridCol w:w="1701"/>
        <w:gridCol w:w="1701"/>
        <w:gridCol w:w="1418"/>
        <w:gridCol w:w="1701"/>
        <w:gridCol w:w="1984"/>
        <w:gridCol w:w="1843"/>
      </w:tblGrid>
      <w:tr w:rsidR="00F3664A" w:rsidTr="00E90B09">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4DF" w:rsidRDefault="003344DF">
            <w:pPr>
              <w:rPr>
                <w:rFonts w:ascii="Calibri" w:hAnsi="Calibri"/>
                <w:b/>
                <w:bCs/>
                <w:color w:val="000000"/>
                <w:sz w:val="22"/>
                <w:szCs w:val="22"/>
              </w:rPr>
            </w:pPr>
            <w:r>
              <w:rPr>
                <w:rFonts w:ascii="Calibri" w:hAnsi="Calibri"/>
                <w:b/>
                <w:bCs/>
                <w:color w:val="000000"/>
                <w:sz w:val="22"/>
                <w:szCs w:val="22"/>
              </w:rPr>
              <w:t>VYSOČINA</w:t>
            </w:r>
          </w:p>
        </w:tc>
        <w:tc>
          <w:tcPr>
            <w:tcW w:w="113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r>
      <w:tr w:rsidR="003344DF" w:rsidTr="00E90B09">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3344DF" w:rsidRDefault="003344DF">
            <w:pPr>
              <w:rPr>
                <w:rFonts w:ascii="Calibri" w:hAnsi="Calibri"/>
                <w:color w:val="000000"/>
                <w:sz w:val="22"/>
                <w:szCs w:val="22"/>
              </w:rPr>
            </w:pPr>
            <w:r>
              <w:rPr>
                <w:rFonts w:ascii="Calibri" w:hAnsi="Calibri"/>
                <w:color w:val="000000"/>
                <w:sz w:val="22"/>
                <w:szCs w:val="22"/>
              </w:rPr>
              <w:t>Počet obyvatel kraje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511 627</w:t>
            </w: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r>
      <w:tr w:rsidR="003344DF" w:rsidTr="00E90B09">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3344DF" w:rsidRDefault="003344DF">
            <w:pPr>
              <w:rPr>
                <w:rFonts w:ascii="Calibri" w:hAnsi="Calibri"/>
                <w:color w:val="000000"/>
                <w:sz w:val="22"/>
                <w:szCs w:val="22"/>
              </w:rPr>
            </w:pPr>
            <w:r>
              <w:rPr>
                <w:rFonts w:ascii="Calibri" w:hAnsi="Calibri"/>
                <w:color w:val="000000"/>
                <w:sz w:val="22"/>
                <w:szCs w:val="22"/>
              </w:rPr>
              <w:t>Počet lůžek v kraji</w:t>
            </w:r>
          </w:p>
        </w:tc>
        <w:tc>
          <w:tcPr>
            <w:tcW w:w="1134" w:type="dxa"/>
            <w:tcBorders>
              <w:top w:val="nil"/>
              <w:left w:val="nil"/>
              <w:bottom w:val="nil"/>
              <w:right w:val="single" w:sz="4" w:space="0" w:color="auto"/>
            </w:tcBorders>
            <w:shd w:val="clear" w:color="auto" w:fill="auto"/>
            <w:noWrap/>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2 649</w:t>
            </w: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3344DF" w:rsidRDefault="003344DF">
            <w:pPr>
              <w:rPr>
                <w:rFonts w:ascii="Calibri" w:hAnsi="Calibri"/>
                <w:color w:val="000000"/>
                <w:sz w:val="22"/>
                <w:szCs w:val="22"/>
              </w:rPr>
            </w:pPr>
          </w:p>
        </w:tc>
      </w:tr>
      <w:tr w:rsidR="00B45BC7" w:rsidTr="00E90B09">
        <w:trPr>
          <w:trHeight w:val="1197"/>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3344DF" w:rsidRDefault="003344DF">
            <w:pPr>
              <w:rPr>
                <w:rFonts w:ascii="Calibri" w:hAnsi="Calibri"/>
                <w:color w:val="000000"/>
                <w:sz w:val="22"/>
                <w:szCs w:val="22"/>
              </w:rPr>
            </w:pPr>
            <w:r>
              <w:rPr>
                <w:rFonts w:ascii="Calibri"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Splňuje kritéria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103C6C">
            <w:pPr>
              <w:rPr>
                <w:rFonts w:ascii="Calibri" w:hAnsi="Calibri"/>
                <w:color w:val="000000"/>
                <w:sz w:val="22"/>
                <w:szCs w:val="22"/>
              </w:rPr>
            </w:pPr>
            <w:r>
              <w:rPr>
                <w:rFonts w:ascii="Calibri" w:hAnsi="Calibri"/>
                <w:color w:val="000000"/>
                <w:sz w:val="22"/>
                <w:szCs w:val="22"/>
              </w:rPr>
              <w:t xml:space="preserve">Podíl pacientů </w:t>
            </w:r>
            <w:r w:rsidR="003344DF">
              <w:rPr>
                <w:rFonts w:ascii="Calibri" w:hAnsi="Calibri"/>
                <w:color w:val="000000"/>
                <w:sz w:val="22"/>
                <w:szCs w:val="22"/>
              </w:rPr>
              <w:t>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Obor s největší spádovostí</w:t>
            </w:r>
          </w:p>
        </w:tc>
      </w:tr>
      <w:tr w:rsidR="00F3664A" w:rsidTr="00E90B09">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Nemocnice Třebíč</w:t>
            </w:r>
            <w:r w:rsidR="00DB2FBF">
              <w:rPr>
                <w:rFonts w:ascii="Calibri" w:hAnsi="Calibri"/>
                <w:color w:val="000000"/>
                <w:sz w:val="22"/>
                <w:szCs w:val="22"/>
              </w:rPr>
              <w:t>, příspěvková organizace</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6,86</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5,21</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chirurgie (17,69)</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geriatrie (82,59)</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geriatrie (17,17)</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neonatologie</w:t>
            </w:r>
          </w:p>
        </w:tc>
      </w:tr>
      <w:tr w:rsidR="00F3664A" w:rsidTr="00E90B09">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Nemocnice Pelhřimov</w:t>
            </w:r>
            <w:r w:rsidR="00DB2FBF">
              <w:rPr>
                <w:rFonts w:ascii="Calibri" w:hAnsi="Calibri"/>
                <w:color w:val="000000"/>
                <w:sz w:val="22"/>
                <w:szCs w:val="22"/>
              </w:rPr>
              <w:t>, příspěvková organizace</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1,81</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2,60</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(30,18)</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neurologie (7,88)</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interna (6,61)</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ortopedie</w:t>
            </w:r>
          </w:p>
        </w:tc>
      </w:tr>
      <w:tr w:rsidR="00F3664A" w:rsidTr="00E90B09">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Nemocnice Nové Město na Moravě</w:t>
            </w:r>
            <w:r w:rsidR="00DB2FBF">
              <w:rPr>
                <w:rFonts w:ascii="Calibri" w:hAnsi="Calibri"/>
                <w:color w:val="000000"/>
                <w:sz w:val="22"/>
                <w:szCs w:val="22"/>
              </w:rPr>
              <w:t>, příspěvková organizace</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1,05</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2,95</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(26,24)</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neurologie (3,75)</w:t>
            </w:r>
          </w:p>
        </w:tc>
        <w:tc>
          <w:tcPr>
            <w:tcW w:w="1984" w:type="dxa"/>
            <w:tcBorders>
              <w:top w:val="nil"/>
              <w:left w:val="nil"/>
              <w:bottom w:val="nil"/>
              <w:right w:val="nil"/>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ortopedie (14,44)</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urologie</w:t>
            </w:r>
          </w:p>
        </w:tc>
      </w:tr>
      <w:tr w:rsidR="00F3664A" w:rsidTr="00E90B09">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Nemocnice Jihlava</w:t>
            </w:r>
            <w:r w:rsidR="00DB2FBF">
              <w:rPr>
                <w:rFonts w:ascii="Calibri" w:hAnsi="Calibri"/>
                <w:color w:val="000000"/>
                <w:sz w:val="22"/>
                <w:szCs w:val="22"/>
              </w:rPr>
              <w:t>, příspěvková organizace</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11,92</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2,66</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chirurgie (19,59)</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neonatol</w:t>
            </w:r>
            <w:r w:rsidR="00F3664A">
              <w:rPr>
                <w:rFonts w:ascii="Calibri" w:hAnsi="Calibri"/>
                <w:color w:val="000000"/>
                <w:sz w:val="22"/>
                <w:szCs w:val="22"/>
              </w:rPr>
              <w:t>o</w:t>
            </w:r>
            <w:r>
              <w:rPr>
                <w:rFonts w:ascii="Calibri" w:hAnsi="Calibri"/>
                <w:color w:val="000000"/>
                <w:sz w:val="22"/>
                <w:szCs w:val="22"/>
              </w:rPr>
              <w:t>gie (79,12)</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kardiologie (8,15)</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klinická onkologie</w:t>
            </w:r>
          </w:p>
        </w:tc>
      </w:tr>
      <w:tr w:rsidR="00F3664A" w:rsidTr="00E90B09">
        <w:trPr>
          <w:trHeight w:val="6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3344DF" w:rsidRDefault="003344DF">
            <w:pPr>
              <w:rPr>
                <w:rFonts w:ascii="Calibri" w:hAnsi="Calibri"/>
                <w:color w:val="000000"/>
                <w:sz w:val="22"/>
                <w:szCs w:val="22"/>
              </w:rPr>
            </w:pPr>
            <w:r>
              <w:rPr>
                <w:rFonts w:ascii="Calibri" w:hAnsi="Calibri"/>
                <w:color w:val="000000"/>
                <w:sz w:val="22"/>
                <w:szCs w:val="22"/>
              </w:rPr>
              <w:t>Nemocnice Havlíčkův Brod</w:t>
            </w:r>
            <w:r w:rsidR="00DB2FBF">
              <w:rPr>
                <w:rFonts w:ascii="Calibri" w:hAnsi="Calibri"/>
                <w:color w:val="000000"/>
                <w:sz w:val="22"/>
                <w:szCs w:val="22"/>
              </w:rPr>
              <w:t>, příspěvková organizace</w:t>
            </w:r>
          </w:p>
        </w:tc>
        <w:tc>
          <w:tcPr>
            <w:tcW w:w="113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3,88</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jc w:val="right"/>
              <w:rPr>
                <w:rFonts w:ascii="Calibri" w:hAnsi="Calibri"/>
                <w:color w:val="000000"/>
                <w:sz w:val="22"/>
                <w:szCs w:val="22"/>
              </w:rPr>
            </w:pPr>
            <w:r>
              <w:rPr>
                <w:rFonts w:ascii="Calibri" w:hAnsi="Calibri"/>
                <w:color w:val="000000"/>
                <w:sz w:val="22"/>
                <w:szCs w:val="22"/>
              </w:rPr>
              <w:t>5,03</w:t>
            </w:r>
          </w:p>
        </w:tc>
        <w:tc>
          <w:tcPr>
            <w:tcW w:w="1418"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chirurgie (21,66)</w:t>
            </w:r>
          </w:p>
        </w:tc>
        <w:tc>
          <w:tcPr>
            <w:tcW w:w="1701"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klinická onkologie (16,22)</w:t>
            </w:r>
          </w:p>
        </w:tc>
        <w:tc>
          <w:tcPr>
            <w:tcW w:w="1984"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vnitřní lékařství (13,57)</w:t>
            </w:r>
          </w:p>
        </w:tc>
        <w:tc>
          <w:tcPr>
            <w:tcW w:w="1843" w:type="dxa"/>
            <w:tcBorders>
              <w:top w:val="nil"/>
              <w:left w:val="nil"/>
              <w:bottom w:val="single" w:sz="4" w:space="0" w:color="auto"/>
              <w:right w:val="single" w:sz="4" w:space="0" w:color="auto"/>
            </w:tcBorders>
            <w:shd w:val="clear" w:color="auto" w:fill="auto"/>
            <w:vAlign w:val="bottom"/>
            <w:hideMark/>
          </w:tcPr>
          <w:p w:rsidR="003344DF" w:rsidRDefault="003344DF">
            <w:pPr>
              <w:rPr>
                <w:rFonts w:ascii="Calibri" w:hAnsi="Calibri"/>
                <w:color w:val="000000"/>
                <w:sz w:val="22"/>
                <w:szCs w:val="22"/>
              </w:rPr>
            </w:pPr>
            <w:r>
              <w:rPr>
                <w:rFonts w:ascii="Calibri" w:hAnsi="Calibri"/>
                <w:color w:val="000000"/>
                <w:sz w:val="22"/>
                <w:szCs w:val="22"/>
              </w:rPr>
              <w:t>ortopedie</w:t>
            </w:r>
          </w:p>
        </w:tc>
      </w:tr>
    </w:tbl>
    <w:p w:rsidR="008E6276" w:rsidRDefault="008E6276" w:rsidP="00B34B0D">
      <w:pPr>
        <w:rPr>
          <w:color w:val="FF0000"/>
        </w:rPr>
      </w:pPr>
    </w:p>
    <w:p w:rsidR="008E6276" w:rsidRDefault="008E6276" w:rsidP="008E6276">
      <w:r>
        <w:br w:type="page"/>
      </w:r>
    </w:p>
    <w:p w:rsidR="003344DF" w:rsidRDefault="003344DF" w:rsidP="00B34B0D">
      <w:pPr>
        <w:rPr>
          <w:color w:val="FF0000"/>
        </w:rPr>
      </w:pPr>
    </w:p>
    <w:p w:rsidR="00D71C6A" w:rsidRDefault="00D71C6A"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134"/>
        <w:gridCol w:w="1701"/>
        <w:gridCol w:w="1701"/>
        <w:gridCol w:w="1418"/>
        <w:gridCol w:w="1701"/>
        <w:gridCol w:w="1984"/>
        <w:gridCol w:w="1843"/>
      </w:tblGrid>
      <w:tr w:rsidR="00F3664A"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1C6A" w:rsidRDefault="00D71C6A">
            <w:pPr>
              <w:rPr>
                <w:rFonts w:ascii="Calibri" w:hAnsi="Calibri"/>
                <w:b/>
                <w:bCs/>
                <w:color w:val="000000"/>
                <w:sz w:val="22"/>
                <w:szCs w:val="22"/>
              </w:rPr>
            </w:pPr>
            <w:r>
              <w:rPr>
                <w:rFonts w:ascii="Calibri" w:hAnsi="Calibri"/>
                <w:b/>
                <w:bCs/>
                <w:color w:val="000000"/>
                <w:sz w:val="22"/>
                <w:szCs w:val="22"/>
              </w:rPr>
              <w:t>PARDUBICKÝ KRAJ</w:t>
            </w:r>
          </w:p>
        </w:tc>
        <w:tc>
          <w:tcPr>
            <w:tcW w:w="1134"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r>
      <w:tr w:rsidR="00D71C6A" w:rsidTr="00740A6E">
        <w:trPr>
          <w:trHeight w:val="3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Počet obyvatel kraje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516 409</w:t>
            </w: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r>
      <w:tr w:rsidR="00D71C6A" w:rsidTr="00740A6E">
        <w:trPr>
          <w:trHeight w:val="300"/>
        </w:trPr>
        <w:tc>
          <w:tcPr>
            <w:tcW w:w="2273" w:type="dxa"/>
            <w:tcBorders>
              <w:top w:val="nil"/>
              <w:left w:val="single" w:sz="4" w:space="0" w:color="auto"/>
              <w:bottom w:val="nil"/>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Počet lůžek v kraji</w:t>
            </w:r>
          </w:p>
        </w:tc>
        <w:tc>
          <w:tcPr>
            <w:tcW w:w="1134" w:type="dxa"/>
            <w:tcBorders>
              <w:top w:val="nil"/>
              <w:left w:val="nil"/>
              <w:bottom w:val="nil"/>
              <w:right w:val="single" w:sz="4" w:space="0" w:color="auto"/>
            </w:tcBorders>
            <w:shd w:val="clear" w:color="auto" w:fill="auto"/>
            <w:noWrap/>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2 557</w:t>
            </w: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D71C6A" w:rsidRDefault="00D71C6A">
            <w:pPr>
              <w:rPr>
                <w:rFonts w:ascii="Calibri" w:hAnsi="Calibri"/>
                <w:color w:val="000000"/>
                <w:sz w:val="22"/>
                <w:szCs w:val="22"/>
              </w:rPr>
            </w:pPr>
          </w:p>
        </w:tc>
      </w:tr>
      <w:tr w:rsidR="00103C6C" w:rsidTr="00D14118">
        <w:trPr>
          <w:trHeight w:val="1201"/>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D71C6A" w:rsidRDefault="00D71C6A">
            <w:pPr>
              <w:rPr>
                <w:rFonts w:ascii="Calibri" w:hAnsi="Calibri"/>
                <w:color w:val="000000"/>
                <w:sz w:val="22"/>
                <w:szCs w:val="22"/>
              </w:rPr>
            </w:pPr>
            <w:r>
              <w:rPr>
                <w:rFonts w:ascii="Calibri"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Splňuje kritéria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rsidP="00103C6C">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Obor s největší spádovostí</w:t>
            </w:r>
          </w:p>
        </w:tc>
      </w:tr>
      <w:tr w:rsidR="00F3664A"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Pardubická krajská nemocnice</w:t>
            </w:r>
            <w:r w:rsidR="00CB4A1C">
              <w:rPr>
                <w:rFonts w:ascii="Calibri" w:hAnsi="Calibri"/>
                <w:color w:val="000000"/>
                <w:sz w:val="22"/>
                <w:szCs w:val="22"/>
              </w:rPr>
              <w:t>, a.s.</w:t>
            </w:r>
          </w:p>
        </w:tc>
        <w:tc>
          <w:tcPr>
            <w:tcW w:w="113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9,66</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2,15</w:t>
            </w:r>
          </w:p>
        </w:tc>
        <w:tc>
          <w:tcPr>
            <w:tcW w:w="1418"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chirurgie (16,61)</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kardiologie (26,86)</w:t>
            </w:r>
          </w:p>
        </w:tc>
        <w:tc>
          <w:tcPr>
            <w:tcW w:w="198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neurochirurgie (8)</w:t>
            </w:r>
          </w:p>
        </w:tc>
        <w:tc>
          <w:tcPr>
            <w:tcW w:w="1843" w:type="dxa"/>
            <w:tcBorders>
              <w:top w:val="nil"/>
              <w:left w:val="nil"/>
              <w:bottom w:val="single" w:sz="4" w:space="0" w:color="auto"/>
              <w:right w:val="single" w:sz="4" w:space="0" w:color="auto"/>
            </w:tcBorders>
            <w:shd w:val="clear" w:color="auto" w:fill="auto"/>
            <w:vAlign w:val="bottom"/>
            <w:hideMark/>
          </w:tcPr>
          <w:p w:rsidR="00D71C6A" w:rsidRDefault="005D41F8" w:rsidP="005D41F8">
            <w:pPr>
              <w:rPr>
                <w:rFonts w:ascii="Calibri" w:hAnsi="Calibri"/>
                <w:color w:val="000000"/>
                <w:sz w:val="22"/>
                <w:szCs w:val="22"/>
              </w:rPr>
            </w:pPr>
            <w:r>
              <w:rPr>
                <w:rFonts w:ascii="Calibri" w:hAnsi="Calibri"/>
                <w:color w:val="000000"/>
                <w:sz w:val="22"/>
                <w:szCs w:val="22"/>
              </w:rPr>
              <w:t>klinická onkologie</w:t>
            </w:r>
          </w:p>
        </w:tc>
      </w:tr>
      <w:tr w:rsidR="00F3664A"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Chrudimská nemocnice</w:t>
            </w:r>
            <w:r w:rsidR="00CB4A1C">
              <w:rPr>
                <w:rFonts w:ascii="Calibri" w:hAnsi="Calibri"/>
                <w:color w:val="000000"/>
                <w:sz w:val="22"/>
                <w:szCs w:val="22"/>
              </w:rPr>
              <w:t>, a.s.</w:t>
            </w:r>
          </w:p>
        </w:tc>
        <w:tc>
          <w:tcPr>
            <w:tcW w:w="113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5,32</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14,70</w:t>
            </w:r>
          </w:p>
        </w:tc>
        <w:tc>
          <w:tcPr>
            <w:tcW w:w="1418"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chirurgie (27,02)</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 (12,02)</w:t>
            </w:r>
          </w:p>
        </w:tc>
        <w:tc>
          <w:tcPr>
            <w:tcW w:w="198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 (63,46)</w:t>
            </w:r>
          </w:p>
        </w:tc>
        <w:tc>
          <w:tcPr>
            <w:tcW w:w="1843"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w:t>
            </w:r>
          </w:p>
        </w:tc>
      </w:tr>
      <w:tr w:rsidR="00F3664A"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Litomyšlská nemocnice</w:t>
            </w:r>
            <w:r w:rsidR="00CB4A1C">
              <w:rPr>
                <w:rFonts w:ascii="Calibri" w:hAnsi="Calibri"/>
                <w:color w:val="000000"/>
                <w:sz w:val="22"/>
                <w:szCs w:val="22"/>
              </w:rPr>
              <w:t>, a.s.</w:t>
            </w:r>
          </w:p>
        </w:tc>
        <w:tc>
          <w:tcPr>
            <w:tcW w:w="113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42,34</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9,51</w:t>
            </w:r>
          </w:p>
        </w:tc>
        <w:tc>
          <w:tcPr>
            <w:tcW w:w="1418"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chirurgie (26,61)</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gynekologie (98,4)</w:t>
            </w:r>
          </w:p>
        </w:tc>
        <w:tc>
          <w:tcPr>
            <w:tcW w:w="198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rehabilitační (17,79)</w:t>
            </w:r>
          </w:p>
        </w:tc>
        <w:tc>
          <w:tcPr>
            <w:tcW w:w="1843"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ortopedie</w:t>
            </w:r>
          </w:p>
        </w:tc>
      </w:tr>
      <w:tr w:rsidR="00F3664A" w:rsidTr="00740A6E">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Svitavská nemocnice</w:t>
            </w:r>
            <w:r w:rsidR="00CB4A1C">
              <w:rPr>
                <w:rFonts w:ascii="Calibri" w:hAnsi="Calibri"/>
                <w:color w:val="000000"/>
                <w:sz w:val="22"/>
                <w:szCs w:val="22"/>
              </w:rPr>
              <w:t>, a.s.</w:t>
            </w:r>
          </w:p>
        </w:tc>
        <w:tc>
          <w:tcPr>
            <w:tcW w:w="113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2,05</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6,45</w:t>
            </w:r>
          </w:p>
        </w:tc>
        <w:tc>
          <w:tcPr>
            <w:tcW w:w="1418"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vnitřní lékařství (27,28)</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 (11,11)</w:t>
            </w:r>
          </w:p>
        </w:tc>
        <w:tc>
          <w:tcPr>
            <w:tcW w:w="198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 (17,99)</w:t>
            </w:r>
          </w:p>
        </w:tc>
        <w:tc>
          <w:tcPr>
            <w:tcW w:w="1843"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urologie</w:t>
            </w:r>
          </w:p>
        </w:tc>
      </w:tr>
      <w:tr w:rsidR="00F3664A" w:rsidTr="00740A6E">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D71C6A" w:rsidRDefault="00D71C6A" w:rsidP="00D71C6A">
            <w:pPr>
              <w:rPr>
                <w:rFonts w:ascii="Calibri" w:hAnsi="Calibri"/>
                <w:color w:val="000000"/>
                <w:sz w:val="22"/>
                <w:szCs w:val="22"/>
              </w:rPr>
            </w:pPr>
            <w:r>
              <w:rPr>
                <w:rFonts w:ascii="Calibri" w:hAnsi="Calibri"/>
                <w:color w:val="000000"/>
                <w:sz w:val="22"/>
                <w:szCs w:val="22"/>
              </w:rPr>
              <w:t>Orlickoústecká nemocnice</w:t>
            </w:r>
            <w:r w:rsidR="00CB4A1C">
              <w:rPr>
                <w:rFonts w:ascii="Calibri" w:hAnsi="Calibri"/>
                <w:color w:val="000000"/>
                <w:sz w:val="22"/>
                <w:szCs w:val="22"/>
              </w:rPr>
              <w:t>, a.s.</w:t>
            </w:r>
          </w:p>
        </w:tc>
        <w:tc>
          <w:tcPr>
            <w:tcW w:w="113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Ano</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7,02</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jc w:val="right"/>
              <w:rPr>
                <w:rFonts w:ascii="Calibri" w:hAnsi="Calibri"/>
                <w:color w:val="000000"/>
                <w:sz w:val="22"/>
                <w:szCs w:val="22"/>
              </w:rPr>
            </w:pPr>
            <w:r>
              <w:rPr>
                <w:rFonts w:ascii="Calibri" w:hAnsi="Calibri"/>
                <w:color w:val="000000"/>
                <w:sz w:val="22"/>
                <w:szCs w:val="22"/>
              </w:rPr>
              <w:t>11,19</w:t>
            </w:r>
          </w:p>
        </w:tc>
        <w:tc>
          <w:tcPr>
            <w:tcW w:w="1418"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vnitřní lékařství (24,51)</w:t>
            </w:r>
          </w:p>
        </w:tc>
        <w:tc>
          <w:tcPr>
            <w:tcW w:w="1701"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 (32,32)</w:t>
            </w:r>
          </w:p>
        </w:tc>
        <w:tc>
          <w:tcPr>
            <w:tcW w:w="1984"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anesteziologie (41,41)</w:t>
            </w:r>
          </w:p>
        </w:tc>
        <w:tc>
          <w:tcPr>
            <w:tcW w:w="1843" w:type="dxa"/>
            <w:tcBorders>
              <w:top w:val="nil"/>
              <w:left w:val="nil"/>
              <w:bottom w:val="single" w:sz="4" w:space="0" w:color="auto"/>
              <w:right w:val="single" w:sz="4" w:space="0" w:color="auto"/>
            </w:tcBorders>
            <w:shd w:val="clear" w:color="auto" w:fill="auto"/>
            <w:vAlign w:val="bottom"/>
            <w:hideMark/>
          </w:tcPr>
          <w:p w:rsidR="00D71C6A" w:rsidRDefault="00D71C6A">
            <w:pPr>
              <w:rPr>
                <w:rFonts w:ascii="Calibri" w:hAnsi="Calibri"/>
                <w:color w:val="000000"/>
                <w:sz w:val="22"/>
                <w:szCs w:val="22"/>
              </w:rPr>
            </w:pPr>
            <w:r>
              <w:rPr>
                <w:rFonts w:ascii="Calibri" w:hAnsi="Calibri"/>
                <w:color w:val="000000"/>
                <w:sz w:val="22"/>
                <w:szCs w:val="22"/>
              </w:rPr>
              <w:t>orální chirurgie</w:t>
            </w:r>
          </w:p>
        </w:tc>
      </w:tr>
    </w:tbl>
    <w:p w:rsidR="00D71C6A" w:rsidRDefault="00D71C6A" w:rsidP="00B34B0D">
      <w:pPr>
        <w:rPr>
          <w:color w:val="FF0000"/>
        </w:rPr>
      </w:pPr>
    </w:p>
    <w:p w:rsidR="008E6276" w:rsidRDefault="008E6276">
      <w:pPr>
        <w:rPr>
          <w:color w:val="FF0000"/>
        </w:rPr>
      </w:pPr>
      <w:r>
        <w:rPr>
          <w:color w:val="FF0000"/>
        </w:rPr>
        <w:br w:type="page"/>
      </w:r>
    </w:p>
    <w:p w:rsidR="00D71C6A" w:rsidRDefault="00D71C6A"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183"/>
        <w:gridCol w:w="1652"/>
        <w:gridCol w:w="1701"/>
        <w:gridCol w:w="1418"/>
        <w:gridCol w:w="1701"/>
        <w:gridCol w:w="1984"/>
        <w:gridCol w:w="1843"/>
      </w:tblGrid>
      <w:tr w:rsidR="00F3664A"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b/>
                <w:bCs/>
                <w:color w:val="000000"/>
                <w:sz w:val="22"/>
                <w:szCs w:val="22"/>
              </w:rPr>
            </w:pPr>
            <w:r>
              <w:rPr>
                <w:rFonts w:ascii="Calibri" w:hAnsi="Calibri"/>
                <w:b/>
                <w:bCs/>
                <w:color w:val="000000"/>
                <w:sz w:val="22"/>
                <w:szCs w:val="22"/>
              </w:rPr>
              <w:t>HRADECKÝ KRAJ</w:t>
            </w:r>
          </w:p>
        </w:tc>
        <w:tc>
          <w:tcPr>
            <w:tcW w:w="118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652"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A44A2C" w:rsidTr="00740A6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obyvatel kraje</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553 290</w:t>
            </w:r>
          </w:p>
        </w:tc>
        <w:tc>
          <w:tcPr>
            <w:tcW w:w="1652"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A44A2C" w:rsidTr="00740A6E">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lůžek v kraji</w:t>
            </w:r>
          </w:p>
        </w:tc>
        <w:tc>
          <w:tcPr>
            <w:tcW w:w="1183" w:type="dxa"/>
            <w:tcBorders>
              <w:top w:val="nil"/>
              <w:left w:val="nil"/>
              <w:bottom w:val="nil"/>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3 331</w:t>
            </w:r>
          </w:p>
        </w:tc>
        <w:tc>
          <w:tcPr>
            <w:tcW w:w="1652"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334E6C" w:rsidTr="00740A6E">
        <w:trPr>
          <w:trHeight w:val="1644"/>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44A2C" w:rsidRDefault="00A44A2C">
            <w:pPr>
              <w:rPr>
                <w:rFonts w:ascii="Calibri" w:hAnsi="Calibri"/>
                <w:color w:val="000000"/>
                <w:sz w:val="22"/>
                <w:szCs w:val="22"/>
              </w:rPr>
            </w:pPr>
            <w:r>
              <w:rPr>
                <w:rFonts w:ascii="Calibri" w:hAnsi="Calibri"/>
                <w:color w:val="000000"/>
                <w:sz w:val="22"/>
                <w:szCs w:val="22"/>
              </w:rPr>
              <w:t> </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Splňuje kritéria</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 spádovostí</w:t>
            </w:r>
          </w:p>
        </w:tc>
      </w:tr>
      <w:tr w:rsidR="00F3664A" w:rsidTr="00740A6E">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65410B" w:rsidP="00334E6C">
            <w:pPr>
              <w:rPr>
                <w:rFonts w:ascii="Calibri" w:hAnsi="Calibri"/>
                <w:color w:val="000000"/>
                <w:sz w:val="22"/>
                <w:szCs w:val="22"/>
              </w:rPr>
            </w:pPr>
            <w:r>
              <w:rPr>
                <w:rFonts w:ascii="Calibri" w:hAnsi="Calibri"/>
                <w:color w:val="000000"/>
                <w:sz w:val="22"/>
                <w:szCs w:val="22"/>
              </w:rPr>
              <w:t xml:space="preserve">Městská nemocnice </w:t>
            </w:r>
            <w:r w:rsidR="00A44A2C">
              <w:rPr>
                <w:rFonts w:ascii="Calibri" w:hAnsi="Calibri"/>
                <w:color w:val="000000"/>
                <w:sz w:val="22"/>
                <w:szCs w:val="22"/>
              </w:rPr>
              <w:t>D</w:t>
            </w:r>
            <w:r w:rsidR="00334E6C">
              <w:rPr>
                <w:rFonts w:ascii="Calibri" w:hAnsi="Calibri"/>
                <w:color w:val="000000"/>
                <w:sz w:val="22"/>
                <w:szCs w:val="22"/>
              </w:rPr>
              <w:t>v</w:t>
            </w:r>
            <w:r w:rsidR="00A44A2C">
              <w:rPr>
                <w:rFonts w:ascii="Calibri" w:hAnsi="Calibri"/>
                <w:color w:val="000000"/>
                <w:sz w:val="22"/>
                <w:szCs w:val="22"/>
              </w:rPr>
              <w:t>ů</w:t>
            </w:r>
            <w:r w:rsidR="00334E6C">
              <w:rPr>
                <w:rFonts w:ascii="Calibri" w:hAnsi="Calibri"/>
                <w:color w:val="000000"/>
                <w:sz w:val="22"/>
                <w:szCs w:val="22"/>
              </w:rPr>
              <w:t>r</w:t>
            </w:r>
            <w:r w:rsidR="00A44A2C">
              <w:rPr>
                <w:rFonts w:ascii="Calibri" w:hAnsi="Calibri"/>
                <w:color w:val="000000"/>
                <w:sz w:val="22"/>
                <w:szCs w:val="22"/>
              </w:rPr>
              <w:t xml:space="preserve"> Králové</w:t>
            </w:r>
            <w:r>
              <w:rPr>
                <w:rFonts w:ascii="Calibri" w:hAnsi="Calibri"/>
                <w:color w:val="000000"/>
                <w:sz w:val="22"/>
                <w:szCs w:val="22"/>
              </w:rPr>
              <w:t>, a.s.</w:t>
            </w:r>
          </w:p>
        </w:tc>
        <w:tc>
          <w:tcPr>
            <w:tcW w:w="118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 - kraj nepožaduje výjimku</w:t>
            </w:r>
          </w:p>
        </w:tc>
        <w:tc>
          <w:tcPr>
            <w:tcW w:w="1652"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3,65</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2,29</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chirurgie (52,24)</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(7,38)</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(3,51)</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urologie, chirurgie</w:t>
            </w:r>
          </w:p>
        </w:tc>
      </w:tr>
      <w:tr w:rsidR="00F3664A" w:rsidTr="00740A6E">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Oblastní nemocnice Trutnov</w:t>
            </w:r>
            <w:r w:rsidR="00867AED">
              <w:rPr>
                <w:rFonts w:ascii="Calibri" w:hAnsi="Calibri"/>
                <w:color w:val="000000"/>
                <w:sz w:val="22"/>
                <w:szCs w:val="22"/>
              </w:rPr>
              <w:t>, a.s.</w:t>
            </w:r>
          </w:p>
        </w:tc>
        <w:tc>
          <w:tcPr>
            <w:tcW w:w="118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652"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3,12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12,76</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(23,78)</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(10,2)</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rehabilitační (50,31)</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ortopedie</w:t>
            </w:r>
          </w:p>
        </w:tc>
      </w:tr>
      <w:tr w:rsidR="00F3664A" w:rsidTr="00740A6E">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Oblastní nemocnice Náchod</w:t>
            </w:r>
            <w:r w:rsidR="00867AED">
              <w:rPr>
                <w:rFonts w:ascii="Calibri" w:hAnsi="Calibri"/>
                <w:color w:val="000000"/>
                <w:sz w:val="22"/>
                <w:szCs w:val="22"/>
              </w:rPr>
              <w:t>, a.s.</w:t>
            </w:r>
          </w:p>
        </w:tc>
        <w:tc>
          <w:tcPr>
            <w:tcW w:w="118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652"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3,29</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4,50</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(25,49)</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(17,24)</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(23,45)</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gynekologie, porodnictví</w:t>
            </w:r>
          </w:p>
        </w:tc>
      </w:tr>
      <w:tr w:rsidR="00F3664A" w:rsidTr="00740A6E">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Oblastní nemocnice Jičín</w:t>
            </w:r>
            <w:r w:rsidR="00867AED">
              <w:rPr>
                <w:rFonts w:ascii="Calibri" w:hAnsi="Calibri"/>
                <w:color w:val="000000"/>
                <w:sz w:val="22"/>
                <w:szCs w:val="22"/>
              </w:rPr>
              <w:t>, a.s.</w:t>
            </w:r>
          </w:p>
        </w:tc>
        <w:tc>
          <w:tcPr>
            <w:tcW w:w="118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652"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8,07</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6,40</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(33,12)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klinická onkologie (21,52)</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(32,29)</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porodnictví</w:t>
            </w:r>
          </w:p>
        </w:tc>
      </w:tr>
    </w:tbl>
    <w:p w:rsidR="00D71C6A" w:rsidRDefault="00D71C6A" w:rsidP="00B34B0D">
      <w:pPr>
        <w:rPr>
          <w:color w:val="FF0000"/>
        </w:rPr>
      </w:pPr>
    </w:p>
    <w:p w:rsidR="008E6276" w:rsidRDefault="008E6276">
      <w:pPr>
        <w:rPr>
          <w:color w:val="FF0000"/>
        </w:rPr>
      </w:pPr>
      <w:r>
        <w:rPr>
          <w:color w:val="FF0000"/>
        </w:rPr>
        <w:br w:type="page"/>
      </w:r>
    </w:p>
    <w:p w:rsidR="00A44A2C" w:rsidRDefault="00A44A2C" w:rsidP="00B34B0D">
      <w:pPr>
        <w:rPr>
          <w:color w:val="FF0000"/>
        </w:rPr>
      </w:pPr>
    </w:p>
    <w:tbl>
      <w:tblPr>
        <w:tblW w:w="13787" w:type="dxa"/>
        <w:tblInd w:w="65" w:type="dxa"/>
        <w:tblLayout w:type="fixed"/>
        <w:tblCellMar>
          <w:left w:w="70" w:type="dxa"/>
          <w:right w:w="70" w:type="dxa"/>
        </w:tblCellMar>
        <w:tblLook w:val="04A0" w:firstRow="1" w:lastRow="0" w:firstColumn="1" w:lastColumn="0" w:noHBand="0" w:noVBand="1"/>
      </w:tblPr>
      <w:tblGrid>
        <w:gridCol w:w="2273"/>
        <w:gridCol w:w="1300"/>
        <w:gridCol w:w="1535"/>
        <w:gridCol w:w="1701"/>
        <w:gridCol w:w="1417"/>
        <w:gridCol w:w="1701"/>
        <w:gridCol w:w="2017"/>
        <w:gridCol w:w="1843"/>
      </w:tblGrid>
      <w:tr w:rsidR="00BF32C8" w:rsidTr="00D11133">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A2C" w:rsidRDefault="00A44A2C" w:rsidP="00BF32C8">
            <w:pPr>
              <w:rPr>
                <w:rFonts w:ascii="Calibri" w:hAnsi="Calibri"/>
                <w:b/>
                <w:bCs/>
                <w:color w:val="000000"/>
                <w:sz w:val="22"/>
                <w:szCs w:val="22"/>
              </w:rPr>
            </w:pPr>
            <w:r>
              <w:rPr>
                <w:rFonts w:ascii="Calibri" w:hAnsi="Calibri"/>
                <w:b/>
                <w:bCs/>
                <w:color w:val="000000"/>
                <w:sz w:val="22"/>
                <w:szCs w:val="22"/>
              </w:rPr>
              <w:t>JIHOČESKÝ KRAJ</w:t>
            </w:r>
          </w:p>
        </w:tc>
        <w:tc>
          <w:tcPr>
            <w:tcW w:w="1300"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535"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2017"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843" w:type="dxa"/>
            <w:tcBorders>
              <w:top w:val="nil"/>
              <w:left w:val="nil"/>
              <w:bottom w:val="nil"/>
              <w:right w:val="nil"/>
            </w:tcBorders>
            <w:shd w:val="clear" w:color="auto" w:fill="auto"/>
            <w:vAlign w:val="bottom"/>
            <w:hideMark/>
          </w:tcPr>
          <w:p w:rsidR="00A44A2C" w:rsidRDefault="00A44A2C" w:rsidP="00BF32C8">
            <w:pPr>
              <w:rPr>
                <w:rFonts w:ascii="Calibri" w:hAnsi="Calibri"/>
                <w:color w:val="000000"/>
                <w:sz w:val="22"/>
                <w:szCs w:val="22"/>
              </w:rPr>
            </w:pPr>
          </w:p>
        </w:tc>
      </w:tr>
      <w:tr w:rsidR="00F3664A" w:rsidTr="00D11133">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Počet obyvatel kraje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636 702</w:t>
            </w:r>
          </w:p>
        </w:tc>
        <w:tc>
          <w:tcPr>
            <w:tcW w:w="1535"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2017"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843" w:type="dxa"/>
            <w:tcBorders>
              <w:top w:val="nil"/>
              <w:left w:val="nil"/>
              <w:bottom w:val="nil"/>
              <w:right w:val="nil"/>
            </w:tcBorders>
            <w:shd w:val="clear" w:color="auto" w:fill="auto"/>
            <w:vAlign w:val="bottom"/>
            <w:hideMark/>
          </w:tcPr>
          <w:p w:rsidR="00A44A2C" w:rsidRDefault="00A44A2C" w:rsidP="00BF32C8">
            <w:pPr>
              <w:rPr>
                <w:rFonts w:ascii="Calibri" w:hAnsi="Calibri"/>
                <w:color w:val="000000"/>
                <w:sz w:val="22"/>
                <w:szCs w:val="22"/>
              </w:rPr>
            </w:pPr>
          </w:p>
        </w:tc>
      </w:tr>
      <w:tr w:rsidR="00F3664A" w:rsidTr="00D11133">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Počet lůžek v kraji</w:t>
            </w:r>
          </w:p>
        </w:tc>
        <w:tc>
          <w:tcPr>
            <w:tcW w:w="1300" w:type="dxa"/>
            <w:tcBorders>
              <w:top w:val="nil"/>
              <w:left w:val="nil"/>
              <w:bottom w:val="nil"/>
              <w:right w:val="single" w:sz="4" w:space="0" w:color="auto"/>
            </w:tcBorders>
            <w:shd w:val="clear" w:color="auto" w:fill="auto"/>
            <w:noWrap/>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3 462</w:t>
            </w:r>
          </w:p>
        </w:tc>
        <w:tc>
          <w:tcPr>
            <w:tcW w:w="1535"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2017" w:type="dxa"/>
            <w:tcBorders>
              <w:top w:val="nil"/>
              <w:left w:val="nil"/>
              <w:bottom w:val="nil"/>
              <w:right w:val="nil"/>
            </w:tcBorders>
            <w:shd w:val="clear" w:color="auto" w:fill="auto"/>
            <w:noWrap/>
            <w:vAlign w:val="bottom"/>
            <w:hideMark/>
          </w:tcPr>
          <w:p w:rsidR="00A44A2C" w:rsidRDefault="00A44A2C" w:rsidP="00BF32C8">
            <w:pPr>
              <w:rPr>
                <w:rFonts w:ascii="Calibri" w:hAnsi="Calibri"/>
                <w:color w:val="000000"/>
                <w:sz w:val="22"/>
                <w:szCs w:val="22"/>
              </w:rPr>
            </w:pPr>
          </w:p>
        </w:tc>
        <w:tc>
          <w:tcPr>
            <w:tcW w:w="1843" w:type="dxa"/>
            <w:tcBorders>
              <w:top w:val="nil"/>
              <w:left w:val="nil"/>
              <w:bottom w:val="nil"/>
              <w:right w:val="nil"/>
            </w:tcBorders>
            <w:shd w:val="clear" w:color="auto" w:fill="auto"/>
            <w:vAlign w:val="bottom"/>
            <w:hideMark/>
          </w:tcPr>
          <w:p w:rsidR="00A44A2C" w:rsidRDefault="00A44A2C" w:rsidP="00BF32C8">
            <w:pPr>
              <w:rPr>
                <w:rFonts w:ascii="Calibri" w:hAnsi="Calibri"/>
                <w:color w:val="000000"/>
                <w:sz w:val="22"/>
                <w:szCs w:val="22"/>
              </w:rPr>
            </w:pPr>
          </w:p>
        </w:tc>
      </w:tr>
      <w:tr w:rsidR="00BF32C8" w:rsidTr="00D11133">
        <w:trPr>
          <w:trHeight w:val="1183"/>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Splňuje kritéria</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Obor s největší spádovostí</w:t>
            </w:r>
          </w:p>
        </w:tc>
      </w:tr>
      <w:tr w:rsidR="00BF32C8" w:rsidTr="00D11133">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Nemocnice Tábor, a. s.</w:t>
            </w:r>
          </w:p>
        </w:tc>
        <w:tc>
          <w:tcPr>
            <w:tcW w:w="1300"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ano</w:t>
            </w:r>
          </w:p>
        </w:tc>
        <w:tc>
          <w:tcPr>
            <w:tcW w:w="1535"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4,17</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2,89</w:t>
            </w:r>
          </w:p>
        </w:tc>
        <w:tc>
          <w:tcPr>
            <w:tcW w:w="1417" w:type="dxa"/>
            <w:tcBorders>
              <w:top w:val="nil"/>
              <w:left w:val="nil"/>
              <w:bottom w:val="nil"/>
              <w:right w:val="nil"/>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dětské lékařství (21%)</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kardiologie (13,65%)</w:t>
            </w:r>
          </w:p>
        </w:tc>
        <w:tc>
          <w:tcPr>
            <w:tcW w:w="2017"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kardiologie (11,36%)</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3C5881" w:rsidP="00BF32C8">
            <w:pPr>
              <w:rPr>
                <w:rFonts w:ascii="Calibri" w:hAnsi="Calibri"/>
                <w:color w:val="000000"/>
                <w:sz w:val="22"/>
                <w:szCs w:val="22"/>
              </w:rPr>
            </w:pPr>
            <w:r>
              <w:rPr>
                <w:rFonts w:ascii="Calibri" w:hAnsi="Calibri"/>
                <w:color w:val="000000"/>
                <w:sz w:val="22"/>
                <w:szCs w:val="22"/>
              </w:rPr>
              <w:t>dětské, rehabili</w:t>
            </w:r>
            <w:r w:rsidR="00A44A2C">
              <w:rPr>
                <w:rFonts w:ascii="Calibri" w:hAnsi="Calibri"/>
                <w:color w:val="000000"/>
                <w:sz w:val="22"/>
                <w:szCs w:val="22"/>
              </w:rPr>
              <w:t>t</w:t>
            </w:r>
            <w:r>
              <w:rPr>
                <w:rFonts w:ascii="Calibri" w:hAnsi="Calibri"/>
                <w:color w:val="000000"/>
                <w:sz w:val="22"/>
                <w:szCs w:val="22"/>
              </w:rPr>
              <w:t>a</w:t>
            </w:r>
            <w:r w:rsidR="00A44A2C">
              <w:rPr>
                <w:rFonts w:ascii="Calibri" w:hAnsi="Calibri"/>
                <w:color w:val="000000"/>
                <w:sz w:val="22"/>
                <w:szCs w:val="22"/>
              </w:rPr>
              <w:t>ce, ortopedie</w:t>
            </w:r>
          </w:p>
        </w:tc>
      </w:tr>
      <w:tr w:rsidR="00BF32C8" w:rsidTr="00D11133">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Nemocnice Písek, a. s.</w:t>
            </w:r>
          </w:p>
        </w:tc>
        <w:tc>
          <w:tcPr>
            <w:tcW w:w="1300"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ano</w:t>
            </w:r>
          </w:p>
        </w:tc>
        <w:tc>
          <w:tcPr>
            <w:tcW w:w="1535"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11,06</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8,51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dětské lékařství (21,99%)</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rehabilitační (62%)</w:t>
            </w:r>
          </w:p>
        </w:tc>
        <w:tc>
          <w:tcPr>
            <w:tcW w:w="2017"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neurologie (16,22%)</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gynekologie</w:t>
            </w:r>
          </w:p>
        </w:tc>
      </w:tr>
      <w:tr w:rsidR="00BF32C8" w:rsidTr="00D11133">
        <w:trPr>
          <w:trHeight w:val="15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Nemocnice České Budějovice, a. s.</w:t>
            </w:r>
          </w:p>
        </w:tc>
        <w:tc>
          <w:tcPr>
            <w:tcW w:w="1300"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ano</w:t>
            </w:r>
          </w:p>
        </w:tc>
        <w:tc>
          <w:tcPr>
            <w:tcW w:w="1535"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4,23</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4,87</w:t>
            </w:r>
          </w:p>
        </w:tc>
        <w:tc>
          <w:tcPr>
            <w:tcW w:w="1417"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gynekologie (13,32%)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kardiologie (17,48%)</w:t>
            </w:r>
          </w:p>
        </w:tc>
        <w:tc>
          <w:tcPr>
            <w:tcW w:w="2017"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kardiochirurgie (24%)</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orální chirurgie, klinická onkologie, neurochirurgie</w:t>
            </w:r>
          </w:p>
        </w:tc>
      </w:tr>
      <w:tr w:rsidR="00BF32C8" w:rsidTr="00D11133">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Nemocnice Strakonice, a. s.</w:t>
            </w:r>
          </w:p>
        </w:tc>
        <w:tc>
          <w:tcPr>
            <w:tcW w:w="1300" w:type="dxa"/>
            <w:tcBorders>
              <w:top w:val="nil"/>
              <w:left w:val="nil"/>
              <w:bottom w:val="single" w:sz="4" w:space="0" w:color="auto"/>
              <w:right w:val="single" w:sz="4" w:space="0" w:color="auto"/>
            </w:tcBorders>
            <w:shd w:val="clear" w:color="auto" w:fill="auto"/>
            <w:vAlign w:val="bottom"/>
            <w:hideMark/>
          </w:tcPr>
          <w:p w:rsidR="00A44A2C" w:rsidRDefault="000A5C5C" w:rsidP="00BF32C8">
            <w:pPr>
              <w:rPr>
                <w:rFonts w:ascii="Calibri" w:hAnsi="Calibri"/>
                <w:color w:val="000000"/>
                <w:sz w:val="22"/>
                <w:szCs w:val="22"/>
              </w:rPr>
            </w:pPr>
            <w:r>
              <w:rPr>
                <w:rFonts w:ascii="Calibri" w:hAnsi="Calibri"/>
                <w:color w:val="000000"/>
                <w:sz w:val="22"/>
                <w:szCs w:val="22"/>
              </w:rPr>
              <w:t>NE - kraj požaduje výjimku</w:t>
            </w:r>
          </w:p>
        </w:tc>
        <w:tc>
          <w:tcPr>
            <w:tcW w:w="1535"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4,72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jc w:val="right"/>
              <w:rPr>
                <w:rFonts w:ascii="Calibri" w:hAnsi="Calibri"/>
                <w:color w:val="000000"/>
                <w:sz w:val="22"/>
                <w:szCs w:val="22"/>
              </w:rPr>
            </w:pPr>
            <w:r>
              <w:rPr>
                <w:rFonts w:ascii="Calibri" w:hAnsi="Calibri"/>
                <w:color w:val="000000"/>
                <w:sz w:val="22"/>
                <w:szCs w:val="22"/>
              </w:rPr>
              <w:t>5,24</w:t>
            </w:r>
          </w:p>
        </w:tc>
        <w:tc>
          <w:tcPr>
            <w:tcW w:w="1417"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vnitřní lékařství (31%)</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neurologie (10,16%)</w:t>
            </w:r>
          </w:p>
        </w:tc>
        <w:tc>
          <w:tcPr>
            <w:tcW w:w="2017"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vnitřní lékařství (12,12%)</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rsidP="00BF32C8">
            <w:pPr>
              <w:rPr>
                <w:rFonts w:ascii="Calibri" w:hAnsi="Calibri"/>
                <w:color w:val="000000"/>
                <w:sz w:val="22"/>
                <w:szCs w:val="22"/>
              </w:rPr>
            </w:pPr>
            <w:r>
              <w:rPr>
                <w:rFonts w:ascii="Calibri" w:hAnsi="Calibri"/>
                <w:color w:val="000000"/>
                <w:sz w:val="22"/>
                <w:szCs w:val="22"/>
              </w:rPr>
              <w:t xml:space="preserve">dětské </w:t>
            </w:r>
          </w:p>
        </w:tc>
      </w:tr>
      <w:tr w:rsidR="000A5C5C" w:rsidTr="00D11133">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Nemocnice Prachatice, a. s.</w:t>
            </w:r>
          </w:p>
        </w:tc>
        <w:tc>
          <w:tcPr>
            <w:tcW w:w="1300" w:type="dxa"/>
            <w:tcBorders>
              <w:top w:val="nil"/>
              <w:left w:val="nil"/>
              <w:bottom w:val="single" w:sz="4" w:space="0" w:color="auto"/>
              <w:right w:val="single" w:sz="4" w:space="0" w:color="auto"/>
            </w:tcBorders>
            <w:shd w:val="clear" w:color="auto" w:fill="auto"/>
            <w:hideMark/>
          </w:tcPr>
          <w:p w:rsidR="000A5C5C" w:rsidRDefault="000A5C5C">
            <w:r w:rsidRPr="009E00CF">
              <w:rPr>
                <w:rFonts w:ascii="Calibri" w:hAnsi="Calibri"/>
                <w:color w:val="000000"/>
                <w:sz w:val="22"/>
                <w:szCs w:val="22"/>
              </w:rPr>
              <w:t>NE - kraj požaduje výjimku</w:t>
            </w:r>
          </w:p>
        </w:tc>
        <w:tc>
          <w:tcPr>
            <w:tcW w:w="1535" w:type="dxa"/>
            <w:tcBorders>
              <w:top w:val="nil"/>
              <w:left w:val="nil"/>
              <w:bottom w:val="single" w:sz="4" w:space="0" w:color="auto"/>
              <w:right w:val="single" w:sz="4" w:space="0" w:color="auto"/>
            </w:tcBorders>
            <w:shd w:val="clear" w:color="auto" w:fill="auto"/>
            <w:vAlign w:val="bottom"/>
            <w:hideMark/>
          </w:tcPr>
          <w:p w:rsidR="000A5C5C" w:rsidRDefault="000A5C5C" w:rsidP="00BF32C8">
            <w:pPr>
              <w:jc w:val="right"/>
              <w:rPr>
                <w:rFonts w:ascii="Calibri" w:hAnsi="Calibri"/>
                <w:color w:val="000000"/>
                <w:sz w:val="22"/>
                <w:szCs w:val="22"/>
              </w:rPr>
            </w:pPr>
            <w:r>
              <w:rPr>
                <w:rFonts w:ascii="Calibri" w:hAnsi="Calibri"/>
                <w:color w:val="000000"/>
                <w:sz w:val="22"/>
                <w:szCs w:val="22"/>
              </w:rPr>
              <w:t>2,69</w:t>
            </w:r>
          </w:p>
        </w:tc>
        <w:tc>
          <w:tcPr>
            <w:tcW w:w="1701" w:type="dxa"/>
            <w:tcBorders>
              <w:top w:val="nil"/>
              <w:left w:val="nil"/>
              <w:bottom w:val="single" w:sz="4" w:space="0" w:color="auto"/>
              <w:right w:val="single" w:sz="4" w:space="0" w:color="auto"/>
            </w:tcBorders>
            <w:shd w:val="clear" w:color="auto" w:fill="auto"/>
            <w:vAlign w:val="bottom"/>
            <w:hideMark/>
          </w:tcPr>
          <w:p w:rsidR="000A5C5C" w:rsidRDefault="000A5C5C" w:rsidP="00BF32C8">
            <w:pPr>
              <w:jc w:val="right"/>
              <w:rPr>
                <w:rFonts w:ascii="Calibri" w:hAnsi="Calibri"/>
                <w:color w:val="000000"/>
                <w:sz w:val="22"/>
                <w:szCs w:val="22"/>
              </w:rPr>
            </w:pPr>
            <w:r>
              <w:rPr>
                <w:rFonts w:ascii="Calibri" w:hAnsi="Calibri"/>
                <w:color w:val="000000"/>
                <w:sz w:val="22"/>
                <w:szCs w:val="22"/>
              </w:rPr>
              <w:t>3,76</w:t>
            </w:r>
          </w:p>
        </w:tc>
        <w:tc>
          <w:tcPr>
            <w:tcW w:w="1417" w:type="dxa"/>
            <w:tcBorders>
              <w:top w:val="nil"/>
              <w:left w:val="nil"/>
              <w:bottom w:val="nil"/>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vnitřní lékařství (31,66%)</w:t>
            </w:r>
          </w:p>
        </w:tc>
        <w:tc>
          <w:tcPr>
            <w:tcW w:w="1701"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vnitřní lékařství (6,18%)</w:t>
            </w:r>
          </w:p>
        </w:tc>
        <w:tc>
          <w:tcPr>
            <w:tcW w:w="2017"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vnitřní lékařství (6,18%)</w:t>
            </w:r>
          </w:p>
        </w:tc>
        <w:tc>
          <w:tcPr>
            <w:tcW w:w="1843"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ortopedie</w:t>
            </w:r>
          </w:p>
        </w:tc>
      </w:tr>
      <w:tr w:rsidR="000A5C5C" w:rsidTr="00D11133">
        <w:trPr>
          <w:trHeight w:val="9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Nemocnice Jindřichův Hradec, a. s.</w:t>
            </w:r>
          </w:p>
        </w:tc>
        <w:tc>
          <w:tcPr>
            <w:tcW w:w="1300" w:type="dxa"/>
            <w:tcBorders>
              <w:top w:val="nil"/>
              <w:left w:val="nil"/>
              <w:bottom w:val="single" w:sz="4" w:space="0" w:color="auto"/>
              <w:right w:val="single" w:sz="4" w:space="0" w:color="auto"/>
            </w:tcBorders>
            <w:shd w:val="clear" w:color="auto" w:fill="auto"/>
            <w:hideMark/>
          </w:tcPr>
          <w:p w:rsidR="000A5C5C" w:rsidRDefault="000A5C5C">
            <w:r w:rsidRPr="009E00CF">
              <w:rPr>
                <w:rFonts w:ascii="Calibri" w:hAnsi="Calibri"/>
                <w:color w:val="000000"/>
                <w:sz w:val="22"/>
                <w:szCs w:val="22"/>
              </w:rPr>
              <w:t>NE - kraj požaduje výjimku</w:t>
            </w:r>
          </w:p>
        </w:tc>
        <w:tc>
          <w:tcPr>
            <w:tcW w:w="1535" w:type="dxa"/>
            <w:tcBorders>
              <w:top w:val="nil"/>
              <w:left w:val="nil"/>
              <w:bottom w:val="single" w:sz="4" w:space="0" w:color="auto"/>
              <w:right w:val="single" w:sz="4" w:space="0" w:color="auto"/>
            </w:tcBorders>
            <w:shd w:val="clear" w:color="auto" w:fill="auto"/>
            <w:vAlign w:val="bottom"/>
            <w:hideMark/>
          </w:tcPr>
          <w:p w:rsidR="000A5C5C" w:rsidRDefault="000A5C5C" w:rsidP="00BF32C8">
            <w:pPr>
              <w:jc w:val="right"/>
              <w:rPr>
                <w:rFonts w:ascii="Calibri" w:hAnsi="Calibri"/>
                <w:color w:val="000000"/>
                <w:sz w:val="22"/>
                <w:szCs w:val="22"/>
              </w:rPr>
            </w:pPr>
            <w:r>
              <w:rPr>
                <w:rFonts w:ascii="Calibri" w:hAnsi="Calibri"/>
                <w:color w:val="000000"/>
                <w:sz w:val="22"/>
                <w:szCs w:val="22"/>
              </w:rPr>
              <w:t>2,82</w:t>
            </w:r>
          </w:p>
        </w:tc>
        <w:tc>
          <w:tcPr>
            <w:tcW w:w="1701" w:type="dxa"/>
            <w:tcBorders>
              <w:top w:val="nil"/>
              <w:left w:val="nil"/>
              <w:bottom w:val="single" w:sz="4" w:space="0" w:color="auto"/>
              <w:right w:val="single" w:sz="4" w:space="0" w:color="auto"/>
            </w:tcBorders>
            <w:shd w:val="clear" w:color="auto" w:fill="auto"/>
            <w:vAlign w:val="bottom"/>
            <w:hideMark/>
          </w:tcPr>
          <w:p w:rsidR="000A5C5C" w:rsidRDefault="000A5C5C" w:rsidP="00BF32C8">
            <w:pPr>
              <w:jc w:val="right"/>
              <w:rPr>
                <w:rFonts w:ascii="Calibri" w:hAnsi="Calibri"/>
                <w:color w:val="000000"/>
                <w:sz w:val="22"/>
                <w:szCs w:val="22"/>
              </w:rPr>
            </w:pPr>
            <w:r>
              <w:rPr>
                <w:rFonts w:ascii="Calibri" w:hAnsi="Calibri"/>
                <w:color w:val="000000"/>
                <w:sz w:val="22"/>
                <w:szCs w:val="22"/>
              </w:rPr>
              <w:t>2,25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vnitřní lékařství (28,23%)</w:t>
            </w:r>
          </w:p>
        </w:tc>
        <w:tc>
          <w:tcPr>
            <w:tcW w:w="1701"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neurologie (7,04%)</w:t>
            </w:r>
          </w:p>
        </w:tc>
        <w:tc>
          <w:tcPr>
            <w:tcW w:w="2017"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vnitřní lékařství (5,71%)</w:t>
            </w:r>
          </w:p>
        </w:tc>
        <w:tc>
          <w:tcPr>
            <w:tcW w:w="1843"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neurologie, urologie</w:t>
            </w:r>
          </w:p>
        </w:tc>
      </w:tr>
      <w:tr w:rsidR="000A5C5C" w:rsidTr="00D11133">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Nemocnice Český Krumlov, a.s.</w:t>
            </w:r>
          </w:p>
        </w:tc>
        <w:tc>
          <w:tcPr>
            <w:tcW w:w="1300" w:type="dxa"/>
            <w:tcBorders>
              <w:top w:val="nil"/>
              <w:left w:val="nil"/>
              <w:bottom w:val="single" w:sz="4" w:space="0" w:color="auto"/>
              <w:right w:val="single" w:sz="4" w:space="0" w:color="auto"/>
            </w:tcBorders>
            <w:shd w:val="clear" w:color="auto" w:fill="auto"/>
            <w:hideMark/>
          </w:tcPr>
          <w:p w:rsidR="000A5C5C" w:rsidRDefault="000A5C5C">
            <w:r w:rsidRPr="009E00CF">
              <w:rPr>
                <w:rFonts w:ascii="Calibri" w:hAnsi="Calibri"/>
                <w:color w:val="000000"/>
                <w:sz w:val="22"/>
                <w:szCs w:val="22"/>
              </w:rPr>
              <w:t>NE - kraj požaduje výjimku</w:t>
            </w:r>
          </w:p>
        </w:tc>
        <w:tc>
          <w:tcPr>
            <w:tcW w:w="1535" w:type="dxa"/>
            <w:tcBorders>
              <w:top w:val="nil"/>
              <w:left w:val="nil"/>
              <w:bottom w:val="single" w:sz="4" w:space="0" w:color="auto"/>
              <w:right w:val="single" w:sz="4" w:space="0" w:color="auto"/>
            </w:tcBorders>
            <w:shd w:val="clear" w:color="auto" w:fill="auto"/>
            <w:vAlign w:val="bottom"/>
            <w:hideMark/>
          </w:tcPr>
          <w:p w:rsidR="000A5C5C" w:rsidRDefault="000A5C5C" w:rsidP="00BF32C8">
            <w:pPr>
              <w:jc w:val="right"/>
              <w:rPr>
                <w:rFonts w:ascii="Calibri" w:hAnsi="Calibri"/>
                <w:color w:val="000000"/>
                <w:sz w:val="22"/>
                <w:szCs w:val="22"/>
              </w:rPr>
            </w:pPr>
            <w:r>
              <w:rPr>
                <w:rFonts w:ascii="Calibri" w:hAnsi="Calibri"/>
                <w:color w:val="000000"/>
                <w:sz w:val="22"/>
                <w:szCs w:val="22"/>
              </w:rPr>
              <w:t>0,14</w:t>
            </w:r>
          </w:p>
        </w:tc>
        <w:tc>
          <w:tcPr>
            <w:tcW w:w="1701" w:type="dxa"/>
            <w:tcBorders>
              <w:top w:val="nil"/>
              <w:left w:val="nil"/>
              <w:bottom w:val="single" w:sz="4" w:space="0" w:color="auto"/>
              <w:right w:val="single" w:sz="4" w:space="0" w:color="auto"/>
            </w:tcBorders>
            <w:shd w:val="clear" w:color="auto" w:fill="auto"/>
            <w:vAlign w:val="bottom"/>
            <w:hideMark/>
          </w:tcPr>
          <w:p w:rsidR="000A5C5C" w:rsidRDefault="000A5C5C" w:rsidP="00BF32C8">
            <w:pPr>
              <w:jc w:val="right"/>
              <w:rPr>
                <w:rFonts w:ascii="Calibri" w:hAnsi="Calibri"/>
                <w:color w:val="000000"/>
                <w:sz w:val="22"/>
                <w:szCs w:val="22"/>
              </w:rPr>
            </w:pPr>
            <w:r>
              <w:rPr>
                <w:rFonts w:ascii="Calibri" w:hAnsi="Calibri"/>
                <w:color w:val="000000"/>
                <w:sz w:val="22"/>
                <w:szCs w:val="22"/>
              </w:rPr>
              <w:t>0,03</w:t>
            </w:r>
          </w:p>
        </w:tc>
        <w:tc>
          <w:tcPr>
            <w:tcW w:w="1417"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vnitřní lékařství (32,69%)</w:t>
            </w:r>
          </w:p>
        </w:tc>
        <w:tc>
          <w:tcPr>
            <w:tcW w:w="1701"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geriatrie (57,97%)</w:t>
            </w:r>
          </w:p>
        </w:tc>
        <w:tc>
          <w:tcPr>
            <w:tcW w:w="2017"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anesteziologie (12,06%)</w:t>
            </w:r>
          </w:p>
        </w:tc>
        <w:tc>
          <w:tcPr>
            <w:tcW w:w="1843" w:type="dxa"/>
            <w:tcBorders>
              <w:top w:val="nil"/>
              <w:left w:val="nil"/>
              <w:bottom w:val="single" w:sz="4" w:space="0" w:color="auto"/>
              <w:right w:val="single" w:sz="4" w:space="0" w:color="auto"/>
            </w:tcBorders>
            <w:shd w:val="clear" w:color="auto" w:fill="auto"/>
            <w:vAlign w:val="bottom"/>
            <w:hideMark/>
          </w:tcPr>
          <w:p w:rsidR="000A5C5C" w:rsidRDefault="000A5C5C" w:rsidP="00BF32C8">
            <w:pPr>
              <w:rPr>
                <w:rFonts w:ascii="Calibri" w:hAnsi="Calibri"/>
                <w:color w:val="000000"/>
                <w:sz w:val="22"/>
                <w:szCs w:val="22"/>
              </w:rPr>
            </w:pPr>
            <w:r>
              <w:rPr>
                <w:rFonts w:ascii="Calibri" w:hAnsi="Calibri"/>
                <w:color w:val="000000"/>
                <w:sz w:val="22"/>
                <w:szCs w:val="22"/>
              </w:rPr>
              <w:t>anesteziologie</w:t>
            </w:r>
          </w:p>
        </w:tc>
      </w:tr>
    </w:tbl>
    <w:p w:rsidR="00F3664A" w:rsidRDefault="00F3664A">
      <w:pPr>
        <w:rPr>
          <w:color w:val="FF0000"/>
        </w:rPr>
      </w:pPr>
      <w:r>
        <w:rPr>
          <w:color w:val="FF0000"/>
        </w:rPr>
        <w:br w:type="page"/>
      </w:r>
    </w:p>
    <w:p w:rsidR="00A44A2C" w:rsidRDefault="00A44A2C"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276"/>
        <w:gridCol w:w="1559"/>
        <w:gridCol w:w="1701"/>
        <w:gridCol w:w="1418"/>
        <w:gridCol w:w="1701"/>
        <w:gridCol w:w="1984"/>
        <w:gridCol w:w="1843"/>
      </w:tblGrid>
      <w:tr w:rsidR="00F3664A"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b/>
                <w:bCs/>
                <w:color w:val="000000"/>
                <w:sz w:val="22"/>
                <w:szCs w:val="22"/>
              </w:rPr>
            </w:pPr>
            <w:r>
              <w:rPr>
                <w:rFonts w:ascii="Calibri" w:hAnsi="Calibri"/>
                <w:b/>
                <w:bCs/>
                <w:color w:val="000000"/>
                <w:sz w:val="22"/>
                <w:szCs w:val="22"/>
              </w:rPr>
              <w:t>JIHOMORAVSKÝ KRAJ</w:t>
            </w:r>
          </w:p>
        </w:tc>
        <w:tc>
          <w:tcPr>
            <w:tcW w:w="1276"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A44A2C" w:rsidTr="00740A6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obyvatel kraje</w:t>
            </w:r>
          </w:p>
        </w:tc>
        <w:tc>
          <w:tcPr>
            <w:tcW w:w="1276" w:type="dxa"/>
            <w:tcBorders>
              <w:top w:val="nil"/>
              <w:left w:val="nil"/>
              <w:bottom w:val="nil"/>
              <w:right w:val="nil"/>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1 170 561</w:t>
            </w:r>
          </w:p>
        </w:tc>
        <w:tc>
          <w:tcPr>
            <w:tcW w:w="1559"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A44A2C" w:rsidTr="00740A6E">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lůžek v kraji</w:t>
            </w:r>
          </w:p>
        </w:tc>
        <w:tc>
          <w:tcPr>
            <w:tcW w:w="1276" w:type="dxa"/>
            <w:tcBorders>
              <w:top w:val="single" w:sz="4" w:space="0" w:color="auto"/>
              <w:left w:val="nil"/>
              <w:bottom w:val="nil"/>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7 297</w:t>
            </w:r>
          </w:p>
        </w:tc>
        <w:tc>
          <w:tcPr>
            <w:tcW w:w="1559"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FE05B3" w:rsidTr="00740A6E">
        <w:trPr>
          <w:trHeight w:val="1478"/>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44A2C" w:rsidRDefault="00A44A2C">
            <w:pPr>
              <w:rPr>
                <w:rFonts w:ascii="Calibri" w:hAnsi="Calibri"/>
                <w:color w:val="000000"/>
                <w:sz w:val="22"/>
                <w:szCs w:val="22"/>
              </w:rPr>
            </w:pPr>
            <w:r>
              <w:rPr>
                <w:rFonts w:ascii="Calibri" w:hAnsi="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Splňuje kritéria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B36F8F">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 spádovostí</w:t>
            </w:r>
          </w:p>
        </w:tc>
      </w:tr>
      <w:tr w:rsidR="00F3664A" w:rsidTr="00740A6E">
        <w:trPr>
          <w:trHeight w:val="683"/>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Nemocnice Kyjov, p.</w:t>
            </w:r>
            <w:r w:rsidR="00C36C18">
              <w:rPr>
                <w:rFonts w:ascii="Calibri" w:hAnsi="Calibri"/>
                <w:color w:val="000000"/>
                <w:sz w:val="22"/>
                <w:szCs w:val="22"/>
              </w:rPr>
              <w:t xml:space="preserve"> </w:t>
            </w:r>
            <w:r>
              <w:rPr>
                <w:rFonts w:ascii="Calibri" w:hAnsi="Calibri"/>
                <w:color w:val="000000"/>
                <w:sz w:val="22"/>
                <w:szCs w:val="22"/>
              </w:rPr>
              <w:t>o.</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1,92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2,06</w:t>
            </w:r>
          </w:p>
        </w:tc>
        <w:tc>
          <w:tcPr>
            <w:tcW w:w="1418" w:type="dxa"/>
            <w:tcBorders>
              <w:top w:val="nil"/>
              <w:left w:val="nil"/>
              <w:bottom w:val="nil"/>
              <w:right w:val="nil"/>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(19,47%)/ chirurgie (19,26%)</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rehabilitační (4,72%)</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(4,98%)</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neonatologie</w:t>
            </w:r>
          </w:p>
        </w:tc>
      </w:tr>
      <w:tr w:rsidR="00F3664A"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Nemocnice Vyškov, p.</w:t>
            </w:r>
            <w:r w:rsidR="00C36C18">
              <w:rPr>
                <w:rFonts w:ascii="Calibri" w:hAnsi="Calibri"/>
                <w:color w:val="000000"/>
                <w:sz w:val="22"/>
                <w:szCs w:val="22"/>
              </w:rPr>
              <w:t xml:space="preserve"> </w:t>
            </w:r>
            <w:r>
              <w:rPr>
                <w:rFonts w:ascii="Calibri" w:hAnsi="Calibri"/>
                <w:color w:val="000000"/>
                <w:sz w:val="22"/>
                <w:szCs w:val="22"/>
              </w:rPr>
              <w:t>o.</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4,93</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4,58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(22,87%)</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rehabilitační (18,78%)</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geriatrie (17,85%)</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gynekologie</w:t>
            </w:r>
          </w:p>
        </w:tc>
      </w:tr>
      <w:tr w:rsidR="00F3664A"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Nemocnice Znojmo, p.</w:t>
            </w:r>
            <w:r w:rsidR="00C36C18">
              <w:rPr>
                <w:rFonts w:ascii="Calibri" w:hAnsi="Calibri"/>
                <w:color w:val="000000"/>
                <w:sz w:val="22"/>
                <w:szCs w:val="22"/>
              </w:rPr>
              <w:t xml:space="preserve"> </w:t>
            </w:r>
            <w:r>
              <w:rPr>
                <w:rFonts w:ascii="Calibri" w:hAnsi="Calibri"/>
                <w:color w:val="000000"/>
                <w:sz w:val="22"/>
                <w:szCs w:val="22"/>
              </w:rPr>
              <w:t>o.</w:t>
            </w:r>
          </w:p>
        </w:tc>
        <w:tc>
          <w:tcPr>
            <w:tcW w:w="1276" w:type="dxa"/>
            <w:tcBorders>
              <w:top w:val="nil"/>
              <w:left w:val="nil"/>
              <w:bottom w:val="single" w:sz="4" w:space="0" w:color="auto"/>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0,88</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0,41</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chirurgie (18,34%)</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geriatrie (3,23%)</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(1,60%)</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interna, ortopedie</w:t>
            </w:r>
          </w:p>
        </w:tc>
      </w:tr>
      <w:tr w:rsidR="00F3664A" w:rsidTr="00740A6E">
        <w:trPr>
          <w:trHeight w:val="12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Nemocnice Břeclav, p.</w:t>
            </w:r>
            <w:r w:rsidR="00C36C18">
              <w:rPr>
                <w:rFonts w:ascii="Calibri" w:hAnsi="Calibri"/>
                <w:color w:val="000000"/>
                <w:sz w:val="22"/>
                <w:szCs w:val="22"/>
              </w:rPr>
              <w:t xml:space="preserve"> </w:t>
            </w:r>
            <w:r>
              <w:rPr>
                <w:rFonts w:ascii="Calibri" w:hAnsi="Calibri"/>
                <w:color w:val="000000"/>
                <w:sz w:val="22"/>
                <w:szCs w:val="22"/>
              </w:rPr>
              <w:t>o.</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1,72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2,00</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chirurgie (22,22%)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neurologie (4,27%)</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neurologie (6,54%)</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neonatologie, ortopedie, rehabilitace</w:t>
            </w:r>
          </w:p>
        </w:tc>
      </w:tr>
    </w:tbl>
    <w:p w:rsidR="00F3664A" w:rsidRDefault="00F3664A" w:rsidP="00B34B0D">
      <w:pPr>
        <w:rPr>
          <w:color w:val="FF0000"/>
        </w:rPr>
      </w:pPr>
    </w:p>
    <w:p w:rsidR="00F3664A" w:rsidRDefault="00F3664A" w:rsidP="00F3664A">
      <w:r>
        <w:br w:type="page"/>
      </w:r>
    </w:p>
    <w:p w:rsidR="00A44A2C" w:rsidRDefault="00A44A2C" w:rsidP="00B34B0D">
      <w:pPr>
        <w:rPr>
          <w:color w:val="FF0000"/>
        </w:rPr>
      </w:pPr>
    </w:p>
    <w:p w:rsidR="00A44A2C" w:rsidRDefault="00A44A2C"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276"/>
        <w:gridCol w:w="1559"/>
        <w:gridCol w:w="1701"/>
        <w:gridCol w:w="1418"/>
        <w:gridCol w:w="1701"/>
        <w:gridCol w:w="1984"/>
        <w:gridCol w:w="1843"/>
      </w:tblGrid>
      <w:tr w:rsidR="00F3664A"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b/>
                <w:bCs/>
                <w:color w:val="000000"/>
                <w:sz w:val="22"/>
                <w:szCs w:val="22"/>
              </w:rPr>
            </w:pPr>
            <w:r>
              <w:rPr>
                <w:rFonts w:ascii="Calibri" w:hAnsi="Calibri"/>
                <w:b/>
                <w:bCs/>
                <w:color w:val="000000"/>
                <w:sz w:val="22"/>
                <w:szCs w:val="22"/>
              </w:rPr>
              <w:t>KARLOVARSKÝ KRAJ</w:t>
            </w:r>
          </w:p>
        </w:tc>
        <w:tc>
          <w:tcPr>
            <w:tcW w:w="1276"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A44A2C" w:rsidTr="00740A6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obyvatel kraje</w:t>
            </w:r>
          </w:p>
        </w:tc>
        <w:tc>
          <w:tcPr>
            <w:tcW w:w="1276" w:type="dxa"/>
            <w:tcBorders>
              <w:top w:val="single" w:sz="4" w:space="0" w:color="auto"/>
              <w:left w:val="nil"/>
              <w:bottom w:val="nil"/>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 xml:space="preserve">299 712 </w:t>
            </w:r>
          </w:p>
        </w:tc>
        <w:tc>
          <w:tcPr>
            <w:tcW w:w="1559"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A44A2C" w:rsidTr="00740A6E">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lůžek v kraji</w:t>
            </w:r>
          </w:p>
        </w:tc>
        <w:tc>
          <w:tcPr>
            <w:tcW w:w="1276" w:type="dxa"/>
            <w:tcBorders>
              <w:top w:val="single" w:sz="4" w:space="0" w:color="auto"/>
              <w:left w:val="nil"/>
              <w:bottom w:val="nil"/>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1 487</w:t>
            </w:r>
          </w:p>
        </w:tc>
        <w:tc>
          <w:tcPr>
            <w:tcW w:w="1559"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F3664A" w:rsidTr="00740A6E">
        <w:trPr>
          <w:trHeight w:val="1489"/>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44A2C" w:rsidRDefault="00A44A2C">
            <w:pPr>
              <w:rPr>
                <w:rFonts w:ascii="Calibri" w:hAnsi="Calibri"/>
                <w:color w:val="000000"/>
                <w:sz w:val="22"/>
                <w:szCs w:val="22"/>
              </w:rPr>
            </w:pPr>
            <w:r>
              <w:rPr>
                <w:rFonts w:ascii="Calibri" w:hAnsi="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Splňuje kritéria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rsidP="00FE05B3">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 spádovostí</w:t>
            </w:r>
          </w:p>
        </w:tc>
      </w:tr>
      <w:tr w:rsidR="00F3664A" w:rsidTr="00740A6E">
        <w:trPr>
          <w:trHeight w:val="900"/>
        </w:trPr>
        <w:tc>
          <w:tcPr>
            <w:tcW w:w="2273" w:type="dxa"/>
            <w:tcBorders>
              <w:top w:val="nil"/>
              <w:left w:val="single" w:sz="4" w:space="0" w:color="auto"/>
              <w:bottom w:val="nil"/>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Karlovarská krajská nemocnice  a.s.</w:t>
            </w:r>
            <w:r>
              <w:rPr>
                <w:rFonts w:ascii="Calibri" w:hAnsi="Calibri"/>
                <w:color w:val="000000"/>
                <w:sz w:val="22"/>
                <w:szCs w:val="22"/>
              </w:rPr>
              <w:br/>
              <w:t>Nemocnice v Chebu</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2,43</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c>
          <w:tcPr>
            <w:tcW w:w="1418" w:type="dxa"/>
            <w:tcBorders>
              <w:top w:val="nil"/>
              <w:left w:val="nil"/>
              <w:bottom w:val="nil"/>
              <w:right w:val="nil"/>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(28,33%)</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(7,26%)</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klinická onkologie</w:t>
            </w:r>
          </w:p>
        </w:tc>
      </w:tr>
      <w:tr w:rsidR="00F3664A" w:rsidTr="00740A6E">
        <w:trPr>
          <w:trHeight w:val="960"/>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Karlovarská krajská nemocnice  a.s.</w:t>
            </w:r>
            <w:r>
              <w:rPr>
                <w:rFonts w:ascii="Calibri" w:hAnsi="Calibri"/>
                <w:color w:val="000000"/>
                <w:sz w:val="22"/>
                <w:szCs w:val="22"/>
              </w:rPr>
              <w:br/>
              <w:t>Nemocnice v Karlových Varech</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6,34</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4,57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dětské lékařství (16,84%)</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neurologie (23,77%)</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kardiologie (12,89%)</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neonatologie</w:t>
            </w:r>
          </w:p>
        </w:tc>
      </w:tr>
      <w:tr w:rsidR="00F3664A" w:rsidTr="00740A6E">
        <w:trPr>
          <w:trHeight w:val="649"/>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nemocnice Mariánské Lázně</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0A5C5C" w:rsidP="00FE05B3">
            <w:pPr>
              <w:rPr>
                <w:rFonts w:ascii="Calibri" w:hAnsi="Calibri"/>
                <w:color w:val="000000"/>
                <w:sz w:val="22"/>
                <w:szCs w:val="22"/>
              </w:rPr>
            </w:pPr>
            <w:r>
              <w:rPr>
                <w:rFonts w:ascii="Calibri" w:hAnsi="Calibri"/>
                <w:color w:val="000000"/>
                <w:sz w:val="22"/>
                <w:szCs w:val="22"/>
              </w:rPr>
              <w:t>NE - kraj požaduje výjimku</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(23,74%)</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x</w:t>
            </w:r>
          </w:p>
        </w:tc>
      </w:tr>
      <w:tr w:rsidR="00F3664A" w:rsidTr="00740A6E">
        <w:trPr>
          <w:trHeight w:val="649"/>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NEMOS Plus - NEMOCNICE OSTROV</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4,57</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5,99</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chirurgie (24,36%)</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rehabilitační (16,57%)</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(21,61%)</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gynekologie</w:t>
            </w:r>
          </w:p>
        </w:tc>
      </w:tr>
      <w:tr w:rsidR="00F3664A" w:rsidTr="00740A6E">
        <w:trPr>
          <w:trHeight w:val="1058"/>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NEMOS SOKOLOV s.r.o. - nemocnice Sokolov</w:t>
            </w:r>
          </w:p>
        </w:tc>
        <w:tc>
          <w:tcPr>
            <w:tcW w:w="1276"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6,47</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13,56</w:t>
            </w:r>
          </w:p>
        </w:tc>
        <w:tc>
          <w:tcPr>
            <w:tcW w:w="1418"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dětské lékařství (21,26 %)</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rsidP="006C62F6">
            <w:pPr>
              <w:rPr>
                <w:rFonts w:ascii="Calibri" w:hAnsi="Calibri"/>
                <w:color w:val="000000"/>
                <w:sz w:val="22"/>
                <w:szCs w:val="22"/>
              </w:rPr>
            </w:pPr>
            <w:r>
              <w:rPr>
                <w:rFonts w:ascii="Calibri" w:hAnsi="Calibri"/>
                <w:color w:val="000000"/>
                <w:sz w:val="22"/>
                <w:szCs w:val="22"/>
              </w:rPr>
              <w:t>anesteziol</w:t>
            </w:r>
            <w:r w:rsidR="006C62F6">
              <w:rPr>
                <w:rFonts w:ascii="Calibri" w:hAnsi="Calibri"/>
                <w:color w:val="000000"/>
                <w:sz w:val="22"/>
                <w:szCs w:val="22"/>
              </w:rPr>
              <w:t>o</w:t>
            </w:r>
            <w:r w:rsidR="00821A55">
              <w:rPr>
                <w:rFonts w:ascii="Calibri" w:hAnsi="Calibri"/>
                <w:color w:val="000000"/>
                <w:sz w:val="22"/>
                <w:szCs w:val="22"/>
              </w:rPr>
              <w:t xml:space="preserve">gie </w:t>
            </w:r>
            <w:r>
              <w:rPr>
                <w:rFonts w:ascii="Calibri" w:hAnsi="Calibri"/>
                <w:color w:val="000000"/>
                <w:sz w:val="22"/>
                <w:szCs w:val="22"/>
              </w:rPr>
              <w:t>(31%)</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6C62F6">
            <w:pPr>
              <w:rPr>
                <w:rFonts w:ascii="Calibri" w:hAnsi="Calibri"/>
                <w:color w:val="000000"/>
                <w:sz w:val="22"/>
                <w:szCs w:val="22"/>
              </w:rPr>
            </w:pPr>
            <w:r>
              <w:rPr>
                <w:rFonts w:ascii="Calibri" w:hAnsi="Calibri"/>
                <w:color w:val="000000"/>
                <w:sz w:val="22"/>
                <w:szCs w:val="22"/>
              </w:rPr>
              <w:t>anesteziolo</w:t>
            </w:r>
            <w:r w:rsidR="00A44A2C">
              <w:rPr>
                <w:rFonts w:ascii="Calibri" w:hAnsi="Calibri"/>
                <w:color w:val="000000"/>
                <w:sz w:val="22"/>
                <w:szCs w:val="22"/>
              </w:rPr>
              <w:t>gie (50%)</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ortopedie</w:t>
            </w:r>
          </w:p>
        </w:tc>
      </w:tr>
    </w:tbl>
    <w:p w:rsidR="00F3664A" w:rsidRDefault="00F3664A" w:rsidP="00B34B0D">
      <w:pPr>
        <w:rPr>
          <w:color w:val="FF0000"/>
        </w:rPr>
      </w:pPr>
    </w:p>
    <w:p w:rsidR="00F3664A" w:rsidRDefault="00F3664A" w:rsidP="00F3664A">
      <w:r>
        <w:br w:type="page"/>
      </w:r>
    </w:p>
    <w:p w:rsidR="00A44A2C" w:rsidRDefault="00A44A2C"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600"/>
        <w:gridCol w:w="676"/>
        <w:gridCol w:w="600"/>
        <w:gridCol w:w="959"/>
        <w:gridCol w:w="1701"/>
        <w:gridCol w:w="1418"/>
        <w:gridCol w:w="1701"/>
        <w:gridCol w:w="1984"/>
        <w:gridCol w:w="1843"/>
      </w:tblGrid>
      <w:tr w:rsidR="00F3664A" w:rsidTr="00740A6E">
        <w:trPr>
          <w:gridAfter w:val="6"/>
          <w:wAfter w:w="9606" w:type="dxa"/>
          <w:trHeight w:val="300"/>
        </w:trPr>
        <w:tc>
          <w:tcPr>
            <w:tcW w:w="2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64A" w:rsidRDefault="00F3664A" w:rsidP="008E6276">
            <w:pPr>
              <w:rPr>
                <w:rFonts w:ascii="Calibri" w:hAnsi="Calibri"/>
                <w:b/>
                <w:bCs/>
                <w:color w:val="000000"/>
                <w:sz w:val="22"/>
                <w:szCs w:val="22"/>
              </w:rPr>
            </w:pPr>
            <w:r>
              <w:rPr>
                <w:rFonts w:ascii="Calibri" w:hAnsi="Calibri"/>
                <w:b/>
                <w:bCs/>
                <w:color w:val="000000"/>
                <w:sz w:val="22"/>
                <w:szCs w:val="22"/>
              </w:rPr>
              <w:t>ZLÍNSKÝ KRAJ</w:t>
            </w:r>
          </w:p>
        </w:tc>
        <w:tc>
          <w:tcPr>
            <w:tcW w:w="1276" w:type="dxa"/>
            <w:gridSpan w:val="2"/>
            <w:tcBorders>
              <w:top w:val="nil"/>
              <w:left w:val="nil"/>
              <w:bottom w:val="nil"/>
              <w:right w:val="nil"/>
            </w:tcBorders>
            <w:shd w:val="clear" w:color="auto" w:fill="auto"/>
            <w:noWrap/>
            <w:vAlign w:val="bottom"/>
            <w:hideMark/>
          </w:tcPr>
          <w:p w:rsidR="00F3664A" w:rsidRDefault="00F3664A" w:rsidP="008E6276">
            <w:pPr>
              <w:rPr>
                <w:rFonts w:ascii="Calibri" w:hAnsi="Calibri"/>
                <w:color w:val="000000"/>
                <w:sz w:val="22"/>
                <w:szCs w:val="22"/>
              </w:rPr>
            </w:pPr>
          </w:p>
        </w:tc>
      </w:tr>
      <w:tr w:rsidR="00F3664A"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obyvatel kraje</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588 299</w:t>
            </w:r>
          </w:p>
        </w:tc>
        <w:tc>
          <w:tcPr>
            <w:tcW w:w="1559" w:type="dxa"/>
            <w:gridSpan w:val="2"/>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F3664A" w:rsidTr="00740A6E">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Počet lůžek v kraji</w:t>
            </w:r>
          </w:p>
        </w:tc>
        <w:tc>
          <w:tcPr>
            <w:tcW w:w="1276" w:type="dxa"/>
            <w:gridSpan w:val="2"/>
            <w:tcBorders>
              <w:top w:val="nil"/>
              <w:left w:val="nil"/>
              <w:bottom w:val="nil"/>
              <w:right w:val="single" w:sz="4" w:space="0" w:color="auto"/>
            </w:tcBorders>
            <w:shd w:val="clear" w:color="auto" w:fill="auto"/>
            <w:noWrap/>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2 849</w:t>
            </w:r>
          </w:p>
        </w:tc>
        <w:tc>
          <w:tcPr>
            <w:tcW w:w="1559" w:type="dxa"/>
            <w:gridSpan w:val="2"/>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A44A2C" w:rsidRDefault="00A44A2C">
            <w:pPr>
              <w:rPr>
                <w:rFonts w:ascii="Calibri" w:hAnsi="Calibri"/>
                <w:color w:val="000000"/>
                <w:sz w:val="22"/>
                <w:szCs w:val="22"/>
              </w:rPr>
            </w:pPr>
          </w:p>
        </w:tc>
      </w:tr>
      <w:tr w:rsidR="00F3664A" w:rsidTr="00740A6E">
        <w:trPr>
          <w:trHeight w:val="1500"/>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A44A2C" w:rsidRDefault="00A44A2C">
            <w:pPr>
              <w:rPr>
                <w:rFonts w:ascii="Calibri" w:hAnsi="Calibri"/>
                <w:color w:val="000000"/>
                <w:sz w:val="22"/>
                <w:szCs w:val="22"/>
              </w:rPr>
            </w:pPr>
            <w:r>
              <w:rPr>
                <w:rFonts w:ascii="Calibri" w:hAnsi="Calibri"/>
                <w:color w:val="000000"/>
                <w:sz w:val="22"/>
                <w:szCs w:val="22"/>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Splňuje kritéria</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rsidR="00A44A2C" w:rsidRDefault="006C62F6">
            <w:pPr>
              <w:rPr>
                <w:rFonts w:ascii="Calibri" w:hAnsi="Calibri"/>
                <w:color w:val="000000"/>
                <w:sz w:val="22"/>
                <w:szCs w:val="22"/>
              </w:rPr>
            </w:pPr>
            <w:r>
              <w:rPr>
                <w:rFonts w:ascii="Calibri" w:hAnsi="Calibri"/>
                <w:color w:val="000000"/>
                <w:sz w:val="22"/>
                <w:szCs w:val="22"/>
              </w:rPr>
              <w:t xml:space="preserve">Podíl pacientů </w:t>
            </w:r>
            <w:r w:rsidR="00A44A2C">
              <w:rPr>
                <w:rFonts w:ascii="Calibri" w:hAnsi="Calibri"/>
                <w:color w:val="000000"/>
                <w:sz w:val="22"/>
                <w:szCs w:val="22"/>
              </w:rPr>
              <w:t>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Obor s největší spádovostí</w:t>
            </w:r>
          </w:p>
        </w:tc>
      </w:tr>
      <w:tr w:rsidR="00F3664A" w:rsidTr="00740A6E">
        <w:trPr>
          <w:trHeight w:val="960"/>
        </w:trPr>
        <w:tc>
          <w:tcPr>
            <w:tcW w:w="2273" w:type="dxa"/>
            <w:tcBorders>
              <w:top w:val="nil"/>
              <w:left w:val="single" w:sz="4" w:space="0" w:color="auto"/>
              <w:bottom w:val="nil"/>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Kroměřížská nemocnice a.s.</w:t>
            </w:r>
          </w:p>
        </w:tc>
        <w:tc>
          <w:tcPr>
            <w:tcW w:w="1276" w:type="dxa"/>
            <w:gridSpan w:val="2"/>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gridSpan w:val="2"/>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4,00</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7,00</w:t>
            </w:r>
          </w:p>
        </w:tc>
        <w:tc>
          <w:tcPr>
            <w:tcW w:w="1418" w:type="dxa"/>
            <w:tcBorders>
              <w:top w:val="nil"/>
              <w:left w:val="nil"/>
              <w:bottom w:val="nil"/>
              <w:right w:val="nil"/>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(28,21%)</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(19,27%)</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(14,96%)</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urologie</w:t>
            </w:r>
          </w:p>
        </w:tc>
      </w:tr>
      <w:tr w:rsidR="00F3664A" w:rsidTr="00740A6E">
        <w:trPr>
          <w:trHeight w:val="960"/>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Krajská nemocnice T. Bati, a.s. Zlín</w:t>
            </w:r>
          </w:p>
        </w:tc>
        <w:tc>
          <w:tcPr>
            <w:tcW w:w="1276" w:type="dxa"/>
            <w:gridSpan w:val="2"/>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gridSpan w:val="2"/>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3,32</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3,11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(24,61%)</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rehabilitační (16,67%)</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neurochirurgie (11,67%)</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neurochirurgie</w:t>
            </w:r>
          </w:p>
        </w:tc>
      </w:tr>
      <w:tr w:rsidR="00F3664A" w:rsidTr="00740A6E">
        <w:trPr>
          <w:trHeight w:val="96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Uherskohradišťská nemocnice, a. s.</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44A2C" w:rsidRDefault="00A44A2C">
            <w:pPr>
              <w:rPr>
                <w:rFonts w:ascii="Calibri" w:hAnsi="Calibri"/>
                <w:color w:val="000000"/>
                <w:sz w:val="22"/>
                <w:szCs w:val="22"/>
              </w:rPr>
            </w:pPr>
            <w:r>
              <w:rPr>
                <w:rFonts w:ascii="Calibri" w:hAnsi="Calibri"/>
                <w:color w:val="000000"/>
                <w:sz w:val="22"/>
                <w:szCs w:val="22"/>
              </w:rPr>
              <w:t>Ano</w:t>
            </w:r>
          </w:p>
        </w:tc>
        <w:tc>
          <w:tcPr>
            <w:tcW w:w="1559" w:type="dxa"/>
            <w:gridSpan w:val="2"/>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1,65</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6,30</w:t>
            </w:r>
          </w:p>
        </w:tc>
        <w:tc>
          <w:tcPr>
            <w:tcW w:w="1418" w:type="dxa"/>
            <w:tcBorders>
              <w:top w:val="nil"/>
              <w:left w:val="nil"/>
              <w:bottom w:val="nil"/>
              <w:right w:val="nil"/>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(28%)</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(6,48%)</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E850A1">
            <w:pPr>
              <w:rPr>
                <w:rFonts w:ascii="Calibri" w:hAnsi="Calibri"/>
                <w:color w:val="000000"/>
                <w:sz w:val="22"/>
                <w:szCs w:val="22"/>
              </w:rPr>
            </w:pPr>
            <w:r>
              <w:rPr>
                <w:rFonts w:ascii="Calibri" w:hAnsi="Calibri"/>
                <w:color w:val="000000"/>
                <w:sz w:val="22"/>
                <w:szCs w:val="22"/>
              </w:rPr>
              <w:t>A</w:t>
            </w:r>
            <w:r w:rsidR="00A44A2C">
              <w:rPr>
                <w:rFonts w:ascii="Calibri" w:hAnsi="Calibri"/>
                <w:color w:val="000000"/>
                <w:sz w:val="22"/>
                <w:szCs w:val="22"/>
              </w:rPr>
              <w:t>nesteziologie</w:t>
            </w:r>
            <w:r>
              <w:rPr>
                <w:rFonts w:ascii="Calibri" w:hAnsi="Calibri"/>
                <w:color w:val="000000"/>
                <w:sz w:val="22"/>
                <w:szCs w:val="22"/>
              </w:rPr>
              <w:t xml:space="preserve"> </w:t>
            </w:r>
            <w:r w:rsidR="00A44A2C">
              <w:rPr>
                <w:rFonts w:ascii="Calibri" w:hAnsi="Calibri"/>
                <w:color w:val="000000"/>
                <w:sz w:val="22"/>
                <w:szCs w:val="22"/>
              </w:rPr>
              <w:t>(22,22%)</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neonatologie</w:t>
            </w:r>
          </w:p>
        </w:tc>
      </w:tr>
      <w:tr w:rsidR="00F3664A" w:rsidTr="00740A6E">
        <w:trPr>
          <w:trHeight w:val="96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Vsetínská nemocnice a.s.</w:t>
            </w:r>
          </w:p>
        </w:tc>
        <w:tc>
          <w:tcPr>
            <w:tcW w:w="1276" w:type="dxa"/>
            <w:gridSpan w:val="2"/>
            <w:tcBorders>
              <w:top w:val="nil"/>
              <w:left w:val="nil"/>
              <w:bottom w:val="single" w:sz="4" w:space="0" w:color="auto"/>
              <w:right w:val="single" w:sz="4" w:space="0" w:color="auto"/>
            </w:tcBorders>
            <w:shd w:val="clear" w:color="auto" w:fill="auto"/>
            <w:vAlign w:val="bottom"/>
            <w:hideMark/>
          </w:tcPr>
          <w:p w:rsidR="00A44A2C" w:rsidRDefault="000A5C5C" w:rsidP="002D430C">
            <w:pPr>
              <w:rPr>
                <w:rFonts w:ascii="Calibri" w:hAnsi="Calibri"/>
                <w:color w:val="000000"/>
                <w:sz w:val="22"/>
                <w:szCs w:val="22"/>
              </w:rPr>
            </w:pPr>
            <w:r>
              <w:rPr>
                <w:rFonts w:ascii="Calibri" w:hAnsi="Calibri"/>
                <w:color w:val="000000"/>
                <w:sz w:val="22"/>
                <w:szCs w:val="22"/>
              </w:rPr>
              <w:t>NE - kraj požaduje výjimku</w:t>
            </w:r>
          </w:p>
        </w:tc>
        <w:tc>
          <w:tcPr>
            <w:tcW w:w="1559" w:type="dxa"/>
            <w:gridSpan w:val="2"/>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jc w:val="right"/>
              <w:rPr>
                <w:rFonts w:ascii="Calibri" w:hAnsi="Calibri"/>
                <w:color w:val="000000"/>
                <w:sz w:val="22"/>
                <w:szCs w:val="22"/>
              </w:rPr>
            </w:pPr>
            <w:r>
              <w:rPr>
                <w:rFonts w:ascii="Calibri" w:hAnsi="Calibri"/>
                <w:color w:val="000000"/>
                <w:sz w:val="22"/>
                <w:szCs w:val="22"/>
              </w:rPr>
              <w:t>12,92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vnitřní lékařství (27,35%)</w:t>
            </w:r>
          </w:p>
        </w:tc>
        <w:tc>
          <w:tcPr>
            <w:tcW w:w="1701"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(15%)</w:t>
            </w:r>
          </w:p>
        </w:tc>
        <w:tc>
          <w:tcPr>
            <w:tcW w:w="1984"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anesteziologie (26,25%)</w:t>
            </w:r>
          </w:p>
        </w:tc>
        <w:tc>
          <w:tcPr>
            <w:tcW w:w="1843" w:type="dxa"/>
            <w:tcBorders>
              <w:top w:val="nil"/>
              <w:left w:val="nil"/>
              <w:bottom w:val="single" w:sz="4" w:space="0" w:color="auto"/>
              <w:right w:val="single" w:sz="4" w:space="0" w:color="auto"/>
            </w:tcBorders>
            <w:shd w:val="clear" w:color="auto" w:fill="auto"/>
            <w:vAlign w:val="bottom"/>
            <w:hideMark/>
          </w:tcPr>
          <w:p w:rsidR="00A44A2C" w:rsidRDefault="00A44A2C">
            <w:pPr>
              <w:rPr>
                <w:rFonts w:ascii="Calibri" w:hAnsi="Calibri"/>
                <w:color w:val="000000"/>
                <w:sz w:val="22"/>
                <w:szCs w:val="22"/>
              </w:rPr>
            </w:pPr>
            <w:r>
              <w:rPr>
                <w:rFonts w:ascii="Calibri" w:hAnsi="Calibri"/>
                <w:color w:val="000000"/>
                <w:sz w:val="22"/>
                <w:szCs w:val="22"/>
              </w:rPr>
              <w:t>ortopedie</w:t>
            </w:r>
          </w:p>
        </w:tc>
      </w:tr>
    </w:tbl>
    <w:p w:rsidR="00A44A2C" w:rsidRDefault="00A44A2C" w:rsidP="00B34B0D">
      <w:pPr>
        <w:rPr>
          <w:color w:val="FF0000"/>
        </w:rPr>
      </w:pPr>
    </w:p>
    <w:p w:rsidR="00F3664A" w:rsidRDefault="00F3664A">
      <w:pPr>
        <w:rPr>
          <w:color w:val="FF0000"/>
        </w:rPr>
      </w:pPr>
      <w:r>
        <w:rPr>
          <w:color w:val="FF0000"/>
        </w:rPr>
        <w:br w:type="page"/>
      </w:r>
    </w:p>
    <w:p w:rsidR="00A44A2C" w:rsidRDefault="00A44A2C"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276"/>
        <w:gridCol w:w="1559"/>
        <w:gridCol w:w="1701"/>
        <w:gridCol w:w="1418"/>
        <w:gridCol w:w="1701"/>
        <w:gridCol w:w="1984"/>
        <w:gridCol w:w="1843"/>
      </w:tblGrid>
      <w:tr w:rsidR="00464E92"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E92" w:rsidRDefault="00464E92">
            <w:pPr>
              <w:rPr>
                <w:rFonts w:ascii="Calibri" w:hAnsi="Calibri"/>
                <w:b/>
                <w:bCs/>
                <w:color w:val="000000"/>
                <w:sz w:val="22"/>
                <w:szCs w:val="22"/>
              </w:rPr>
            </w:pPr>
            <w:r>
              <w:rPr>
                <w:rFonts w:ascii="Calibri" w:hAnsi="Calibri"/>
                <w:b/>
                <w:bCs/>
                <w:color w:val="000000"/>
                <w:sz w:val="22"/>
                <w:szCs w:val="22"/>
              </w:rPr>
              <w:t>LIBERECKÝ KRAJ</w:t>
            </w:r>
          </w:p>
        </w:tc>
        <w:tc>
          <w:tcPr>
            <w:tcW w:w="1276"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r>
      <w:tr w:rsidR="00464E92" w:rsidTr="00740A6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464E92" w:rsidRDefault="00464E92">
            <w:pPr>
              <w:rPr>
                <w:rFonts w:ascii="Calibri" w:hAnsi="Calibri"/>
                <w:color w:val="000000"/>
                <w:sz w:val="22"/>
                <w:szCs w:val="22"/>
              </w:rPr>
            </w:pPr>
            <w:r>
              <w:rPr>
                <w:rFonts w:ascii="Calibri" w:hAnsi="Calibri"/>
                <w:color w:val="000000"/>
                <w:sz w:val="22"/>
                <w:szCs w:val="22"/>
              </w:rPr>
              <w:t>Počet obyvatel kraje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438 606</w:t>
            </w:r>
          </w:p>
        </w:tc>
        <w:tc>
          <w:tcPr>
            <w:tcW w:w="1559"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r>
      <w:tr w:rsidR="00464E92" w:rsidTr="00740A6E">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464E92" w:rsidRDefault="00464E92">
            <w:pPr>
              <w:rPr>
                <w:rFonts w:ascii="Calibri" w:hAnsi="Calibri"/>
                <w:color w:val="000000"/>
                <w:sz w:val="22"/>
                <w:szCs w:val="22"/>
              </w:rPr>
            </w:pPr>
            <w:r>
              <w:rPr>
                <w:rFonts w:ascii="Calibri" w:hAnsi="Calibri"/>
                <w:color w:val="000000"/>
                <w:sz w:val="22"/>
                <w:szCs w:val="22"/>
              </w:rPr>
              <w:t>Počet lůžek v kraji</w:t>
            </w:r>
          </w:p>
        </w:tc>
        <w:tc>
          <w:tcPr>
            <w:tcW w:w="1276" w:type="dxa"/>
            <w:tcBorders>
              <w:top w:val="nil"/>
              <w:left w:val="nil"/>
              <w:bottom w:val="nil"/>
              <w:right w:val="single" w:sz="4" w:space="0" w:color="auto"/>
            </w:tcBorders>
            <w:shd w:val="clear" w:color="auto" w:fill="auto"/>
            <w:noWrap/>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2 600</w:t>
            </w:r>
          </w:p>
        </w:tc>
        <w:tc>
          <w:tcPr>
            <w:tcW w:w="1559"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r>
      <w:tr w:rsidR="00464E92" w:rsidTr="00740A6E">
        <w:trPr>
          <w:trHeight w:val="1200"/>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64E92" w:rsidRDefault="00464E92">
            <w:pPr>
              <w:rPr>
                <w:rFonts w:ascii="Calibri" w:hAnsi="Calibri"/>
                <w:color w:val="000000"/>
                <w:sz w:val="22"/>
                <w:szCs w:val="22"/>
              </w:rPr>
            </w:pPr>
            <w:r>
              <w:rPr>
                <w:rFonts w:ascii="Calibri" w:hAnsi="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Splňuje kritéria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464E92" w:rsidRDefault="00F3664A">
            <w:pPr>
              <w:rPr>
                <w:rFonts w:ascii="Calibri" w:hAnsi="Calibri"/>
                <w:color w:val="000000"/>
                <w:sz w:val="22"/>
                <w:szCs w:val="22"/>
              </w:rPr>
            </w:pPr>
            <w:r>
              <w:rPr>
                <w:rFonts w:ascii="Calibri" w:hAnsi="Calibri"/>
                <w:color w:val="000000"/>
                <w:sz w:val="22"/>
                <w:szCs w:val="22"/>
              </w:rPr>
              <w:t xml:space="preserve">Podíl pacientů </w:t>
            </w:r>
            <w:r w:rsidR="00464E92">
              <w:rPr>
                <w:rFonts w:ascii="Calibri" w:hAnsi="Calibri"/>
                <w:color w:val="000000"/>
                <w:sz w:val="22"/>
                <w:szCs w:val="22"/>
              </w:rPr>
              <w:t>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 spádovostí</w:t>
            </w:r>
          </w:p>
        </w:tc>
      </w:tr>
      <w:tr w:rsidR="00464E92" w:rsidTr="00740A6E">
        <w:trPr>
          <w:trHeight w:val="949"/>
        </w:trPr>
        <w:tc>
          <w:tcPr>
            <w:tcW w:w="2273" w:type="dxa"/>
            <w:tcBorders>
              <w:top w:val="nil"/>
              <w:left w:val="single" w:sz="4" w:space="0" w:color="auto"/>
              <w:bottom w:val="nil"/>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Masarykova městská nemocnice v Jilemnici</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0A5C5C">
            <w:pPr>
              <w:rPr>
                <w:rFonts w:ascii="Calibri" w:hAnsi="Calibri"/>
                <w:color w:val="000000"/>
                <w:sz w:val="22"/>
                <w:szCs w:val="22"/>
              </w:rPr>
            </w:pPr>
            <w:r>
              <w:rPr>
                <w:rFonts w:ascii="Calibri" w:hAnsi="Calibri"/>
                <w:color w:val="000000"/>
                <w:sz w:val="22"/>
                <w:szCs w:val="22"/>
              </w:rPr>
              <w:t>NE - kraj požaduje výjimku</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6,23</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12,11</w:t>
            </w:r>
          </w:p>
        </w:tc>
        <w:tc>
          <w:tcPr>
            <w:tcW w:w="1418" w:type="dxa"/>
            <w:tcBorders>
              <w:top w:val="nil"/>
              <w:left w:val="nil"/>
              <w:bottom w:val="nil"/>
              <w:right w:val="nil"/>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dětské lékařství (26,45%)</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(22,73%)</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(37,27%)</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w:t>
            </w:r>
          </w:p>
        </w:tc>
      </w:tr>
      <w:tr w:rsidR="00464E92" w:rsidTr="00740A6E">
        <w:trPr>
          <w:trHeight w:val="949"/>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Nemocnice s poliklinikou Česká Lípa, a. s.</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2,59</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3,47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 xml:space="preserve">vnitřní </w:t>
            </w:r>
            <w:r w:rsidR="008E6276">
              <w:rPr>
                <w:rFonts w:ascii="Calibri" w:hAnsi="Calibri"/>
                <w:color w:val="000000"/>
                <w:sz w:val="22"/>
                <w:szCs w:val="22"/>
              </w:rPr>
              <w:t>L</w:t>
            </w:r>
            <w:r>
              <w:rPr>
                <w:rFonts w:ascii="Calibri" w:hAnsi="Calibri"/>
                <w:color w:val="000000"/>
                <w:sz w:val="22"/>
                <w:szCs w:val="22"/>
              </w:rPr>
              <w:t>ékařství (22,18%)</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821A55">
            <w:pPr>
              <w:rPr>
                <w:rFonts w:ascii="Calibri" w:hAnsi="Calibri"/>
                <w:color w:val="000000"/>
                <w:sz w:val="22"/>
                <w:szCs w:val="22"/>
              </w:rPr>
            </w:pPr>
            <w:r>
              <w:rPr>
                <w:rFonts w:ascii="Calibri" w:hAnsi="Calibri"/>
                <w:color w:val="000000"/>
                <w:sz w:val="22"/>
                <w:szCs w:val="22"/>
              </w:rPr>
              <w:t xml:space="preserve">anesteziologie </w:t>
            </w:r>
            <w:r w:rsidR="00464E92">
              <w:rPr>
                <w:rFonts w:ascii="Calibri" w:hAnsi="Calibri"/>
                <w:color w:val="000000"/>
                <w:sz w:val="22"/>
                <w:szCs w:val="22"/>
              </w:rPr>
              <w:t>(17,14%)</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(10,48%)</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ortopedie</w:t>
            </w:r>
          </w:p>
        </w:tc>
      </w:tr>
      <w:tr w:rsidR="00464E92" w:rsidTr="00740A6E">
        <w:trPr>
          <w:trHeight w:val="949"/>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Nemocnice Jablonec nad Nisou</w:t>
            </w:r>
          </w:p>
        </w:tc>
        <w:tc>
          <w:tcPr>
            <w:tcW w:w="1276" w:type="dxa"/>
            <w:tcBorders>
              <w:top w:val="nil"/>
              <w:left w:val="nil"/>
              <w:bottom w:val="single" w:sz="4" w:space="0" w:color="auto"/>
              <w:right w:val="single" w:sz="4" w:space="0" w:color="auto"/>
            </w:tcBorders>
            <w:shd w:val="clear" w:color="auto" w:fill="auto"/>
            <w:noWrap/>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2,03</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3,05</w:t>
            </w:r>
          </w:p>
        </w:tc>
        <w:tc>
          <w:tcPr>
            <w:tcW w:w="1418" w:type="dxa"/>
            <w:tcBorders>
              <w:top w:val="nil"/>
              <w:left w:val="nil"/>
              <w:bottom w:val="nil"/>
              <w:right w:val="nil"/>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chirurgie (21,5 %)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(6%)</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(8,28%)</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neonatologie</w:t>
            </w:r>
          </w:p>
        </w:tc>
      </w:tr>
      <w:tr w:rsidR="00464E92" w:rsidTr="00740A6E">
        <w:trPr>
          <w:trHeight w:val="132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Krajská nemocnice Liberec, a.s.</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8,70</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6,85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gynekologie (13,17%)</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spondylochirurgie (50%)</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spondylochirurgie (50%)</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orální chirurgie</w:t>
            </w:r>
          </w:p>
        </w:tc>
      </w:tr>
    </w:tbl>
    <w:p w:rsidR="00F3664A" w:rsidRDefault="00F3664A" w:rsidP="00B34B0D">
      <w:pPr>
        <w:rPr>
          <w:color w:val="FF0000"/>
        </w:rPr>
      </w:pPr>
    </w:p>
    <w:p w:rsidR="00F3664A" w:rsidRDefault="00F3664A" w:rsidP="00F3664A">
      <w:r>
        <w:br w:type="page"/>
      </w:r>
    </w:p>
    <w:p w:rsidR="00A44A2C" w:rsidRDefault="00A44A2C" w:rsidP="00B34B0D">
      <w:pPr>
        <w:rPr>
          <w:color w:val="FF0000"/>
        </w:rPr>
      </w:pPr>
    </w:p>
    <w:p w:rsidR="00A44A2C" w:rsidRDefault="00A44A2C"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276"/>
        <w:gridCol w:w="1559"/>
        <w:gridCol w:w="1701"/>
        <w:gridCol w:w="1418"/>
        <w:gridCol w:w="1701"/>
        <w:gridCol w:w="1984"/>
        <w:gridCol w:w="1843"/>
      </w:tblGrid>
      <w:tr w:rsidR="00464E92"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E92" w:rsidRDefault="00464E92">
            <w:pPr>
              <w:rPr>
                <w:rFonts w:ascii="Calibri" w:hAnsi="Calibri"/>
                <w:b/>
                <w:bCs/>
                <w:color w:val="000000"/>
                <w:sz w:val="22"/>
                <w:szCs w:val="22"/>
              </w:rPr>
            </w:pPr>
            <w:r>
              <w:rPr>
                <w:rFonts w:ascii="Calibri" w:hAnsi="Calibri"/>
                <w:b/>
                <w:bCs/>
                <w:color w:val="000000"/>
                <w:sz w:val="22"/>
                <w:szCs w:val="22"/>
              </w:rPr>
              <w:t>OLOMOUCKÝ KRAJ</w:t>
            </w:r>
          </w:p>
        </w:tc>
        <w:tc>
          <w:tcPr>
            <w:tcW w:w="1276"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r>
      <w:tr w:rsidR="00464E92" w:rsidTr="00740A6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464E92" w:rsidRDefault="00464E92">
            <w:pPr>
              <w:rPr>
                <w:rFonts w:ascii="Calibri" w:hAnsi="Calibri"/>
                <w:color w:val="000000"/>
                <w:sz w:val="22"/>
                <w:szCs w:val="22"/>
              </w:rPr>
            </w:pPr>
            <w:r>
              <w:rPr>
                <w:rFonts w:ascii="Calibri" w:hAnsi="Calibri"/>
                <w:color w:val="000000"/>
                <w:sz w:val="22"/>
                <w:szCs w:val="22"/>
              </w:rPr>
              <w:t>Počet obyvatel kraje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636 043</w:t>
            </w:r>
          </w:p>
        </w:tc>
        <w:tc>
          <w:tcPr>
            <w:tcW w:w="1559"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r>
      <w:tr w:rsidR="00464E92" w:rsidTr="00740A6E">
        <w:trPr>
          <w:trHeight w:val="300"/>
        </w:trPr>
        <w:tc>
          <w:tcPr>
            <w:tcW w:w="2273" w:type="dxa"/>
            <w:tcBorders>
              <w:top w:val="nil"/>
              <w:left w:val="single" w:sz="4" w:space="0" w:color="auto"/>
              <w:bottom w:val="nil"/>
              <w:right w:val="single" w:sz="4" w:space="0" w:color="auto"/>
            </w:tcBorders>
            <w:shd w:val="clear" w:color="auto" w:fill="auto"/>
            <w:noWrap/>
            <w:vAlign w:val="bottom"/>
            <w:hideMark/>
          </w:tcPr>
          <w:p w:rsidR="00464E92" w:rsidRDefault="00464E92">
            <w:pPr>
              <w:rPr>
                <w:rFonts w:ascii="Calibri" w:hAnsi="Calibri"/>
                <w:color w:val="000000"/>
                <w:sz w:val="22"/>
                <w:szCs w:val="22"/>
              </w:rPr>
            </w:pPr>
            <w:r>
              <w:rPr>
                <w:rFonts w:ascii="Calibri" w:hAnsi="Calibri"/>
                <w:color w:val="000000"/>
                <w:sz w:val="22"/>
                <w:szCs w:val="22"/>
              </w:rPr>
              <w:t>Počet lůžek v kraji</w:t>
            </w:r>
          </w:p>
        </w:tc>
        <w:tc>
          <w:tcPr>
            <w:tcW w:w="1276" w:type="dxa"/>
            <w:tcBorders>
              <w:top w:val="nil"/>
              <w:left w:val="nil"/>
              <w:bottom w:val="nil"/>
              <w:right w:val="single" w:sz="4" w:space="0" w:color="auto"/>
            </w:tcBorders>
            <w:shd w:val="clear" w:color="auto" w:fill="auto"/>
            <w:noWrap/>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3 112</w:t>
            </w:r>
          </w:p>
        </w:tc>
        <w:tc>
          <w:tcPr>
            <w:tcW w:w="1559"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pPr>
              <w:rPr>
                <w:rFonts w:ascii="Calibri" w:hAnsi="Calibri"/>
                <w:color w:val="000000"/>
                <w:sz w:val="22"/>
                <w:szCs w:val="22"/>
              </w:rPr>
            </w:pPr>
          </w:p>
        </w:tc>
      </w:tr>
      <w:tr w:rsidR="00464E92" w:rsidTr="00740A6E">
        <w:trPr>
          <w:trHeight w:val="1200"/>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64E92" w:rsidRDefault="00464E92">
            <w:pPr>
              <w:rPr>
                <w:rFonts w:ascii="Calibri" w:hAnsi="Calibri"/>
                <w:color w:val="000000"/>
                <w:sz w:val="22"/>
                <w:szCs w:val="22"/>
              </w:rPr>
            </w:pPr>
            <w:r>
              <w:rPr>
                <w:rFonts w:ascii="Calibri" w:hAnsi="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Splňuje kritéria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Obor s největší spádovostí</w:t>
            </w:r>
          </w:p>
        </w:tc>
      </w:tr>
      <w:tr w:rsidR="00464E92" w:rsidTr="00740A6E">
        <w:trPr>
          <w:trHeight w:val="683"/>
        </w:trPr>
        <w:tc>
          <w:tcPr>
            <w:tcW w:w="2273" w:type="dxa"/>
            <w:tcBorders>
              <w:top w:val="nil"/>
              <w:left w:val="single" w:sz="4" w:space="0" w:color="auto"/>
              <w:bottom w:val="nil"/>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Šumperská nemocnice a.s.</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2,90</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6,66</w:t>
            </w:r>
          </w:p>
        </w:tc>
        <w:tc>
          <w:tcPr>
            <w:tcW w:w="1418" w:type="dxa"/>
            <w:tcBorders>
              <w:top w:val="nil"/>
              <w:left w:val="nil"/>
              <w:bottom w:val="nil"/>
              <w:right w:val="nil"/>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(19,54%)</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(10,37%)</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ortopedie (21,10%)</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ortopedie</w:t>
            </w:r>
          </w:p>
        </w:tc>
      </w:tr>
      <w:tr w:rsidR="00464E92" w:rsidTr="00740A6E">
        <w:trPr>
          <w:trHeight w:val="683"/>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SMN a.s., Nemocnice Prostějov</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4,41</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2,40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dětské lékařství (21,37%)</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rehabilitační (11,74%)</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(6,40%)</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rehabilitace</w:t>
            </w:r>
          </w:p>
        </w:tc>
      </w:tr>
      <w:tr w:rsidR="00464E92" w:rsidTr="00740A6E">
        <w:trPr>
          <w:trHeight w:val="683"/>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SMN a.s. - o.</w:t>
            </w:r>
            <w:r w:rsidR="00C36C18">
              <w:rPr>
                <w:rFonts w:ascii="Calibri" w:hAnsi="Calibri"/>
                <w:color w:val="000000"/>
                <w:sz w:val="22"/>
                <w:szCs w:val="22"/>
              </w:rPr>
              <w:t xml:space="preserve"> </w:t>
            </w:r>
            <w:r>
              <w:rPr>
                <w:rFonts w:ascii="Calibri" w:hAnsi="Calibri"/>
                <w:color w:val="000000"/>
                <w:sz w:val="22"/>
                <w:szCs w:val="22"/>
              </w:rPr>
              <w:t>z. Nemocnice Přerov</w:t>
            </w:r>
          </w:p>
        </w:tc>
        <w:tc>
          <w:tcPr>
            <w:tcW w:w="1276" w:type="dxa"/>
            <w:tcBorders>
              <w:top w:val="nil"/>
              <w:left w:val="nil"/>
              <w:bottom w:val="single" w:sz="4" w:space="0" w:color="auto"/>
              <w:right w:val="single" w:sz="4" w:space="0" w:color="auto"/>
            </w:tcBorders>
            <w:shd w:val="clear" w:color="auto" w:fill="auto"/>
            <w:noWrap/>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4,38</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3,14</w:t>
            </w:r>
          </w:p>
        </w:tc>
        <w:tc>
          <w:tcPr>
            <w:tcW w:w="1418" w:type="dxa"/>
            <w:tcBorders>
              <w:top w:val="nil"/>
              <w:left w:val="nil"/>
              <w:bottom w:val="nil"/>
              <w:right w:val="nil"/>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(21,35%)</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(18,39%)</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(8%)</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urologie</w:t>
            </w:r>
          </w:p>
        </w:tc>
      </w:tr>
      <w:tr w:rsidR="00464E92" w:rsidTr="00740A6E">
        <w:trPr>
          <w:trHeight w:val="683"/>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SMN o.</w:t>
            </w:r>
            <w:r w:rsidR="00C36C18">
              <w:rPr>
                <w:rFonts w:ascii="Calibri" w:hAnsi="Calibri"/>
                <w:color w:val="000000"/>
                <w:sz w:val="22"/>
                <w:szCs w:val="22"/>
              </w:rPr>
              <w:t xml:space="preserve"> </w:t>
            </w:r>
            <w:r>
              <w:rPr>
                <w:rFonts w:ascii="Calibri" w:hAnsi="Calibri"/>
                <w:color w:val="000000"/>
                <w:sz w:val="22"/>
                <w:szCs w:val="22"/>
              </w:rPr>
              <w:t>z. Nemocnice Šternberk</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4,99</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jc w:val="right"/>
              <w:rPr>
                <w:rFonts w:ascii="Calibri" w:hAnsi="Calibri"/>
                <w:color w:val="000000"/>
                <w:sz w:val="22"/>
                <w:szCs w:val="22"/>
              </w:rPr>
            </w:pPr>
            <w:r>
              <w:rPr>
                <w:rFonts w:ascii="Calibri" w:hAnsi="Calibri"/>
                <w:color w:val="000000"/>
                <w:sz w:val="22"/>
                <w:szCs w:val="22"/>
              </w:rPr>
              <w:t>4,67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vnitřní lékařství (25,13%)</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(16,54%)</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anesteziologie (10%)</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pPr>
              <w:rPr>
                <w:rFonts w:ascii="Calibri" w:hAnsi="Calibri"/>
                <w:color w:val="000000"/>
                <w:sz w:val="22"/>
                <w:szCs w:val="22"/>
              </w:rPr>
            </w:pPr>
            <w:r>
              <w:rPr>
                <w:rFonts w:ascii="Calibri" w:hAnsi="Calibri"/>
                <w:color w:val="000000"/>
                <w:sz w:val="22"/>
                <w:szCs w:val="22"/>
              </w:rPr>
              <w:t>gynekologie</w:t>
            </w:r>
          </w:p>
        </w:tc>
      </w:tr>
    </w:tbl>
    <w:p w:rsidR="00F3664A" w:rsidRDefault="00F3664A" w:rsidP="00B34B0D">
      <w:pPr>
        <w:rPr>
          <w:color w:val="FF0000"/>
        </w:rPr>
      </w:pPr>
    </w:p>
    <w:p w:rsidR="00F3664A" w:rsidRDefault="00F3664A" w:rsidP="00F3664A">
      <w:r>
        <w:br w:type="page"/>
      </w:r>
    </w:p>
    <w:p w:rsidR="00A44A2C" w:rsidRDefault="00A44A2C" w:rsidP="00B34B0D">
      <w:pPr>
        <w:rPr>
          <w:color w:val="FF0000"/>
        </w:rPr>
      </w:pPr>
    </w:p>
    <w:tbl>
      <w:tblPr>
        <w:tblW w:w="13755" w:type="dxa"/>
        <w:tblInd w:w="65" w:type="dxa"/>
        <w:tblLayout w:type="fixed"/>
        <w:tblCellMar>
          <w:left w:w="70" w:type="dxa"/>
          <w:right w:w="70" w:type="dxa"/>
        </w:tblCellMar>
        <w:tblLook w:val="04A0" w:firstRow="1" w:lastRow="0" w:firstColumn="1" w:lastColumn="0" w:noHBand="0" w:noVBand="1"/>
      </w:tblPr>
      <w:tblGrid>
        <w:gridCol w:w="2273"/>
        <w:gridCol w:w="1276"/>
        <w:gridCol w:w="1559"/>
        <w:gridCol w:w="1701"/>
        <w:gridCol w:w="1418"/>
        <w:gridCol w:w="1701"/>
        <w:gridCol w:w="1984"/>
        <w:gridCol w:w="1843"/>
      </w:tblGrid>
      <w:tr w:rsidR="00464E92" w:rsidTr="00740A6E">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b/>
                <w:bCs/>
                <w:color w:val="000000"/>
                <w:sz w:val="22"/>
                <w:szCs w:val="22"/>
              </w:rPr>
            </w:pPr>
            <w:r>
              <w:rPr>
                <w:rFonts w:ascii="Calibri" w:hAnsi="Calibri"/>
                <w:b/>
                <w:bCs/>
                <w:color w:val="000000"/>
                <w:sz w:val="22"/>
                <w:szCs w:val="22"/>
              </w:rPr>
              <w:t>MORAVSKOSLEZSKÝ KRAJ</w:t>
            </w:r>
          </w:p>
        </w:tc>
        <w:tc>
          <w:tcPr>
            <w:tcW w:w="1276"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r>
      <w:tr w:rsidR="00464E92" w:rsidTr="00740A6E">
        <w:trPr>
          <w:trHeight w:val="3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rsidP="00391A87">
            <w:pPr>
              <w:ind w:right="214"/>
              <w:rPr>
                <w:rFonts w:ascii="Calibri" w:hAnsi="Calibri"/>
                <w:color w:val="000000"/>
                <w:sz w:val="22"/>
                <w:szCs w:val="22"/>
              </w:rPr>
            </w:pPr>
            <w:r>
              <w:rPr>
                <w:rFonts w:ascii="Calibri" w:hAnsi="Calibri"/>
                <w:color w:val="000000"/>
                <w:sz w:val="22"/>
                <w:szCs w:val="22"/>
              </w:rPr>
              <w:t>Počet obyvatel kraje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1 228 251</w:t>
            </w:r>
          </w:p>
        </w:tc>
        <w:tc>
          <w:tcPr>
            <w:tcW w:w="1559"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r>
      <w:tr w:rsidR="00464E92" w:rsidTr="00740A6E">
        <w:trPr>
          <w:trHeight w:val="300"/>
        </w:trPr>
        <w:tc>
          <w:tcPr>
            <w:tcW w:w="2273" w:type="dxa"/>
            <w:tcBorders>
              <w:top w:val="nil"/>
              <w:left w:val="single" w:sz="4" w:space="0" w:color="auto"/>
              <w:bottom w:val="nil"/>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Počet lůžek v kraji</w:t>
            </w:r>
          </w:p>
        </w:tc>
        <w:tc>
          <w:tcPr>
            <w:tcW w:w="1276" w:type="dxa"/>
            <w:tcBorders>
              <w:top w:val="nil"/>
              <w:left w:val="nil"/>
              <w:bottom w:val="nil"/>
              <w:right w:val="single" w:sz="4" w:space="0" w:color="auto"/>
            </w:tcBorders>
            <w:shd w:val="clear" w:color="auto" w:fill="auto"/>
            <w:noWrap/>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6 013</w:t>
            </w:r>
          </w:p>
        </w:tc>
        <w:tc>
          <w:tcPr>
            <w:tcW w:w="1559"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984"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c>
          <w:tcPr>
            <w:tcW w:w="1843" w:type="dxa"/>
            <w:tcBorders>
              <w:top w:val="nil"/>
              <w:left w:val="nil"/>
              <w:bottom w:val="nil"/>
              <w:right w:val="nil"/>
            </w:tcBorders>
            <w:shd w:val="clear" w:color="auto" w:fill="auto"/>
            <w:noWrap/>
            <w:vAlign w:val="bottom"/>
            <w:hideMark/>
          </w:tcPr>
          <w:p w:rsidR="00464E92" w:rsidRDefault="00464E92" w:rsidP="00391A87">
            <w:pPr>
              <w:rPr>
                <w:rFonts w:ascii="Calibri" w:hAnsi="Calibri"/>
                <w:color w:val="000000"/>
                <w:sz w:val="22"/>
                <w:szCs w:val="22"/>
              </w:rPr>
            </w:pPr>
          </w:p>
        </w:tc>
      </w:tr>
      <w:tr w:rsidR="00464E92" w:rsidTr="00740A6E">
        <w:trPr>
          <w:trHeight w:val="818"/>
        </w:trPr>
        <w:tc>
          <w:tcPr>
            <w:tcW w:w="2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Splňuje kritéria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73719A">
            <w:pPr>
              <w:rPr>
                <w:rFonts w:ascii="Calibri" w:hAnsi="Calibri"/>
                <w:color w:val="000000"/>
                <w:sz w:val="22"/>
                <w:szCs w:val="22"/>
              </w:rPr>
            </w:pPr>
            <w:r>
              <w:rPr>
                <w:rFonts w:ascii="Calibri" w:hAnsi="Calibri"/>
                <w:color w:val="000000"/>
                <w:sz w:val="22"/>
                <w:szCs w:val="22"/>
              </w:rPr>
              <w:t>Podíl pacientů přijatých z jiných zařízení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Podíl pacientů referovaných dalším zařízením v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Obor s největším podílem pacientů v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Obor s největším podílem pacientů z jiných zařízení v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Obor s největším podílem pacientů referovaných do dalších zařízení v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Obor s největší spádovostí</w:t>
            </w:r>
          </w:p>
        </w:tc>
      </w:tr>
      <w:tr w:rsidR="00464E92" w:rsidTr="00740A6E">
        <w:trPr>
          <w:trHeight w:val="683"/>
        </w:trPr>
        <w:tc>
          <w:tcPr>
            <w:tcW w:w="2273" w:type="dxa"/>
            <w:tcBorders>
              <w:top w:val="nil"/>
              <w:left w:val="single" w:sz="4" w:space="0" w:color="auto"/>
              <w:bottom w:val="nil"/>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Slezská nemocnice v</w:t>
            </w:r>
            <w:r w:rsidR="00496A5B">
              <w:rPr>
                <w:rFonts w:ascii="Calibri" w:hAnsi="Calibri"/>
                <w:color w:val="000000"/>
                <w:sz w:val="22"/>
                <w:szCs w:val="22"/>
              </w:rPr>
              <w:t> </w:t>
            </w:r>
            <w:r>
              <w:rPr>
                <w:rFonts w:ascii="Calibri" w:hAnsi="Calibri"/>
                <w:color w:val="000000"/>
                <w:sz w:val="22"/>
                <w:szCs w:val="22"/>
              </w:rPr>
              <w:t>Opavě</w:t>
            </w:r>
            <w:r w:rsidR="00496A5B">
              <w:rPr>
                <w:rFonts w:ascii="Calibri" w:hAnsi="Calibri"/>
                <w:color w:val="000000"/>
                <w:sz w:val="22"/>
                <w:szCs w:val="22"/>
              </w:rPr>
              <w:t>, příspěvková organi</w:t>
            </w:r>
            <w:r w:rsidR="003375FE">
              <w:rPr>
                <w:rFonts w:ascii="Calibri" w:hAnsi="Calibri"/>
                <w:color w:val="000000"/>
                <w:sz w:val="22"/>
                <w:szCs w:val="22"/>
              </w:rPr>
              <w:t>zace</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11,18</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10,62</w:t>
            </w:r>
          </w:p>
        </w:tc>
        <w:tc>
          <w:tcPr>
            <w:tcW w:w="1418" w:type="dxa"/>
            <w:tcBorders>
              <w:top w:val="nil"/>
              <w:left w:val="nil"/>
              <w:bottom w:val="nil"/>
              <w:right w:val="nil"/>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chirurgie (22,53)</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geriatrie (97,28)</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geriatrie (32,59)</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ortopedie</w:t>
            </w:r>
          </w:p>
        </w:tc>
      </w:tr>
      <w:tr w:rsidR="00464E92" w:rsidTr="00740A6E">
        <w:trPr>
          <w:trHeight w:val="683"/>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Nemocnice Třinec</w:t>
            </w:r>
            <w:r w:rsidR="003375FE">
              <w:rPr>
                <w:rFonts w:ascii="Calibri" w:hAnsi="Calibri"/>
                <w:color w:val="000000"/>
                <w:sz w:val="22"/>
                <w:szCs w:val="22"/>
              </w:rPr>
              <w:t>, příspěvková organizace</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1,05</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5,53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vnitřní lékařství (22,71)</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vnitřní lékařství (3,78)</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vnitřní lékařství (15,32)</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 xml:space="preserve">dětské lékařství </w:t>
            </w:r>
          </w:p>
        </w:tc>
      </w:tr>
      <w:tr w:rsidR="00464E92" w:rsidTr="00740A6E">
        <w:trPr>
          <w:trHeight w:val="683"/>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Nemocnice s poliklinikou Karviná - Ráj</w:t>
            </w:r>
            <w:r w:rsidR="003375FE">
              <w:rPr>
                <w:rFonts w:ascii="Calibri" w:hAnsi="Calibri"/>
                <w:color w:val="000000"/>
                <w:sz w:val="22"/>
                <w:szCs w:val="22"/>
              </w:rPr>
              <w:t>, příspěvková organizace</w:t>
            </w:r>
          </w:p>
        </w:tc>
        <w:tc>
          <w:tcPr>
            <w:tcW w:w="1276" w:type="dxa"/>
            <w:tcBorders>
              <w:top w:val="nil"/>
              <w:left w:val="nil"/>
              <w:bottom w:val="single" w:sz="4" w:space="0" w:color="auto"/>
              <w:right w:val="single" w:sz="4" w:space="0" w:color="auto"/>
            </w:tcBorders>
            <w:shd w:val="clear" w:color="auto" w:fill="auto"/>
            <w:noWrap/>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3,53</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3,14</w:t>
            </w:r>
          </w:p>
        </w:tc>
        <w:tc>
          <w:tcPr>
            <w:tcW w:w="1418" w:type="dxa"/>
            <w:tcBorders>
              <w:top w:val="nil"/>
              <w:left w:val="nil"/>
              <w:bottom w:val="nil"/>
              <w:right w:val="nil"/>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vnitřní lékařství (27,69)</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chirurgie (7,5)</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vnitřní lékařství (7,74)</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 xml:space="preserve">rehabilitační </w:t>
            </w:r>
          </w:p>
        </w:tc>
      </w:tr>
      <w:tr w:rsidR="00464E92" w:rsidTr="00740A6E">
        <w:trPr>
          <w:trHeight w:val="683"/>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Sdružené zdravotnické zařízení Krnov</w:t>
            </w:r>
            <w:r w:rsidR="003375FE">
              <w:rPr>
                <w:rFonts w:ascii="Calibri" w:hAnsi="Calibri"/>
                <w:color w:val="000000"/>
                <w:sz w:val="22"/>
                <w:szCs w:val="22"/>
              </w:rPr>
              <w:t>, příspěvková organizace</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11,69</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13,91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chirurgie (19)</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geriatrie (79,66)</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rehabilitační (40,41)</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neonatologie</w:t>
            </w:r>
          </w:p>
        </w:tc>
      </w:tr>
      <w:tr w:rsidR="00464E92"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8E6276" w:rsidP="00391A87">
            <w:pPr>
              <w:rPr>
                <w:rFonts w:ascii="Calibri" w:hAnsi="Calibri"/>
                <w:color w:val="000000"/>
                <w:sz w:val="22"/>
                <w:szCs w:val="22"/>
              </w:rPr>
            </w:pPr>
            <w:r>
              <w:rPr>
                <w:rFonts w:ascii="Calibri" w:hAnsi="Calibri"/>
                <w:color w:val="000000"/>
                <w:sz w:val="22"/>
                <w:szCs w:val="22"/>
              </w:rPr>
              <w:t xml:space="preserve">Nemocnice ve Frýdku </w:t>
            </w:r>
            <w:r w:rsidR="00464E92">
              <w:rPr>
                <w:rFonts w:ascii="Calibri" w:hAnsi="Calibri"/>
                <w:color w:val="000000"/>
                <w:sz w:val="22"/>
                <w:szCs w:val="22"/>
              </w:rPr>
              <w:t>Místku</w:t>
            </w:r>
            <w:r w:rsidR="003375FE">
              <w:rPr>
                <w:rFonts w:ascii="Calibri" w:hAnsi="Calibri"/>
                <w:color w:val="000000"/>
                <w:sz w:val="22"/>
                <w:szCs w:val="22"/>
              </w:rPr>
              <w:t>, příspěvková organizace</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2,42</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9,94</w:t>
            </w:r>
          </w:p>
        </w:tc>
        <w:tc>
          <w:tcPr>
            <w:tcW w:w="1418" w:type="dxa"/>
            <w:tcBorders>
              <w:top w:val="nil"/>
              <w:left w:val="nil"/>
              <w:bottom w:val="single" w:sz="4" w:space="0" w:color="auto"/>
              <w:right w:val="single" w:sz="4" w:space="0" w:color="auto"/>
            </w:tcBorders>
            <w:shd w:val="clear" w:color="auto" w:fill="auto"/>
            <w:noWrap/>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vnitřní lékařství (27,92)</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neurologie (5,75)</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ortopedie (43,72)</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 xml:space="preserve">urologie, dětské lékařství </w:t>
            </w:r>
          </w:p>
        </w:tc>
      </w:tr>
      <w:tr w:rsidR="00464E92" w:rsidTr="00740A6E">
        <w:trPr>
          <w:trHeight w:val="60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Nemocnice s poliklinikou Havířov</w:t>
            </w:r>
            <w:r w:rsidR="003375FE">
              <w:rPr>
                <w:rFonts w:ascii="Calibri" w:hAnsi="Calibri"/>
                <w:color w:val="000000"/>
                <w:sz w:val="22"/>
                <w:szCs w:val="22"/>
              </w:rPr>
              <w:t>, příspěvková organizace</w:t>
            </w:r>
          </w:p>
        </w:tc>
        <w:tc>
          <w:tcPr>
            <w:tcW w:w="1276"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ano</w:t>
            </w:r>
          </w:p>
        </w:tc>
        <w:tc>
          <w:tcPr>
            <w:tcW w:w="1559"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4,83</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391A87">
            <w:pPr>
              <w:jc w:val="right"/>
              <w:rPr>
                <w:rFonts w:ascii="Calibri" w:hAnsi="Calibri"/>
                <w:color w:val="000000"/>
                <w:sz w:val="22"/>
                <w:szCs w:val="22"/>
              </w:rPr>
            </w:pPr>
            <w:r>
              <w:rPr>
                <w:rFonts w:ascii="Calibri" w:hAnsi="Calibri"/>
                <w:color w:val="000000"/>
                <w:sz w:val="22"/>
                <w:szCs w:val="22"/>
              </w:rPr>
              <w:t>4,68</w:t>
            </w:r>
          </w:p>
        </w:tc>
        <w:tc>
          <w:tcPr>
            <w:tcW w:w="1418" w:type="dxa"/>
            <w:tcBorders>
              <w:top w:val="nil"/>
              <w:left w:val="nil"/>
              <w:bottom w:val="single" w:sz="4" w:space="0" w:color="auto"/>
              <w:right w:val="single" w:sz="4" w:space="0" w:color="auto"/>
            </w:tcBorders>
            <w:shd w:val="clear" w:color="auto" w:fill="auto"/>
            <w:noWrap/>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dětské (21,77)</w:t>
            </w:r>
          </w:p>
        </w:tc>
        <w:tc>
          <w:tcPr>
            <w:tcW w:w="1701" w:type="dxa"/>
            <w:tcBorders>
              <w:top w:val="nil"/>
              <w:left w:val="nil"/>
              <w:bottom w:val="single" w:sz="4" w:space="0" w:color="auto"/>
              <w:right w:val="single" w:sz="4" w:space="0" w:color="auto"/>
            </w:tcBorders>
            <w:shd w:val="clear" w:color="auto" w:fill="auto"/>
            <w:vAlign w:val="bottom"/>
            <w:hideMark/>
          </w:tcPr>
          <w:p w:rsidR="00464E92" w:rsidRDefault="00464E92" w:rsidP="00B7413D">
            <w:pPr>
              <w:rPr>
                <w:rFonts w:ascii="Calibri" w:hAnsi="Calibri"/>
                <w:color w:val="000000"/>
                <w:sz w:val="22"/>
                <w:szCs w:val="22"/>
              </w:rPr>
            </w:pPr>
            <w:r>
              <w:rPr>
                <w:rFonts w:ascii="Calibri" w:hAnsi="Calibri"/>
                <w:color w:val="000000"/>
                <w:sz w:val="22"/>
                <w:szCs w:val="22"/>
              </w:rPr>
              <w:t>rehabilitační (14,99)</w:t>
            </w:r>
          </w:p>
        </w:tc>
        <w:tc>
          <w:tcPr>
            <w:tcW w:w="1984"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rehabilitační (17,31)</w:t>
            </w:r>
          </w:p>
        </w:tc>
        <w:tc>
          <w:tcPr>
            <w:tcW w:w="1843" w:type="dxa"/>
            <w:tcBorders>
              <w:top w:val="nil"/>
              <w:left w:val="nil"/>
              <w:bottom w:val="single" w:sz="4" w:space="0" w:color="auto"/>
              <w:right w:val="single" w:sz="4" w:space="0" w:color="auto"/>
            </w:tcBorders>
            <w:shd w:val="clear" w:color="auto" w:fill="auto"/>
            <w:vAlign w:val="bottom"/>
            <w:hideMark/>
          </w:tcPr>
          <w:p w:rsidR="00464E92" w:rsidRDefault="00464E92" w:rsidP="00391A87">
            <w:pPr>
              <w:rPr>
                <w:rFonts w:ascii="Calibri" w:hAnsi="Calibri"/>
                <w:color w:val="000000"/>
                <w:sz w:val="22"/>
                <w:szCs w:val="22"/>
              </w:rPr>
            </w:pPr>
            <w:r>
              <w:rPr>
                <w:rFonts w:ascii="Calibri" w:hAnsi="Calibri"/>
                <w:color w:val="000000"/>
                <w:sz w:val="22"/>
                <w:szCs w:val="22"/>
              </w:rPr>
              <w:t>hematologie</w:t>
            </w:r>
          </w:p>
        </w:tc>
      </w:tr>
    </w:tbl>
    <w:p w:rsidR="00014BAC" w:rsidRDefault="00014BAC" w:rsidP="00B34B0D">
      <w:pPr>
        <w:rPr>
          <w:color w:val="FF0000"/>
        </w:rPr>
      </w:pPr>
    </w:p>
    <w:p w:rsidR="00014BAC" w:rsidRDefault="00014BAC" w:rsidP="00014BAC"/>
    <w:p w:rsidR="00A44A2C" w:rsidRPr="00014BAC" w:rsidRDefault="00014BAC" w:rsidP="00014BAC">
      <w:pPr>
        <w:tabs>
          <w:tab w:val="left" w:pos="7891"/>
        </w:tabs>
      </w:pPr>
      <w:r>
        <w:tab/>
      </w:r>
    </w:p>
    <w:sectPr w:rsidR="00A44A2C" w:rsidRPr="00014BAC" w:rsidSect="00D11133">
      <w:pgSz w:w="16838" w:h="11906" w:orient="landscape"/>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582" w:rsidRDefault="00DD4582" w:rsidP="003D537A">
      <w:r>
        <w:separator/>
      </w:r>
    </w:p>
  </w:endnote>
  <w:endnote w:type="continuationSeparator" w:id="0">
    <w:p w:rsidR="00DD4582" w:rsidRDefault="00DD4582" w:rsidP="003D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CE4" w:rsidRDefault="000D3CE4">
    <w:pPr>
      <w:pStyle w:val="Zpat"/>
      <w:jc w:val="center"/>
    </w:pPr>
    <w:r>
      <w:fldChar w:fldCharType="begin"/>
    </w:r>
    <w:r>
      <w:instrText>PAGE   \* MERGEFORMAT</w:instrText>
    </w:r>
    <w:r>
      <w:fldChar w:fldCharType="separate"/>
    </w:r>
    <w:r w:rsidR="007F6036">
      <w:rPr>
        <w:noProof/>
      </w:rPr>
      <w:t>2</w:t>
    </w:r>
    <w:r>
      <w:rPr>
        <w:noProof/>
      </w:rPr>
      <w:fldChar w:fldCharType="end"/>
    </w:r>
  </w:p>
  <w:p w:rsidR="000D3CE4" w:rsidRDefault="000D3CE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582" w:rsidRDefault="00DD4582" w:rsidP="003D537A">
      <w:r>
        <w:separator/>
      </w:r>
    </w:p>
  </w:footnote>
  <w:footnote w:type="continuationSeparator" w:id="0">
    <w:p w:rsidR="00DD4582" w:rsidRDefault="00DD4582" w:rsidP="003D537A">
      <w:r>
        <w:continuationSeparator/>
      </w:r>
    </w:p>
  </w:footnote>
  <w:footnote w:id="1">
    <w:p w:rsidR="000D3CE4" w:rsidRDefault="000D3CE4" w:rsidP="006A07D5">
      <w:pPr>
        <w:pStyle w:val="Textpoznpodarou"/>
        <w:jc w:val="both"/>
      </w:pPr>
      <w:r>
        <w:rPr>
          <w:rStyle w:val="Znakapoznpodarou"/>
        </w:rPr>
        <w:footnoteRef/>
      </w:r>
      <w:r>
        <w:t xml:space="preserve"> </w:t>
      </w:r>
      <w:r w:rsidRPr="006A07D5">
        <w:t>Intervence v této oblasti péče byla zaměřena na projekty v rámci národních sítí  zdravotnických zařízení, splňujících technické a personální kritéria, parametry spádovosti a dostupnosti zdravotní péče pro obyvatele, které jsou vyhlášeny a zveřejněny v informačním prostředku MZd (Věstník Ministerstva zdravotnictví ČR). Parametry jednotlivých sítí specializovaných pracovišť zdravotnických zařízení jsou stanoveny platným právním řádem, parametry dostupnosti a spádovosti v rámci sítí specializovaných zdravotnických pracovišť, jsou identifikovány a hodnoceny na základě standardního sběru relevantních statistických údajů, kdy je brán v úvahu  zejména počet obyvatel v daném regionu,  index stáří, četnost výskytu  onemocnění   vázaných na určité skupiny pacientů a dostupnost jiné zdravotní péče pro vulnerabilní skupiny.</w:t>
      </w:r>
    </w:p>
  </w:footnote>
  <w:footnote w:id="2">
    <w:p w:rsidR="000D3CE4" w:rsidRDefault="000D3CE4">
      <w:pPr>
        <w:pStyle w:val="Textpoznpodarou"/>
      </w:pPr>
      <w:r>
        <w:rPr>
          <w:rStyle w:val="Znakapoznpodarou"/>
        </w:rPr>
        <w:footnoteRef/>
      </w:r>
      <w:r>
        <w:t xml:space="preserve"> V tabulce nejsou uvedena data za Fakultní nemocnici Olomouc a Fakultní nemocnici Královské Vinohrady.</w:t>
      </w:r>
    </w:p>
  </w:footnote>
  <w:footnote w:id="3">
    <w:p w:rsidR="000D3CE4" w:rsidRPr="00CF6E68" w:rsidRDefault="000D3CE4" w:rsidP="00DA66CF">
      <w:pPr>
        <w:jc w:val="both"/>
      </w:pPr>
      <w:r>
        <w:rPr>
          <w:rStyle w:val="Znakapoznpodarou"/>
        </w:rPr>
        <w:footnoteRef/>
      </w:r>
      <w:r>
        <w:t xml:space="preserve"> </w:t>
      </w:r>
      <w:r w:rsidRPr="00900F10">
        <w:rPr>
          <w:sz w:val="18"/>
          <w:szCs w:val="18"/>
        </w:rPr>
        <w:t>V současné době je toto možné v rámci péče onkologické, kardiologické, iktové a cerebrovaskulární a traumatologické. V budoucnu by dále měla být tato možnost rozšířena o vysoce specializovanou péči onkogynekologickou a perinatologickou.</w:t>
      </w:r>
      <w:r>
        <w:t xml:space="preserve"> </w:t>
      </w:r>
    </w:p>
    <w:p w:rsidR="000D3CE4" w:rsidRDefault="000D3CE4" w:rsidP="00DA66CF">
      <w:pPr>
        <w:jc w:val="both"/>
      </w:pPr>
    </w:p>
  </w:footnote>
  <w:footnote w:id="4">
    <w:p w:rsidR="000D3CE4" w:rsidRDefault="000D3CE4">
      <w:pPr>
        <w:pStyle w:val="Textpoznpodarou"/>
      </w:pPr>
      <w:r>
        <w:rPr>
          <w:rStyle w:val="Znakapoznpodarou"/>
        </w:rPr>
        <w:footnoteRef/>
      </w:r>
      <w:r>
        <w:t xml:space="preserve"> Důležitost podpory základních oborů potvrzuje i závěr kapitoly 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289B"/>
    <w:multiLevelType w:val="hybridMultilevel"/>
    <w:tmpl w:val="D99CEEF4"/>
    <w:lvl w:ilvl="0" w:tplc="04050017">
      <w:start w:val="1"/>
      <w:numFmt w:val="lowerLetter"/>
      <w:lvlText w:val="%1)"/>
      <w:lvlJc w:val="left"/>
      <w:pPr>
        <w:ind w:left="2130" w:hanging="360"/>
      </w:pPr>
      <w:rPr>
        <w:rFonts w:cs="Times New Roman"/>
      </w:rPr>
    </w:lvl>
    <w:lvl w:ilvl="1" w:tplc="04050019" w:tentative="1">
      <w:start w:val="1"/>
      <w:numFmt w:val="lowerLetter"/>
      <w:lvlText w:val="%2."/>
      <w:lvlJc w:val="left"/>
      <w:pPr>
        <w:ind w:left="2850" w:hanging="360"/>
      </w:pPr>
      <w:rPr>
        <w:rFonts w:cs="Times New Roman"/>
      </w:rPr>
    </w:lvl>
    <w:lvl w:ilvl="2" w:tplc="0405001B" w:tentative="1">
      <w:start w:val="1"/>
      <w:numFmt w:val="lowerRoman"/>
      <w:lvlText w:val="%3."/>
      <w:lvlJc w:val="right"/>
      <w:pPr>
        <w:ind w:left="3570" w:hanging="180"/>
      </w:pPr>
      <w:rPr>
        <w:rFonts w:cs="Times New Roman"/>
      </w:rPr>
    </w:lvl>
    <w:lvl w:ilvl="3" w:tplc="0405000F" w:tentative="1">
      <w:start w:val="1"/>
      <w:numFmt w:val="decimal"/>
      <w:lvlText w:val="%4."/>
      <w:lvlJc w:val="left"/>
      <w:pPr>
        <w:ind w:left="4290" w:hanging="360"/>
      </w:pPr>
      <w:rPr>
        <w:rFonts w:cs="Times New Roman"/>
      </w:rPr>
    </w:lvl>
    <w:lvl w:ilvl="4" w:tplc="04050019" w:tentative="1">
      <w:start w:val="1"/>
      <w:numFmt w:val="lowerLetter"/>
      <w:lvlText w:val="%5."/>
      <w:lvlJc w:val="left"/>
      <w:pPr>
        <w:ind w:left="5010" w:hanging="360"/>
      </w:pPr>
      <w:rPr>
        <w:rFonts w:cs="Times New Roman"/>
      </w:rPr>
    </w:lvl>
    <w:lvl w:ilvl="5" w:tplc="0405001B" w:tentative="1">
      <w:start w:val="1"/>
      <w:numFmt w:val="lowerRoman"/>
      <w:lvlText w:val="%6."/>
      <w:lvlJc w:val="right"/>
      <w:pPr>
        <w:ind w:left="5730" w:hanging="180"/>
      </w:pPr>
      <w:rPr>
        <w:rFonts w:cs="Times New Roman"/>
      </w:rPr>
    </w:lvl>
    <w:lvl w:ilvl="6" w:tplc="0405000F" w:tentative="1">
      <w:start w:val="1"/>
      <w:numFmt w:val="decimal"/>
      <w:lvlText w:val="%7."/>
      <w:lvlJc w:val="left"/>
      <w:pPr>
        <w:ind w:left="6450" w:hanging="360"/>
      </w:pPr>
      <w:rPr>
        <w:rFonts w:cs="Times New Roman"/>
      </w:rPr>
    </w:lvl>
    <w:lvl w:ilvl="7" w:tplc="04050019" w:tentative="1">
      <w:start w:val="1"/>
      <w:numFmt w:val="lowerLetter"/>
      <w:lvlText w:val="%8."/>
      <w:lvlJc w:val="left"/>
      <w:pPr>
        <w:ind w:left="7170" w:hanging="360"/>
      </w:pPr>
      <w:rPr>
        <w:rFonts w:cs="Times New Roman"/>
      </w:rPr>
    </w:lvl>
    <w:lvl w:ilvl="8" w:tplc="0405001B" w:tentative="1">
      <w:start w:val="1"/>
      <w:numFmt w:val="lowerRoman"/>
      <w:lvlText w:val="%9."/>
      <w:lvlJc w:val="right"/>
      <w:pPr>
        <w:ind w:left="7890" w:hanging="180"/>
      </w:pPr>
      <w:rPr>
        <w:rFonts w:cs="Times New Roman"/>
      </w:rPr>
    </w:lvl>
  </w:abstractNum>
  <w:abstractNum w:abstractNumId="1">
    <w:nsid w:val="065A686B"/>
    <w:multiLevelType w:val="hybridMultilevel"/>
    <w:tmpl w:val="347E4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9073E0"/>
    <w:multiLevelType w:val="hybridMultilevel"/>
    <w:tmpl w:val="43465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742335"/>
    <w:multiLevelType w:val="hybridMultilevel"/>
    <w:tmpl w:val="AC12B6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4225FA"/>
    <w:multiLevelType w:val="hybridMultilevel"/>
    <w:tmpl w:val="53E8629E"/>
    <w:lvl w:ilvl="0" w:tplc="3D5A19A0">
      <w:start w:val="4"/>
      <w:numFmt w:val="bullet"/>
      <w:lvlText w:val="•"/>
      <w:lvlJc w:val="left"/>
      <w:pPr>
        <w:ind w:left="1068" w:hanging="708"/>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975481"/>
    <w:multiLevelType w:val="hybridMultilevel"/>
    <w:tmpl w:val="FD3EC384"/>
    <w:lvl w:ilvl="0" w:tplc="04050017">
      <w:start w:val="1"/>
      <w:numFmt w:val="lowerLetter"/>
      <w:lvlText w:val="%1)"/>
      <w:lvlJc w:val="left"/>
      <w:pPr>
        <w:ind w:left="1068" w:hanging="360"/>
      </w:pPr>
      <w:rPr>
        <w:rFonts w:cs="Times New Roman"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nsid w:val="10A37C8A"/>
    <w:multiLevelType w:val="hybridMultilevel"/>
    <w:tmpl w:val="D712574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1662995"/>
    <w:multiLevelType w:val="hybridMultilevel"/>
    <w:tmpl w:val="C7628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19230C0"/>
    <w:multiLevelType w:val="hybridMultilevel"/>
    <w:tmpl w:val="084ED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284110D"/>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4BB789F"/>
    <w:multiLevelType w:val="hybridMultilevel"/>
    <w:tmpl w:val="778A7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5E47BB1"/>
    <w:multiLevelType w:val="hybridMultilevel"/>
    <w:tmpl w:val="EFBEE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72D4F5C"/>
    <w:multiLevelType w:val="hybridMultilevel"/>
    <w:tmpl w:val="8A848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8F94137"/>
    <w:multiLevelType w:val="hybridMultilevel"/>
    <w:tmpl w:val="3AC02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9C71286"/>
    <w:multiLevelType w:val="hybridMultilevel"/>
    <w:tmpl w:val="8EC24B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AF67DE0"/>
    <w:multiLevelType w:val="hybridMultilevel"/>
    <w:tmpl w:val="AC1C59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C5B03E1"/>
    <w:multiLevelType w:val="hybridMultilevel"/>
    <w:tmpl w:val="E784378C"/>
    <w:lvl w:ilvl="0" w:tplc="04050001">
      <w:start w:val="1"/>
      <w:numFmt w:val="bullet"/>
      <w:lvlText w:val=""/>
      <w:lvlJc w:val="left"/>
      <w:pPr>
        <w:ind w:left="227" w:hanging="360"/>
      </w:pPr>
      <w:rPr>
        <w:rFonts w:ascii="Symbol" w:hAnsi="Symbol" w:hint="default"/>
      </w:rPr>
    </w:lvl>
    <w:lvl w:ilvl="1" w:tplc="04050003" w:tentative="1">
      <w:start w:val="1"/>
      <w:numFmt w:val="bullet"/>
      <w:lvlText w:val="o"/>
      <w:lvlJc w:val="left"/>
      <w:pPr>
        <w:ind w:left="947" w:hanging="360"/>
      </w:pPr>
      <w:rPr>
        <w:rFonts w:ascii="Courier New" w:hAnsi="Courier New" w:hint="default"/>
      </w:rPr>
    </w:lvl>
    <w:lvl w:ilvl="2" w:tplc="04050005" w:tentative="1">
      <w:start w:val="1"/>
      <w:numFmt w:val="bullet"/>
      <w:lvlText w:val=""/>
      <w:lvlJc w:val="left"/>
      <w:pPr>
        <w:ind w:left="1667" w:hanging="360"/>
      </w:pPr>
      <w:rPr>
        <w:rFonts w:ascii="Wingdings" w:hAnsi="Wingdings" w:hint="default"/>
      </w:rPr>
    </w:lvl>
    <w:lvl w:ilvl="3" w:tplc="04050001" w:tentative="1">
      <w:start w:val="1"/>
      <w:numFmt w:val="bullet"/>
      <w:lvlText w:val=""/>
      <w:lvlJc w:val="left"/>
      <w:pPr>
        <w:ind w:left="2387" w:hanging="360"/>
      </w:pPr>
      <w:rPr>
        <w:rFonts w:ascii="Symbol" w:hAnsi="Symbol" w:hint="default"/>
      </w:rPr>
    </w:lvl>
    <w:lvl w:ilvl="4" w:tplc="04050003" w:tentative="1">
      <w:start w:val="1"/>
      <w:numFmt w:val="bullet"/>
      <w:lvlText w:val="o"/>
      <w:lvlJc w:val="left"/>
      <w:pPr>
        <w:ind w:left="3107" w:hanging="360"/>
      </w:pPr>
      <w:rPr>
        <w:rFonts w:ascii="Courier New" w:hAnsi="Courier New" w:hint="default"/>
      </w:rPr>
    </w:lvl>
    <w:lvl w:ilvl="5" w:tplc="04050005" w:tentative="1">
      <w:start w:val="1"/>
      <w:numFmt w:val="bullet"/>
      <w:lvlText w:val=""/>
      <w:lvlJc w:val="left"/>
      <w:pPr>
        <w:ind w:left="3827" w:hanging="360"/>
      </w:pPr>
      <w:rPr>
        <w:rFonts w:ascii="Wingdings" w:hAnsi="Wingdings" w:hint="default"/>
      </w:rPr>
    </w:lvl>
    <w:lvl w:ilvl="6" w:tplc="04050001" w:tentative="1">
      <w:start w:val="1"/>
      <w:numFmt w:val="bullet"/>
      <w:lvlText w:val=""/>
      <w:lvlJc w:val="left"/>
      <w:pPr>
        <w:ind w:left="4547" w:hanging="360"/>
      </w:pPr>
      <w:rPr>
        <w:rFonts w:ascii="Symbol" w:hAnsi="Symbol" w:hint="default"/>
      </w:rPr>
    </w:lvl>
    <w:lvl w:ilvl="7" w:tplc="04050003" w:tentative="1">
      <w:start w:val="1"/>
      <w:numFmt w:val="bullet"/>
      <w:lvlText w:val="o"/>
      <w:lvlJc w:val="left"/>
      <w:pPr>
        <w:ind w:left="5267" w:hanging="360"/>
      </w:pPr>
      <w:rPr>
        <w:rFonts w:ascii="Courier New" w:hAnsi="Courier New" w:hint="default"/>
      </w:rPr>
    </w:lvl>
    <w:lvl w:ilvl="8" w:tplc="04050005" w:tentative="1">
      <w:start w:val="1"/>
      <w:numFmt w:val="bullet"/>
      <w:lvlText w:val=""/>
      <w:lvlJc w:val="left"/>
      <w:pPr>
        <w:ind w:left="5987" w:hanging="360"/>
      </w:pPr>
      <w:rPr>
        <w:rFonts w:ascii="Wingdings" w:hAnsi="Wingdings" w:hint="default"/>
      </w:rPr>
    </w:lvl>
  </w:abstractNum>
  <w:abstractNum w:abstractNumId="17">
    <w:nsid w:val="1ED75545"/>
    <w:multiLevelType w:val="hybridMultilevel"/>
    <w:tmpl w:val="E542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CE698B"/>
    <w:multiLevelType w:val="hybridMultilevel"/>
    <w:tmpl w:val="989897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D745A1"/>
    <w:multiLevelType w:val="hybridMultilevel"/>
    <w:tmpl w:val="0CBE30B4"/>
    <w:lvl w:ilvl="0" w:tplc="04050001">
      <w:start w:val="1"/>
      <w:numFmt w:val="bullet"/>
      <w:lvlText w:val=""/>
      <w:lvlJc w:val="left"/>
      <w:pPr>
        <w:ind w:left="2133" w:hanging="360"/>
      </w:pPr>
      <w:rPr>
        <w:rFonts w:ascii="Symbol" w:hAnsi="Symbol" w:hint="default"/>
      </w:rPr>
    </w:lvl>
    <w:lvl w:ilvl="1" w:tplc="04050003">
      <w:start w:val="1"/>
      <w:numFmt w:val="bullet"/>
      <w:lvlText w:val="o"/>
      <w:lvlJc w:val="left"/>
      <w:pPr>
        <w:ind w:left="2853" w:hanging="360"/>
      </w:pPr>
      <w:rPr>
        <w:rFonts w:ascii="Courier New" w:hAnsi="Courier New" w:hint="default"/>
      </w:rPr>
    </w:lvl>
    <w:lvl w:ilvl="2" w:tplc="04050005" w:tentative="1">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20">
    <w:nsid w:val="20DC59F6"/>
    <w:multiLevelType w:val="hybridMultilevel"/>
    <w:tmpl w:val="1924F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0E63EE3"/>
    <w:multiLevelType w:val="hybridMultilevel"/>
    <w:tmpl w:val="8C2CF606"/>
    <w:lvl w:ilvl="0" w:tplc="3D5A19A0">
      <w:start w:val="4"/>
      <w:numFmt w:val="bullet"/>
      <w:lvlText w:val="•"/>
      <w:lvlJc w:val="left"/>
      <w:pPr>
        <w:ind w:left="1068" w:hanging="708"/>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5B46EA"/>
    <w:multiLevelType w:val="hybridMultilevel"/>
    <w:tmpl w:val="9B5824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5DF2600"/>
    <w:multiLevelType w:val="hybridMultilevel"/>
    <w:tmpl w:val="06A0678E"/>
    <w:lvl w:ilvl="0" w:tplc="04050001">
      <w:start w:val="1"/>
      <w:numFmt w:val="bullet"/>
      <w:lvlText w:val=""/>
      <w:lvlJc w:val="left"/>
      <w:pPr>
        <w:ind w:left="1433" w:hanging="360"/>
      </w:pPr>
      <w:rPr>
        <w:rFonts w:ascii="Symbol" w:hAnsi="Symbol" w:hint="default"/>
      </w:rPr>
    </w:lvl>
    <w:lvl w:ilvl="1" w:tplc="04050003">
      <w:start w:val="1"/>
      <w:numFmt w:val="bullet"/>
      <w:lvlText w:val="o"/>
      <w:lvlJc w:val="left"/>
      <w:pPr>
        <w:ind w:left="2153" w:hanging="360"/>
      </w:pPr>
      <w:rPr>
        <w:rFonts w:ascii="Courier New" w:hAnsi="Courier New" w:hint="default"/>
      </w:rPr>
    </w:lvl>
    <w:lvl w:ilvl="2" w:tplc="04050005" w:tentative="1">
      <w:start w:val="1"/>
      <w:numFmt w:val="bullet"/>
      <w:lvlText w:val=""/>
      <w:lvlJc w:val="left"/>
      <w:pPr>
        <w:ind w:left="2873" w:hanging="360"/>
      </w:pPr>
      <w:rPr>
        <w:rFonts w:ascii="Wingdings" w:hAnsi="Wingdings" w:hint="default"/>
      </w:rPr>
    </w:lvl>
    <w:lvl w:ilvl="3" w:tplc="04050001" w:tentative="1">
      <w:start w:val="1"/>
      <w:numFmt w:val="bullet"/>
      <w:lvlText w:val=""/>
      <w:lvlJc w:val="left"/>
      <w:pPr>
        <w:ind w:left="3593" w:hanging="360"/>
      </w:pPr>
      <w:rPr>
        <w:rFonts w:ascii="Symbol" w:hAnsi="Symbol" w:hint="default"/>
      </w:rPr>
    </w:lvl>
    <w:lvl w:ilvl="4" w:tplc="04050003" w:tentative="1">
      <w:start w:val="1"/>
      <w:numFmt w:val="bullet"/>
      <w:lvlText w:val="o"/>
      <w:lvlJc w:val="left"/>
      <w:pPr>
        <w:ind w:left="4313" w:hanging="360"/>
      </w:pPr>
      <w:rPr>
        <w:rFonts w:ascii="Courier New" w:hAnsi="Courier New" w:hint="default"/>
      </w:rPr>
    </w:lvl>
    <w:lvl w:ilvl="5" w:tplc="04050005" w:tentative="1">
      <w:start w:val="1"/>
      <w:numFmt w:val="bullet"/>
      <w:lvlText w:val=""/>
      <w:lvlJc w:val="left"/>
      <w:pPr>
        <w:ind w:left="5033" w:hanging="360"/>
      </w:pPr>
      <w:rPr>
        <w:rFonts w:ascii="Wingdings" w:hAnsi="Wingdings" w:hint="default"/>
      </w:rPr>
    </w:lvl>
    <w:lvl w:ilvl="6" w:tplc="04050001" w:tentative="1">
      <w:start w:val="1"/>
      <w:numFmt w:val="bullet"/>
      <w:lvlText w:val=""/>
      <w:lvlJc w:val="left"/>
      <w:pPr>
        <w:ind w:left="5753" w:hanging="360"/>
      </w:pPr>
      <w:rPr>
        <w:rFonts w:ascii="Symbol" w:hAnsi="Symbol" w:hint="default"/>
      </w:rPr>
    </w:lvl>
    <w:lvl w:ilvl="7" w:tplc="04050003" w:tentative="1">
      <w:start w:val="1"/>
      <w:numFmt w:val="bullet"/>
      <w:lvlText w:val="o"/>
      <w:lvlJc w:val="left"/>
      <w:pPr>
        <w:ind w:left="6473" w:hanging="360"/>
      </w:pPr>
      <w:rPr>
        <w:rFonts w:ascii="Courier New" w:hAnsi="Courier New" w:hint="default"/>
      </w:rPr>
    </w:lvl>
    <w:lvl w:ilvl="8" w:tplc="04050005" w:tentative="1">
      <w:start w:val="1"/>
      <w:numFmt w:val="bullet"/>
      <w:lvlText w:val=""/>
      <w:lvlJc w:val="left"/>
      <w:pPr>
        <w:ind w:left="7193" w:hanging="360"/>
      </w:pPr>
      <w:rPr>
        <w:rFonts w:ascii="Wingdings" w:hAnsi="Wingdings" w:hint="default"/>
      </w:rPr>
    </w:lvl>
  </w:abstractNum>
  <w:abstractNum w:abstractNumId="24">
    <w:nsid w:val="2D09725E"/>
    <w:multiLevelType w:val="hybridMultilevel"/>
    <w:tmpl w:val="559EF80C"/>
    <w:lvl w:ilvl="0" w:tplc="04050001">
      <w:start w:val="1"/>
      <w:numFmt w:val="bullet"/>
      <w:lvlText w:val=""/>
      <w:lvlJc w:val="left"/>
      <w:pPr>
        <w:ind w:left="2133" w:hanging="360"/>
      </w:pPr>
      <w:rPr>
        <w:rFonts w:ascii="Symbol" w:hAnsi="Symbol" w:hint="default"/>
      </w:rPr>
    </w:lvl>
    <w:lvl w:ilvl="1" w:tplc="04050003">
      <w:start w:val="1"/>
      <w:numFmt w:val="bullet"/>
      <w:lvlText w:val="o"/>
      <w:lvlJc w:val="left"/>
      <w:pPr>
        <w:ind w:left="2853" w:hanging="360"/>
      </w:pPr>
      <w:rPr>
        <w:rFonts w:ascii="Courier New" w:hAnsi="Courier New" w:hint="default"/>
      </w:rPr>
    </w:lvl>
    <w:lvl w:ilvl="2" w:tplc="04050005" w:tentative="1">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25">
    <w:nsid w:val="2F10394A"/>
    <w:multiLevelType w:val="hybridMultilevel"/>
    <w:tmpl w:val="2F181E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31B65470"/>
    <w:multiLevelType w:val="hybridMultilevel"/>
    <w:tmpl w:val="26DAEE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46076D3"/>
    <w:multiLevelType w:val="hybridMultilevel"/>
    <w:tmpl w:val="8E024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6E358B4"/>
    <w:multiLevelType w:val="hybridMultilevel"/>
    <w:tmpl w:val="5106D00C"/>
    <w:lvl w:ilvl="0" w:tplc="04050001">
      <w:start w:val="1"/>
      <w:numFmt w:val="bullet"/>
      <w:lvlText w:val=""/>
      <w:lvlJc w:val="left"/>
      <w:pPr>
        <w:ind w:left="2133" w:hanging="360"/>
      </w:pPr>
      <w:rPr>
        <w:rFonts w:ascii="Symbol" w:hAnsi="Symbol" w:hint="default"/>
      </w:rPr>
    </w:lvl>
    <w:lvl w:ilvl="1" w:tplc="04050003">
      <w:start w:val="1"/>
      <w:numFmt w:val="bullet"/>
      <w:lvlText w:val="o"/>
      <w:lvlJc w:val="left"/>
      <w:pPr>
        <w:ind w:left="2770" w:hanging="360"/>
      </w:pPr>
      <w:rPr>
        <w:rFonts w:ascii="Courier New" w:hAnsi="Courier New" w:hint="default"/>
      </w:rPr>
    </w:lvl>
    <w:lvl w:ilvl="2" w:tplc="04050005">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29">
    <w:nsid w:val="415A5543"/>
    <w:multiLevelType w:val="hybridMultilevel"/>
    <w:tmpl w:val="85E40E40"/>
    <w:lvl w:ilvl="0" w:tplc="04050001">
      <w:start w:val="1"/>
      <w:numFmt w:val="bullet"/>
      <w:lvlText w:val=""/>
      <w:lvlJc w:val="left"/>
      <w:pPr>
        <w:ind w:left="2130" w:hanging="360"/>
      </w:pPr>
      <w:rPr>
        <w:rFonts w:ascii="Symbol" w:hAnsi="Symbol" w:hint="default"/>
      </w:rPr>
    </w:lvl>
    <w:lvl w:ilvl="1" w:tplc="04050003" w:tentative="1">
      <w:start w:val="1"/>
      <w:numFmt w:val="bullet"/>
      <w:lvlText w:val="o"/>
      <w:lvlJc w:val="left"/>
      <w:pPr>
        <w:ind w:left="2850" w:hanging="360"/>
      </w:pPr>
      <w:rPr>
        <w:rFonts w:ascii="Courier New" w:hAnsi="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30">
    <w:nsid w:val="44F81390"/>
    <w:multiLevelType w:val="hybridMultilevel"/>
    <w:tmpl w:val="3CECAA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55E67A7"/>
    <w:multiLevelType w:val="hybridMultilevel"/>
    <w:tmpl w:val="81260C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5AA3D55"/>
    <w:multiLevelType w:val="hybridMultilevel"/>
    <w:tmpl w:val="631A4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68520E2"/>
    <w:multiLevelType w:val="hybridMultilevel"/>
    <w:tmpl w:val="48B22612"/>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34">
    <w:nsid w:val="48C20087"/>
    <w:multiLevelType w:val="hybridMultilevel"/>
    <w:tmpl w:val="F7121A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A1000EA"/>
    <w:multiLevelType w:val="hybridMultilevel"/>
    <w:tmpl w:val="697EA7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AF2745F"/>
    <w:multiLevelType w:val="hybridMultilevel"/>
    <w:tmpl w:val="490CA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BA428C7"/>
    <w:multiLevelType w:val="hybridMultilevel"/>
    <w:tmpl w:val="2CCC1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C4A0499"/>
    <w:multiLevelType w:val="hybridMultilevel"/>
    <w:tmpl w:val="033EB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EE90ABA"/>
    <w:multiLevelType w:val="hybridMultilevel"/>
    <w:tmpl w:val="53183C9A"/>
    <w:lvl w:ilvl="0" w:tplc="04050001">
      <w:start w:val="1"/>
      <w:numFmt w:val="bullet"/>
      <w:lvlText w:val=""/>
      <w:lvlJc w:val="left"/>
      <w:pPr>
        <w:ind w:left="2130" w:hanging="360"/>
      </w:pPr>
      <w:rPr>
        <w:rFonts w:ascii="Symbol" w:hAnsi="Symbol" w:hint="default"/>
      </w:rPr>
    </w:lvl>
    <w:lvl w:ilvl="1" w:tplc="04050003" w:tentative="1">
      <w:start w:val="1"/>
      <w:numFmt w:val="bullet"/>
      <w:lvlText w:val="o"/>
      <w:lvlJc w:val="left"/>
      <w:pPr>
        <w:ind w:left="2850" w:hanging="360"/>
      </w:pPr>
      <w:rPr>
        <w:rFonts w:ascii="Courier New" w:hAnsi="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40">
    <w:nsid w:val="4FF361CD"/>
    <w:multiLevelType w:val="hybridMultilevel"/>
    <w:tmpl w:val="A30A29D2"/>
    <w:lvl w:ilvl="0" w:tplc="FEE8AB4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51597787"/>
    <w:multiLevelType w:val="hybridMultilevel"/>
    <w:tmpl w:val="E73A6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3511188"/>
    <w:multiLevelType w:val="hybridMultilevel"/>
    <w:tmpl w:val="6E0E9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CF85E2B"/>
    <w:multiLevelType w:val="hybridMultilevel"/>
    <w:tmpl w:val="D5885020"/>
    <w:lvl w:ilvl="0" w:tplc="04050001">
      <w:start w:val="1"/>
      <w:numFmt w:val="bullet"/>
      <w:lvlText w:val=""/>
      <w:lvlJc w:val="left"/>
      <w:pPr>
        <w:ind w:left="1920" w:hanging="360"/>
      </w:pPr>
      <w:rPr>
        <w:rFonts w:ascii="Symbol" w:hAnsi="Symbol" w:hint="default"/>
      </w:rPr>
    </w:lvl>
    <w:lvl w:ilvl="1" w:tplc="04050003">
      <w:start w:val="1"/>
      <w:numFmt w:val="bullet"/>
      <w:lvlText w:val="o"/>
      <w:lvlJc w:val="left"/>
      <w:pPr>
        <w:ind w:left="2853" w:hanging="360"/>
      </w:pPr>
      <w:rPr>
        <w:rFonts w:ascii="Courier New" w:hAnsi="Courier New" w:hint="default"/>
      </w:rPr>
    </w:lvl>
    <w:lvl w:ilvl="2" w:tplc="04050005">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44">
    <w:nsid w:val="5F661040"/>
    <w:multiLevelType w:val="hybridMultilevel"/>
    <w:tmpl w:val="1166FC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14C627C"/>
    <w:multiLevelType w:val="hybridMultilevel"/>
    <w:tmpl w:val="0B5E6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16772D4"/>
    <w:multiLevelType w:val="hybridMultilevel"/>
    <w:tmpl w:val="25DE2FC0"/>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7">
    <w:nsid w:val="65FB2C87"/>
    <w:multiLevelType w:val="hybridMultilevel"/>
    <w:tmpl w:val="BF466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82818D0"/>
    <w:multiLevelType w:val="hybridMultilevel"/>
    <w:tmpl w:val="1AE0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C3D1DD9"/>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nsid w:val="6CCF02E9"/>
    <w:multiLevelType w:val="hybridMultilevel"/>
    <w:tmpl w:val="D712574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1">
    <w:nsid w:val="6CE15316"/>
    <w:multiLevelType w:val="hybridMultilevel"/>
    <w:tmpl w:val="6F72D3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07041E1"/>
    <w:multiLevelType w:val="hybridMultilevel"/>
    <w:tmpl w:val="340AE6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6C70B68"/>
    <w:multiLevelType w:val="hybridMultilevel"/>
    <w:tmpl w:val="8C700D3A"/>
    <w:lvl w:ilvl="0" w:tplc="04050017">
      <w:start w:val="1"/>
      <w:numFmt w:val="lowerLetter"/>
      <w:lvlText w:val="%1)"/>
      <w:lvlJc w:val="left"/>
      <w:pPr>
        <w:ind w:left="1080" w:hanging="360"/>
      </w:pPr>
      <w:rPr>
        <w:rFonts w:cs="Times New Roman"/>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54">
    <w:nsid w:val="78297DDF"/>
    <w:multiLevelType w:val="hybridMultilevel"/>
    <w:tmpl w:val="2B640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8953102"/>
    <w:multiLevelType w:val="hybridMultilevel"/>
    <w:tmpl w:val="AA9C976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6">
    <w:nsid w:val="7B040E2C"/>
    <w:multiLevelType w:val="hybridMultilevel"/>
    <w:tmpl w:val="A976B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7CBF03FC"/>
    <w:multiLevelType w:val="hybridMultilevel"/>
    <w:tmpl w:val="FC32C28E"/>
    <w:lvl w:ilvl="0" w:tplc="04050001">
      <w:start w:val="1"/>
      <w:numFmt w:val="bullet"/>
      <w:lvlText w:val=""/>
      <w:lvlJc w:val="left"/>
      <w:pPr>
        <w:ind w:left="2133" w:hanging="360"/>
      </w:pPr>
      <w:rPr>
        <w:rFonts w:ascii="Symbol" w:hAnsi="Symbol" w:hint="default"/>
      </w:rPr>
    </w:lvl>
    <w:lvl w:ilvl="1" w:tplc="04050003">
      <w:start w:val="1"/>
      <w:numFmt w:val="bullet"/>
      <w:lvlText w:val="o"/>
      <w:lvlJc w:val="left"/>
      <w:pPr>
        <w:ind w:left="2853" w:hanging="360"/>
      </w:pPr>
      <w:rPr>
        <w:rFonts w:ascii="Courier New" w:hAnsi="Courier New" w:hint="default"/>
      </w:rPr>
    </w:lvl>
    <w:lvl w:ilvl="2" w:tplc="04050005">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58">
    <w:nsid w:val="7CDC4DB3"/>
    <w:multiLevelType w:val="hybridMultilevel"/>
    <w:tmpl w:val="D712574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9">
    <w:nsid w:val="7FEA0179"/>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6"/>
  </w:num>
  <w:num w:numId="2">
    <w:abstractNumId w:val="46"/>
  </w:num>
  <w:num w:numId="3">
    <w:abstractNumId w:val="5"/>
  </w:num>
  <w:num w:numId="4">
    <w:abstractNumId w:val="40"/>
  </w:num>
  <w:num w:numId="5">
    <w:abstractNumId w:val="29"/>
  </w:num>
  <w:num w:numId="6">
    <w:abstractNumId w:val="0"/>
  </w:num>
  <w:num w:numId="7">
    <w:abstractNumId w:val="55"/>
  </w:num>
  <w:num w:numId="8">
    <w:abstractNumId w:val="50"/>
  </w:num>
  <w:num w:numId="9">
    <w:abstractNumId w:val="16"/>
  </w:num>
  <w:num w:numId="10">
    <w:abstractNumId w:val="58"/>
  </w:num>
  <w:num w:numId="11">
    <w:abstractNumId w:val="43"/>
  </w:num>
  <w:num w:numId="12">
    <w:abstractNumId w:val="28"/>
  </w:num>
  <w:num w:numId="13">
    <w:abstractNumId w:val="24"/>
  </w:num>
  <w:num w:numId="14">
    <w:abstractNumId w:val="57"/>
  </w:num>
  <w:num w:numId="15">
    <w:abstractNumId w:val="19"/>
  </w:num>
  <w:num w:numId="16">
    <w:abstractNumId w:val="39"/>
  </w:num>
  <w:num w:numId="17">
    <w:abstractNumId w:val="32"/>
  </w:num>
  <w:num w:numId="18">
    <w:abstractNumId w:val="23"/>
  </w:num>
  <w:num w:numId="19">
    <w:abstractNumId w:val="44"/>
  </w:num>
  <w:num w:numId="20">
    <w:abstractNumId w:val="33"/>
  </w:num>
  <w:num w:numId="21">
    <w:abstractNumId w:val="52"/>
  </w:num>
  <w:num w:numId="22">
    <w:abstractNumId w:val="22"/>
  </w:num>
  <w:num w:numId="23">
    <w:abstractNumId w:val="31"/>
  </w:num>
  <w:num w:numId="24">
    <w:abstractNumId w:val="18"/>
  </w:num>
  <w:num w:numId="25">
    <w:abstractNumId w:val="13"/>
  </w:num>
  <w:num w:numId="26">
    <w:abstractNumId w:val="15"/>
  </w:num>
  <w:num w:numId="27">
    <w:abstractNumId w:val="56"/>
  </w:num>
  <w:num w:numId="28">
    <w:abstractNumId w:val="34"/>
  </w:num>
  <w:num w:numId="29">
    <w:abstractNumId w:val="10"/>
  </w:num>
  <w:num w:numId="30">
    <w:abstractNumId w:val="54"/>
  </w:num>
  <w:num w:numId="31">
    <w:abstractNumId w:val="36"/>
  </w:num>
  <w:num w:numId="32">
    <w:abstractNumId w:val="38"/>
  </w:num>
  <w:num w:numId="33">
    <w:abstractNumId w:val="12"/>
  </w:num>
  <w:num w:numId="34">
    <w:abstractNumId w:val="37"/>
  </w:num>
  <w:num w:numId="35">
    <w:abstractNumId w:val="26"/>
  </w:num>
  <w:num w:numId="36">
    <w:abstractNumId w:val="11"/>
  </w:num>
  <w:num w:numId="37">
    <w:abstractNumId w:val="51"/>
  </w:num>
  <w:num w:numId="38">
    <w:abstractNumId w:val="53"/>
  </w:num>
  <w:num w:numId="39">
    <w:abstractNumId w:val="8"/>
  </w:num>
  <w:num w:numId="40">
    <w:abstractNumId w:val="59"/>
  </w:num>
  <w:num w:numId="41">
    <w:abstractNumId w:val="17"/>
  </w:num>
  <w:num w:numId="42">
    <w:abstractNumId w:val="21"/>
  </w:num>
  <w:num w:numId="43">
    <w:abstractNumId w:val="49"/>
  </w:num>
  <w:num w:numId="44">
    <w:abstractNumId w:val="9"/>
  </w:num>
  <w:num w:numId="45">
    <w:abstractNumId w:val="4"/>
  </w:num>
  <w:num w:numId="46">
    <w:abstractNumId w:val="30"/>
  </w:num>
  <w:num w:numId="47">
    <w:abstractNumId w:val="35"/>
  </w:num>
  <w:num w:numId="48">
    <w:abstractNumId w:val="27"/>
  </w:num>
  <w:num w:numId="49">
    <w:abstractNumId w:val="2"/>
  </w:num>
  <w:num w:numId="50">
    <w:abstractNumId w:val="20"/>
  </w:num>
  <w:num w:numId="51">
    <w:abstractNumId w:val="3"/>
  </w:num>
  <w:num w:numId="52">
    <w:abstractNumId w:val="45"/>
  </w:num>
  <w:num w:numId="53">
    <w:abstractNumId w:val="47"/>
  </w:num>
  <w:num w:numId="54">
    <w:abstractNumId w:val="7"/>
  </w:num>
  <w:num w:numId="55">
    <w:abstractNumId w:val="14"/>
  </w:num>
  <w:num w:numId="56">
    <w:abstractNumId w:val="41"/>
  </w:num>
  <w:num w:numId="57">
    <w:abstractNumId w:val="1"/>
  </w:num>
  <w:num w:numId="58">
    <w:abstractNumId w:val="42"/>
  </w:num>
  <w:num w:numId="59">
    <w:abstractNumId w:val="48"/>
  </w:num>
  <w:num w:numId="60">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516"/>
    <w:rsid w:val="00007321"/>
    <w:rsid w:val="0001029E"/>
    <w:rsid w:val="000137BC"/>
    <w:rsid w:val="00013F2D"/>
    <w:rsid w:val="000148F3"/>
    <w:rsid w:val="00014BAC"/>
    <w:rsid w:val="00017C58"/>
    <w:rsid w:val="00017ED5"/>
    <w:rsid w:val="000250B2"/>
    <w:rsid w:val="000255C2"/>
    <w:rsid w:val="00030636"/>
    <w:rsid w:val="000348C1"/>
    <w:rsid w:val="0003515D"/>
    <w:rsid w:val="00035719"/>
    <w:rsid w:val="0003792E"/>
    <w:rsid w:val="0004230F"/>
    <w:rsid w:val="000446BC"/>
    <w:rsid w:val="0005425F"/>
    <w:rsid w:val="00055305"/>
    <w:rsid w:val="00057BB8"/>
    <w:rsid w:val="00057DCC"/>
    <w:rsid w:val="00060595"/>
    <w:rsid w:val="00060C7C"/>
    <w:rsid w:val="0006475C"/>
    <w:rsid w:val="00064899"/>
    <w:rsid w:val="00065D35"/>
    <w:rsid w:val="00065EDA"/>
    <w:rsid w:val="00072DDE"/>
    <w:rsid w:val="0007467D"/>
    <w:rsid w:val="00075DB5"/>
    <w:rsid w:val="000807C2"/>
    <w:rsid w:val="0008143C"/>
    <w:rsid w:val="00081DA3"/>
    <w:rsid w:val="000835B0"/>
    <w:rsid w:val="00085762"/>
    <w:rsid w:val="00085E85"/>
    <w:rsid w:val="00086DAD"/>
    <w:rsid w:val="00086E3A"/>
    <w:rsid w:val="00090A63"/>
    <w:rsid w:val="00091EBE"/>
    <w:rsid w:val="00093024"/>
    <w:rsid w:val="00093A02"/>
    <w:rsid w:val="00095D7E"/>
    <w:rsid w:val="000A0AE5"/>
    <w:rsid w:val="000A308E"/>
    <w:rsid w:val="000A57C0"/>
    <w:rsid w:val="000A5867"/>
    <w:rsid w:val="000A5C5C"/>
    <w:rsid w:val="000B0985"/>
    <w:rsid w:val="000B0A83"/>
    <w:rsid w:val="000B6F97"/>
    <w:rsid w:val="000C1D1E"/>
    <w:rsid w:val="000C2949"/>
    <w:rsid w:val="000C3E1F"/>
    <w:rsid w:val="000C50F2"/>
    <w:rsid w:val="000D1C02"/>
    <w:rsid w:val="000D3CE4"/>
    <w:rsid w:val="000D58AC"/>
    <w:rsid w:val="000D5D32"/>
    <w:rsid w:val="000D662D"/>
    <w:rsid w:val="000D7BBE"/>
    <w:rsid w:val="000E2F69"/>
    <w:rsid w:val="000E3C4C"/>
    <w:rsid w:val="000E4CD7"/>
    <w:rsid w:val="000F2702"/>
    <w:rsid w:val="000F576D"/>
    <w:rsid w:val="000F7C72"/>
    <w:rsid w:val="00103C6C"/>
    <w:rsid w:val="001075DB"/>
    <w:rsid w:val="001076A3"/>
    <w:rsid w:val="0011111A"/>
    <w:rsid w:val="00113C1A"/>
    <w:rsid w:val="00113F1B"/>
    <w:rsid w:val="00122080"/>
    <w:rsid w:val="00123774"/>
    <w:rsid w:val="00124E70"/>
    <w:rsid w:val="001261AF"/>
    <w:rsid w:val="00132FBE"/>
    <w:rsid w:val="00134C56"/>
    <w:rsid w:val="001374EB"/>
    <w:rsid w:val="00140CDE"/>
    <w:rsid w:val="001430DC"/>
    <w:rsid w:val="0015063D"/>
    <w:rsid w:val="0015291B"/>
    <w:rsid w:val="0015338C"/>
    <w:rsid w:val="00154407"/>
    <w:rsid w:val="0015490B"/>
    <w:rsid w:val="00157CA9"/>
    <w:rsid w:val="00157F71"/>
    <w:rsid w:val="00171461"/>
    <w:rsid w:val="00172B40"/>
    <w:rsid w:val="00174B69"/>
    <w:rsid w:val="00174C60"/>
    <w:rsid w:val="00176919"/>
    <w:rsid w:val="001771A2"/>
    <w:rsid w:val="00185DFC"/>
    <w:rsid w:val="001861E1"/>
    <w:rsid w:val="00190F52"/>
    <w:rsid w:val="00191090"/>
    <w:rsid w:val="00191999"/>
    <w:rsid w:val="00192C44"/>
    <w:rsid w:val="0019324C"/>
    <w:rsid w:val="001935EA"/>
    <w:rsid w:val="00193EB6"/>
    <w:rsid w:val="001A02DC"/>
    <w:rsid w:val="001A0516"/>
    <w:rsid w:val="001A4361"/>
    <w:rsid w:val="001A6C20"/>
    <w:rsid w:val="001A6C29"/>
    <w:rsid w:val="001B0CE0"/>
    <w:rsid w:val="001B220C"/>
    <w:rsid w:val="001B55E1"/>
    <w:rsid w:val="001C1DA8"/>
    <w:rsid w:val="001C293A"/>
    <w:rsid w:val="001C6E5E"/>
    <w:rsid w:val="001D0CBE"/>
    <w:rsid w:val="001D196D"/>
    <w:rsid w:val="001D1985"/>
    <w:rsid w:val="001D5897"/>
    <w:rsid w:val="001E4638"/>
    <w:rsid w:val="001E78FA"/>
    <w:rsid w:val="001F1610"/>
    <w:rsid w:val="001F2D5A"/>
    <w:rsid w:val="001F42E2"/>
    <w:rsid w:val="001F4D8C"/>
    <w:rsid w:val="001F7F00"/>
    <w:rsid w:val="00200FFB"/>
    <w:rsid w:val="00201D38"/>
    <w:rsid w:val="00203207"/>
    <w:rsid w:val="00203898"/>
    <w:rsid w:val="00205A88"/>
    <w:rsid w:val="00207880"/>
    <w:rsid w:val="002108E4"/>
    <w:rsid w:val="00211674"/>
    <w:rsid w:val="00212866"/>
    <w:rsid w:val="00213BDA"/>
    <w:rsid w:val="002247D9"/>
    <w:rsid w:val="00226120"/>
    <w:rsid w:val="002267DF"/>
    <w:rsid w:val="0023019B"/>
    <w:rsid w:val="00232D2D"/>
    <w:rsid w:val="002363F8"/>
    <w:rsid w:val="002376E0"/>
    <w:rsid w:val="00237C4F"/>
    <w:rsid w:val="00242A06"/>
    <w:rsid w:val="002447DE"/>
    <w:rsid w:val="00244CEB"/>
    <w:rsid w:val="00245C7C"/>
    <w:rsid w:val="00247885"/>
    <w:rsid w:val="0025247C"/>
    <w:rsid w:val="002536D8"/>
    <w:rsid w:val="0025568F"/>
    <w:rsid w:val="00255889"/>
    <w:rsid w:val="002572C1"/>
    <w:rsid w:val="00257423"/>
    <w:rsid w:val="00263BE5"/>
    <w:rsid w:val="00264E0C"/>
    <w:rsid w:val="00267F02"/>
    <w:rsid w:val="00271CEA"/>
    <w:rsid w:val="00274E88"/>
    <w:rsid w:val="00276858"/>
    <w:rsid w:val="00276D1E"/>
    <w:rsid w:val="00277C8D"/>
    <w:rsid w:val="00283758"/>
    <w:rsid w:val="00284C03"/>
    <w:rsid w:val="002851E5"/>
    <w:rsid w:val="00285EFF"/>
    <w:rsid w:val="00286FCC"/>
    <w:rsid w:val="00287907"/>
    <w:rsid w:val="00291197"/>
    <w:rsid w:val="00297DCE"/>
    <w:rsid w:val="002A1C43"/>
    <w:rsid w:val="002A47D4"/>
    <w:rsid w:val="002A655B"/>
    <w:rsid w:val="002A6E22"/>
    <w:rsid w:val="002A71D1"/>
    <w:rsid w:val="002A7AE1"/>
    <w:rsid w:val="002B5BCD"/>
    <w:rsid w:val="002C01F9"/>
    <w:rsid w:val="002C081D"/>
    <w:rsid w:val="002C2CB2"/>
    <w:rsid w:val="002C3A37"/>
    <w:rsid w:val="002C59C5"/>
    <w:rsid w:val="002D155E"/>
    <w:rsid w:val="002D430C"/>
    <w:rsid w:val="002D4610"/>
    <w:rsid w:val="002E1E7F"/>
    <w:rsid w:val="002E28EE"/>
    <w:rsid w:val="002E4483"/>
    <w:rsid w:val="002F38AB"/>
    <w:rsid w:val="00300CB4"/>
    <w:rsid w:val="00302DDF"/>
    <w:rsid w:val="0030459B"/>
    <w:rsid w:val="00304612"/>
    <w:rsid w:val="003164C1"/>
    <w:rsid w:val="0032180C"/>
    <w:rsid w:val="00321B74"/>
    <w:rsid w:val="00323867"/>
    <w:rsid w:val="00324E47"/>
    <w:rsid w:val="00326BD9"/>
    <w:rsid w:val="0032749A"/>
    <w:rsid w:val="00330851"/>
    <w:rsid w:val="00331FB8"/>
    <w:rsid w:val="00333EC3"/>
    <w:rsid w:val="003344DF"/>
    <w:rsid w:val="00334E6C"/>
    <w:rsid w:val="00335807"/>
    <w:rsid w:val="00336823"/>
    <w:rsid w:val="00337146"/>
    <w:rsid w:val="003375FE"/>
    <w:rsid w:val="00337D7B"/>
    <w:rsid w:val="00343D8C"/>
    <w:rsid w:val="0035306C"/>
    <w:rsid w:val="00353C52"/>
    <w:rsid w:val="0035717A"/>
    <w:rsid w:val="003647F4"/>
    <w:rsid w:val="00365B58"/>
    <w:rsid w:val="00375297"/>
    <w:rsid w:val="00375DCF"/>
    <w:rsid w:val="003803AC"/>
    <w:rsid w:val="0038054A"/>
    <w:rsid w:val="0038217D"/>
    <w:rsid w:val="00391266"/>
    <w:rsid w:val="003912BB"/>
    <w:rsid w:val="00391A87"/>
    <w:rsid w:val="00392460"/>
    <w:rsid w:val="00393AF9"/>
    <w:rsid w:val="00395132"/>
    <w:rsid w:val="00396551"/>
    <w:rsid w:val="00397417"/>
    <w:rsid w:val="003A16AD"/>
    <w:rsid w:val="003A69C1"/>
    <w:rsid w:val="003B1C92"/>
    <w:rsid w:val="003B38B2"/>
    <w:rsid w:val="003B6CBB"/>
    <w:rsid w:val="003B7845"/>
    <w:rsid w:val="003C270E"/>
    <w:rsid w:val="003C5881"/>
    <w:rsid w:val="003C63AC"/>
    <w:rsid w:val="003D113F"/>
    <w:rsid w:val="003D5087"/>
    <w:rsid w:val="003D537A"/>
    <w:rsid w:val="003E027F"/>
    <w:rsid w:val="003E19D7"/>
    <w:rsid w:val="003E5E59"/>
    <w:rsid w:val="003E762B"/>
    <w:rsid w:val="003F064B"/>
    <w:rsid w:val="003F07A1"/>
    <w:rsid w:val="0040072E"/>
    <w:rsid w:val="0040346A"/>
    <w:rsid w:val="00403A75"/>
    <w:rsid w:val="004058C4"/>
    <w:rsid w:val="00407762"/>
    <w:rsid w:val="00410F22"/>
    <w:rsid w:val="00413E0D"/>
    <w:rsid w:val="004158D1"/>
    <w:rsid w:val="00415A93"/>
    <w:rsid w:val="004172CA"/>
    <w:rsid w:val="004253EE"/>
    <w:rsid w:val="00426AAF"/>
    <w:rsid w:val="00426AC6"/>
    <w:rsid w:val="0043052A"/>
    <w:rsid w:val="00432C7C"/>
    <w:rsid w:val="00435476"/>
    <w:rsid w:val="004357A0"/>
    <w:rsid w:val="00436457"/>
    <w:rsid w:val="00444D73"/>
    <w:rsid w:val="0045564B"/>
    <w:rsid w:val="00457825"/>
    <w:rsid w:val="00463379"/>
    <w:rsid w:val="004633A6"/>
    <w:rsid w:val="00464E92"/>
    <w:rsid w:val="0046579F"/>
    <w:rsid w:val="004672EB"/>
    <w:rsid w:val="00470BD0"/>
    <w:rsid w:val="004863D8"/>
    <w:rsid w:val="00490724"/>
    <w:rsid w:val="00496A5B"/>
    <w:rsid w:val="00496D9F"/>
    <w:rsid w:val="004A1050"/>
    <w:rsid w:val="004A4B10"/>
    <w:rsid w:val="004B3C6F"/>
    <w:rsid w:val="004B3DB8"/>
    <w:rsid w:val="004C10E9"/>
    <w:rsid w:val="004C1D39"/>
    <w:rsid w:val="004C2BE5"/>
    <w:rsid w:val="004C4AF3"/>
    <w:rsid w:val="004C4DE2"/>
    <w:rsid w:val="004C50D5"/>
    <w:rsid w:val="004C548D"/>
    <w:rsid w:val="004C62E5"/>
    <w:rsid w:val="004D0221"/>
    <w:rsid w:val="004D0E10"/>
    <w:rsid w:val="004D4439"/>
    <w:rsid w:val="004D51BF"/>
    <w:rsid w:val="004D68CF"/>
    <w:rsid w:val="004E0505"/>
    <w:rsid w:val="004E096F"/>
    <w:rsid w:val="004E215E"/>
    <w:rsid w:val="004E448F"/>
    <w:rsid w:val="004E4D4A"/>
    <w:rsid w:val="004E749A"/>
    <w:rsid w:val="004F1671"/>
    <w:rsid w:val="004F1EB3"/>
    <w:rsid w:val="004F2FF6"/>
    <w:rsid w:val="004F635B"/>
    <w:rsid w:val="004F726D"/>
    <w:rsid w:val="00501A6F"/>
    <w:rsid w:val="005032EB"/>
    <w:rsid w:val="00503850"/>
    <w:rsid w:val="00503A51"/>
    <w:rsid w:val="00503ACF"/>
    <w:rsid w:val="00510D45"/>
    <w:rsid w:val="00510E65"/>
    <w:rsid w:val="00512D55"/>
    <w:rsid w:val="00512DB1"/>
    <w:rsid w:val="00513C9E"/>
    <w:rsid w:val="00514501"/>
    <w:rsid w:val="00517BDF"/>
    <w:rsid w:val="00520E64"/>
    <w:rsid w:val="005244A9"/>
    <w:rsid w:val="00524F12"/>
    <w:rsid w:val="005320C0"/>
    <w:rsid w:val="00536229"/>
    <w:rsid w:val="00536E42"/>
    <w:rsid w:val="0054199A"/>
    <w:rsid w:val="005463B5"/>
    <w:rsid w:val="00546610"/>
    <w:rsid w:val="00547EEC"/>
    <w:rsid w:val="00551220"/>
    <w:rsid w:val="00551F25"/>
    <w:rsid w:val="00552987"/>
    <w:rsid w:val="00555DEF"/>
    <w:rsid w:val="0055785C"/>
    <w:rsid w:val="00561226"/>
    <w:rsid w:val="00563C48"/>
    <w:rsid w:val="005705B3"/>
    <w:rsid w:val="0057060F"/>
    <w:rsid w:val="00572A43"/>
    <w:rsid w:val="00573FC6"/>
    <w:rsid w:val="0057431E"/>
    <w:rsid w:val="005779B6"/>
    <w:rsid w:val="00580631"/>
    <w:rsid w:val="00580DC9"/>
    <w:rsid w:val="00581791"/>
    <w:rsid w:val="005832C5"/>
    <w:rsid w:val="005835BC"/>
    <w:rsid w:val="005843A3"/>
    <w:rsid w:val="005871CF"/>
    <w:rsid w:val="00587370"/>
    <w:rsid w:val="005911CA"/>
    <w:rsid w:val="00593D89"/>
    <w:rsid w:val="0059473F"/>
    <w:rsid w:val="0059481B"/>
    <w:rsid w:val="00595DE3"/>
    <w:rsid w:val="00596E03"/>
    <w:rsid w:val="00597E54"/>
    <w:rsid w:val="005A06C7"/>
    <w:rsid w:val="005A17DF"/>
    <w:rsid w:val="005A2D90"/>
    <w:rsid w:val="005A5B28"/>
    <w:rsid w:val="005B12CB"/>
    <w:rsid w:val="005B154E"/>
    <w:rsid w:val="005B597B"/>
    <w:rsid w:val="005C4E93"/>
    <w:rsid w:val="005C551B"/>
    <w:rsid w:val="005D0A9D"/>
    <w:rsid w:val="005D1C50"/>
    <w:rsid w:val="005D3B52"/>
    <w:rsid w:val="005D41F8"/>
    <w:rsid w:val="005D4A11"/>
    <w:rsid w:val="005E2594"/>
    <w:rsid w:val="005E2635"/>
    <w:rsid w:val="005E2C26"/>
    <w:rsid w:val="005E7A33"/>
    <w:rsid w:val="005F2F1A"/>
    <w:rsid w:val="00603B70"/>
    <w:rsid w:val="006109CC"/>
    <w:rsid w:val="00610CE2"/>
    <w:rsid w:val="00612E5A"/>
    <w:rsid w:val="00614068"/>
    <w:rsid w:val="0061505B"/>
    <w:rsid w:val="00616A2E"/>
    <w:rsid w:val="00620018"/>
    <w:rsid w:val="00627122"/>
    <w:rsid w:val="00631C99"/>
    <w:rsid w:val="00632811"/>
    <w:rsid w:val="00635EA1"/>
    <w:rsid w:val="00636436"/>
    <w:rsid w:val="006404F5"/>
    <w:rsid w:val="0064393A"/>
    <w:rsid w:val="00647181"/>
    <w:rsid w:val="00647C80"/>
    <w:rsid w:val="00653848"/>
    <w:rsid w:val="0065410B"/>
    <w:rsid w:val="0066043D"/>
    <w:rsid w:val="00660DAC"/>
    <w:rsid w:val="00660EDE"/>
    <w:rsid w:val="0066698D"/>
    <w:rsid w:val="00666CC4"/>
    <w:rsid w:val="00670294"/>
    <w:rsid w:val="00672949"/>
    <w:rsid w:val="006731A3"/>
    <w:rsid w:val="00674535"/>
    <w:rsid w:val="006761A1"/>
    <w:rsid w:val="0068229E"/>
    <w:rsid w:val="0069040E"/>
    <w:rsid w:val="006908D0"/>
    <w:rsid w:val="006910D3"/>
    <w:rsid w:val="006952BA"/>
    <w:rsid w:val="006A07D5"/>
    <w:rsid w:val="006A105E"/>
    <w:rsid w:val="006A15F7"/>
    <w:rsid w:val="006A2779"/>
    <w:rsid w:val="006A7631"/>
    <w:rsid w:val="006A7A42"/>
    <w:rsid w:val="006B0A60"/>
    <w:rsid w:val="006B0DC6"/>
    <w:rsid w:val="006B0F92"/>
    <w:rsid w:val="006B4A66"/>
    <w:rsid w:val="006B5A16"/>
    <w:rsid w:val="006B6A45"/>
    <w:rsid w:val="006C09DB"/>
    <w:rsid w:val="006C09E6"/>
    <w:rsid w:val="006C2AF1"/>
    <w:rsid w:val="006C62F6"/>
    <w:rsid w:val="006C6812"/>
    <w:rsid w:val="006C6949"/>
    <w:rsid w:val="006C6E3E"/>
    <w:rsid w:val="006D088B"/>
    <w:rsid w:val="006D43A3"/>
    <w:rsid w:val="006D79AC"/>
    <w:rsid w:val="006E3144"/>
    <w:rsid w:val="006E32A4"/>
    <w:rsid w:val="006E46EC"/>
    <w:rsid w:val="006E64E2"/>
    <w:rsid w:val="006E67E0"/>
    <w:rsid w:val="006E7CD0"/>
    <w:rsid w:val="006F4333"/>
    <w:rsid w:val="006F6EAD"/>
    <w:rsid w:val="006F72F6"/>
    <w:rsid w:val="006F7461"/>
    <w:rsid w:val="00702CD3"/>
    <w:rsid w:val="00702F6F"/>
    <w:rsid w:val="0070455E"/>
    <w:rsid w:val="00704783"/>
    <w:rsid w:val="00704954"/>
    <w:rsid w:val="00705B89"/>
    <w:rsid w:val="007133B2"/>
    <w:rsid w:val="00721AEF"/>
    <w:rsid w:val="00724244"/>
    <w:rsid w:val="00725792"/>
    <w:rsid w:val="0072594E"/>
    <w:rsid w:val="007310A5"/>
    <w:rsid w:val="007340C3"/>
    <w:rsid w:val="0073719A"/>
    <w:rsid w:val="00740A6E"/>
    <w:rsid w:val="0074116B"/>
    <w:rsid w:val="007445B6"/>
    <w:rsid w:val="00747F59"/>
    <w:rsid w:val="00751472"/>
    <w:rsid w:val="0075424B"/>
    <w:rsid w:val="00755968"/>
    <w:rsid w:val="00761F4C"/>
    <w:rsid w:val="00762872"/>
    <w:rsid w:val="00763D6F"/>
    <w:rsid w:val="00763ED0"/>
    <w:rsid w:val="0076580C"/>
    <w:rsid w:val="00767BD3"/>
    <w:rsid w:val="00774A64"/>
    <w:rsid w:val="00774E2E"/>
    <w:rsid w:val="00777456"/>
    <w:rsid w:val="00782C19"/>
    <w:rsid w:val="00784623"/>
    <w:rsid w:val="0079375F"/>
    <w:rsid w:val="0079771A"/>
    <w:rsid w:val="007A05FF"/>
    <w:rsid w:val="007A0674"/>
    <w:rsid w:val="007A3FC8"/>
    <w:rsid w:val="007A6CFA"/>
    <w:rsid w:val="007E03A3"/>
    <w:rsid w:val="007E164A"/>
    <w:rsid w:val="007E1B21"/>
    <w:rsid w:val="007E3217"/>
    <w:rsid w:val="007E4B15"/>
    <w:rsid w:val="007E58C3"/>
    <w:rsid w:val="007F457A"/>
    <w:rsid w:val="007F6036"/>
    <w:rsid w:val="007F654B"/>
    <w:rsid w:val="00801D10"/>
    <w:rsid w:val="00804909"/>
    <w:rsid w:val="00810290"/>
    <w:rsid w:val="00814286"/>
    <w:rsid w:val="00814A9D"/>
    <w:rsid w:val="008204A3"/>
    <w:rsid w:val="00820DB4"/>
    <w:rsid w:val="008219F4"/>
    <w:rsid w:val="00821A55"/>
    <w:rsid w:val="008254AF"/>
    <w:rsid w:val="00826D64"/>
    <w:rsid w:val="00827A82"/>
    <w:rsid w:val="00827FB7"/>
    <w:rsid w:val="00833607"/>
    <w:rsid w:val="0083429B"/>
    <w:rsid w:val="008375F6"/>
    <w:rsid w:val="00841ECD"/>
    <w:rsid w:val="00843D2A"/>
    <w:rsid w:val="00845EA6"/>
    <w:rsid w:val="00847B2E"/>
    <w:rsid w:val="00852469"/>
    <w:rsid w:val="00856D94"/>
    <w:rsid w:val="008616B8"/>
    <w:rsid w:val="00862B41"/>
    <w:rsid w:val="00865663"/>
    <w:rsid w:val="00867AED"/>
    <w:rsid w:val="00870B2C"/>
    <w:rsid w:val="0087157A"/>
    <w:rsid w:val="00871838"/>
    <w:rsid w:val="00872CBA"/>
    <w:rsid w:val="008742C2"/>
    <w:rsid w:val="00876302"/>
    <w:rsid w:val="00877424"/>
    <w:rsid w:val="00881D1A"/>
    <w:rsid w:val="00882258"/>
    <w:rsid w:val="00886BFB"/>
    <w:rsid w:val="008912AD"/>
    <w:rsid w:val="00893815"/>
    <w:rsid w:val="0089434F"/>
    <w:rsid w:val="00895723"/>
    <w:rsid w:val="0089682D"/>
    <w:rsid w:val="008A1440"/>
    <w:rsid w:val="008A3D0C"/>
    <w:rsid w:val="008A4913"/>
    <w:rsid w:val="008B2550"/>
    <w:rsid w:val="008B2AA6"/>
    <w:rsid w:val="008B330F"/>
    <w:rsid w:val="008B3A50"/>
    <w:rsid w:val="008B3EA4"/>
    <w:rsid w:val="008B45BB"/>
    <w:rsid w:val="008B6F4D"/>
    <w:rsid w:val="008C2774"/>
    <w:rsid w:val="008C515C"/>
    <w:rsid w:val="008C516D"/>
    <w:rsid w:val="008C795C"/>
    <w:rsid w:val="008C7DC5"/>
    <w:rsid w:val="008D068C"/>
    <w:rsid w:val="008D0B3E"/>
    <w:rsid w:val="008E1E32"/>
    <w:rsid w:val="008E3B35"/>
    <w:rsid w:val="008E6276"/>
    <w:rsid w:val="008E6DDC"/>
    <w:rsid w:val="008F0326"/>
    <w:rsid w:val="008F24C5"/>
    <w:rsid w:val="008F2FEA"/>
    <w:rsid w:val="008F57DD"/>
    <w:rsid w:val="008F60F6"/>
    <w:rsid w:val="0090074F"/>
    <w:rsid w:val="00900F10"/>
    <w:rsid w:val="009047EF"/>
    <w:rsid w:val="00910190"/>
    <w:rsid w:val="009101E0"/>
    <w:rsid w:val="009114E9"/>
    <w:rsid w:val="00914D78"/>
    <w:rsid w:val="00916151"/>
    <w:rsid w:val="00922B8D"/>
    <w:rsid w:val="00924A66"/>
    <w:rsid w:val="00924D19"/>
    <w:rsid w:val="00924E06"/>
    <w:rsid w:val="0092660E"/>
    <w:rsid w:val="009300F9"/>
    <w:rsid w:val="00931DF3"/>
    <w:rsid w:val="00935502"/>
    <w:rsid w:val="0093573C"/>
    <w:rsid w:val="00935FD7"/>
    <w:rsid w:val="00937127"/>
    <w:rsid w:val="00944E14"/>
    <w:rsid w:val="00950BB9"/>
    <w:rsid w:val="00951461"/>
    <w:rsid w:val="00954D7D"/>
    <w:rsid w:val="00954DC9"/>
    <w:rsid w:val="00955211"/>
    <w:rsid w:val="0095603F"/>
    <w:rsid w:val="009605EA"/>
    <w:rsid w:val="00962BAE"/>
    <w:rsid w:val="00964D1B"/>
    <w:rsid w:val="009674DA"/>
    <w:rsid w:val="0097041A"/>
    <w:rsid w:val="00971054"/>
    <w:rsid w:val="009740B0"/>
    <w:rsid w:val="009749E3"/>
    <w:rsid w:val="00975EE9"/>
    <w:rsid w:val="009777E5"/>
    <w:rsid w:val="009838A1"/>
    <w:rsid w:val="0098603E"/>
    <w:rsid w:val="00990189"/>
    <w:rsid w:val="00990B5C"/>
    <w:rsid w:val="0099291E"/>
    <w:rsid w:val="00993E1D"/>
    <w:rsid w:val="0099414C"/>
    <w:rsid w:val="009A07F6"/>
    <w:rsid w:val="009A0F06"/>
    <w:rsid w:val="009A1CDA"/>
    <w:rsid w:val="009A5673"/>
    <w:rsid w:val="009A57A3"/>
    <w:rsid w:val="009A5AF4"/>
    <w:rsid w:val="009A6804"/>
    <w:rsid w:val="009A6DF7"/>
    <w:rsid w:val="009A7F80"/>
    <w:rsid w:val="009B09E5"/>
    <w:rsid w:val="009B1642"/>
    <w:rsid w:val="009B2EC6"/>
    <w:rsid w:val="009B64E4"/>
    <w:rsid w:val="009B73A6"/>
    <w:rsid w:val="009C05EF"/>
    <w:rsid w:val="009C5459"/>
    <w:rsid w:val="009C5DB7"/>
    <w:rsid w:val="009C6C5C"/>
    <w:rsid w:val="009C6FD9"/>
    <w:rsid w:val="009C737B"/>
    <w:rsid w:val="009D0889"/>
    <w:rsid w:val="009D0CBA"/>
    <w:rsid w:val="009D1400"/>
    <w:rsid w:val="009D2011"/>
    <w:rsid w:val="009D499F"/>
    <w:rsid w:val="009D5C54"/>
    <w:rsid w:val="009D6A19"/>
    <w:rsid w:val="009D7F27"/>
    <w:rsid w:val="009E026B"/>
    <w:rsid w:val="009E299F"/>
    <w:rsid w:val="009E4BCB"/>
    <w:rsid w:val="009E5003"/>
    <w:rsid w:val="009E6581"/>
    <w:rsid w:val="009E6B33"/>
    <w:rsid w:val="009F055B"/>
    <w:rsid w:val="009F3A0C"/>
    <w:rsid w:val="009F5E97"/>
    <w:rsid w:val="009F5F63"/>
    <w:rsid w:val="009F688A"/>
    <w:rsid w:val="009F7FC9"/>
    <w:rsid w:val="00A03AB2"/>
    <w:rsid w:val="00A0479E"/>
    <w:rsid w:val="00A060A5"/>
    <w:rsid w:val="00A11172"/>
    <w:rsid w:val="00A11FFD"/>
    <w:rsid w:val="00A1352E"/>
    <w:rsid w:val="00A1400C"/>
    <w:rsid w:val="00A14486"/>
    <w:rsid w:val="00A17731"/>
    <w:rsid w:val="00A2371B"/>
    <w:rsid w:val="00A23FA7"/>
    <w:rsid w:val="00A247ED"/>
    <w:rsid w:val="00A26052"/>
    <w:rsid w:val="00A266A2"/>
    <w:rsid w:val="00A3028D"/>
    <w:rsid w:val="00A35648"/>
    <w:rsid w:val="00A36172"/>
    <w:rsid w:val="00A36BAF"/>
    <w:rsid w:val="00A431C5"/>
    <w:rsid w:val="00A43912"/>
    <w:rsid w:val="00A43DB0"/>
    <w:rsid w:val="00A4476C"/>
    <w:rsid w:val="00A44A2C"/>
    <w:rsid w:val="00A4503A"/>
    <w:rsid w:val="00A45465"/>
    <w:rsid w:val="00A54DF4"/>
    <w:rsid w:val="00A55AC7"/>
    <w:rsid w:val="00A57BD8"/>
    <w:rsid w:val="00A63B2E"/>
    <w:rsid w:val="00A64B21"/>
    <w:rsid w:val="00A64E87"/>
    <w:rsid w:val="00A6587C"/>
    <w:rsid w:val="00A70E9A"/>
    <w:rsid w:val="00A744D7"/>
    <w:rsid w:val="00A77A06"/>
    <w:rsid w:val="00A819A0"/>
    <w:rsid w:val="00A8227E"/>
    <w:rsid w:val="00A859F9"/>
    <w:rsid w:val="00A86A8D"/>
    <w:rsid w:val="00A92B63"/>
    <w:rsid w:val="00A9709F"/>
    <w:rsid w:val="00A97468"/>
    <w:rsid w:val="00AA166F"/>
    <w:rsid w:val="00AB27DF"/>
    <w:rsid w:val="00AB4A82"/>
    <w:rsid w:val="00AB5692"/>
    <w:rsid w:val="00AC122B"/>
    <w:rsid w:val="00AC32AA"/>
    <w:rsid w:val="00AC35EE"/>
    <w:rsid w:val="00AC7F8B"/>
    <w:rsid w:val="00AD12F8"/>
    <w:rsid w:val="00AD4A1C"/>
    <w:rsid w:val="00AD6D50"/>
    <w:rsid w:val="00AD774C"/>
    <w:rsid w:val="00AE0B2E"/>
    <w:rsid w:val="00AE7DAE"/>
    <w:rsid w:val="00AF0FFC"/>
    <w:rsid w:val="00AF2A23"/>
    <w:rsid w:val="00AF3D2F"/>
    <w:rsid w:val="00B00DB2"/>
    <w:rsid w:val="00B06AF1"/>
    <w:rsid w:val="00B07D49"/>
    <w:rsid w:val="00B127BE"/>
    <w:rsid w:val="00B22F4C"/>
    <w:rsid w:val="00B23207"/>
    <w:rsid w:val="00B238E2"/>
    <w:rsid w:val="00B242F8"/>
    <w:rsid w:val="00B24F1D"/>
    <w:rsid w:val="00B27A43"/>
    <w:rsid w:val="00B326AE"/>
    <w:rsid w:val="00B34B0D"/>
    <w:rsid w:val="00B35421"/>
    <w:rsid w:val="00B36F8F"/>
    <w:rsid w:val="00B3710B"/>
    <w:rsid w:val="00B3744A"/>
    <w:rsid w:val="00B42D52"/>
    <w:rsid w:val="00B438C0"/>
    <w:rsid w:val="00B45BC7"/>
    <w:rsid w:val="00B46C40"/>
    <w:rsid w:val="00B47CD4"/>
    <w:rsid w:val="00B52420"/>
    <w:rsid w:val="00B54089"/>
    <w:rsid w:val="00B55C14"/>
    <w:rsid w:val="00B57F80"/>
    <w:rsid w:val="00B612EF"/>
    <w:rsid w:val="00B62EA7"/>
    <w:rsid w:val="00B63B1D"/>
    <w:rsid w:val="00B64565"/>
    <w:rsid w:val="00B66883"/>
    <w:rsid w:val="00B678B7"/>
    <w:rsid w:val="00B705C0"/>
    <w:rsid w:val="00B70DEC"/>
    <w:rsid w:val="00B7413D"/>
    <w:rsid w:val="00B76062"/>
    <w:rsid w:val="00B84463"/>
    <w:rsid w:val="00B84B34"/>
    <w:rsid w:val="00B906ED"/>
    <w:rsid w:val="00B9084D"/>
    <w:rsid w:val="00B937E7"/>
    <w:rsid w:val="00B9429E"/>
    <w:rsid w:val="00B9466F"/>
    <w:rsid w:val="00B94CA2"/>
    <w:rsid w:val="00B97265"/>
    <w:rsid w:val="00B97436"/>
    <w:rsid w:val="00BA20CD"/>
    <w:rsid w:val="00BB036B"/>
    <w:rsid w:val="00BB05B3"/>
    <w:rsid w:val="00BB1982"/>
    <w:rsid w:val="00BB24EC"/>
    <w:rsid w:val="00BB5801"/>
    <w:rsid w:val="00BB5976"/>
    <w:rsid w:val="00BB66EF"/>
    <w:rsid w:val="00BC02B9"/>
    <w:rsid w:val="00BC0946"/>
    <w:rsid w:val="00BC2426"/>
    <w:rsid w:val="00BC3DE9"/>
    <w:rsid w:val="00BC7D02"/>
    <w:rsid w:val="00BD099D"/>
    <w:rsid w:val="00BD3BE0"/>
    <w:rsid w:val="00BD3E88"/>
    <w:rsid w:val="00BD53D3"/>
    <w:rsid w:val="00BD575B"/>
    <w:rsid w:val="00BE0296"/>
    <w:rsid w:val="00BE621E"/>
    <w:rsid w:val="00BE7DA0"/>
    <w:rsid w:val="00BF1CB9"/>
    <w:rsid w:val="00BF32C8"/>
    <w:rsid w:val="00BF47B0"/>
    <w:rsid w:val="00BF4FF4"/>
    <w:rsid w:val="00BF50AC"/>
    <w:rsid w:val="00BF6C8F"/>
    <w:rsid w:val="00BF6CF6"/>
    <w:rsid w:val="00C01BED"/>
    <w:rsid w:val="00C03733"/>
    <w:rsid w:val="00C03B3B"/>
    <w:rsid w:val="00C061C8"/>
    <w:rsid w:val="00C07491"/>
    <w:rsid w:val="00C1026D"/>
    <w:rsid w:val="00C1306B"/>
    <w:rsid w:val="00C14DC0"/>
    <w:rsid w:val="00C16EF9"/>
    <w:rsid w:val="00C204C8"/>
    <w:rsid w:val="00C20ADC"/>
    <w:rsid w:val="00C20CBE"/>
    <w:rsid w:val="00C20DEE"/>
    <w:rsid w:val="00C21B67"/>
    <w:rsid w:val="00C2380D"/>
    <w:rsid w:val="00C25FC8"/>
    <w:rsid w:val="00C31E1A"/>
    <w:rsid w:val="00C33994"/>
    <w:rsid w:val="00C36C18"/>
    <w:rsid w:val="00C36F2F"/>
    <w:rsid w:val="00C3749A"/>
    <w:rsid w:val="00C42F70"/>
    <w:rsid w:val="00C439B8"/>
    <w:rsid w:val="00C44F69"/>
    <w:rsid w:val="00C47564"/>
    <w:rsid w:val="00C5053C"/>
    <w:rsid w:val="00C50643"/>
    <w:rsid w:val="00C5139E"/>
    <w:rsid w:val="00C527D2"/>
    <w:rsid w:val="00C60FBC"/>
    <w:rsid w:val="00C6114A"/>
    <w:rsid w:val="00C63233"/>
    <w:rsid w:val="00C632AA"/>
    <w:rsid w:val="00C6414F"/>
    <w:rsid w:val="00C653BA"/>
    <w:rsid w:val="00C67257"/>
    <w:rsid w:val="00C7215B"/>
    <w:rsid w:val="00C74689"/>
    <w:rsid w:val="00C75FDA"/>
    <w:rsid w:val="00C80511"/>
    <w:rsid w:val="00C80AE2"/>
    <w:rsid w:val="00C81B78"/>
    <w:rsid w:val="00C82CBD"/>
    <w:rsid w:val="00C84A55"/>
    <w:rsid w:val="00C866B3"/>
    <w:rsid w:val="00C8684A"/>
    <w:rsid w:val="00C8702B"/>
    <w:rsid w:val="00C87876"/>
    <w:rsid w:val="00C97884"/>
    <w:rsid w:val="00C97D88"/>
    <w:rsid w:val="00CA0AD2"/>
    <w:rsid w:val="00CA1D3A"/>
    <w:rsid w:val="00CA1DDA"/>
    <w:rsid w:val="00CA1F7A"/>
    <w:rsid w:val="00CA1FF8"/>
    <w:rsid w:val="00CA29A2"/>
    <w:rsid w:val="00CA33F6"/>
    <w:rsid w:val="00CA396C"/>
    <w:rsid w:val="00CA40CB"/>
    <w:rsid w:val="00CA45DF"/>
    <w:rsid w:val="00CA4E0D"/>
    <w:rsid w:val="00CB15C1"/>
    <w:rsid w:val="00CB4A1C"/>
    <w:rsid w:val="00CB5227"/>
    <w:rsid w:val="00CC3335"/>
    <w:rsid w:val="00CC524E"/>
    <w:rsid w:val="00CC5ABB"/>
    <w:rsid w:val="00CC7278"/>
    <w:rsid w:val="00CD01A3"/>
    <w:rsid w:val="00CD2EB2"/>
    <w:rsid w:val="00CD4C34"/>
    <w:rsid w:val="00CD702B"/>
    <w:rsid w:val="00CD7753"/>
    <w:rsid w:val="00CD78AE"/>
    <w:rsid w:val="00CE0D67"/>
    <w:rsid w:val="00CE2F2A"/>
    <w:rsid w:val="00CE5E92"/>
    <w:rsid w:val="00CE7506"/>
    <w:rsid w:val="00CF0E64"/>
    <w:rsid w:val="00CF2E0B"/>
    <w:rsid w:val="00CF3DEB"/>
    <w:rsid w:val="00CF4FA0"/>
    <w:rsid w:val="00CF6E68"/>
    <w:rsid w:val="00D043C6"/>
    <w:rsid w:val="00D04E6C"/>
    <w:rsid w:val="00D04EB6"/>
    <w:rsid w:val="00D10FD6"/>
    <w:rsid w:val="00D11133"/>
    <w:rsid w:val="00D13095"/>
    <w:rsid w:val="00D134B5"/>
    <w:rsid w:val="00D139AD"/>
    <w:rsid w:val="00D14118"/>
    <w:rsid w:val="00D20EE6"/>
    <w:rsid w:val="00D2115B"/>
    <w:rsid w:val="00D2353E"/>
    <w:rsid w:val="00D238F8"/>
    <w:rsid w:val="00D25255"/>
    <w:rsid w:val="00D258E5"/>
    <w:rsid w:val="00D3007A"/>
    <w:rsid w:val="00D32DE5"/>
    <w:rsid w:val="00D33486"/>
    <w:rsid w:val="00D338D6"/>
    <w:rsid w:val="00D455DA"/>
    <w:rsid w:val="00D45804"/>
    <w:rsid w:val="00D46EAB"/>
    <w:rsid w:val="00D50C5E"/>
    <w:rsid w:val="00D5307C"/>
    <w:rsid w:val="00D53DFC"/>
    <w:rsid w:val="00D553F2"/>
    <w:rsid w:val="00D55C30"/>
    <w:rsid w:val="00D57E30"/>
    <w:rsid w:val="00D60F2C"/>
    <w:rsid w:val="00D623FA"/>
    <w:rsid w:val="00D63BC7"/>
    <w:rsid w:val="00D660A7"/>
    <w:rsid w:val="00D6711B"/>
    <w:rsid w:val="00D67EC2"/>
    <w:rsid w:val="00D711E1"/>
    <w:rsid w:val="00D71C6A"/>
    <w:rsid w:val="00D74021"/>
    <w:rsid w:val="00D82C13"/>
    <w:rsid w:val="00D83D1D"/>
    <w:rsid w:val="00DA202D"/>
    <w:rsid w:val="00DA2DF8"/>
    <w:rsid w:val="00DA3DF0"/>
    <w:rsid w:val="00DA511F"/>
    <w:rsid w:val="00DA52C4"/>
    <w:rsid w:val="00DA66CF"/>
    <w:rsid w:val="00DA7093"/>
    <w:rsid w:val="00DB0267"/>
    <w:rsid w:val="00DB2FBF"/>
    <w:rsid w:val="00DB60EE"/>
    <w:rsid w:val="00DC1024"/>
    <w:rsid w:val="00DC54CC"/>
    <w:rsid w:val="00DC580B"/>
    <w:rsid w:val="00DC6F78"/>
    <w:rsid w:val="00DD0EDA"/>
    <w:rsid w:val="00DD1485"/>
    <w:rsid w:val="00DD4582"/>
    <w:rsid w:val="00DE0F4A"/>
    <w:rsid w:val="00DE1966"/>
    <w:rsid w:val="00DE3BCA"/>
    <w:rsid w:val="00DE6DE7"/>
    <w:rsid w:val="00DF04CE"/>
    <w:rsid w:val="00DF0E88"/>
    <w:rsid w:val="00DF1986"/>
    <w:rsid w:val="00DF22CE"/>
    <w:rsid w:val="00DF2A01"/>
    <w:rsid w:val="00DF741B"/>
    <w:rsid w:val="00DF7EDF"/>
    <w:rsid w:val="00E002CF"/>
    <w:rsid w:val="00E00D6A"/>
    <w:rsid w:val="00E0138F"/>
    <w:rsid w:val="00E0373E"/>
    <w:rsid w:val="00E079FB"/>
    <w:rsid w:val="00E1174A"/>
    <w:rsid w:val="00E15BB0"/>
    <w:rsid w:val="00E16DC9"/>
    <w:rsid w:val="00E176CE"/>
    <w:rsid w:val="00E17828"/>
    <w:rsid w:val="00E202C0"/>
    <w:rsid w:val="00E23240"/>
    <w:rsid w:val="00E2389D"/>
    <w:rsid w:val="00E2510E"/>
    <w:rsid w:val="00E25A38"/>
    <w:rsid w:val="00E27D2F"/>
    <w:rsid w:val="00E30935"/>
    <w:rsid w:val="00E30E74"/>
    <w:rsid w:val="00E332A5"/>
    <w:rsid w:val="00E34526"/>
    <w:rsid w:val="00E34B66"/>
    <w:rsid w:val="00E34C09"/>
    <w:rsid w:val="00E35647"/>
    <w:rsid w:val="00E4360B"/>
    <w:rsid w:val="00E44B2A"/>
    <w:rsid w:val="00E461CC"/>
    <w:rsid w:val="00E50CF7"/>
    <w:rsid w:val="00E522D7"/>
    <w:rsid w:val="00E533A0"/>
    <w:rsid w:val="00E54326"/>
    <w:rsid w:val="00E550AE"/>
    <w:rsid w:val="00E55E57"/>
    <w:rsid w:val="00E6161C"/>
    <w:rsid w:val="00E62C62"/>
    <w:rsid w:val="00E671A9"/>
    <w:rsid w:val="00E758DC"/>
    <w:rsid w:val="00E76B0E"/>
    <w:rsid w:val="00E76C25"/>
    <w:rsid w:val="00E76F3C"/>
    <w:rsid w:val="00E81A6D"/>
    <w:rsid w:val="00E850A1"/>
    <w:rsid w:val="00E86207"/>
    <w:rsid w:val="00E90276"/>
    <w:rsid w:val="00E90B09"/>
    <w:rsid w:val="00E958FB"/>
    <w:rsid w:val="00EA0887"/>
    <w:rsid w:val="00EA1356"/>
    <w:rsid w:val="00EB6211"/>
    <w:rsid w:val="00EB6BAC"/>
    <w:rsid w:val="00EC247A"/>
    <w:rsid w:val="00EC5331"/>
    <w:rsid w:val="00EC6C42"/>
    <w:rsid w:val="00ED0F39"/>
    <w:rsid w:val="00ED1DF5"/>
    <w:rsid w:val="00ED1F81"/>
    <w:rsid w:val="00ED40DD"/>
    <w:rsid w:val="00ED4659"/>
    <w:rsid w:val="00ED5116"/>
    <w:rsid w:val="00ED63D5"/>
    <w:rsid w:val="00EE0281"/>
    <w:rsid w:val="00EE045F"/>
    <w:rsid w:val="00EE0501"/>
    <w:rsid w:val="00EE0EF2"/>
    <w:rsid w:val="00EE2057"/>
    <w:rsid w:val="00EE6540"/>
    <w:rsid w:val="00EE709C"/>
    <w:rsid w:val="00EF00D5"/>
    <w:rsid w:val="00EF0C32"/>
    <w:rsid w:val="00EF1273"/>
    <w:rsid w:val="00EF7DFE"/>
    <w:rsid w:val="00F03D0B"/>
    <w:rsid w:val="00F04F2E"/>
    <w:rsid w:val="00F1260A"/>
    <w:rsid w:val="00F14E64"/>
    <w:rsid w:val="00F16A18"/>
    <w:rsid w:val="00F22129"/>
    <w:rsid w:val="00F22E83"/>
    <w:rsid w:val="00F23199"/>
    <w:rsid w:val="00F264A7"/>
    <w:rsid w:val="00F31791"/>
    <w:rsid w:val="00F31B98"/>
    <w:rsid w:val="00F35E5F"/>
    <w:rsid w:val="00F3664A"/>
    <w:rsid w:val="00F36E98"/>
    <w:rsid w:val="00F37EFB"/>
    <w:rsid w:val="00F40F6B"/>
    <w:rsid w:val="00F4414B"/>
    <w:rsid w:val="00F44FBD"/>
    <w:rsid w:val="00F472E0"/>
    <w:rsid w:val="00F5646F"/>
    <w:rsid w:val="00F62CAD"/>
    <w:rsid w:val="00F70D7E"/>
    <w:rsid w:val="00F72062"/>
    <w:rsid w:val="00F73402"/>
    <w:rsid w:val="00F73486"/>
    <w:rsid w:val="00F77183"/>
    <w:rsid w:val="00F77A48"/>
    <w:rsid w:val="00F81026"/>
    <w:rsid w:val="00F81ACA"/>
    <w:rsid w:val="00F852E2"/>
    <w:rsid w:val="00F8679C"/>
    <w:rsid w:val="00F86FD6"/>
    <w:rsid w:val="00F92A32"/>
    <w:rsid w:val="00F939F3"/>
    <w:rsid w:val="00F93A1C"/>
    <w:rsid w:val="00F93E88"/>
    <w:rsid w:val="00F94EFB"/>
    <w:rsid w:val="00F95F5F"/>
    <w:rsid w:val="00F9668F"/>
    <w:rsid w:val="00F96D10"/>
    <w:rsid w:val="00F9706C"/>
    <w:rsid w:val="00FA0424"/>
    <w:rsid w:val="00FA0FB9"/>
    <w:rsid w:val="00FA1B37"/>
    <w:rsid w:val="00FA2A07"/>
    <w:rsid w:val="00FA3603"/>
    <w:rsid w:val="00FA36B1"/>
    <w:rsid w:val="00FA5210"/>
    <w:rsid w:val="00FA616A"/>
    <w:rsid w:val="00FA75D6"/>
    <w:rsid w:val="00FB1F98"/>
    <w:rsid w:val="00FB4818"/>
    <w:rsid w:val="00FC608E"/>
    <w:rsid w:val="00FC7453"/>
    <w:rsid w:val="00FC7ED6"/>
    <w:rsid w:val="00FD0427"/>
    <w:rsid w:val="00FD0F9E"/>
    <w:rsid w:val="00FD10B5"/>
    <w:rsid w:val="00FE05B3"/>
    <w:rsid w:val="00FE1589"/>
    <w:rsid w:val="00FE3A66"/>
    <w:rsid w:val="00FE5054"/>
    <w:rsid w:val="00FF0504"/>
    <w:rsid w:val="00FF6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0835B0"/>
    <w:rPr>
      <w:sz w:val="24"/>
      <w:szCs w:val="24"/>
      <w:lang w:val="cs-CZ" w:eastAsia="cs-CZ"/>
    </w:rPr>
  </w:style>
  <w:style w:type="paragraph" w:styleId="Nadpis1">
    <w:name w:val="heading 1"/>
    <w:basedOn w:val="Normln"/>
    <w:next w:val="Normln"/>
    <w:link w:val="Nadpis1Char"/>
    <w:uiPriority w:val="99"/>
    <w:qFormat/>
    <w:rsid w:val="00232D2D"/>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9"/>
    <w:qFormat/>
    <w:rsid w:val="000835B0"/>
    <w:pPr>
      <w:keepNext/>
      <w:keepLines/>
      <w:spacing w:before="200"/>
      <w:outlineLvl w:val="1"/>
    </w:pPr>
    <w:rPr>
      <w:rFonts w:ascii="Cambria" w:hAnsi="Cambria"/>
      <w:b/>
      <w:b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232D2D"/>
    <w:rPr>
      <w:rFonts w:ascii="Cambria" w:hAnsi="Cambria" w:cs="Times New Roman"/>
      <w:b/>
      <w:bCs/>
      <w:color w:val="365F91"/>
      <w:sz w:val="28"/>
      <w:szCs w:val="28"/>
    </w:rPr>
  </w:style>
  <w:style w:type="character" w:customStyle="1" w:styleId="Nadpis2Char">
    <w:name w:val="Nadpis 2 Char"/>
    <w:basedOn w:val="Standardnpsmoodstavce"/>
    <w:link w:val="Nadpis2"/>
    <w:uiPriority w:val="99"/>
    <w:locked/>
    <w:rsid w:val="000835B0"/>
    <w:rPr>
      <w:rFonts w:ascii="Cambria" w:hAnsi="Cambria" w:cs="Times New Roman"/>
      <w:b/>
      <w:bCs/>
      <w:color w:val="4F81BD"/>
      <w:sz w:val="26"/>
      <w:szCs w:val="26"/>
    </w:rPr>
  </w:style>
  <w:style w:type="paragraph" w:styleId="Odstavecseseznamem">
    <w:name w:val="List Paragraph"/>
    <w:basedOn w:val="Normln"/>
    <w:uiPriority w:val="34"/>
    <w:qFormat/>
    <w:rsid w:val="00E0373E"/>
    <w:pPr>
      <w:ind w:left="720"/>
      <w:contextualSpacing/>
    </w:pPr>
  </w:style>
  <w:style w:type="character" w:styleId="Odkaznakoment">
    <w:name w:val="annotation reference"/>
    <w:basedOn w:val="Standardnpsmoodstavce"/>
    <w:rsid w:val="002572C1"/>
    <w:rPr>
      <w:rFonts w:cs="Times New Roman"/>
      <w:sz w:val="16"/>
      <w:szCs w:val="16"/>
    </w:rPr>
  </w:style>
  <w:style w:type="paragraph" w:styleId="Textkomente">
    <w:name w:val="annotation text"/>
    <w:basedOn w:val="Normln"/>
    <w:link w:val="TextkomenteChar"/>
    <w:rsid w:val="002572C1"/>
    <w:rPr>
      <w:sz w:val="20"/>
      <w:szCs w:val="20"/>
    </w:rPr>
  </w:style>
  <w:style w:type="character" w:customStyle="1" w:styleId="TextkomenteChar">
    <w:name w:val="Text komentáře Char"/>
    <w:basedOn w:val="Standardnpsmoodstavce"/>
    <w:link w:val="Textkomente"/>
    <w:locked/>
    <w:rsid w:val="002572C1"/>
    <w:rPr>
      <w:rFonts w:cs="Times New Roman"/>
    </w:rPr>
  </w:style>
  <w:style w:type="paragraph" w:styleId="Pedmtkomente">
    <w:name w:val="annotation subject"/>
    <w:basedOn w:val="Textkomente"/>
    <w:next w:val="Textkomente"/>
    <w:link w:val="PedmtkomenteChar"/>
    <w:uiPriority w:val="99"/>
    <w:rsid w:val="002572C1"/>
    <w:rPr>
      <w:b/>
      <w:bCs/>
    </w:rPr>
  </w:style>
  <w:style w:type="character" w:customStyle="1" w:styleId="PedmtkomenteChar">
    <w:name w:val="Předmět komentáře Char"/>
    <w:basedOn w:val="TextkomenteChar"/>
    <w:link w:val="Pedmtkomente"/>
    <w:uiPriority w:val="99"/>
    <w:locked/>
    <w:rsid w:val="002572C1"/>
    <w:rPr>
      <w:rFonts w:cs="Times New Roman"/>
      <w:b/>
      <w:bCs/>
    </w:rPr>
  </w:style>
  <w:style w:type="paragraph" w:styleId="Textbubliny">
    <w:name w:val="Balloon Text"/>
    <w:basedOn w:val="Normln"/>
    <w:link w:val="TextbublinyChar"/>
    <w:uiPriority w:val="99"/>
    <w:rsid w:val="002572C1"/>
    <w:rPr>
      <w:rFonts w:ascii="Tahoma" w:hAnsi="Tahoma" w:cs="Tahoma"/>
      <w:sz w:val="16"/>
      <w:szCs w:val="16"/>
    </w:rPr>
  </w:style>
  <w:style w:type="character" w:customStyle="1" w:styleId="TextbublinyChar">
    <w:name w:val="Text bubliny Char"/>
    <w:basedOn w:val="Standardnpsmoodstavce"/>
    <w:link w:val="Textbubliny"/>
    <w:uiPriority w:val="99"/>
    <w:locked/>
    <w:rsid w:val="002572C1"/>
    <w:rPr>
      <w:rFonts w:ascii="Tahoma" w:hAnsi="Tahoma" w:cs="Tahoma"/>
      <w:sz w:val="16"/>
      <w:szCs w:val="16"/>
    </w:rPr>
  </w:style>
  <w:style w:type="paragraph" w:styleId="Textpoznpodarou">
    <w:name w:val="footnote text"/>
    <w:aliases w:val="Schriftart: 9 pt,Schriftart: 10 pt,Schriftart: 8 pt,pozn. pod čarou,Podrozdział,Footnote,Podrozdzia3"/>
    <w:basedOn w:val="Normln"/>
    <w:link w:val="TextpoznpodarouChar"/>
    <w:uiPriority w:val="99"/>
    <w:rsid w:val="003D537A"/>
    <w:rPr>
      <w:sz w:val="20"/>
      <w:szCs w:val="20"/>
    </w:rPr>
  </w:style>
  <w:style w:type="character" w:customStyle="1" w:styleId="TextpoznpodarouChar">
    <w:name w:val="Text pozn. pod čarou Char"/>
    <w:aliases w:val="Schriftart: 9 pt Char,Schriftart: 10 pt Char,Schriftart: 8 pt Char,pozn. pod čarou Char,Podrozdział Char,Footnote Char,Podrozdzia3 Char"/>
    <w:basedOn w:val="Standardnpsmoodstavce"/>
    <w:link w:val="Textpoznpodarou"/>
    <w:uiPriority w:val="99"/>
    <w:locked/>
    <w:rsid w:val="003D537A"/>
    <w:rPr>
      <w:rFonts w:cs="Times New Roman"/>
    </w:rPr>
  </w:style>
  <w:style w:type="character" w:styleId="Znakapoznpodarou">
    <w:name w:val="footnote reference"/>
    <w:aliases w:val="PGI Fußnote Ziffer"/>
    <w:basedOn w:val="Standardnpsmoodstavce"/>
    <w:uiPriority w:val="99"/>
    <w:rsid w:val="003D537A"/>
    <w:rPr>
      <w:rFonts w:cs="Times New Roman"/>
      <w:vertAlign w:val="superscript"/>
    </w:rPr>
  </w:style>
  <w:style w:type="paragraph" w:styleId="Zhlav">
    <w:name w:val="header"/>
    <w:basedOn w:val="Normln"/>
    <w:link w:val="ZhlavChar"/>
    <w:uiPriority w:val="99"/>
    <w:rsid w:val="00193EB6"/>
    <w:pPr>
      <w:tabs>
        <w:tab w:val="center" w:pos="4536"/>
        <w:tab w:val="right" w:pos="9072"/>
      </w:tabs>
    </w:pPr>
  </w:style>
  <w:style w:type="character" w:customStyle="1" w:styleId="ZhlavChar">
    <w:name w:val="Záhlaví Char"/>
    <w:basedOn w:val="Standardnpsmoodstavce"/>
    <w:link w:val="Zhlav"/>
    <w:uiPriority w:val="99"/>
    <w:locked/>
    <w:rsid w:val="00193EB6"/>
    <w:rPr>
      <w:rFonts w:cs="Times New Roman"/>
      <w:sz w:val="24"/>
      <w:szCs w:val="24"/>
    </w:rPr>
  </w:style>
  <w:style w:type="paragraph" w:styleId="Zpat">
    <w:name w:val="footer"/>
    <w:basedOn w:val="Normln"/>
    <w:link w:val="ZpatChar"/>
    <w:uiPriority w:val="99"/>
    <w:rsid w:val="00193EB6"/>
    <w:pPr>
      <w:tabs>
        <w:tab w:val="center" w:pos="4536"/>
        <w:tab w:val="right" w:pos="9072"/>
      </w:tabs>
    </w:pPr>
  </w:style>
  <w:style w:type="character" w:customStyle="1" w:styleId="ZpatChar">
    <w:name w:val="Zápatí Char"/>
    <w:basedOn w:val="Standardnpsmoodstavce"/>
    <w:link w:val="Zpat"/>
    <w:uiPriority w:val="99"/>
    <w:locked/>
    <w:rsid w:val="00193EB6"/>
    <w:rPr>
      <w:rFonts w:cs="Times New Roman"/>
      <w:sz w:val="24"/>
      <w:szCs w:val="24"/>
    </w:rPr>
  </w:style>
  <w:style w:type="paragraph" w:styleId="Nzev">
    <w:name w:val="Title"/>
    <w:basedOn w:val="Normln"/>
    <w:next w:val="Normln"/>
    <w:link w:val="NzevChar"/>
    <w:uiPriority w:val="99"/>
    <w:qFormat/>
    <w:rsid w:val="00232D2D"/>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99"/>
    <w:locked/>
    <w:rsid w:val="00232D2D"/>
    <w:rPr>
      <w:rFonts w:ascii="Cambria" w:hAnsi="Cambria" w:cs="Times New Roman"/>
      <w:color w:val="17365D"/>
      <w:spacing w:val="5"/>
      <w:kern w:val="28"/>
      <w:sz w:val="52"/>
      <w:szCs w:val="52"/>
    </w:rPr>
  </w:style>
  <w:style w:type="paragraph" w:styleId="Nadpisobsahu">
    <w:name w:val="TOC Heading"/>
    <w:basedOn w:val="Nadpis1"/>
    <w:next w:val="Normln"/>
    <w:uiPriority w:val="99"/>
    <w:qFormat/>
    <w:rsid w:val="00232D2D"/>
    <w:pPr>
      <w:spacing w:line="276" w:lineRule="auto"/>
      <w:outlineLvl w:val="9"/>
    </w:pPr>
  </w:style>
  <w:style w:type="paragraph" w:styleId="Obsah1">
    <w:name w:val="toc 1"/>
    <w:basedOn w:val="Normln"/>
    <w:next w:val="Normln"/>
    <w:autoRedefine/>
    <w:uiPriority w:val="39"/>
    <w:rsid w:val="00232D2D"/>
    <w:pPr>
      <w:spacing w:after="100"/>
    </w:pPr>
  </w:style>
  <w:style w:type="character" w:styleId="Hypertextovodkaz">
    <w:name w:val="Hyperlink"/>
    <w:basedOn w:val="Standardnpsmoodstavce"/>
    <w:uiPriority w:val="99"/>
    <w:rsid w:val="00232D2D"/>
    <w:rPr>
      <w:rFonts w:cs="Times New Roman"/>
      <w:color w:val="0000FF"/>
      <w:u w:val="single"/>
    </w:rPr>
  </w:style>
  <w:style w:type="paragraph" w:styleId="Obsah2">
    <w:name w:val="toc 2"/>
    <w:basedOn w:val="Normln"/>
    <w:next w:val="Normln"/>
    <w:autoRedefine/>
    <w:uiPriority w:val="39"/>
    <w:rsid w:val="00D55C30"/>
    <w:pPr>
      <w:spacing w:after="100"/>
      <w:ind w:left="240"/>
    </w:pPr>
  </w:style>
  <w:style w:type="paragraph" w:styleId="Zkladntext2">
    <w:name w:val="Body Text 2"/>
    <w:basedOn w:val="Normln"/>
    <w:link w:val="Zkladntext2Char"/>
    <w:uiPriority w:val="99"/>
    <w:rsid w:val="00852469"/>
    <w:pPr>
      <w:spacing w:after="120" w:line="480" w:lineRule="auto"/>
    </w:pPr>
    <w:rPr>
      <w:lang w:val="en-US" w:eastAsia="en-US"/>
    </w:rPr>
  </w:style>
  <w:style w:type="character" w:customStyle="1" w:styleId="Zkladntext2Char">
    <w:name w:val="Základní text 2 Char"/>
    <w:basedOn w:val="Standardnpsmoodstavce"/>
    <w:link w:val="Zkladntext2"/>
    <w:uiPriority w:val="99"/>
    <w:locked/>
    <w:rsid w:val="00852469"/>
    <w:rPr>
      <w:rFonts w:cs="Times New Roman"/>
      <w:sz w:val="24"/>
      <w:szCs w:val="24"/>
      <w:lang w:val="en-US" w:eastAsia="en-US"/>
    </w:rPr>
  </w:style>
  <w:style w:type="paragraph" w:customStyle="1" w:styleId="Char4CharCharCharCharCharCharCharCharCharCharCharCharCharCharCharChar1CharChar2">
    <w:name w:val="Char4 Char Char Char Char Char Char Char Char Char Char Char Char Char Char Char Char1 Char Char2"/>
    <w:basedOn w:val="Normln"/>
    <w:uiPriority w:val="99"/>
    <w:rsid w:val="00852469"/>
    <w:pPr>
      <w:spacing w:after="160" w:line="240" w:lineRule="exact"/>
    </w:pPr>
    <w:rPr>
      <w:rFonts w:ascii="Times New Roman Bold" w:hAnsi="Times New Roman Bold"/>
      <w:sz w:val="22"/>
      <w:szCs w:val="26"/>
      <w:lang w:val="sk-SK" w:eastAsia="en-US"/>
    </w:rPr>
  </w:style>
  <w:style w:type="paragraph" w:styleId="Normlnweb">
    <w:name w:val="Normal (Web)"/>
    <w:basedOn w:val="Normln"/>
    <w:uiPriority w:val="99"/>
    <w:semiHidden/>
    <w:unhideWhenUsed/>
    <w:rsid w:val="00B47CD4"/>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0835B0"/>
    <w:rPr>
      <w:sz w:val="24"/>
      <w:szCs w:val="24"/>
      <w:lang w:val="cs-CZ" w:eastAsia="cs-CZ"/>
    </w:rPr>
  </w:style>
  <w:style w:type="paragraph" w:styleId="Nadpis1">
    <w:name w:val="heading 1"/>
    <w:basedOn w:val="Normln"/>
    <w:next w:val="Normln"/>
    <w:link w:val="Nadpis1Char"/>
    <w:uiPriority w:val="99"/>
    <w:qFormat/>
    <w:rsid w:val="00232D2D"/>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9"/>
    <w:qFormat/>
    <w:rsid w:val="000835B0"/>
    <w:pPr>
      <w:keepNext/>
      <w:keepLines/>
      <w:spacing w:before="200"/>
      <w:outlineLvl w:val="1"/>
    </w:pPr>
    <w:rPr>
      <w:rFonts w:ascii="Cambria" w:hAnsi="Cambria"/>
      <w:b/>
      <w:b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232D2D"/>
    <w:rPr>
      <w:rFonts w:ascii="Cambria" w:hAnsi="Cambria" w:cs="Times New Roman"/>
      <w:b/>
      <w:bCs/>
      <w:color w:val="365F91"/>
      <w:sz w:val="28"/>
      <w:szCs w:val="28"/>
    </w:rPr>
  </w:style>
  <w:style w:type="character" w:customStyle="1" w:styleId="Nadpis2Char">
    <w:name w:val="Nadpis 2 Char"/>
    <w:basedOn w:val="Standardnpsmoodstavce"/>
    <w:link w:val="Nadpis2"/>
    <w:uiPriority w:val="99"/>
    <w:locked/>
    <w:rsid w:val="000835B0"/>
    <w:rPr>
      <w:rFonts w:ascii="Cambria" w:hAnsi="Cambria" w:cs="Times New Roman"/>
      <w:b/>
      <w:bCs/>
      <w:color w:val="4F81BD"/>
      <w:sz w:val="26"/>
      <w:szCs w:val="26"/>
    </w:rPr>
  </w:style>
  <w:style w:type="paragraph" w:styleId="Odstavecseseznamem">
    <w:name w:val="List Paragraph"/>
    <w:basedOn w:val="Normln"/>
    <w:uiPriority w:val="34"/>
    <w:qFormat/>
    <w:rsid w:val="00E0373E"/>
    <w:pPr>
      <w:ind w:left="720"/>
      <w:contextualSpacing/>
    </w:pPr>
  </w:style>
  <w:style w:type="character" w:styleId="Odkaznakoment">
    <w:name w:val="annotation reference"/>
    <w:basedOn w:val="Standardnpsmoodstavce"/>
    <w:rsid w:val="002572C1"/>
    <w:rPr>
      <w:rFonts w:cs="Times New Roman"/>
      <w:sz w:val="16"/>
      <w:szCs w:val="16"/>
    </w:rPr>
  </w:style>
  <w:style w:type="paragraph" w:styleId="Textkomente">
    <w:name w:val="annotation text"/>
    <w:basedOn w:val="Normln"/>
    <w:link w:val="TextkomenteChar"/>
    <w:rsid w:val="002572C1"/>
    <w:rPr>
      <w:sz w:val="20"/>
      <w:szCs w:val="20"/>
    </w:rPr>
  </w:style>
  <w:style w:type="character" w:customStyle="1" w:styleId="TextkomenteChar">
    <w:name w:val="Text komentáře Char"/>
    <w:basedOn w:val="Standardnpsmoodstavce"/>
    <w:link w:val="Textkomente"/>
    <w:locked/>
    <w:rsid w:val="002572C1"/>
    <w:rPr>
      <w:rFonts w:cs="Times New Roman"/>
    </w:rPr>
  </w:style>
  <w:style w:type="paragraph" w:styleId="Pedmtkomente">
    <w:name w:val="annotation subject"/>
    <w:basedOn w:val="Textkomente"/>
    <w:next w:val="Textkomente"/>
    <w:link w:val="PedmtkomenteChar"/>
    <w:uiPriority w:val="99"/>
    <w:rsid w:val="002572C1"/>
    <w:rPr>
      <w:b/>
      <w:bCs/>
    </w:rPr>
  </w:style>
  <w:style w:type="character" w:customStyle="1" w:styleId="PedmtkomenteChar">
    <w:name w:val="Předmět komentáře Char"/>
    <w:basedOn w:val="TextkomenteChar"/>
    <w:link w:val="Pedmtkomente"/>
    <w:uiPriority w:val="99"/>
    <w:locked/>
    <w:rsid w:val="002572C1"/>
    <w:rPr>
      <w:rFonts w:cs="Times New Roman"/>
      <w:b/>
      <w:bCs/>
    </w:rPr>
  </w:style>
  <w:style w:type="paragraph" w:styleId="Textbubliny">
    <w:name w:val="Balloon Text"/>
    <w:basedOn w:val="Normln"/>
    <w:link w:val="TextbublinyChar"/>
    <w:uiPriority w:val="99"/>
    <w:rsid w:val="002572C1"/>
    <w:rPr>
      <w:rFonts w:ascii="Tahoma" w:hAnsi="Tahoma" w:cs="Tahoma"/>
      <w:sz w:val="16"/>
      <w:szCs w:val="16"/>
    </w:rPr>
  </w:style>
  <w:style w:type="character" w:customStyle="1" w:styleId="TextbublinyChar">
    <w:name w:val="Text bubliny Char"/>
    <w:basedOn w:val="Standardnpsmoodstavce"/>
    <w:link w:val="Textbubliny"/>
    <w:uiPriority w:val="99"/>
    <w:locked/>
    <w:rsid w:val="002572C1"/>
    <w:rPr>
      <w:rFonts w:ascii="Tahoma" w:hAnsi="Tahoma" w:cs="Tahoma"/>
      <w:sz w:val="16"/>
      <w:szCs w:val="16"/>
    </w:rPr>
  </w:style>
  <w:style w:type="paragraph" w:styleId="Textpoznpodarou">
    <w:name w:val="footnote text"/>
    <w:aliases w:val="Schriftart: 9 pt,Schriftart: 10 pt,Schriftart: 8 pt,pozn. pod čarou,Podrozdział,Footnote,Podrozdzia3"/>
    <w:basedOn w:val="Normln"/>
    <w:link w:val="TextpoznpodarouChar"/>
    <w:uiPriority w:val="99"/>
    <w:rsid w:val="003D537A"/>
    <w:rPr>
      <w:sz w:val="20"/>
      <w:szCs w:val="20"/>
    </w:rPr>
  </w:style>
  <w:style w:type="character" w:customStyle="1" w:styleId="TextpoznpodarouChar">
    <w:name w:val="Text pozn. pod čarou Char"/>
    <w:aliases w:val="Schriftart: 9 pt Char,Schriftart: 10 pt Char,Schriftart: 8 pt Char,pozn. pod čarou Char,Podrozdział Char,Footnote Char,Podrozdzia3 Char"/>
    <w:basedOn w:val="Standardnpsmoodstavce"/>
    <w:link w:val="Textpoznpodarou"/>
    <w:uiPriority w:val="99"/>
    <w:locked/>
    <w:rsid w:val="003D537A"/>
    <w:rPr>
      <w:rFonts w:cs="Times New Roman"/>
    </w:rPr>
  </w:style>
  <w:style w:type="character" w:styleId="Znakapoznpodarou">
    <w:name w:val="footnote reference"/>
    <w:aliases w:val="PGI Fußnote Ziffer"/>
    <w:basedOn w:val="Standardnpsmoodstavce"/>
    <w:uiPriority w:val="99"/>
    <w:rsid w:val="003D537A"/>
    <w:rPr>
      <w:rFonts w:cs="Times New Roman"/>
      <w:vertAlign w:val="superscript"/>
    </w:rPr>
  </w:style>
  <w:style w:type="paragraph" w:styleId="Zhlav">
    <w:name w:val="header"/>
    <w:basedOn w:val="Normln"/>
    <w:link w:val="ZhlavChar"/>
    <w:uiPriority w:val="99"/>
    <w:rsid w:val="00193EB6"/>
    <w:pPr>
      <w:tabs>
        <w:tab w:val="center" w:pos="4536"/>
        <w:tab w:val="right" w:pos="9072"/>
      </w:tabs>
    </w:pPr>
  </w:style>
  <w:style w:type="character" w:customStyle="1" w:styleId="ZhlavChar">
    <w:name w:val="Záhlaví Char"/>
    <w:basedOn w:val="Standardnpsmoodstavce"/>
    <w:link w:val="Zhlav"/>
    <w:uiPriority w:val="99"/>
    <w:locked/>
    <w:rsid w:val="00193EB6"/>
    <w:rPr>
      <w:rFonts w:cs="Times New Roman"/>
      <w:sz w:val="24"/>
      <w:szCs w:val="24"/>
    </w:rPr>
  </w:style>
  <w:style w:type="paragraph" w:styleId="Zpat">
    <w:name w:val="footer"/>
    <w:basedOn w:val="Normln"/>
    <w:link w:val="ZpatChar"/>
    <w:uiPriority w:val="99"/>
    <w:rsid w:val="00193EB6"/>
    <w:pPr>
      <w:tabs>
        <w:tab w:val="center" w:pos="4536"/>
        <w:tab w:val="right" w:pos="9072"/>
      </w:tabs>
    </w:pPr>
  </w:style>
  <w:style w:type="character" w:customStyle="1" w:styleId="ZpatChar">
    <w:name w:val="Zápatí Char"/>
    <w:basedOn w:val="Standardnpsmoodstavce"/>
    <w:link w:val="Zpat"/>
    <w:uiPriority w:val="99"/>
    <w:locked/>
    <w:rsid w:val="00193EB6"/>
    <w:rPr>
      <w:rFonts w:cs="Times New Roman"/>
      <w:sz w:val="24"/>
      <w:szCs w:val="24"/>
    </w:rPr>
  </w:style>
  <w:style w:type="paragraph" w:styleId="Nzev">
    <w:name w:val="Title"/>
    <w:basedOn w:val="Normln"/>
    <w:next w:val="Normln"/>
    <w:link w:val="NzevChar"/>
    <w:uiPriority w:val="99"/>
    <w:qFormat/>
    <w:rsid w:val="00232D2D"/>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99"/>
    <w:locked/>
    <w:rsid w:val="00232D2D"/>
    <w:rPr>
      <w:rFonts w:ascii="Cambria" w:hAnsi="Cambria" w:cs="Times New Roman"/>
      <w:color w:val="17365D"/>
      <w:spacing w:val="5"/>
      <w:kern w:val="28"/>
      <w:sz w:val="52"/>
      <w:szCs w:val="52"/>
    </w:rPr>
  </w:style>
  <w:style w:type="paragraph" w:styleId="Nadpisobsahu">
    <w:name w:val="TOC Heading"/>
    <w:basedOn w:val="Nadpis1"/>
    <w:next w:val="Normln"/>
    <w:uiPriority w:val="99"/>
    <w:qFormat/>
    <w:rsid w:val="00232D2D"/>
    <w:pPr>
      <w:spacing w:line="276" w:lineRule="auto"/>
      <w:outlineLvl w:val="9"/>
    </w:pPr>
  </w:style>
  <w:style w:type="paragraph" w:styleId="Obsah1">
    <w:name w:val="toc 1"/>
    <w:basedOn w:val="Normln"/>
    <w:next w:val="Normln"/>
    <w:autoRedefine/>
    <w:uiPriority w:val="39"/>
    <w:rsid w:val="00232D2D"/>
    <w:pPr>
      <w:spacing w:after="100"/>
    </w:pPr>
  </w:style>
  <w:style w:type="character" w:styleId="Hypertextovodkaz">
    <w:name w:val="Hyperlink"/>
    <w:basedOn w:val="Standardnpsmoodstavce"/>
    <w:uiPriority w:val="99"/>
    <w:rsid w:val="00232D2D"/>
    <w:rPr>
      <w:rFonts w:cs="Times New Roman"/>
      <w:color w:val="0000FF"/>
      <w:u w:val="single"/>
    </w:rPr>
  </w:style>
  <w:style w:type="paragraph" w:styleId="Obsah2">
    <w:name w:val="toc 2"/>
    <w:basedOn w:val="Normln"/>
    <w:next w:val="Normln"/>
    <w:autoRedefine/>
    <w:uiPriority w:val="39"/>
    <w:rsid w:val="00D55C30"/>
    <w:pPr>
      <w:spacing w:after="100"/>
      <w:ind w:left="240"/>
    </w:pPr>
  </w:style>
  <w:style w:type="paragraph" w:styleId="Zkladntext2">
    <w:name w:val="Body Text 2"/>
    <w:basedOn w:val="Normln"/>
    <w:link w:val="Zkladntext2Char"/>
    <w:uiPriority w:val="99"/>
    <w:rsid w:val="00852469"/>
    <w:pPr>
      <w:spacing w:after="120" w:line="480" w:lineRule="auto"/>
    </w:pPr>
    <w:rPr>
      <w:lang w:val="en-US" w:eastAsia="en-US"/>
    </w:rPr>
  </w:style>
  <w:style w:type="character" w:customStyle="1" w:styleId="Zkladntext2Char">
    <w:name w:val="Základní text 2 Char"/>
    <w:basedOn w:val="Standardnpsmoodstavce"/>
    <w:link w:val="Zkladntext2"/>
    <w:uiPriority w:val="99"/>
    <w:locked/>
    <w:rsid w:val="00852469"/>
    <w:rPr>
      <w:rFonts w:cs="Times New Roman"/>
      <w:sz w:val="24"/>
      <w:szCs w:val="24"/>
      <w:lang w:val="en-US" w:eastAsia="en-US"/>
    </w:rPr>
  </w:style>
  <w:style w:type="paragraph" w:customStyle="1" w:styleId="Char4CharCharCharCharCharCharCharCharCharCharCharCharCharCharCharChar1CharChar2">
    <w:name w:val="Char4 Char Char Char Char Char Char Char Char Char Char Char Char Char Char Char Char1 Char Char2"/>
    <w:basedOn w:val="Normln"/>
    <w:uiPriority w:val="99"/>
    <w:rsid w:val="00852469"/>
    <w:pPr>
      <w:spacing w:after="160" w:line="240" w:lineRule="exact"/>
    </w:pPr>
    <w:rPr>
      <w:rFonts w:ascii="Times New Roman Bold" w:hAnsi="Times New Roman Bold"/>
      <w:sz w:val="22"/>
      <w:szCs w:val="26"/>
      <w:lang w:val="sk-SK" w:eastAsia="en-US"/>
    </w:rPr>
  </w:style>
  <w:style w:type="paragraph" w:styleId="Normlnweb">
    <w:name w:val="Normal (Web)"/>
    <w:basedOn w:val="Normln"/>
    <w:uiPriority w:val="99"/>
    <w:semiHidden/>
    <w:unhideWhenUsed/>
    <w:rsid w:val="00B47CD4"/>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325">
      <w:bodyDiv w:val="1"/>
      <w:marLeft w:val="0"/>
      <w:marRight w:val="0"/>
      <w:marTop w:val="0"/>
      <w:marBottom w:val="0"/>
      <w:divBdr>
        <w:top w:val="none" w:sz="0" w:space="0" w:color="auto"/>
        <w:left w:val="none" w:sz="0" w:space="0" w:color="auto"/>
        <w:bottom w:val="none" w:sz="0" w:space="0" w:color="auto"/>
        <w:right w:val="none" w:sz="0" w:space="0" w:color="auto"/>
      </w:divBdr>
    </w:div>
    <w:div w:id="78212853">
      <w:bodyDiv w:val="1"/>
      <w:marLeft w:val="0"/>
      <w:marRight w:val="0"/>
      <w:marTop w:val="0"/>
      <w:marBottom w:val="0"/>
      <w:divBdr>
        <w:top w:val="none" w:sz="0" w:space="0" w:color="auto"/>
        <w:left w:val="none" w:sz="0" w:space="0" w:color="auto"/>
        <w:bottom w:val="none" w:sz="0" w:space="0" w:color="auto"/>
        <w:right w:val="none" w:sz="0" w:space="0" w:color="auto"/>
      </w:divBdr>
    </w:div>
    <w:div w:id="104085816">
      <w:bodyDiv w:val="1"/>
      <w:marLeft w:val="0"/>
      <w:marRight w:val="0"/>
      <w:marTop w:val="0"/>
      <w:marBottom w:val="0"/>
      <w:divBdr>
        <w:top w:val="none" w:sz="0" w:space="0" w:color="auto"/>
        <w:left w:val="none" w:sz="0" w:space="0" w:color="auto"/>
        <w:bottom w:val="none" w:sz="0" w:space="0" w:color="auto"/>
        <w:right w:val="none" w:sz="0" w:space="0" w:color="auto"/>
      </w:divBdr>
    </w:div>
    <w:div w:id="254822262">
      <w:bodyDiv w:val="1"/>
      <w:marLeft w:val="0"/>
      <w:marRight w:val="0"/>
      <w:marTop w:val="0"/>
      <w:marBottom w:val="0"/>
      <w:divBdr>
        <w:top w:val="none" w:sz="0" w:space="0" w:color="auto"/>
        <w:left w:val="none" w:sz="0" w:space="0" w:color="auto"/>
        <w:bottom w:val="none" w:sz="0" w:space="0" w:color="auto"/>
        <w:right w:val="none" w:sz="0" w:space="0" w:color="auto"/>
      </w:divBdr>
    </w:div>
    <w:div w:id="306325350">
      <w:bodyDiv w:val="1"/>
      <w:marLeft w:val="0"/>
      <w:marRight w:val="0"/>
      <w:marTop w:val="0"/>
      <w:marBottom w:val="0"/>
      <w:divBdr>
        <w:top w:val="none" w:sz="0" w:space="0" w:color="auto"/>
        <w:left w:val="none" w:sz="0" w:space="0" w:color="auto"/>
        <w:bottom w:val="none" w:sz="0" w:space="0" w:color="auto"/>
        <w:right w:val="none" w:sz="0" w:space="0" w:color="auto"/>
      </w:divBdr>
    </w:div>
    <w:div w:id="325983518">
      <w:bodyDiv w:val="1"/>
      <w:marLeft w:val="0"/>
      <w:marRight w:val="0"/>
      <w:marTop w:val="0"/>
      <w:marBottom w:val="0"/>
      <w:divBdr>
        <w:top w:val="none" w:sz="0" w:space="0" w:color="auto"/>
        <w:left w:val="none" w:sz="0" w:space="0" w:color="auto"/>
        <w:bottom w:val="none" w:sz="0" w:space="0" w:color="auto"/>
        <w:right w:val="none" w:sz="0" w:space="0" w:color="auto"/>
      </w:divBdr>
    </w:div>
    <w:div w:id="440759549">
      <w:marLeft w:val="0"/>
      <w:marRight w:val="0"/>
      <w:marTop w:val="0"/>
      <w:marBottom w:val="0"/>
      <w:divBdr>
        <w:top w:val="none" w:sz="0" w:space="0" w:color="auto"/>
        <w:left w:val="none" w:sz="0" w:space="0" w:color="auto"/>
        <w:bottom w:val="none" w:sz="0" w:space="0" w:color="auto"/>
        <w:right w:val="none" w:sz="0" w:space="0" w:color="auto"/>
      </w:divBdr>
    </w:div>
    <w:div w:id="440759550">
      <w:marLeft w:val="0"/>
      <w:marRight w:val="0"/>
      <w:marTop w:val="0"/>
      <w:marBottom w:val="0"/>
      <w:divBdr>
        <w:top w:val="none" w:sz="0" w:space="0" w:color="auto"/>
        <w:left w:val="none" w:sz="0" w:space="0" w:color="auto"/>
        <w:bottom w:val="none" w:sz="0" w:space="0" w:color="auto"/>
        <w:right w:val="none" w:sz="0" w:space="0" w:color="auto"/>
      </w:divBdr>
    </w:div>
    <w:div w:id="440759551">
      <w:marLeft w:val="0"/>
      <w:marRight w:val="0"/>
      <w:marTop w:val="0"/>
      <w:marBottom w:val="0"/>
      <w:divBdr>
        <w:top w:val="none" w:sz="0" w:space="0" w:color="auto"/>
        <w:left w:val="none" w:sz="0" w:space="0" w:color="auto"/>
        <w:bottom w:val="none" w:sz="0" w:space="0" w:color="auto"/>
        <w:right w:val="none" w:sz="0" w:space="0" w:color="auto"/>
      </w:divBdr>
    </w:div>
    <w:div w:id="440759552">
      <w:marLeft w:val="0"/>
      <w:marRight w:val="0"/>
      <w:marTop w:val="0"/>
      <w:marBottom w:val="0"/>
      <w:divBdr>
        <w:top w:val="none" w:sz="0" w:space="0" w:color="auto"/>
        <w:left w:val="none" w:sz="0" w:space="0" w:color="auto"/>
        <w:bottom w:val="none" w:sz="0" w:space="0" w:color="auto"/>
        <w:right w:val="none" w:sz="0" w:space="0" w:color="auto"/>
      </w:divBdr>
    </w:div>
    <w:div w:id="440759553">
      <w:marLeft w:val="0"/>
      <w:marRight w:val="0"/>
      <w:marTop w:val="0"/>
      <w:marBottom w:val="0"/>
      <w:divBdr>
        <w:top w:val="none" w:sz="0" w:space="0" w:color="auto"/>
        <w:left w:val="none" w:sz="0" w:space="0" w:color="auto"/>
        <w:bottom w:val="none" w:sz="0" w:space="0" w:color="auto"/>
        <w:right w:val="none" w:sz="0" w:space="0" w:color="auto"/>
      </w:divBdr>
    </w:div>
    <w:div w:id="654644530">
      <w:bodyDiv w:val="1"/>
      <w:marLeft w:val="0"/>
      <w:marRight w:val="0"/>
      <w:marTop w:val="0"/>
      <w:marBottom w:val="0"/>
      <w:divBdr>
        <w:top w:val="none" w:sz="0" w:space="0" w:color="auto"/>
        <w:left w:val="none" w:sz="0" w:space="0" w:color="auto"/>
        <w:bottom w:val="none" w:sz="0" w:space="0" w:color="auto"/>
        <w:right w:val="none" w:sz="0" w:space="0" w:color="auto"/>
      </w:divBdr>
    </w:div>
    <w:div w:id="1134254523">
      <w:bodyDiv w:val="1"/>
      <w:marLeft w:val="0"/>
      <w:marRight w:val="0"/>
      <w:marTop w:val="0"/>
      <w:marBottom w:val="0"/>
      <w:divBdr>
        <w:top w:val="none" w:sz="0" w:space="0" w:color="auto"/>
        <w:left w:val="none" w:sz="0" w:space="0" w:color="auto"/>
        <w:bottom w:val="none" w:sz="0" w:space="0" w:color="auto"/>
        <w:right w:val="none" w:sz="0" w:space="0" w:color="auto"/>
      </w:divBdr>
    </w:div>
    <w:div w:id="1156921484">
      <w:bodyDiv w:val="1"/>
      <w:marLeft w:val="0"/>
      <w:marRight w:val="0"/>
      <w:marTop w:val="0"/>
      <w:marBottom w:val="0"/>
      <w:divBdr>
        <w:top w:val="none" w:sz="0" w:space="0" w:color="auto"/>
        <w:left w:val="none" w:sz="0" w:space="0" w:color="auto"/>
        <w:bottom w:val="none" w:sz="0" w:space="0" w:color="auto"/>
        <w:right w:val="none" w:sz="0" w:space="0" w:color="auto"/>
      </w:divBdr>
    </w:div>
    <w:div w:id="1231310915">
      <w:bodyDiv w:val="1"/>
      <w:marLeft w:val="0"/>
      <w:marRight w:val="0"/>
      <w:marTop w:val="0"/>
      <w:marBottom w:val="0"/>
      <w:divBdr>
        <w:top w:val="none" w:sz="0" w:space="0" w:color="auto"/>
        <w:left w:val="none" w:sz="0" w:space="0" w:color="auto"/>
        <w:bottom w:val="none" w:sz="0" w:space="0" w:color="auto"/>
        <w:right w:val="none" w:sz="0" w:space="0" w:color="auto"/>
      </w:divBdr>
    </w:div>
    <w:div w:id="1244338936">
      <w:bodyDiv w:val="1"/>
      <w:marLeft w:val="0"/>
      <w:marRight w:val="0"/>
      <w:marTop w:val="0"/>
      <w:marBottom w:val="0"/>
      <w:divBdr>
        <w:top w:val="none" w:sz="0" w:space="0" w:color="auto"/>
        <w:left w:val="none" w:sz="0" w:space="0" w:color="auto"/>
        <w:bottom w:val="none" w:sz="0" w:space="0" w:color="auto"/>
        <w:right w:val="none" w:sz="0" w:space="0" w:color="auto"/>
      </w:divBdr>
    </w:div>
    <w:div w:id="1258828250">
      <w:bodyDiv w:val="1"/>
      <w:marLeft w:val="0"/>
      <w:marRight w:val="0"/>
      <w:marTop w:val="0"/>
      <w:marBottom w:val="0"/>
      <w:divBdr>
        <w:top w:val="none" w:sz="0" w:space="0" w:color="auto"/>
        <w:left w:val="none" w:sz="0" w:space="0" w:color="auto"/>
        <w:bottom w:val="none" w:sz="0" w:space="0" w:color="auto"/>
        <w:right w:val="none" w:sz="0" w:space="0" w:color="auto"/>
      </w:divBdr>
    </w:div>
    <w:div w:id="1384871357">
      <w:bodyDiv w:val="1"/>
      <w:marLeft w:val="0"/>
      <w:marRight w:val="0"/>
      <w:marTop w:val="0"/>
      <w:marBottom w:val="0"/>
      <w:divBdr>
        <w:top w:val="none" w:sz="0" w:space="0" w:color="auto"/>
        <w:left w:val="none" w:sz="0" w:space="0" w:color="auto"/>
        <w:bottom w:val="none" w:sz="0" w:space="0" w:color="auto"/>
        <w:right w:val="none" w:sz="0" w:space="0" w:color="auto"/>
      </w:divBdr>
    </w:div>
    <w:div w:id="1475295494">
      <w:bodyDiv w:val="1"/>
      <w:marLeft w:val="0"/>
      <w:marRight w:val="0"/>
      <w:marTop w:val="0"/>
      <w:marBottom w:val="0"/>
      <w:divBdr>
        <w:top w:val="none" w:sz="0" w:space="0" w:color="auto"/>
        <w:left w:val="none" w:sz="0" w:space="0" w:color="auto"/>
        <w:bottom w:val="none" w:sz="0" w:space="0" w:color="auto"/>
        <w:right w:val="none" w:sz="0" w:space="0" w:color="auto"/>
      </w:divBdr>
    </w:div>
    <w:div w:id="1543905213">
      <w:bodyDiv w:val="1"/>
      <w:marLeft w:val="0"/>
      <w:marRight w:val="0"/>
      <w:marTop w:val="0"/>
      <w:marBottom w:val="0"/>
      <w:divBdr>
        <w:top w:val="none" w:sz="0" w:space="0" w:color="auto"/>
        <w:left w:val="none" w:sz="0" w:space="0" w:color="auto"/>
        <w:bottom w:val="none" w:sz="0" w:space="0" w:color="auto"/>
        <w:right w:val="none" w:sz="0" w:space="0" w:color="auto"/>
      </w:divBdr>
    </w:div>
    <w:div w:id="1548641689">
      <w:bodyDiv w:val="1"/>
      <w:marLeft w:val="0"/>
      <w:marRight w:val="0"/>
      <w:marTop w:val="0"/>
      <w:marBottom w:val="0"/>
      <w:divBdr>
        <w:top w:val="none" w:sz="0" w:space="0" w:color="auto"/>
        <w:left w:val="none" w:sz="0" w:space="0" w:color="auto"/>
        <w:bottom w:val="none" w:sz="0" w:space="0" w:color="auto"/>
        <w:right w:val="none" w:sz="0" w:space="0" w:color="auto"/>
      </w:divBdr>
    </w:div>
    <w:div w:id="210869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5.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ILESERVER.mzcr.cz\Share\Odbory\ef\2014+\13.N&#225;vazn&#225;_p&#233;&#269;e\&#218;zemn&#237;%20anal&#253;za\&#382;&#225;dost%20o%20poskytnut&#237;%20dat%20&#269;ervenec%202014\Shrnut&#237;\souhrnn&#225;%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SERVER.mzcr.cz\Share\Odbory\ef\2014+\13.N&#225;vazn&#225;_p&#233;&#269;e\&#218;zemn&#237;%20anal&#253;za\&#382;&#225;dost%20o%20poskytnut&#237;%20dat%20&#269;ervenec%202014\Shrnut&#237;\souhrnn&#225;%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ER.mzcr.cz\Share\Odbory\ef\2014+\13.N&#225;vazn&#225;_p&#233;&#269;e\&#218;zemn&#237;%20anal&#253;za\&#382;&#225;dost%20o%20poskytnut&#237;%20dat%20&#269;ervenec%202014\Shrnut&#237;\souhrnn&#225;%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cs-CZ" sz="1400"/>
              <a:t>P</a:t>
            </a:r>
            <a:r>
              <a:rPr lang="en-US" sz="1400"/>
              <a:t>růměrný podíl pacientů</a:t>
            </a:r>
            <a:r>
              <a:rPr lang="cs-CZ" sz="1400"/>
              <a:t>, pro které</a:t>
            </a:r>
            <a:r>
              <a:rPr lang="cs-CZ" sz="1400" baseline="0"/>
              <a:t> ke fakultní nemocnice místem první hospitalizace</a:t>
            </a:r>
            <a:endParaRPr lang="en-US" sz="1400"/>
          </a:p>
        </c:rich>
      </c:tx>
      <c:layout/>
      <c:overlay val="0"/>
    </c:title>
    <c:autoTitleDeleted val="0"/>
    <c:plotArea>
      <c:layout>
        <c:manualLayout>
          <c:layoutTarget val="inner"/>
          <c:xMode val="edge"/>
          <c:yMode val="edge"/>
          <c:x val="0.28037633568849402"/>
          <c:y val="0.13277982977436673"/>
          <c:w val="0.40644903634420265"/>
          <c:h val="0.78797416252759489"/>
        </c:manualLayout>
      </c:layout>
      <c:barChart>
        <c:barDir val="bar"/>
        <c:grouping val="clustered"/>
        <c:varyColors val="0"/>
        <c:ser>
          <c:idx val="0"/>
          <c:order val="0"/>
          <c:tx>
            <c:strRef>
              <c:f>List1!$D$2</c:f>
              <c:strCache>
                <c:ptCount val="1"/>
                <c:pt idx="0">
                  <c:v>Místo první hospitalizace - průměrný podíl pacientů</c:v>
                </c:pt>
              </c:strCache>
            </c:strRef>
          </c:tx>
          <c:invertIfNegative val="0"/>
          <c:dLbls>
            <c:showLegendKey val="0"/>
            <c:showVal val="1"/>
            <c:showCatName val="0"/>
            <c:showSerName val="0"/>
            <c:showPercent val="0"/>
            <c:showBubbleSize val="0"/>
            <c:showLeaderLines val="0"/>
          </c:dLbls>
          <c:cat>
            <c:strRef>
              <c:f>List1!$C$3:$C$11</c:f>
              <c:strCache>
                <c:ptCount val="9"/>
                <c:pt idx="0">
                  <c:v>Všeobecná fakultní nemocnice v Praze</c:v>
                </c:pt>
                <c:pt idx="1">
                  <c:v>Fakultní nemocnice v Motole</c:v>
                </c:pt>
                <c:pt idx="2">
                  <c:v>Fakultní nemocnice Královské Vinohrady</c:v>
                </c:pt>
                <c:pt idx="3">
                  <c:v>Fakultní nemocnice u Svaté Anny v Brně</c:v>
                </c:pt>
                <c:pt idx="4">
                  <c:v>Fakultní nemocnice Brno</c:v>
                </c:pt>
                <c:pt idx="5">
                  <c:v>Fakultní nemocnice Plzeň</c:v>
                </c:pt>
                <c:pt idx="6">
                  <c:v>Fakultní nemocnice Olomouc</c:v>
                </c:pt>
                <c:pt idx="7">
                  <c:v>Fakultní nemocnice Ostrava</c:v>
                </c:pt>
                <c:pt idx="8">
                  <c:v>Fakultní nemocnice Hradec Králové</c:v>
                </c:pt>
              </c:strCache>
            </c:strRef>
          </c:cat>
          <c:val>
            <c:numRef>
              <c:f>List1!$D$3:$D$11</c:f>
              <c:numCache>
                <c:formatCode>General</c:formatCode>
                <c:ptCount val="9"/>
                <c:pt idx="0">
                  <c:v>0.73380000000000001</c:v>
                </c:pt>
                <c:pt idx="1">
                  <c:v>0.94879999999999998</c:v>
                </c:pt>
                <c:pt idx="2">
                  <c:v>0.93730000000000002</c:v>
                </c:pt>
                <c:pt idx="3">
                  <c:v>0.95579999999999998</c:v>
                </c:pt>
                <c:pt idx="4">
                  <c:v>0.70799999999999996</c:v>
                </c:pt>
                <c:pt idx="5">
                  <c:v>0.94730000000000003</c:v>
                </c:pt>
                <c:pt idx="6">
                  <c:v>0.97230000000000005</c:v>
                </c:pt>
                <c:pt idx="7">
                  <c:v>0.84850000000000003</c:v>
                </c:pt>
                <c:pt idx="8">
                  <c:v>0.9234</c:v>
                </c:pt>
              </c:numCache>
            </c:numRef>
          </c:val>
        </c:ser>
        <c:dLbls>
          <c:showLegendKey val="0"/>
          <c:showVal val="0"/>
          <c:showCatName val="0"/>
          <c:showSerName val="0"/>
          <c:showPercent val="0"/>
          <c:showBubbleSize val="0"/>
        </c:dLbls>
        <c:gapWidth val="150"/>
        <c:axId val="85560704"/>
        <c:axId val="85566592"/>
      </c:barChart>
      <c:catAx>
        <c:axId val="85560704"/>
        <c:scaling>
          <c:orientation val="minMax"/>
        </c:scaling>
        <c:delete val="0"/>
        <c:axPos val="l"/>
        <c:majorTickMark val="out"/>
        <c:minorTickMark val="none"/>
        <c:tickLblPos val="nextTo"/>
        <c:crossAx val="85566592"/>
        <c:crosses val="autoZero"/>
        <c:auto val="1"/>
        <c:lblAlgn val="ctr"/>
        <c:lblOffset val="100"/>
        <c:noMultiLvlLbl val="0"/>
      </c:catAx>
      <c:valAx>
        <c:axId val="85566592"/>
        <c:scaling>
          <c:orientation val="minMax"/>
          <c:max val="1"/>
        </c:scaling>
        <c:delete val="0"/>
        <c:axPos val="b"/>
        <c:majorGridlines>
          <c:spPr>
            <a:ln>
              <a:noFill/>
            </a:ln>
          </c:spPr>
        </c:majorGridlines>
        <c:numFmt formatCode="General" sourceLinked="1"/>
        <c:majorTickMark val="out"/>
        <c:minorTickMark val="none"/>
        <c:tickLblPos val="nextTo"/>
        <c:crossAx val="85560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Procento</a:t>
            </a:r>
            <a:r>
              <a:rPr lang="cs-CZ" baseline="0"/>
              <a:t> pacientů referovaných z CVSP do jiných zařízení</a:t>
            </a:r>
          </a:p>
          <a:p>
            <a:pPr>
              <a:defRPr/>
            </a:pPr>
            <a:endParaRPr lang="cs-CZ"/>
          </a:p>
        </c:rich>
      </c:tx>
      <c:layout/>
      <c:overlay val="0"/>
    </c:title>
    <c:autoTitleDeleted val="0"/>
    <c:plotArea>
      <c:layout>
        <c:manualLayout>
          <c:layoutTarget val="inner"/>
          <c:xMode val="edge"/>
          <c:yMode val="edge"/>
          <c:x val="0.38184514146316056"/>
          <c:y val="0.44119174292402641"/>
          <c:w val="0.61815484869946813"/>
          <c:h val="0.52195322022093671"/>
        </c:manualLayout>
      </c:layout>
      <c:barChart>
        <c:barDir val="bar"/>
        <c:grouping val="clustered"/>
        <c:varyColors val="0"/>
        <c:ser>
          <c:idx val="0"/>
          <c:order val="0"/>
          <c:tx>
            <c:strRef>
              <c:f>List4!$E$6</c:f>
              <c:strCache>
                <c:ptCount val="1"/>
                <c:pt idx="0">
                  <c:v>Kardiologická péče</c:v>
                </c:pt>
              </c:strCache>
            </c:strRef>
          </c:tx>
          <c:invertIfNegative val="0"/>
          <c:cat>
            <c:strRef>
              <c:f>List4!$F$5:$K$5</c:f>
              <c:strCache>
                <c:ptCount val="6"/>
                <c:pt idx="0">
                  <c:v>Všeobecná fakultní nemocnice v Praze</c:v>
                </c:pt>
                <c:pt idx="1">
                  <c:v>Fakultní nemocnice u Svaté Anny v Brně</c:v>
                </c:pt>
                <c:pt idx="2">
                  <c:v>Fakultní nemocnice Hradec Králové</c:v>
                </c:pt>
                <c:pt idx="3">
                  <c:v>Fakultní nemocnice Plzeň</c:v>
                </c:pt>
                <c:pt idx="4">
                  <c:v>Fakultní nemocnice Ostrava</c:v>
                </c:pt>
                <c:pt idx="5">
                  <c:v>Fakultní nemocnice v Motole</c:v>
                </c:pt>
              </c:strCache>
            </c:strRef>
          </c:cat>
          <c:val>
            <c:numRef>
              <c:f>List4!$F$6:$K$6</c:f>
              <c:numCache>
                <c:formatCode>General</c:formatCode>
                <c:ptCount val="6"/>
                <c:pt idx="0">
                  <c:v>0.2</c:v>
                </c:pt>
                <c:pt idx="1">
                  <c:v>0.15989999999999999</c:v>
                </c:pt>
                <c:pt idx="2">
                  <c:v>0.13300000000000001</c:v>
                </c:pt>
                <c:pt idx="3">
                  <c:v>0.14299999999999999</c:v>
                </c:pt>
                <c:pt idx="4">
                  <c:v>6.5799999999999997E-2</c:v>
                </c:pt>
                <c:pt idx="5">
                  <c:v>0.05</c:v>
                </c:pt>
              </c:numCache>
            </c:numRef>
          </c:val>
        </c:ser>
        <c:ser>
          <c:idx val="1"/>
          <c:order val="1"/>
          <c:tx>
            <c:strRef>
              <c:f>List4!$E$7</c:f>
              <c:strCache>
                <c:ptCount val="1"/>
                <c:pt idx="0">
                  <c:v>Onkologická péče</c:v>
                </c:pt>
              </c:strCache>
            </c:strRef>
          </c:tx>
          <c:invertIfNegative val="0"/>
          <c:cat>
            <c:strRef>
              <c:f>List4!$F$5:$K$5</c:f>
              <c:strCache>
                <c:ptCount val="6"/>
                <c:pt idx="0">
                  <c:v>Všeobecná fakultní nemocnice v Praze</c:v>
                </c:pt>
                <c:pt idx="1">
                  <c:v>Fakultní nemocnice u Svaté Anny v Brně</c:v>
                </c:pt>
                <c:pt idx="2">
                  <c:v>Fakultní nemocnice Hradec Králové</c:v>
                </c:pt>
                <c:pt idx="3">
                  <c:v>Fakultní nemocnice Plzeň</c:v>
                </c:pt>
                <c:pt idx="4">
                  <c:v>Fakultní nemocnice Ostrava</c:v>
                </c:pt>
                <c:pt idx="5">
                  <c:v>Fakultní nemocnice v Motole</c:v>
                </c:pt>
              </c:strCache>
            </c:strRef>
          </c:cat>
          <c:val>
            <c:numRef>
              <c:f>List4!$F$7:$K$7</c:f>
              <c:numCache>
                <c:formatCode>General</c:formatCode>
                <c:ptCount val="6"/>
                <c:pt idx="0">
                  <c:v>0.2</c:v>
                </c:pt>
                <c:pt idx="1">
                  <c:v>1.7399999999999999E-2</c:v>
                </c:pt>
                <c:pt idx="2">
                  <c:v>2.4E-2</c:v>
                </c:pt>
                <c:pt idx="3">
                  <c:v>5.8299999999999998E-2</c:v>
                </c:pt>
                <c:pt idx="4">
                  <c:v>3.8199999999999998E-2</c:v>
                </c:pt>
                <c:pt idx="5">
                  <c:v>0.02</c:v>
                </c:pt>
              </c:numCache>
            </c:numRef>
          </c:val>
        </c:ser>
        <c:ser>
          <c:idx val="2"/>
          <c:order val="2"/>
          <c:tx>
            <c:strRef>
              <c:f>List4!$E$8</c:f>
              <c:strCache>
                <c:ptCount val="1"/>
                <c:pt idx="0">
                  <c:v>Traumatologická péče</c:v>
                </c:pt>
              </c:strCache>
            </c:strRef>
          </c:tx>
          <c:invertIfNegative val="0"/>
          <c:cat>
            <c:strRef>
              <c:f>List4!$F$5:$K$5</c:f>
              <c:strCache>
                <c:ptCount val="6"/>
                <c:pt idx="0">
                  <c:v>Všeobecná fakultní nemocnice v Praze</c:v>
                </c:pt>
                <c:pt idx="1">
                  <c:v>Fakultní nemocnice u Svaté Anny v Brně</c:v>
                </c:pt>
                <c:pt idx="2">
                  <c:v>Fakultní nemocnice Hradec Králové</c:v>
                </c:pt>
                <c:pt idx="3">
                  <c:v>Fakultní nemocnice Plzeň</c:v>
                </c:pt>
                <c:pt idx="4">
                  <c:v>Fakultní nemocnice Ostrava</c:v>
                </c:pt>
                <c:pt idx="5">
                  <c:v>Fakultní nemocnice v Motole</c:v>
                </c:pt>
              </c:strCache>
            </c:strRef>
          </c:cat>
          <c:val>
            <c:numRef>
              <c:f>List4!$F$8:$K$8</c:f>
              <c:numCache>
                <c:formatCode>General</c:formatCode>
                <c:ptCount val="6"/>
                <c:pt idx="2">
                  <c:v>0.11799999999999999</c:v>
                </c:pt>
                <c:pt idx="3">
                  <c:v>0.19070000000000001</c:v>
                </c:pt>
                <c:pt idx="4">
                  <c:v>0.1013</c:v>
                </c:pt>
                <c:pt idx="5">
                  <c:v>0.12</c:v>
                </c:pt>
              </c:numCache>
            </c:numRef>
          </c:val>
        </c:ser>
        <c:ser>
          <c:idx val="3"/>
          <c:order val="3"/>
          <c:tx>
            <c:strRef>
              <c:f>List4!$E$9</c:f>
              <c:strCache>
                <c:ptCount val="1"/>
                <c:pt idx="0">
                  <c:v>Cerebrovaskulární a iktová péče</c:v>
                </c:pt>
              </c:strCache>
            </c:strRef>
          </c:tx>
          <c:invertIfNegative val="0"/>
          <c:cat>
            <c:strRef>
              <c:f>List4!$F$5:$K$5</c:f>
              <c:strCache>
                <c:ptCount val="6"/>
                <c:pt idx="0">
                  <c:v>Všeobecná fakultní nemocnice v Praze</c:v>
                </c:pt>
                <c:pt idx="1">
                  <c:v>Fakultní nemocnice u Svaté Anny v Brně</c:v>
                </c:pt>
                <c:pt idx="2">
                  <c:v>Fakultní nemocnice Hradec Králové</c:v>
                </c:pt>
                <c:pt idx="3">
                  <c:v>Fakultní nemocnice Plzeň</c:v>
                </c:pt>
                <c:pt idx="4">
                  <c:v>Fakultní nemocnice Ostrava</c:v>
                </c:pt>
                <c:pt idx="5">
                  <c:v>Fakultní nemocnice v Motole</c:v>
                </c:pt>
              </c:strCache>
            </c:strRef>
          </c:cat>
          <c:val>
            <c:numRef>
              <c:f>List4!$F$9:$K$9</c:f>
              <c:numCache>
                <c:formatCode>General</c:formatCode>
                <c:ptCount val="6"/>
                <c:pt idx="0">
                  <c:v>0.4</c:v>
                </c:pt>
                <c:pt idx="1">
                  <c:v>0.14760000000000001</c:v>
                </c:pt>
                <c:pt idx="2">
                  <c:v>0.33100000000000002</c:v>
                </c:pt>
                <c:pt idx="3">
                  <c:v>0.12280000000000001</c:v>
                </c:pt>
                <c:pt idx="5">
                  <c:v>0.08</c:v>
                </c:pt>
              </c:numCache>
            </c:numRef>
          </c:val>
        </c:ser>
        <c:ser>
          <c:idx val="4"/>
          <c:order val="4"/>
          <c:tx>
            <c:strRef>
              <c:f>List4!$E$10</c:f>
              <c:strCache>
                <c:ptCount val="1"/>
                <c:pt idx="0">
                  <c:v>Onkogynekologická péče</c:v>
                </c:pt>
              </c:strCache>
            </c:strRef>
          </c:tx>
          <c:invertIfNegative val="0"/>
          <c:cat>
            <c:strRef>
              <c:f>List4!$F$5:$K$5</c:f>
              <c:strCache>
                <c:ptCount val="6"/>
                <c:pt idx="0">
                  <c:v>Všeobecná fakultní nemocnice v Praze</c:v>
                </c:pt>
                <c:pt idx="1">
                  <c:v>Fakultní nemocnice u Svaté Anny v Brně</c:v>
                </c:pt>
                <c:pt idx="2">
                  <c:v>Fakultní nemocnice Hradec Králové</c:v>
                </c:pt>
                <c:pt idx="3">
                  <c:v>Fakultní nemocnice Plzeň</c:v>
                </c:pt>
                <c:pt idx="4">
                  <c:v>Fakultní nemocnice Ostrava</c:v>
                </c:pt>
                <c:pt idx="5">
                  <c:v>Fakultní nemocnice v Motole</c:v>
                </c:pt>
              </c:strCache>
            </c:strRef>
          </c:cat>
          <c:val>
            <c:numRef>
              <c:f>List4!$F$10:$K$10</c:f>
              <c:numCache>
                <c:formatCode>General</c:formatCode>
                <c:ptCount val="6"/>
                <c:pt idx="0">
                  <c:v>0.2</c:v>
                </c:pt>
              </c:numCache>
            </c:numRef>
          </c:val>
        </c:ser>
        <c:ser>
          <c:idx val="5"/>
          <c:order val="5"/>
          <c:tx>
            <c:strRef>
              <c:f>List4!$E$11</c:f>
              <c:strCache>
                <c:ptCount val="1"/>
                <c:pt idx="0">
                  <c:v>Perinatologická péče</c:v>
                </c:pt>
              </c:strCache>
            </c:strRef>
          </c:tx>
          <c:invertIfNegative val="0"/>
          <c:cat>
            <c:strRef>
              <c:f>List4!$F$5:$K$5</c:f>
              <c:strCache>
                <c:ptCount val="6"/>
                <c:pt idx="0">
                  <c:v>Všeobecná fakultní nemocnice v Praze</c:v>
                </c:pt>
                <c:pt idx="1">
                  <c:v>Fakultní nemocnice u Svaté Anny v Brně</c:v>
                </c:pt>
                <c:pt idx="2">
                  <c:v>Fakultní nemocnice Hradec Králové</c:v>
                </c:pt>
                <c:pt idx="3">
                  <c:v>Fakultní nemocnice Plzeň</c:v>
                </c:pt>
                <c:pt idx="4">
                  <c:v>Fakultní nemocnice Ostrava</c:v>
                </c:pt>
                <c:pt idx="5">
                  <c:v>Fakultní nemocnice v Motole</c:v>
                </c:pt>
              </c:strCache>
            </c:strRef>
          </c:cat>
          <c:val>
            <c:numRef>
              <c:f>List4!$F$11:$K$11</c:f>
              <c:numCache>
                <c:formatCode>General</c:formatCode>
                <c:ptCount val="6"/>
                <c:pt idx="0">
                  <c:v>0.04</c:v>
                </c:pt>
              </c:numCache>
            </c:numRef>
          </c:val>
        </c:ser>
        <c:dLbls>
          <c:showLegendKey val="0"/>
          <c:showVal val="1"/>
          <c:showCatName val="0"/>
          <c:showSerName val="0"/>
          <c:showPercent val="0"/>
          <c:showBubbleSize val="0"/>
        </c:dLbls>
        <c:gapWidth val="150"/>
        <c:overlap val="-25"/>
        <c:axId val="85884288"/>
        <c:axId val="85894272"/>
      </c:barChart>
      <c:catAx>
        <c:axId val="85884288"/>
        <c:scaling>
          <c:orientation val="minMax"/>
        </c:scaling>
        <c:delete val="0"/>
        <c:axPos val="l"/>
        <c:majorTickMark val="none"/>
        <c:minorTickMark val="none"/>
        <c:tickLblPos val="nextTo"/>
        <c:crossAx val="85894272"/>
        <c:crosses val="autoZero"/>
        <c:auto val="1"/>
        <c:lblAlgn val="ctr"/>
        <c:lblOffset val="100"/>
        <c:noMultiLvlLbl val="0"/>
      </c:catAx>
      <c:valAx>
        <c:axId val="85894272"/>
        <c:scaling>
          <c:orientation val="minMax"/>
        </c:scaling>
        <c:delete val="1"/>
        <c:axPos val="b"/>
        <c:numFmt formatCode="General" sourceLinked="1"/>
        <c:majorTickMark val="none"/>
        <c:minorTickMark val="none"/>
        <c:tickLblPos val="nextTo"/>
        <c:crossAx val="85884288"/>
        <c:crosses val="autoZero"/>
        <c:crossBetween val="between"/>
      </c:valAx>
      <c:spPr>
        <a:noFill/>
        <a:ln w="25400">
          <a:noFill/>
        </a:ln>
      </c:spPr>
    </c:plotArea>
    <c:legend>
      <c:legendPos val="t"/>
      <c:layout>
        <c:manualLayout>
          <c:xMode val="edge"/>
          <c:yMode val="edge"/>
          <c:x val="2.6845474592242142E-2"/>
          <c:y val="0.25210352311730266"/>
          <c:w val="0.90949013317779726"/>
          <c:h val="0.1360299165890644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Podíl mimopražs</a:t>
            </a:r>
            <a:r>
              <a:rPr lang="cs-CZ"/>
              <a:t>k</a:t>
            </a:r>
            <a:r>
              <a:rPr lang="en-US"/>
              <a:t>ých pacientů</a:t>
            </a:r>
            <a:r>
              <a:rPr lang="cs-CZ"/>
              <a:t> pražských</a:t>
            </a:r>
            <a:r>
              <a:rPr lang="cs-CZ" baseline="0"/>
              <a:t> fakultních nemocnic</a:t>
            </a:r>
            <a:r>
              <a:rPr lang="cs-CZ"/>
              <a:t> v roce 2013</a:t>
            </a:r>
            <a:endParaRPr lang="en-US"/>
          </a:p>
        </c:rich>
      </c:tx>
      <c:layout/>
      <c:overlay val="0"/>
    </c:title>
    <c:autoTitleDeleted val="0"/>
    <c:plotArea>
      <c:layout/>
      <c:barChart>
        <c:barDir val="bar"/>
        <c:grouping val="clustered"/>
        <c:varyColors val="0"/>
        <c:ser>
          <c:idx val="0"/>
          <c:order val="0"/>
          <c:tx>
            <c:strRef>
              <c:f>List1!$H$2</c:f>
              <c:strCache>
                <c:ptCount val="1"/>
                <c:pt idx="0">
                  <c:v>Podíl mimopražskýkch pacientů</c:v>
                </c:pt>
              </c:strCache>
            </c:strRef>
          </c:tx>
          <c:spPr>
            <a:solidFill>
              <a:srgbClr val="FF0000"/>
            </a:solidFill>
          </c:spPr>
          <c:invertIfNegative val="0"/>
          <c:dLbls>
            <c:showLegendKey val="0"/>
            <c:showVal val="1"/>
            <c:showCatName val="0"/>
            <c:showSerName val="0"/>
            <c:showPercent val="0"/>
            <c:showBubbleSize val="0"/>
            <c:showLeaderLines val="0"/>
          </c:dLbls>
          <c:cat>
            <c:strRef>
              <c:f>List1!$G$3:$G$5</c:f>
              <c:strCache>
                <c:ptCount val="3"/>
                <c:pt idx="0">
                  <c:v>Všeobecná fakultní nemocnice v Praze</c:v>
                </c:pt>
                <c:pt idx="1">
                  <c:v>Fakultní nemocnice v Motole</c:v>
                </c:pt>
                <c:pt idx="2">
                  <c:v>Fakultní nemocnice Královské Vinohrady</c:v>
                </c:pt>
              </c:strCache>
            </c:strRef>
          </c:cat>
          <c:val>
            <c:numRef>
              <c:f>List1!$H$3:$H$5</c:f>
              <c:numCache>
                <c:formatCode>General</c:formatCode>
                <c:ptCount val="3"/>
                <c:pt idx="0">
                  <c:v>0.44190000000000002</c:v>
                </c:pt>
                <c:pt idx="1">
                  <c:v>0.52500000000000002</c:v>
                </c:pt>
                <c:pt idx="2">
                  <c:v>0.27950000000000003</c:v>
                </c:pt>
              </c:numCache>
            </c:numRef>
          </c:val>
        </c:ser>
        <c:dLbls>
          <c:showLegendKey val="0"/>
          <c:showVal val="0"/>
          <c:showCatName val="0"/>
          <c:showSerName val="0"/>
          <c:showPercent val="0"/>
          <c:showBubbleSize val="0"/>
        </c:dLbls>
        <c:gapWidth val="150"/>
        <c:axId val="85911040"/>
        <c:axId val="85912576"/>
      </c:barChart>
      <c:catAx>
        <c:axId val="85911040"/>
        <c:scaling>
          <c:orientation val="minMax"/>
        </c:scaling>
        <c:delete val="0"/>
        <c:axPos val="l"/>
        <c:majorTickMark val="out"/>
        <c:minorTickMark val="none"/>
        <c:tickLblPos val="nextTo"/>
        <c:crossAx val="85912576"/>
        <c:crosses val="autoZero"/>
        <c:auto val="1"/>
        <c:lblAlgn val="ctr"/>
        <c:lblOffset val="100"/>
        <c:noMultiLvlLbl val="0"/>
      </c:catAx>
      <c:valAx>
        <c:axId val="85912576"/>
        <c:scaling>
          <c:orientation val="minMax"/>
        </c:scaling>
        <c:delete val="0"/>
        <c:axPos val="b"/>
        <c:majorGridlines>
          <c:spPr>
            <a:ln>
              <a:noFill/>
            </a:ln>
          </c:spPr>
        </c:majorGridlines>
        <c:numFmt formatCode="General" sourceLinked="1"/>
        <c:majorTickMark val="out"/>
        <c:minorTickMark val="none"/>
        <c:tickLblPos val="nextTo"/>
        <c:crossAx val="85911040"/>
        <c:crosses val="autoZero"/>
        <c:crossBetween val="between"/>
      </c:valAx>
      <c:spPr>
        <a:ln>
          <a:noFill/>
        </a:ln>
      </c:spPr>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AD169-03F6-4A38-A50F-F7230742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39</Pages>
  <Words>7525</Words>
  <Characters>44403</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MZČR</Company>
  <LinksUpToDate>false</LinksUpToDate>
  <CharactersWithSpaces>51825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Laaksonen Olga Ing.</dc:creator>
  <cp:lastModifiedBy>Laaksonen</cp:lastModifiedBy>
  <cp:revision>15</cp:revision>
  <cp:lastPrinted>2014-10-13T12:08:00Z</cp:lastPrinted>
  <dcterms:created xsi:type="dcterms:W3CDTF">2014-11-03T07:45:00Z</dcterms:created>
  <dcterms:modified xsi:type="dcterms:W3CDTF">2014-11-13T09:51:00Z</dcterms:modified>
</cp:coreProperties>
</file>