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8B" w:rsidRPr="00374536" w:rsidRDefault="00DE5E8B" w:rsidP="00DE5E8B">
      <w:pPr>
        <w:rPr>
          <w:b/>
          <w:bCs/>
          <w:i/>
        </w:rPr>
      </w:pPr>
      <w:r w:rsidRPr="00374536">
        <w:rPr>
          <w:b/>
          <w:bCs/>
          <w:i/>
        </w:rPr>
        <w:t xml:space="preserve">Zdůvodnění změn Harmonogramu výzev OP PIK </w:t>
      </w:r>
      <w:bookmarkStart w:id="0" w:name="_GoBack"/>
      <w:bookmarkEnd w:id="0"/>
      <w:r w:rsidRPr="00374536">
        <w:rPr>
          <w:b/>
          <w:bCs/>
          <w:i/>
        </w:rPr>
        <w:t xml:space="preserve">– aktualizace k </w:t>
      </w:r>
      <w:r>
        <w:rPr>
          <w:b/>
          <w:bCs/>
          <w:i/>
        </w:rPr>
        <w:t>7</w:t>
      </w:r>
      <w:r w:rsidRPr="00374536">
        <w:rPr>
          <w:b/>
          <w:bCs/>
          <w:i/>
        </w:rPr>
        <w:t>.</w:t>
      </w:r>
      <w:r>
        <w:rPr>
          <w:b/>
          <w:bCs/>
          <w:i/>
        </w:rPr>
        <w:t xml:space="preserve"> 6</w:t>
      </w:r>
      <w:r w:rsidRPr="00374536">
        <w:rPr>
          <w:b/>
          <w:bCs/>
          <w:i/>
        </w:rPr>
        <w:t>.</w:t>
      </w:r>
      <w:r>
        <w:rPr>
          <w:b/>
          <w:bCs/>
          <w:i/>
        </w:rPr>
        <w:t xml:space="preserve"> 2017</w:t>
      </w:r>
    </w:p>
    <w:p w:rsidR="00DE5E8B" w:rsidRDefault="00DE5E8B" w:rsidP="00DE5E8B">
      <w:pPr>
        <w:rPr>
          <w:i/>
          <w:iCs/>
          <w:color w:val="1F497D"/>
        </w:rPr>
      </w:pPr>
    </w:p>
    <w:p w:rsidR="00DE5E8B" w:rsidRPr="00374536" w:rsidRDefault="00DE5E8B" w:rsidP="00DE5E8B">
      <w:pPr>
        <w:spacing w:after="120"/>
        <w:rPr>
          <w:i/>
          <w:iCs/>
        </w:rPr>
      </w:pPr>
      <w:r w:rsidRPr="00374536">
        <w:rPr>
          <w:i/>
          <w:iCs/>
        </w:rPr>
        <w:t xml:space="preserve">Vyhlášení I. výzvy Expanze – Úvěry dne 28. 4. 2017. Úvěry budou poskytovány Českomoravskou záruční a rozvojovou bankou. </w:t>
      </w:r>
    </w:p>
    <w:p w:rsidR="00DE5E8B" w:rsidRDefault="00DE5E8B" w:rsidP="00DE5E8B">
      <w:pPr>
        <w:spacing w:after="120"/>
        <w:rPr>
          <w:i/>
          <w:iCs/>
        </w:rPr>
      </w:pPr>
      <w:r>
        <w:rPr>
          <w:i/>
          <w:iCs/>
        </w:rPr>
        <w:t>Zařazení I</w:t>
      </w:r>
      <w:r w:rsidRPr="00374536">
        <w:rPr>
          <w:i/>
          <w:iCs/>
        </w:rPr>
        <w:t xml:space="preserve">. výzvy Úspory energie - FVE pro vlastní spotřebu včetně akumulace na základě schválení revize OP PIK a možnosti podporovat </w:t>
      </w:r>
      <w:proofErr w:type="spellStart"/>
      <w:r w:rsidRPr="00374536">
        <w:rPr>
          <w:i/>
          <w:iCs/>
        </w:rPr>
        <w:t>fotovoltaické</w:t>
      </w:r>
      <w:proofErr w:type="spellEnd"/>
      <w:r w:rsidRPr="00374536">
        <w:rPr>
          <w:i/>
          <w:iCs/>
        </w:rPr>
        <w:t xml:space="preserve"> systémy a akumulaci.</w:t>
      </w:r>
      <w:r>
        <w:rPr>
          <w:i/>
          <w:iCs/>
        </w:rPr>
        <w:t xml:space="preserve"> </w:t>
      </w:r>
      <w:r w:rsidRPr="00E35DD4">
        <w:rPr>
          <w:i/>
          <w:iCs/>
        </w:rPr>
        <w:t xml:space="preserve">Předpokládaný termín vyhlášení výzvy stanoven na </w:t>
      </w:r>
      <w:r>
        <w:rPr>
          <w:i/>
          <w:iCs/>
        </w:rPr>
        <w:t xml:space="preserve">červen </w:t>
      </w:r>
      <w:r w:rsidRPr="00E35DD4">
        <w:rPr>
          <w:i/>
          <w:iCs/>
        </w:rPr>
        <w:t>2017.</w:t>
      </w:r>
    </w:p>
    <w:p w:rsidR="00DE5E8B" w:rsidRPr="00E35DD4" w:rsidRDefault="00DE5E8B" w:rsidP="00DE5E8B">
      <w:pPr>
        <w:spacing w:after="120"/>
        <w:rPr>
          <w:i/>
          <w:iCs/>
        </w:rPr>
      </w:pPr>
      <w:r w:rsidRPr="00E35DD4">
        <w:rPr>
          <w:i/>
          <w:iCs/>
        </w:rPr>
        <w:t>Zařazení IV. výzvy ICT a sdílené služby na základě vyhodnocení předchozích výzev a zájmu potenciálních žadatelů.</w:t>
      </w:r>
      <w:r w:rsidRPr="00E35DD4">
        <w:t xml:space="preserve"> </w:t>
      </w:r>
      <w:r w:rsidRPr="00E35DD4">
        <w:rPr>
          <w:i/>
          <w:iCs/>
        </w:rPr>
        <w:t>Předpokládaný termín vyhlášení výzvy stanoven na září 2017.</w:t>
      </w:r>
    </w:p>
    <w:p w:rsidR="00DE5E8B" w:rsidRPr="00374536" w:rsidRDefault="00DE5E8B" w:rsidP="00DE5E8B">
      <w:pPr>
        <w:spacing w:after="120"/>
        <w:rPr>
          <w:i/>
          <w:iCs/>
        </w:rPr>
      </w:pPr>
      <w:r w:rsidRPr="00374536">
        <w:rPr>
          <w:i/>
          <w:iCs/>
        </w:rPr>
        <w:t xml:space="preserve">Posun výzev plánových k vyhlášení v dubnu 2017 na </w:t>
      </w:r>
      <w:r>
        <w:rPr>
          <w:i/>
          <w:iCs/>
        </w:rPr>
        <w:t>červen</w:t>
      </w:r>
      <w:r w:rsidRPr="00374536">
        <w:rPr>
          <w:i/>
          <w:iCs/>
        </w:rPr>
        <w:t xml:space="preserve"> 2017. Důvodem je probíhající procesní audit vztahující se k relevantní ITI. </w:t>
      </w:r>
    </w:p>
    <w:p w:rsidR="00DE5E8B" w:rsidRDefault="00DE5E8B" w:rsidP="00DE5E8B">
      <w:pPr>
        <w:ind w:left="567"/>
      </w:pPr>
      <w:r>
        <w:t xml:space="preserve"> I. výzva Inovace - Inovační projekt - ITI Olomouc</w:t>
      </w:r>
    </w:p>
    <w:p w:rsidR="00DE5E8B" w:rsidRDefault="00DE5E8B" w:rsidP="00DE5E8B">
      <w:pPr>
        <w:ind w:left="567"/>
      </w:pPr>
      <w:r>
        <w:t xml:space="preserve"> II. výzva Inovace - Inovační projekt - ITI Hradec-Pardubice</w:t>
      </w:r>
    </w:p>
    <w:p w:rsidR="00DE5E8B" w:rsidRDefault="00DE5E8B" w:rsidP="00DE5E8B">
      <w:pPr>
        <w:ind w:left="567"/>
      </w:pPr>
      <w:r>
        <w:t xml:space="preserve"> I. výzva Inovace - Projekt na ochranu práv průmyslového vlastnictví - ITI Olomouc</w:t>
      </w:r>
    </w:p>
    <w:p w:rsidR="00DE5E8B" w:rsidRDefault="00DE5E8B" w:rsidP="00DE5E8B">
      <w:pPr>
        <w:ind w:left="567"/>
      </w:pPr>
      <w:r>
        <w:t xml:space="preserve"> I. výzva Potenciál - ITI Hradec-Pardubice</w:t>
      </w:r>
    </w:p>
    <w:p w:rsidR="00DE5E8B" w:rsidRDefault="00DE5E8B" w:rsidP="00DE5E8B">
      <w:pPr>
        <w:ind w:left="567"/>
      </w:pPr>
      <w:r>
        <w:t xml:space="preserve"> I. výzva Aplikace - ITI Hradec-Pardubice</w:t>
      </w:r>
    </w:p>
    <w:p w:rsidR="00DE5E8B" w:rsidRDefault="00DE5E8B" w:rsidP="00DE5E8B">
      <w:pPr>
        <w:ind w:left="567"/>
      </w:pPr>
      <w:r>
        <w:t xml:space="preserve"> I. výzva Služby infrastruktury -ITI Olomouc</w:t>
      </w:r>
    </w:p>
    <w:p w:rsidR="00DE5E8B" w:rsidRDefault="00DE5E8B" w:rsidP="00DE5E8B">
      <w:pPr>
        <w:ind w:left="567"/>
      </w:pPr>
      <w:r>
        <w:t xml:space="preserve"> I. výzva Technologie - ITI Olomouc</w:t>
      </w:r>
    </w:p>
    <w:p w:rsidR="00DE5E8B" w:rsidRDefault="00DE5E8B" w:rsidP="00DE5E8B">
      <w:pPr>
        <w:ind w:left="567"/>
      </w:pPr>
      <w:r>
        <w:t xml:space="preserve"> I. výzva Nemovitosti - ITI Olomouc</w:t>
      </w:r>
    </w:p>
    <w:p w:rsidR="00DE5E8B" w:rsidRDefault="00DE5E8B" w:rsidP="00DE5E8B">
      <w:pPr>
        <w:ind w:left="567"/>
      </w:pPr>
      <w:r>
        <w:t xml:space="preserve"> I. výzva Školicí střediska - ITI Olomouc</w:t>
      </w:r>
    </w:p>
    <w:p w:rsidR="00DE5E8B" w:rsidRDefault="00DE5E8B" w:rsidP="00DE5E8B">
      <w:pPr>
        <w:spacing w:after="120"/>
        <w:ind w:left="567"/>
      </w:pPr>
      <w:r>
        <w:t xml:space="preserve"> I. výzva Úspory energie v </w:t>
      </w:r>
      <w:proofErr w:type="gramStart"/>
      <w:r>
        <w:t>SZT</w:t>
      </w:r>
      <w:proofErr w:type="gramEnd"/>
      <w:r>
        <w:t xml:space="preserve"> –</w:t>
      </w:r>
      <w:proofErr w:type="gramStart"/>
      <w:r>
        <w:t>ITI</w:t>
      </w:r>
      <w:proofErr w:type="gramEnd"/>
    </w:p>
    <w:p w:rsidR="00DE5E8B" w:rsidRPr="00374536" w:rsidRDefault="00DE5E8B" w:rsidP="00DE5E8B">
      <w:pPr>
        <w:spacing w:after="120"/>
        <w:rPr>
          <w:i/>
          <w:iCs/>
        </w:rPr>
      </w:pPr>
      <w:r w:rsidRPr="00374536">
        <w:rPr>
          <w:i/>
          <w:iCs/>
        </w:rPr>
        <w:t>Posun výzev plánových k vyhlášení v dubnu 2017 na červen 2017 v souvislosti s termínem ukončení příjmu žádostí o podporu v předchozí výzvě a s ohledem na konání 8. monitorovacího výboru OP PIK.</w:t>
      </w:r>
    </w:p>
    <w:p w:rsidR="00DE5E8B" w:rsidRDefault="00DE5E8B" w:rsidP="00DE5E8B">
      <w:pPr>
        <w:ind w:left="567"/>
      </w:pPr>
      <w:r>
        <w:t xml:space="preserve"> II. výzva Inovační vouchery </w:t>
      </w:r>
    </w:p>
    <w:p w:rsidR="00DE5E8B" w:rsidRDefault="00DE5E8B" w:rsidP="00DE5E8B">
      <w:pPr>
        <w:ind w:left="567"/>
      </w:pPr>
      <w:r>
        <w:t xml:space="preserve"> IV. výzva Spolupráce – klastry </w:t>
      </w:r>
    </w:p>
    <w:p w:rsidR="00DE5E8B" w:rsidRDefault="00DE5E8B" w:rsidP="00DE5E8B">
      <w:pPr>
        <w:spacing w:after="120"/>
        <w:ind w:left="567"/>
      </w:pPr>
      <w:r>
        <w:t xml:space="preserve"> III. výzva Partnerství znalostního transferu</w:t>
      </w:r>
    </w:p>
    <w:p w:rsidR="00DE5E8B" w:rsidRPr="00374536" w:rsidRDefault="00DE5E8B" w:rsidP="00DE5E8B">
      <w:pPr>
        <w:spacing w:after="120"/>
        <w:rPr>
          <w:i/>
          <w:iCs/>
        </w:rPr>
      </w:pPr>
      <w:r w:rsidRPr="00374536">
        <w:rPr>
          <w:i/>
          <w:iCs/>
        </w:rPr>
        <w:t>Posun výzev plánových k vyhlášení v květnu 2017 na červen 2017 z důvodu posunu termínu podpisu Dohody o financování s Českomoravskou záruční a rozvojovou bankou, probírá se také otázka navýšení alokace výzvy předpokládající jako formu podpory finanční nástroje.</w:t>
      </w:r>
    </w:p>
    <w:p w:rsidR="00DE5E8B" w:rsidRDefault="00DE5E8B" w:rsidP="00DE5E8B">
      <w:pPr>
        <w:ind w:left="567"/>
      </w:pPr>
      <w:r>
        <w:t xml:space="preserve"> I. výzva Úspory energie - finanční nástroj </w:t>
      </w:r>
    </w:p>
    <w:p w:rsidR="00DE5E8B" w:rsidRDefault="00DE5E8B" w:rsidP="00DE5E8B">
      <w:pPr>
        <w:spacing w:after="120"/>
        <w:ind w:left="567"/>
      </w:pPr>
      <w:r>
        <w:t xml:space="preserve"> I. výzva Úspory energie v SZT - finanční nástroj </w:t>
      </w:r>
    </w:p>
    <w:p w:rsidR="00DE5E8B" w:rsidRPr="00A213FB" w:rsidRDefault="00DE5E8B" w:rsidP="00DE5E8B">
      <w:pPr>
        <w:spacing w:after="120"/>
        <w:rPr>
          <w:i/>
          <w:iCs/>
        </w:rPr>
      </w:pPr>
      <w:r w:rsidRPr="00A213FB">
        <w:rPr>
          <w:i/>
          <w:iCs/>
        </w:rPr>
        <w:t>Transformace III. Výzvy Úspory energie (podpora vícenákladů - samostatná výzva) na I. Výzvu Úspory energie - aktivita Energeticky efektivní budovy. Před</w:t>
      </w:r>
      <w:r>
        <w:rPr>
          <w:i/>
          <w:iCs/>
        </w:rPr>
        <w:t>pokládaný termín vyhlášení výzvy stanoven na</w:t>
      </w:r>
      <w:r w:rsidRPr="00A213FB">
        <w:rPr>
          <w:i/>
          <w:iCs/>
        </w:rPr>
        <w:t xml:space="preserve"> červ</w:t>
      </w:r>
      <w:r>
        <w:rPr>
          <w:i/>
          <w:iCs/>
        </w:rPr>
        <w:t>en 2017</w:t>
      </w:r>
      <w:r w:rsidRPr="00A213FB">
        <w:rPr>
          <w:i/>
          <w:iCs/>
        </w:rPr>
        <w:t>.</w:t>
      </w:r>
    </w:p>
    <w:p w:rsidR="00DE5E8B" w:rsidRPr="00374536" w:rsidRDefault="00DE5E8B" w:rsidP="00DE5E8B">
      <w:pPr>
        <w:spacing w:after="120"/>
        <w:rPr>
          <w:i/>
          <w:iCs/>
        </w:rPr>
      </w:pPr>
      <w:r w:rsidRPr="00374536">
        <w:rPr>
          <w:i/>
          <w:iCs/>
        </w:rPr>
        <w:t>Posun výzvy plánové k vyhlášení v květnu 2017 na říjen 2017 z důvodu zajištění návaznosti s částí výzev předpokládající jako formu podpory finanční nástroje. Také je vhodné zajistit koordinaci potenciální synergické vazby s MŠMT.</w:t>
      </w:r>
    </w:p>
    <w:p w:rsidR="00DE5E8B" w:rsidRPr="00A213FB" w:rsidRDefault="00DE5E8B" w:rsidP="00DE5E8B">
      <w:pPr>
        <w:spacing w:after="120"/>
        <w:ind w:left="567"/>
      </w:pPr>
      <w:r>
        <w:t xml:space="preserve"> I. výzva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</w:p>
    <w:p w:rsidR="00DE5E8B" w:rsidRPr="00A213FB" w:rsidRDefault="00DE5E8B" w:rsidP="00DE5E8B">
      <w:pPr>
        <w:spacing w:after="120"/>
        <w:rPr>
          <w:i/>
          <w:iCs/>
        </w:rPr>
      </w:pPr>
      <w:r w:rsidRPr="00A213FB">
        <w:rPr>
          <w:i/>
          <w:iCs/>
        </w:rPr>
        <w:t>Posun výzvy plánové k vyhlášení v září 2017 na listopad 2017 v souvislosti s termínem ukončení příjmu žádostí o podporu v předchozí výzvě.</w:t>
      </w:r>
    </w:p>
    <w:p w:rsidR="00DE5E8B" w:rsidRPr="00D91557" w:rsidRDefault="00DE5E8B" w:rsidP="00DE5E8B">
      <w:pPr>
        <w:spacing w:after="120"/>
        <w:ind w:left="567"/>
      </w:pPr>
      <w:r w:rsidRPr="00A213FB">
        <w:t xml:space="preserve">II. výzva Vysokorychlostní internet </w:t>
      </w:r>
    </w:p>
    <w:p w:rsidR="00DE5E8B" w:rsidRPr="00374536" w:rsidRDefault="00DE5E8B" w:rsidP="00DE5E8B">
      <w:pPr>
        <w:spacing w:after="120"/>
        <w:rPr>
          <w:i/>
          <w:iCs/>
        </w:rPr>
      </w:pPr>
      <w:r w:rsidRPr="00374536">
        <w:rPr>
          <w:i/>
          <w:iCs/>
        </w:rPr>
        <w:t>Odstranění původně uvedených výzev.</w:t>
      </w:r>
    </w:p>
    <w:p w:rsidR="00DE5E8B" w:rsidRDefault="00DE5E8B" w:rsidP="00DE5E8B">
      <w:pPr>
        <w:ind w:left="567"/>
      </w:pPr>
      <w:r>
        <w:t xml:space="preserve"> III. výzva Spolupráce – TP – příjem žádostí o podporu předešlé výzvy probíhá do června 2017, vyhlášení III. výzvy v pořadí je plánováno na rok 2018</w:t>
      </w:r>
    </w:p>
    <w:p w:rsidR="00DE5E8B" w:rsidRDefault="00DE5E8B" w:rsidP="00DE5E8B">
      <w:pPr>
        <w:ind w:left="567"/>
      </w:pPr>
      <w:r>
        <w:t xml:space="preserve"> I. výzva PCP – výzva odstraněna na základě schválení revize OP PIK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revisionView w:inkAnnotations="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B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E5E8B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5AD4-595B-4DF5-8E3C-45F544D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E8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spacing w:after="160" w:line="293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</w:pPr>
    <w:rPr>
      <w:rFonts w:asciiTheme="majorHAnsi" w:hAnsiTheme="majorHAnsi" w:cstheme="minorBidi"/>
      <w:b/>
      <w:color w:val="000000" w:themeColor="text1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</w:pPr>
    <w:rPr>
      <w:rFonts w:asciiTheme="majorHAnsi" w:hAnsiTheme="majorHAnsi" w:cstheme="minorBidi"/>
      <w:b/>
      <w:color w:val="000000" w:themeColor="text1"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color w:val="000000" w:themeColor="text1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</w:pPr>
    <w:rPr>
      <w:rFonts w:asciiTheme="minorHAnsi" w:hAnsiTheme="minorHAnsi" w:cstheme="minorBidi"/>
      <w:color w:val="000000" w:themeColor="text1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</w:pPr>
    <w:rPr>
      <w:rFonts w:asciiTheme="minorHAnsi" w:hAnsiTheme="minorHAnsi" w:cstheme="minorBidi"/>
      <w:color w:val="000000" w:themeColor="text1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</w:pPr>
    <w:rPr>
      <w:rFonts w:asciiTheme="minorHAnsi" w:hAnsiTheme="minorHAnsi" w:cstheme="minorBidi"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</w:pPr>
    <w:rPr>
      <w:rFonts w:asciiTheme="minorHAnsi" w:hAnsiTheme="minorHAnsi" w:cstheme="minorBidi"/>
      <w:color w:val="000000" w:themeColor="text1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</w:pPr>
    <w:rPr>
      <w:rFonts w:asciiTheme="minorHAnsi" w:hAnsiTheme="minorHAnsi" w:cstheme="minorBidi"/>
      <w:color w:val="000000" w:themeColor="text1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</w:pPr>
    <w:rPr>
      <w:rFonts w:asciiTheme="minorHAnsi" w:hAnsiTheme="minorHAnsi" w:cstheme="minorBidi"/>
      <w:color w:val="000000" w:themeColor="text1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</w:pPr>
    <w:rPr>
      <w:rFonts w:asciiTheme="minorHAnsi" w:hAnsiTheme="minorHAnsi" w:cstheme="minorBidi"/>
      <w:color w:val="000000" w:themeColor="text1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</w:pPr>
    <w:rPr>
      <w:rFonts w:asciiTheme="minorHAnsi" w:hAnsiTheme="minorHAnsi" w:cstheme="minorBidi"/>
      <w:color w:val="000000" w:themeColor="text1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</w:pPr>
    <w:rPr>
      <w:rFonts w:asciiTheme="minorHAnsi" w:hAnsiTheme="minorHAnsi" w:cstheme="minorBidi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</w:pPr>
    <w:rPr>
      <w:rFonts w:asciiTheme="minorHAnsi" w:hAnsiTheme="minorHAnsi" w:cstheme="minorBidi"/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</w:pPr>
    <w:rPr>
      <w:rFonts w:asciiTheme="minorHAnsi" w:hAnsiTheme="minorHAnsi" w:cstheme="minorBidi"/>
      <w:color w:val="000000" w:themeColor="text1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99C3-7B38-4F64-9619-39FA58D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9C5867DE.dotm</Template>
  <TotalTime>1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Sazima Martin</dc:creator>
  <cp:keywords/>
  <dc:description/>
  <cp:lastModifiedBy>Sazima Martin</cp:lastModifiedBy>
  <cp:revision>1</cp:revision>
  <cp:lastPrinted>2016-06-24T18:48:00Z</cp:lastPrinted>
  <dcterms:created xsi:type="dcterms:W3CDTF">2017-06-08T06:21:00Z</dcterms:created>
  <dcterms:modified xsi:type="dcterms:W3CDTF">2017-06-08T06:22:00Z</dcterms:modified>
</cp:coreProperties>
</file>