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0C5877" w:rsidRPr="000C5877" w:rsidRDefault="000C5877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0C5877">
        <w:rPr>
          <w:b/>
          <w:bCs/>
          <w:sz w:val="32"/>
        </w:rPr>
        <w:t>Ministerstvo pro místní rozvoj České republiky</w:t>
      </w:r>
    </w:p>
    <w:p w:rsidR="000C5877" w:rsidRPr="000C5877" w:rsidRDefault="000C5877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0C5877">
        <w:rPr>
          <w:b/>
          <w:bCs/>
          <w:sz w:val="32"/>
        </w:rPr>
        <w:t>vyhlašuje</w:t>
      </w:r>
    </w:p>
    <w:p w:rsidR="000C5877" w:rsidRPr="000C5877" w:rsidRDefault="00400E58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10</w:t>
      </w:r>
      <w:r w:rsidR="000C5877" w:rsidRPr="000C5877">
        <w:rPr>
          <w:b/>
          <w:bCs/>
          <w:sz w:val="32"/>
        </w:rPr>
        <w:t xml:space="preserve">. výzvu k předkládání žádostí o podporu </w:t>
      </w:r>
    </w:p>
    <w:p w:rsidR="00D5002E" w:rsidRPr="00FD75FE" w:rsidRDefault="000C5877" w:rsidP="000C5877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</w:rPr>
      </w:pPr>
      <w:r w:rsidRPr="000C5877">
        <w:rPr>
          <w:b/>
          <w:bCs/>
          <w:sz w:val="32"/>
        </w:rPr>
        <w:t>z Integrovaného regionálního operačního programu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mallCaps/>
          <w:sz w:val="32"/>
        </w:rPr>
      </w:pPr>
    </w:p>
    <w:p w:rsidR="007C6EE4" w:rsidRPr="00FD75FE" w:rsidRDefault="00323FA5" w:rsidP="007C6EE4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i/>
          <w:smallCaps/>
          <w:sz w:val="32"/>
        </w:rPr>
        <w:t>Kybernetická bezpečnost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D5002E" w:rsidP="00874ED5">
            <w:r w:rsidRPr="00093BA5">
              <w:t>I</w:t>
            </w:r>
            <w:r w:rsidR="00874ED5" w:rsidRPr="00093BA5"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093BA5" w:rsidRDefault="007C6EE4" w:rsidP="007C6EE4"/>
          <w:p w:rsidR="007C6EE4" w:rsidRPr="00093BA5" w:rsidRDefault="007C6EE4" w:rsidP="007C6EE4">
            <w:r w:rsidRPr="00093BA5">
              <w:t>PO 3:  Dobrá správa území a zefektivnění veřejných institucí</w:t>
            </w:r>
          </w:p>
          <w:p w:rsidR="00D5002E" w:rsidRPr="00093BA5" w:rsidRDefault="00D5002E" w:rsidP="003A0364"/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542C78" w:rsidP="003A0364">
            <w:r w:rsidRPr="00093BA5">
              <w:t xml:space="preserve">IP 2c: Posilování aplikací v oblasti IKT určených pro elektronickou veřejnou správu, elektronické učení, začlenění do informační společnosti, elektronickou kulturu a elektronické zdravotnictví 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542C78" w:rsidP="003A0364">
            <w:r w:rsidRPr="00093BA5">
              <w:t>SC 3.2: Zvyšování efektivity a transparentnosti veřejné správy prostřednictvím rozvoje využití a kvality systémů IKT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7C6EE4" w:rsidP="007C6EE4">
            <w:r w:rsidRPr="00093BA5">
              <w:t>průběžná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>
            <w:r w:rsidRPr="00093BA5">
              <w:t>Komplementární s </w:t>
            </w:r>
            <w:proofErr w:type="gramStart"/>
            <w:r w:rsidRPr="00093BA5">
              <w:t>OP</w:t>
            </w:r>
            <w:proofErr w:type="gramEnd"/>
            <w:r w:rsidRPr="00093BA5">
              <w:t xml:space="preserve"> Zaměstnanost, SC 4.1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>
            <w:r w:rsidRPr="00093BA5"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093BA5" w:rsidRDefault="00093BA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093BA5" w:rsidRPr="00FD75FE" w:rsidRDefault="00093BA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>
              <w:rPr>
                <w:b/>
              </w:rPr>
              <w:t>Termíny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FD75FE" w:rsidRDefault="003D1B06" w:rsidP="003D1B06">
            <w:r>
              <w:t>21. 10</w:t>
            </w:r>
            <w:r w:rsidRPr="00FB15BE">
              <w:t xml:space="preserve">. 2015, </w:t>
            </w:r>
            <w:r>
              <w:t>14:00</w:t>
            </w:r>
          </w:p>
        </w:tc>
      </w:tr>
      <w:tr w:rsidR="003D1B06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FD75FE" w:rsidRDefault="003D1B06" w:rsidP="003D1B06">
            <w:r>
              <w:t>21. 10</w:t>
            </w:r>
            <w:r w:rsidRPr="00CE7F61">
              <w:t xml:space="preserve">. 2015, </w:t>
            </w:r>
            <w:r>
              <w:t>14:00</w:t>
            </w:r>
          </w:p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>
            <w:r w:rsidRPr="00093BA5">
              <w:t>21. 10. 2015, 14:00</w:t>
            </w:r>
          </w:p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Datum a čas ukončení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/>
          <w:p w:rsidR="003D1B06" w:rsidRPr="00093BA5" w:rsidRDefault="003D1B06" w:rsidP="003D1B06">
            <w:r w:rsidRPr="00093BA5">
              <w:t>Nejpozději 30. 6. 2017, 14.00</w:t>
            </w:r>
          </w:p>
          <w:p w:rsidR="003D1B06" w:rsidRPr="00093BA5" w:rsidRDefault="003D1B06" w:rsidP="003D1B06"/>
          <w:p w:rsidR="003D1B06" w:rsidRDefault="003D1B06" w:rsidP="003D1B06">
            <w:r w:rsidRPr="00093BA5">
              <w:t xml:space="preserve">O dřívějším ukončení příjmu žádostí o podporu informuje ŘO IROP veřejnost a žadatele minimálně 20 pracovních dnů předem prostřednictvím MS2014+. Změna je zároveň zveřejněna na webových stránkách </w:t>
            </w:r>
            <w:hyperlink r:id="rId9" w:history="1">
              <w:r w:rsidRPr="00093BA5">
                <w:rPr>
                  <w:rStyle w:val="Hypertextovodkaz"/>
                </w:rPr>
                <w:t>http://www.dotaceEu.cz</w:t>
              </w:r>
            </w:hyperlink>
            <w:r w:rsidRPr="00093BA5">
              <w:rPr>
                <w:u w:val="single"/>
              </w:rPr>
              <w:t>/</w:t>
            </w:r>
            <w:proofErr w:type="spellStart"/>
            <w:r w:rsidRPr="00093BA5">
              <w:rPr>
                <w:u w:val="single"/>
              </w:rPr>
              <w:t>cs</w:t>
            </w:r>
            <w:proofErr w:type="spellEnd"/>
            <w:r w:rsidRPr="00093BA5">
              <w:rPr>
                <w:u w:val="single"/>
              </w:rPr>
              <w:t>/</w:t>
            </w:r>
            <w:proofErr w:type="spellStart"/>
            <w:r w:rsidRPr="00093BA5">
              <w:rPr>
                <w:u w:val="single"/>
              </w:rPr>
              <w:t>Microsites</w:t>
            </w:r>
            <w:proofErr w:type="spellEnd"/>
            <w:r w:rsidRPr="00093BA5">
              <w:rPr>
                <w:u w:val="single"/>
              </w:rPr>
              <w:t>/IROP/</w:t>
            </w:r>
            <w:proofErr w:type="spellStart"/>
            <w:r w:rsidRPr="00093BA5">
              <w:rPr>
                <w:u w:val="single"/>
              </w:rPr>
              <w:t>Vyzvy</w:t>
            </w:r>
            <w:proofErr w:type="spellEnd"/>
            <w:r w:rsidRPr="00093BA5">
              <w:rPr>
                <w:u w:val="single"/>
              </w:rPr>
              <w:t>-v-IROP</w:t>
            </w:r>
            <w:r w:rsidRPr="00093BA5">
              <w:t xml:space="preserve">. </w:t>
            </w:r>
          </w:p>
          <w:p w:rsidR="009C5767" w:rsidRPr="00093BA5" w:rsidRDefault="009C5767" w:rsidP="003D1B06"/>
        </w:tc>
      </w:tr>
      <w:tr w:rsidR="007C6EE4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093BA5" w:rsidRDefault="007C6EE4" w:rsidP="007C6EE4">
            <w:pPr>
              <w:rPr>
                <w:b/>
              </w:rPr>
            </w:pPr>
            <w:r w:rsidRPr="00093BA5">
              <w:rPr>
                <w:b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6EE4" w:rsidRPr="00093BA5" w:rsidRDefault="007C6EE4" w:rsidP="007C6EE4">
            <w:r w:rsidRPr="00093BA5">
              <w:t>Od 1. 1. 2014</w:t>
            </w:r>
          </w:p>
        </w:tc>
      </w:tr>
      <w:tr w:rsidR="007C6EE4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6EE4" w:rsidRPr="00093BA5" w:rsidRDefault="007C6EE4" w:rsidP="007C6EE4">
            <w:pPr>
              <w:rPr>
                <w:b/>
              </w:rPr>
            </w:pPr>
            <w:r w:rsidRPr="00093BA5">
              <w:rPr>
                <w:b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76B4" w:rsidRPr="00093BA5" w:rsidRDefault="006676B4" w:rsidP="007C6EE4"/>
          <w:p w:rsidR="006676B4" w:rsidRPr="00093BA5" w:rsidRDefault="00637609" w:rsidP="007C6EE4">
            <w:r w:rsidRPr="00093BA5">
              <w:t xml:space="preserve">Do 30. </w:t>
            </w:r>
            <w:r w:rsidR="00323FA5" w:rsidRPr="00093BA5">
              <w:t>5</w:t>
            </w:r>
            <w:r w:rsidR="00742DAB">
              <w:t>. 2019</w:t>
            </w:r>
          </w:p>
          <w:p w:rsidR="006676B4" w:rsidRPr="00093BA5" w:rsidRDefault="006676B4" w:rsidP="007C6EE4"/>
          <w:p w:rsidR="003D1B06" w:rsidRPr="00093BA5" w:rsidRDefault="003D1B06" w:rsidP="003D1B06">
            <w:pPr>
              <w:jc w:val="both"/>
            </w:pPr>
            <w:r w:rsidRPr="00093BA5">
              <w:t>Realizace projektu nesmí být ukončena před podáním žádosti o podporu.</w:t>
            </w:r>
          </w:p>
          <w:p w:rsidR="00C85934" w:rsidRPr="00093BA5" w:rsidRDefault="00C85934" w:rsidP="007C6EE4"/>
        </w:tc>
      </w:tr>
    </w:tbl>
    <w:p w:rsidR="00D5002E" w:rsidRPr="00093BA5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093BA5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jc w:val="center"/>
              <w:rPr>
                <w:b/>
              </w:rPr>
            </w:pPr>
            <w:r w:rsidRPr="00093BA5">
              <w:rPr>
                <w:b/>
              </w:rPr>
              <w:t>Podpora</w:t>
            </w:r>
          </w:p>
        </w:tc>
      </w:tr>
      <w:tr w:rsidR="00816037" w:rsidRPr="00093BA5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093BA5" w:rsidRDefault="00816037" w:rsidP="00816037">
            <w:pPr>
              <w:rPr>
                <w:b/>
              </w:rPr>
            </w:pPr>
            <w:r w:rsidRPr="00093BA5">
              <w:rPr>
                <w:b/>
              </w:rPr>
              <w:t xml:space="preserve">Celková částka dotace z EFRR a SR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5668" w:rsidRPr="00093BA5" w:rsidRDefault="00635668" w:rsidP="00635668"/>
          <w:p w:rsidR="00635668" w:rsidRPr="00093BA5" w:rsidRDefault="00635668" w:rsidP="00635668">
            <w:r w:rsidRPr="00093BA5">
              <w:t>Evropský fond pro regionální rozvoj – 1 200 000 000 Kč,</w:t>
            </w:r>
          </w:p>
          <w:p w:rsidR="00635668" w:rsidRPr="00093BA5" w:rsidRDefault="00635668" w:rsidP="00635668">
            <w:r w:rsidRPr="00093BA5">
              <w:t>státní rozpočet – max. 211 764 706 Kč.</w:t>
            </w:r>
          </w:p>
          <w:p w:rsidR="00816037" w:rsidRPr="00093BA5" w:rsidRDefault="00816037" w:rsidP="00816037"/>
        </w:tc>
      </w:tr>
      <w:tr w:rsidR="00816037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093BA5" w:rsidRDefault="00816037" w:rsidP="00816037">
            <w:pPr>
              <w:rPr>
                <w:b/>
              </w:rPr>
            </w:pPr>
            <w:r w:rsidRPr="00093BA5">
              <w:rPr>
                <w:b/>
              </w:rPr>
              <w:t xml:space="preserve">Míra podpory z EFRR a SR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7D07" w:rsidRPr="00093BA5" w:rsidRDefault="00957D07" w:rsidP="00816037"/>
          <w:p w:rsidR="00635668" w:rsidRPr="00093BA5" w:rsidRDefault="00635668" w:rsidP="00635668">
            <w:r w:rsidRPr="00093BA5">
              <w:t xml:space="preserve">Organizační složky státu, příspěvkové organizace organizačních </w:t>
            </w:r>
            <w:r w:rsidR="00AD3923">
              <w:t>složek státu, státní organizace</w:t>
            </w:r>
            <w:r w:rsidRPr="00093BA5">
              <w:t>:</w:t>
            </w:r>
          </w:p>
          <w:p w:rsidR="00635668" w:rsidRPr="00093BA5" w:rsidRDefault="00635668" w:rsidP="00635668">
            <w:pPr>
              <w:pStyle w:val="Odstavecseseznamem"/>
              <w:numPr>
                <w:ilvl w:val="0"/>
                <w:numId w:val="13"/>
              </w:numPr>
            </w:pPr>
            <w:r w:rsidRPr="00093BA5">
              <w:t xml:space="preserve">80, 863 % Evropský fond pro regionální rozvoj; </w:t>
            </w:r>
          </w:p>
          <w:p w:rsidR="00635668" w:rsidRPr="00093BA5" w:rsidRDefault="00635668" w:rsidP="00635668">
            <w:pPr>
              <w:pStyle w:val="Odstavecseseznamem"/>
              <w:numPr>
                <w:ilvl w:val="0"/>
                <w:numId w:val="13"/>
              </w:numPr>
            </w:pPr>
            <w:r w:rsidRPr="00093BA5">
              <w:t xml:space="preserve">19, 137 % státní rozpočet. </w:t>
            </w:r>
          </w:p>
          <w:p w:rsidR="00635668" w:rsidRPr="00093BA5" w:rsidRDefault="00635668" w:rsidP="00635668"/>
          <w:p w:rsidR="00635668" w:rsidRPr="00093BA5" w:rsidRDefault="00635668" w:rsidP="00635668">
            <w:r w:rsidRPr="00093BA5">
              <w:t>Kraje, organizace zřizované kraji, obce (kromě Prahy a jejích částí), organizace zřizované obcemi (kromě Prahy a jejích částí):</w:t>
            </w:r>
          </w:p>
          <w:p w:rsidR="00635668" w:rsidRPr="00093BA5" w:rsidRDefault="00635668" w:rsidP="00742DAB">
            <w:pPr>
              <w:pStyle w:val="Odstavecseseznamem"/>
              <w:numPr>
                <w:ilvl w:val="0"/>
                <w:numId w:val="14"/>
              </w:numPr>
              <w:ind w:left="459" w:hanging="284"/>
            </w:pPr>
            <w:r w:rsidRPr="00093BA5">
              <w:t xml:space="preserve">85 % Evropský fond pro regionální rozvoj; </w:t>
            </w:r>
          </w:p>
          <w:p w:rsidR="00635668" w:rsidRPr="00093BA5" w:rsidRDefault="00635668" w:rsidP="00742DAB">
            <w:pPr>
              <w:pStyle w:val="Odstavecseseznamem"/>
              <w:numPr>
                <w:ilvl w:val="0"/>
                <w:numId w:val="14"/>
              </w:numPr>
              <w:ind w:left="459" w:hanging="284"/>
            </w:pPr>
            <w:r w:rsidRPr="00093BA5">
              <w:t>5 % státní rozpočet.</w:t>
            </w:r>
          </w:p>
          <w:p w:rsidR="00635668" w:rsidRPr="00093BA5" w:rsidRDefault="00635668" w:rsidP="00635668"/>
          <w:p w:rsidR="00635668" w:rsidRPr="00093BA5" w:rsidRDefault="00635668" w:rsidP="00635668">
            <w:r w:rsidRPr="00093BA5">
              <w:t>Organizace zakládané obcemi (kromě Prahy a jejích částí), organizace zakládané kraji, státní podniky</w:t>
            </w:r>
          </w:p>
          <w:p w:rsidR="00816037" w:rsidRDefault="00635668" w:rsidP="00742DAB">
            <w:pPr>
              <w:pStyle w:val="Odstavecseseznamem"/>
              <w:numPr>
                <w:ilvl w:val="0"/>
                <w:numId w:val="15"/>
              </w:numPr>
              <w:ind w:left="459" w:hanging="284"/>
            </w:pPr>
            <w:r w:rsidRPr="00093BA5">
              <w:t>85 % Evropský fond pro regionální rozvoj.</w:t>
            </w:r>
          </w:p>
          <w:p w:rsidR="00742DAB" w:rsidRDefault="00742DAB" w:rsidP="00742DAB"/>
          <w:p w:rsidR="00742DAB" w:rsidRDefault="00742DAB" w:rsidP="00742DAB">
            <w:r>
              <w:t>Státní podniky</w:t>
            </w:r>
          </w:p>
          <w:p w:rsidR="00742DAB" w:rsidRPr="00093BA5" w:rsidRDefault="00742DAB" w:rsidP="00742DAB">
            <w:pPr>
              <w:pStyle w:val="Odstavecseseznamem"/>
              <w:numPr>
                <w:ilvl w:val="0"/>
                <w:numId w:val="13"/>
              </w:numPr>
              <w:ind w:left="459" w:hanging="284"/>
            </w:pPr>
            <w:r w:rsidRPr="00093BA5">
              <w:t xml:space="preserve">80, 863 % Evropský fond pro regionální rozvoj; </w:t>
            </w:r>
          </w:p>
          <w:p w:rsidR="00742DAB" w:rsidRPr="00093BA5" w:rsidRDefault="00742DAB" w:rsidP="00742DAB">
            <w:pPr>
              <w:pStyle w:val="Odstavecseseznamem"/>
              <w:numPr>
                <w:ilvl w:val="0"/>
                <w:numId w:val="13"/>
              </w:numPr>
              <w:ind w:left="459" w:hanging="284"/>
            </w:pPr>
            <w:r>
              <w:t>0</w:t>
            </w:r>
            <w:r w:rsidRPr="00093BA5">
              <w:t xml:space="preserve"> % státní rozpočet. </w:t>
            </w:r>
          </w:p>
        </w:tc>
      </w:tr>
      <w:tr w:rsidR="00816037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6037" w:rsidRPr="00093BA5" w:rsidRDefault="00816037" w:rsidP="00816037">
            <w:pPr>
              <w:rPr>
                <w:b/>
              </w:rPr>
            </w:pPr>
            <w:r w:rsidRPr="00093BA5">
              <w:rPr>
                <w:b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6037" w:rsidRPr="00093BA5" w:rsidRDefault="00816037" w:rsidP="00816037"/>
          <w:p w:rsidR="003D1B06" w:rsidRPr="00093BA5" w:rsidRDefault="003D1B06" w:rsidP="003D1B06">
            <w:r w:rsidRPr="00093BA5">
              <w:t xml:space="preserve">Minimální výše celkových způsobilých výdajů vč. DPH: </w:t>
            </w:r>
          </w:p>
          <w:p w:rsidR="00816037" w:rsidRPr="00093BA5" w:rsidRDefault="00323FA5" w:rsidP="00816037">
            <w:r w:rsidRPr="00093BA5">
              <w:t>3</w:t>
            </w:r>
            <w:r w:rsidR="000E7D6B" w:rsidRPr="00093BA5">
              <w:t> 000 000 Kč</w:t>
            </w:r>
          </w:p>
          <w:p w:rsidR="00816037" w:rsidRPr="00093BA5" w:rsidRDefault="00816037" w:rsidP="00816037"/>
          <w:p w:rsidR="003D1B06" w:rsidRPr="00093BA5" w:rsidRDefault="003D1B06" w:rsidP="003D1B06">
            <w:r w:rsidRPr="00093BA5">
              <w:t>M</w:t>
            </w:r>
            <w:r w:rsidR="00AD3923">
              <w:t>ax</w:t>
            </w:r>
            <w:r w:rsidRPr="00093BA5">
              <w:t xml:space="preserve">imální výše celkových způsobilých výdajů vč. DPH: </w:t>
            </w:r>
          </w:p>
          <w:p w:rsidR="00816037" w:rsidRPr="00093BA5" w:rsidRDefault="00AD3923" w:rsidP="00816037">
            <w:r>
              <w:t>300</w:t>
            </w:r>
            <w:r w:rsidR="00323FA5" w:rsidRPr="00093BA5">
              <w:t> 000 000</w:t>
            </w:r>
            <w:r w:rsidR="000E7D6B" w:rsidRPr="00093BA5">
              <w:t xml:space="preserve"> Kč</w:t>
            </w:r>
          </w:p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/>
          <w:p w:rsidR="003D1B06" w:rsidRPr="00093BA5" w:rsidRDefault="003D1B06" w:rsidP="003D1B06">
            <w:r w:rsidRPr="00093BA5">
              <w:t>Nezakládá veřejnou podporu ve smyslu článku 107 odst. 1 Smlouvy o fungování Evropské unie.</w:t>
            </w:r>
          </w:p>
          <w:p w:rsidR="003D1B06" w:rsidRPr="00093BA5" w:rsidRDefault="003D1B06" w:rsidP="003D1B06"/>
        </w:tc>
      </w:tr>
      <w:tr w:rsidR="003D1B06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1B06" w:rsidRPr="00093BA5" w:rsidRDefault="003D1B06" w:rsidP="003D1B06">
            <w:pPr>
              <w:rPr>
                <w:b/>
              </w:rPr>
            </w:pPr>
            <w:r w:rsidRPr="00093BA5">
              <w:rPr>
                <w:b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1B06" w:rsidRPr="00093BA5" w:rsidRDefault="003D1B06" w:rsidP="003D1B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3BA5">
              <w:rPr>
                <w:bCs/>
              </w:rPr>
              <w:t>Převod finančních prostředků – ex post financování (pro organizační složky státu a jejich příspěvkové organizace)</w:t>
            </w:r>
          </w:p>
          <w:p w:rsidR="003D1B06" w:rsidRPr="00093BA5" w:rsidRDefault="003D1B06" w:rsidP="003D1B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3BA5">
              <w:rPr>
                <w:bCs/>
              </w:rPr>
              <w:t>Dotace – ex-post financování (pro ostatní příjemce)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>
              <w:rPr>
                <w:b/>
              </w:rPr>
              <w:t>Zacílení podpory</w:t>
            </w:r>
          </w:p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 w:rsidRPr="0026069D">
              <w:rPr>
                <w:b/>
              </w:rPr>
              <w:t xml:space="preserve">Typ podporovaných </w:t>
            </w:r>
            <w:r>
              <w:rPr>
                <w:b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Default="00DE2F3E" w:rsidP="00DE2F3E"/>
          <w:p w:rsidR="003D7248" w:rsidRDefault="00B10ECA" w:rsidP="000208B1">
            <w:r w:rsidRPr="00B10ECA">
              <w:t xml:space="preserve">Zvýšení odolnosti </w:t>
            </w:r>
            <w:r w:rsidR="003D7248">
              <w:t>tzv. významných</w:t>
            </w:r>
            <w:r w:rsidR="00F31972">
              <w:t xml:space="preserve"> informačních systémů</w:t>
            </w:r>
            <w:r w:rsidR="00933775">
              <w:t xml:space="preserve"> a </w:t>
            </w:r>
            <w:r w:rsidR="00E80991">
              <w:t xml:space="preserve">tzv. </w:t>
            </w:r>
            <w:r w:rsidR="00933775">
              <w:t>kritick</w:t>
            </w:r>
            <w:r w:rsidR="00F31972">
              <w:t>é informační infrastruktury</w:t>
            </w:r>
            <w:r w:rsidRPr="00B10ECA">
              <w:t xml:space="preserve"> veřejné správy proti kybernetickým hrozbám</w:t>
            </w:r>
            <w:r w:rsidR="003D7248">
              <w:t>.</w:t>
            </w:r>
          </w:p>
          <w:p w:rsidR="00635668" w:rsidRPr="00FD75FE" w:rsidRDefault="00635668" w:rsidP="000208B1"/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>
              <w:rPr>
                <w:b/>
              </w:rPr>
              <w:t>Úz</w:t>
            </w:r>
            <w:r w:rsidRPr="0026069D">
              <w:rPr>
                <w:b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Default="00DE2F3E" w:rsidP="00DE2F3E"/>
          <w:p w:rsidR="008F207F" w:rsidRDefault="008F207F" w:rsidP="008F207F">
            <w:pPr>
              <w:jc w:val="both"/>
            </w:pPr>
            <w:r>
              <w:t xml:space="preserve">Projekty organizačních složek státu, příspěvkových organizací organizačních složek státu, státních organizací a státních podniků -  území celé ČR včetně území hl. m. Prahy </w:t>
            </w:r>
          </w:p>
          <w:p w:rsidR="008F207F" w:rsidRDefault="008F207F" w:rsidP="008F207F">
            <w:pPr>
              <w:jc w:val="both"/>
            </w:pPr>
          </w:p>
          <w:p w:rsidR="008F207F" w:rsidRDefault="008F207F" w:rsidP="008F207F">
            <w:pPr>
              <w:jc w:val="both"/>
            </w:pPr>
            <w:r>
              <w:t>Projekty krajů a organizací zřizovaných nebo zakládaných kraji - území kraje</w:t>
            </w:r>
          </w:p>
          <w:p w:rsidR="008F207F" w:rsidRDefault="008F207F" w:rsidP="008F207F">
            <w:pPr>
              <w:jc w:val="both"/>
            </w:pPr>
          </w:p>
          <w:p w:rsidR="008F207F" w:rsidRDefault="008F207F" w:rsidP="008F207F">
            <w:pPr>
              <w:jc w:val="both"/>
            </w:pPr>
            <w:r>
              <w:t>Projekty obcí a organizací zřizovaných nebo zakládaných obcemi -  území obce</w:t>
            </w:r>
          </w:p>
          <w:p w:rsidR="00056BB8" w:rsidRPr="00FD75FE" w:rsidRDefault="00056BB8" w:rsidP="00766905"/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>
              <w:rPr>
                <w:b/>
              </w:rPr>
              <w:lastRenderedPageBreak/>
              <w:t>Oprávnění ž</w:t>
            </w:r>
            <w:r w:rsidRPr="0026069D">
              <w:rPr>
                <w:b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DAB" w:rsidRDefault="00742DAB" w:rsidP="008F207F">
            <w:pPr>
              <w:jc w:val="both"/>
            </w:pPr>
          </w:p>
          <w:p w:rsidR="008F207F" w:rsidRDefault="008F207F" w:rsidP="008F207F">
            <w:pPr>
              <w:jc w:val="both"/>
            </w:pPr>
            <w:bookmarkStart w:id="0" w:name="_GoBack"/>
            <w:bookmarkEnd w:id="0"/>
            <w:r>
              <w:t xml:space="preserve">Organizační složky státu, příspěvkové organizace organizačních složek státu, státní organizace a státní podniky. </w:t>
            </w:r>
          </w:p>
          <w:p w:rsidR="008F207F" w:rsidRDefault="008F207F" w:rsidP="008F207F">
            <w:pPr>
              <w:jc w:val="both"/>
            </w:pPr>
          </w:p>
          <w:p w:rsidR="00056BB8" w:rsidRDefault="008F207F" w:rsidP="008F207F">
            <w:r>
              <w:t>Kraje, organizace zřizované nebo zakládané kraji, obce (</w:t>
            </w:r>
            <w:r w:rsidRPr="0029416A">
              <w:t>kromě Prahy a jejích částí)</w:t>
            </w:r>
            <w:r>
              <w:t xml:space="preserve">, organizace zřizované nebo zakládané obcemi </w:t>
            </w:r>
            <w:r w:rsidRPr="008F207F">
              <w:t>(kromě Prahy a jejích částí)</w:t>
            </w:r>
            <w:r>
              <w:t>.</w:t>
            </w:r>
          </w:p>
          <w:p w:rsidR="00DE2F3E" w:rsidRPr="00FD75FE" w:rsidRDefault="00056BB8" w:rsidP="00056BB8">
            <w:r>
              <w:t xml:space="preserve"> </w:t>
            </w:r>
          </w:p>
        </w:tc>
      </w:tr>
      <w:tr w:rsidR="00DE2F3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26069D" w:rsidRDefault="00DE2F3E" w:rsidP="00DE2F3E">
            <w:pPr>
              <w:rPr>
                <w:b/>
              </w:rPr>
            </w:pPr>
            <w:r w:rsidRPr="00FD75FE">
              <w:rPr>
                <w:b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E" w:rsidRDefault="00DE2F3E" w:rsidP="00DE2F3E"/>
          <w:p w:rsidR="00DE2F3E" w:rsidRDefault="00304E34" w:rsidP="00DE2F3E">
            <w:r>
              <w:t>O</w:t>
            </w:r>
            <w:r w:rsidR="00DE2F3E">
              <w:t xml:space="preserve">bčané, podnikatelé, </w:t>
            </w:r>
            <w:r>
              <w:t>zaměstnanci ve veřejné správě</w:t>
            </w:r>
          </w:p>
          <w:p w:rsidR="00DE2F3E" w:rsidRPr="00FD75FE" w:rsidRDefault="00DE2F3E" w:rsidP="00DE2F3E"/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 w:rsidRPr="00FD75FE">
              <w:rPr>
                <w:b/>
              </w:rPr>
              <w:t>Věcné zaměření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rPr>
                <w:b/>
              </w:rPr>
            </w:pPr>
            <w:r>
              <w:rPr>
                <w:b/>
              </w:rPr>
              <w:t>P</w:t>
            </w:r>
            <w:r w:rsidRPr="00FD75FE">
              <w:rPr>
                <w:b/>
              </w:rPr>
              <w:t>odporovan</w:t>
            </w:r>
            <w:r>
              <w:rPr>
                <w:b/>
              </w:rPr>
              <w:t>é</w:t>
            </w:r>
            <w:r w:rsidRPr="00FD75FE">
              <w:rPr>
                <w:b/>
              </w:rPr>
              <w:t xml:space="preserve"> aktivit</w:t>
            </w:r>
            <w:r>
              <w:rPr>
                <w:b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1C61B1" w:rsidP="001C61B1">
            <w:r>
              <w:t>Podporovanými aktivitami jsou následující technická opatření: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fyzická bezpečnost,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ochranu integrity komunikačních sítí,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ověřování identity uživatelů,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řízení přístupových oprávnění,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ochranu před škodlivým kódem,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zaznamenávání činnosti kritické informační infrastruktury a významných informačních systémů, jejich uživatelů a administrátorů,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detekci kybernetických bezpečnostních událostí,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sběr a vyhodnocení kybernetických bezpečnostních událostí,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aplikační bezpečnost,</w:t>
            </w:r>
          </w:p>
          <w:p w:rsidR="001C61B1" w:rsidRPr="008F207F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 w:rsidRPr="008F207F">
              <w:t>kryptografické prostředky,</w:t>
            </w:r>
            <w:r w:rsidR="008F207F" w:rsidRPr="008F207F">
              <w:t xml:space="preserve"> které nejsou určeny k ochraně utajovaných skutečností</w:t>
            </w:r>
          </w:p>
          <w:p w:rsidR="001C61B1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nástroj pro zajišťování úrovně dostupnosti informací a</w:t>
            </w:r>
          </w:p>
          <w:p w:rsidR="001C61B1" w:rsidRPr="00FD75FE" w:rsidRDefault="001C61B1" w:rsidP="00742DAB">
            <w:pPr>
              <w:pStyle w:val="Odstavecseseznamem"/>
              <w:numPr>
                <w:ilvl w:val="0"/>
                <w:numId w:val="16"/>
              </w:numPr>
              <w:ind w:left="459" w:hanging="284"/>
            </w:pPr>
            <w:r>
              <w:t>bezpečnost průmyslových a řídicích systémů.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874ED5" w:rsidP="001B7A36">
            <w:pPr>
              <w:rPr>
                <w:b/>
              </w:rPr>
            </w:pPr>
            <w:r>
              <w:rPr>
                <w:b/>
              </w:rPr>
              <w:t>I</w:t>
            </w:r>
            <w:r w:rsidR="00D5002E" w:rsidRPr="00FD75FE">
              <w:rPr>
                <w:b/>
              </w:rPr>
              <w:t>ndikátor</w:t>
            </w:r>
            <w:r w:rsidR="00D5002E">
              <w:rPr>
                <w:b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6037" w:rsidRDefault="00816037" w:rsidP="00816037"/>
          <w:p w:rsidR="006E4600" w:rsidRPr="00FD75FE" w:rsidRDefault="001C61B1" w:rsidP="003A0364">
            <w:r w:rsidRPr="001C61B1">
              <w:t>3 04 00 -  Nové nebo modernizované prvky k zajištění standardů kybernetické bezpečnosti</w:t>
            </w:r>
          </w:p>
        </w:tc>
      </w:tr>
    </w:tbl>
    <w:p w:rsidR="00FD06D7" w:rsidRPr="00FD75FE" w:rsidRDefault="00FD06D7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 w:rsidRPr="00FD75FE">
              <w:rPr>
                <w:b/>
              </w:rPr>
              <w:t>Náležitosti žádosti o podporu</w:t>
            </w:r>
          </w:p>
        </w:tc>
      </w:tr>
      <w:tr w:rsidR="00D5002E" w:rsidRPr="00FD75FE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rPr>
                <w:b/>
              </w:rPr>
            </w:pPr>
            <w:r w:rsidRPr="00FD75FE">
              <w:rPr>
                <w:b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Plná moc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ind w:left="459" w:hanging="284"/>
            </w:pPr>
            <w:r w:rsidRPr="00742DAB">
              <w:t>Dokumentace k uskutečněným zadávacím a výběrovým řízením</w:t>
            </w:r>
          </w:p>
          <w:p w:rsidR="00564380" w:rsidRPr="00742DAB" w:rsidRDefault="00564380" w:rsidP="00742DAB">
            <w:pPr>
              <w:pStyle w:val="Odstavecseseznamem"/>
              <w:numPr>
                <w:ilvl w:val="0"/>
                <w:numId w:val="17"/>
              </w:numPr>
              <w:ind w:left="459" w:hanging="284"/>
            </w:pPr>
            <w:r w:rsidRPr="00742DAB">
              <w:t>Doklad o stanovení významného informačního systému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ind w:left="459" w:hanging="284"/>
            </w:pPr>
            <w:r w:rsidRPr="00742DAB">
              <w:t xml:space="preserve">Souhlasné Stanovisko hlavního architekta eGovernmentu 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ind w:left="459" w:hanging="284"/>
            </w:pPr>
            <w:r w:rsidRPr="00742DAB">
              <w:t xml:space="preserve">Souhlasné stanovisko </w:t>
            </w:r>
            <w:r w:rsidR="00742DAB" w:rsidRPr="00742DAB">
              <w:t>Národního bezpečnostního úřadu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Studie proveditelnosti</w:t>
            </w:r>
          </w:p>
          <w:p w:rsidR="00E661CF" w:rsidRPr="00742DAB" w:rsidRDefault="00E661CF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rPr>
                <w:rFonts w:cs="Arial"/>
              </w:rPr>
              <w:t>Rekapitulace technických opatření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Seznam objednávek – přímých nákupů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Průzkum trhu</w:t>
            </w:r>
          </w:p>
          <w:p w:rsidR="00742DAB" w:rsidRPr="00742DAB" w:rsidRDefault="00742DAB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Doklady k právní subjektivitě žadatele</w:t>
            </w:r>
          </w:p>
          <w:p w:rsidR="00F518FC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</w:pPr>
            <w:r w:rsidRPr="00742DAB">
              <w:t>Výpis z rejstříku trestů</w:t>
            </w:r>
          </w:p>
          <w:p w:rsidR="00D5002E" w:rsidRPr="00742DAB" w:rsidRDefault="00F518FC" w:rsidP="00742DAB">
            <w:pPr>
              <w:pStyle w:val="Odstavecseseznamem"/>
              <w:numPr>
                <w:ilvl w:val="0"/>
                <w:numId w:val="17"/>
              </w:numPr>
              <w:suppressAutoHyphens/>
              <w:spacing w:after="200"/>
              <w:ind w:left="459" w:hanging="284"/>
              <w:rPr>
                <w:b/>
              </w:rPr>
            </w:pPr>
            <w:r w:rsidRPr="00742DAB">
              <w:t>Výpočet čistých jiných finančních příjmů</w:t>
            </w:r>
          </w:p>
        </w:tc>
      </w:tr>
    </w:tbl>
    <w:p w:rsidR="00FD06D7" w:rsidRPr="00FD75FE" w:rsidRDefault="00FD06D7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3A0364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B75AE4">
              <w:rPr>
                <w:b/>
              </w:rPr>
              <w:t>působil</w:t>
            </w:r>
            <w:r>
              <w:rPr>
                <w:b/>
              </w:rPr>
              <w:t>é</w:t>
            </w:r>
            <w:r w:rsidRPr="00B75AE4">
              <w:rPr>
                <w:b/>
              </w:rPr>
              <w:t xml:space="preserve"> výdaj</w:t>
            </w:r>
            <w:r>
              <w:rPr>
                <w:b/>
              </w:rPr>
              <w:t>e</w:t>
            </w:r>
          </w:p>
        </w:tc>
      </w:tr>
      <w:tr w:rsidR="00D5002E" w:rsidRPr="00093BA5" w:rsidTr="003A036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7F07" w:rsidRPr="00093BA5" w:rsidRDefault="00307F07" w:rsidP="00307F07"/>
          <w:p w:rsidR="00D5002E" w:rsidRPr="00093BA5" w:rsidRDefault="008F207F" w:rsidP="008F207F">
            <w:r w:rsidRPr="00093BA5">
              <w:t>Viz kapitola 10 Obecných pravidel a kapitola 2.6 Specifických pravidel této výzvy.</w:t>
            </w:r>
            <w:r w:rsidR="009422C3" w:rsidRPr="00093BA5">
              <w:t xml:space="preserve"> </w:t>
            </w:r>
          </w:p>
          <w:p w:rsidR="00307F07" w:rsidRPr="00093BA5" w:rsidRDefault="00307F07" w:rsidP="00307F07"/>
        </w:tc>
      </w:tr>
      <w:tr w:rsidR="00D5002E" w:rsidRPr="00093BA5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rPr>
                <w:b/>
              </w:rPr>
            </w:pPr>
            <w:r w:rsidRPr="00093BA5">
              <w:rPr>
                <w:b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093BA5" w:rsidRDefault="006839E7" w:rsidP="006839E7">
            <w:r w:rsidRPr="00093BA5">
              <w:t xml:space="preserve">1. </w:t>
            </w:r>
            <w:r w:rsidR="00816037" w:rsidRPr="00093BA5">
              <w:t xml:space="preserve">1. 2014 - </w:t>
            </w:r>
            <w:r w:rsidR="006E4600" w:rsidRPr="00093BA5">
              <w:t xml:space="preserve">30. </w:t>
            </w:r>
            <w:r w:rsidR="00487D96" w:rsidRPr="00093BA5">
              <w:t>5</w:t>
            </w:r>
            <w:r w:rsidR="00816037" w:rsidRPr="00093BA5">
              <w:t>. 2019</w:t>
            </w:r>
          </w:p>
        </w:tc>
      </w:tr>
      <w:tr w:rsidR="00440F7A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093BA5" w:rsidRDefault="00440F7A" w:rsidP="003A0364">
            <w:pPr>
              <w:rPr>
                <w:b/>
              </w:rPr>
            </w:pPr>
            <w:r w:rsidRPr="00093BA5">
              <w:rPr>
                <w:b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093BA5" w:rsidRDefault="00440F7A" w:rsidP="003A0364">
            <w:r w:rsidRPr="00093BA5">
              <w:t>Křížové financování není možné</w:t>
            </w:r>
          </w:p>
        </w:tc>
      </w:tr>
    </w:tbl>
    <w:p w:rsidR="00D5002E" w:rsidRPr="00093BA5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093BA5" w:rsidTr="003A036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93BA5" w:rsidRDefault="00D5002E" w:rsidP="003A0364">
            <w:pPr>
              <w:jc w:val="center"/>
              <w:rPr>
                <w:b/>
              </w:rPr>
            </w:pPr>
            <w:r w:rsidRPr="00093BA5">
              <w:rPr>
                <w:b/>
              </w:rPr>
              <w:t>Další detaily výzvy</w:t>
            </w:r>
          </w:p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2F3E" w:rsidRPr="00093BA5" w:rsidRDefault="00DE2F3E" w:rsidP="00DE2F3E"/>
          <w:p w:rsidR="00F518FC" w:rsidRPr="00093BA5" w:rsidRDefault="00F518FC" w:rsidP="00F518FC">
            <w:r w:rsidRPr="00093BA5"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10" w:history="1">
              <w:r w:rsidRPr="00093BA5">
                <w:rPr>
                  <w:rStyle w:val="Hypertextovodkaz"/>
                </w:rPr>
                <w:t>http://www.dotaceEu.cz</w:t>
              </w:r>
            </w:hyperlink>
            <w:r w:rsidRPr="00093BA5">
              <w:rPr>
                <w:rStyle w:val="Hypertextovodkaz"/>
              </w:rPr>
              <w:t>/cs/Microsites/IROP/Vyzvy-v-IROP</w:t>
            </w:r>
            <w:r w:rsidRPr="00093BA5">
              <w:t xml:space="preserve"> .</w:t>
            </w:r>
          </w:p>
          <w:p w:rsidR="00F518FC" w:rsidRPr="00093BA5" w:rsidRDefault="00F518FC" w:rsidP="00F518FC">
            <w:pPr>
              <w:jc w:val="both"/>
            </w:pPr>
          </w:p>
          <w:p w:rsidR="00F518FC" w:rsidRPr="00093BA5" w:rsidRDefault="00F518FC" w:rsidP="00F518FC">
            <w:pPr>
              <w:jc w:val="both"/>
            </w:pPr>
            <w:r w:rsidRPr="00093BA5">
              <w:t>Podmínky pro případnou změnu výzvy jsou uvedeny v kapitole 2.2 Obecných pravidel. Změny ve výzvě se nevztahují na žádosti o podporu, které již žadatelé podali.</w:t>
            </w:r>
          </w:p>
          <w:p w:rsidR="00DE2F3E" w:rsidRPr="00093BA5" w:rsidRDefault="00DE2F3E" w:rsidP="004876C4">
            <w:pPr>
              <w:jc w:val="both"/>
            </w:pPr>
          </w:p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07F" w:rsidRPr="00093BA5" w:rsidRDefault="008F207F" w:rsidP="008F207F"/>
          <w:p w:rsidR="00F518FC" w:rsidRPr="00093BA5" w:rsidRDefault="00F518FC" w:rsidP="00F518FC">
            <w:r w:rsidRPr="00093BA5">
              <w:t>Projekty nemohou vytvářet příjmy podle čl. 61 Obecného nařízení. Projekty mohou generovat příjmy mimo čl. 61 Obecného nařízení (tzv. jiné peněžní příjmy).</w:t>
            </w:r>
          </w:p>
          <w:p w:rsidR="00DE2F3E" w:rsidRPr="00093BA5" w:rsidRDefault="00DE2F3E" w:rsidP="00DE2F3E"/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Forma a způsob podání projektové žádosti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07F" w:rsidRPr="00093BA5" w:rsidRDefault="008F207F" w:rsidP="008F207F"/>
          <w:p w:rsidR="008F207F" w:rsidRPr="00093BA5" w:rsidRDefault="008F207F" w:rsidP="008F207F">
            <w:pPr>
              <w:rPr>
                <w:rStyle w:val="Hypertextovodkaz"/>
              </w:rPr>
            </w:pPr>
            <w:r w:rsidRPr="00093BA5">
              <w:t xml:space="preserve">Elektronické podání prostřednictvím MS2014+ na adrese </w:t>
            </w:r>
            <w:r w:rsidRPr="00093BA5">
              <w:rPr>
                <w:rStyle w:val="Hypertextovodkaz"/>
              </w:rPr>
              <w:t xml:space="preserve"> </w:t>
            </w:r>
            <w:hyperlink r:id="rId11" w:history="1">
              <w:r w:rsidRPr="00093BA5">
                <w:rPr>
                  <w:rStyle w:val="Hypertextovodkaz"/>
                </w:rPr>
                <w:t>https://mseu.mssf.cz</w:t>
              </w:r>
            </w:hyperlink>
          </w:p>
          <w:p w:rsidR="009C0EDE" w:rsidRPr="00093BA5" w:rsidRDefault="009C0EDE" w:rsidP="00DE2F3E"/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 xml:space="preserve">Odkaz na </w:t>
            </w:r>
            <w:r w:rsidR="00B512E0" w:rsidRPr="00093BA5">
              <w:rPr>
                <w:b/>
              </w:rPr>
              <w:t>Specifická p</w:t>
            </w:r>
            <w:r w:rsidRPr="00093BA5">
              <w:rPr>
                <w:b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07F" w:rsidRPr="00093BA5" w:rsidRDefault="008F207F" w:rsidP="008F207F"/>
          <w:p w:rsidR="008F207F" w:rsidRPr="00093BA5" w:rsidRDefault="00742DAB" w:rsidP="008F207F">
            <w:pPr>
              <w:rPr>
                <w:rStyle w:val="Hypertextovodkaz"/>
              </w:rPr>
            </w:pPr>
            <w:hyperlink r:id="rId12" w:history="1">
              <w:r w:rsidR="008F207F" w:rsidRPr="00093BA5">
                <w:rPr>
                  <w:rStyle w:val="Hypertextovodkaz"/>
                </w:rPr>
                <w:t>http://www.dotaceEu.cz/cs/Microsites/IROP/Vyzvy-v-IROP</w:t>
              </w:r>
            </w:hyperlink>
          </w:p>
          <w:p w:rsidR="00DE2F3E" w:rsidRPr="00093BA5" w:rsidRDefault="00DE2F3E" w:rsidP="00572810"/>
        </w:tc>
      </w:tr>
      <w:tr w:rsidR="00DE2F3E" w:rsidRPr="00093BA5" w:rsidTr="003A036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2F3E" w:rsidRPr="00093BA5" w:rsidRDefault="00DE2F3E" w:rsidP="00DE2F3E">
            <w:pPr>
              <w:rPr>
                <w:b/>
              </w:rPr>
            </w:pPr>
            <w:r w:rsidRPr="00093BA5">
              <w:rPr>
                <w:b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E" w:rsidRPr="00093BA5" w:rsidRDefault="00DE2F3E" w:rsidP="00DE2F3E">
            <w:pPr>
              <w:rPr>
                <w:color w:val="FF0000"/>
              </w:rPr>
            </w:pPr>
          </w:p>
          <w:p w:rsidR="008F207F" w:rsidRPr="00093BA5" w:rsidRDefault="008F207F" w:rsidP="008F207F">
            <w:pPr>
              <w:jc w:val="both"/>
              <w:rPr>
                <w:rStyle w:val="Hypertextovodkaz"/>
              </w:rPr>
            </w:pPr>
            <w:r w:rsidRPr="00093BA5">
              <w:rPr>
                <w:color w:val="000000" w:themeColor="text1"/>
              </w:rPr>
              <w:t>Centrum pro regionální rozvoj České republiky</w:t>
            </w:r>
            <w:r w:rsidRPr="00093BA5">
              <w:t xml:space="preserve"> –</w:t>
            </w:r>
            <w:r w:rsidRPr="00093BA5">
              <w:br/>
              <w:t xml:space="preserve">viz kapitola 3 Specifických pravidel; kontakty na krajská oddělení jsou zveřejněny na adrese </w:t>
            </w:r>
            <w:hyperlink r:id="rId13" w:history="1">
              <w:r w:rsidRPr="00093BA5">
                <w:rPr>
                  <w:rStyle w:val="Hypertextovodkaz"/>
                </w:rPr>
                <w:t>http://</w:t>
              </w:r>
              <w:hyperlink r:id="rId14" w:history="1">
                <w:r w:rsidRPr="00093BA5">
                  <w:rPr>
                    <w:rStyle w:val="Hypertextovodkaz"/>
                    <w:szCs w:val="20"/>
                  </w:rPr>
                  <w:t>www.crr.cz/cs/crr/kontakty-iop-irop</w:t>
                </w:r>
              </w:hyperlink>
            </w:hyperlink>
          </w:p>
          <w:p w:rsidR="008F207F" w:rsidRPr="00093BA5" w:rsidRDefault="008F207F" w:rsidP="008F207F">
            <w:pPr>
              <w:jc w:val="both"/>
              <w:rPr>
                <w:rStyle w:val="Hypertextovodkaz"/>
              </w:rPr>
            </w:pPr>
            <w:r w:rsidRPr="00093BA5">
              <w:rPr>
                <w:color w:val="000000" w:themeColor="text1"/>
              </w:rPr>
              <w:t>nebo</w:t>
            </w:r>
          </w:p>
          <w:p w:rsidR="008F207F" w:rsidRPr="00093BA5" w:rsidRDefault="00742DAB" w:rsidP="008F207F">
            <w:pPr>
              <w:jc w:val="both"/>
            </w:pPr>
            <w:hyperlink r:id="rId15" w:history="1">
              <w:r w:rsidR="008F207F" w:rsidRPr="00093BA5">
                <w:rPr>
                  <w:rStyle w:val="Hypertextovodkaz"/>
                </w:rPr>
                <w:t>http://www.dotaceEu.cz</w:t>
              </w:r>
            </w:hyperlink>
            <w:r w:rsidR="008F207F" w:rsidRPr="00093BA5">
              <w:rPr>
                <w:rStyle w:val="Hypertextovodkaz"/>
              </w:rPr>
              <w:t>/irop</w:t>
            </w:r>
          </w:p>
          <w:p w:rsidR="00A817E2" w:rsidRPr="00093BA5" w:rsidRDefault="00A817E2" w:rsidP="00EA3F9F"/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E0062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A2" w:rsidRDefault="00CA60A2" w:rsidP="005F14C0">
      <w:r>
        <w:separator/>
      </w:r>
    </w:p>
  </w:endnote>
  <w:endnote w:type="continuationSeparator" w:id="0">
    <w:p w:rsidR="00CA60A2" w:rsidRDefault="00CA60A2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50825"/>
      <w:docPartObj>
        <w:docPartGallery w:val="Page Numbers (Bottom of Page)"/>
        <w:docPartUnique/>
      </w:docPartObj>
    </w:sdtPr>
    <w:sdtEndPr/>
    <w:sdtContent>
      <w:p w:rsidR="00EB700C" w:rsidRDefault="00EB70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AB">
          <w:rPr>
            <w:noProof/>
          </w:rPr>
          <w:t>4</w:t>
        </w:r>
        <w:r>
          <w:fldChar w:fldCharType="end"/>
        </w:r>
      </w:p>
    </w:sdtContent>
  </w:sdt>
  <w:p w:rsidR="00EB700C" w:rsidRDefault="00EB70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0204"/>
      <w:docPartObj>
        <w:docPartGallery w:val="Page Numbers (Bottom of Page)"/>
        <w:docPartUnique/>
      </w:docPartObj>
    </w:sdtPr>
    <w:sdtEndPr/>
    <w:sdtContent>
      <w:p w:rsidR="00EB700C" w:rsidRDefault="00EB70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AB">
          <w:rPr>
            <w:noProof/>
          </w:rPr>
          <w:t>1</w:t>
        </w:r>
        <w:r>
          <w:fldChar w:fldCharType="end"/>
        </w:r>
      </w:p>
    </w:sdtContent>
  </w:sdt>
  <w:p w:rsidR="00EB700C" w:rsidRDefault="00EB7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A2" w:rsidRDefault="00CA60A2" w:rsidP="005F14C0">
      <w:r>
        <w:separator/>
      </w:r>
    </w:p>
  </w:footnote>
  <w:footnote w:type="continuationSeparator" w:id="0">
    <w:p w:rsidR="00CA60A2" w:rsidRDefault="00CA60A2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9" w:rsidRDefault="00C85934" w:rsidP="00DC1C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02AB7657" wp14:editId="06E78AFA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1" w:rsidRPr="00C85934" w:rsidRDefault="00C85934" w:rsidP="00C8593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BCB421B" wp14:editId="3FB3F9DD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84"/>
    <w:multiLevelType w:val="hybridMultilevel"/>
    <w:tmpl w:val="8A2E7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9AA"/>
    <w:multiLevelType w:val="hybridMultilevel"/>
    <w:tmpl w:val="A8066540"/>
    <w:lvl w:ilvl="0" w:tplc="BB648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640"/>
    <w:multiLevelType w:val="hybridMultilevel"/>
    <w:tmpl w:val="DF4A9A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82604F"/>
    <w:multiLevelType w:val="hybridMultilevel"/>
    <w:tmpl w:val="0F18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5470"/>
    <w:multiLevelType w:val="hybridMultilevel"/>
    <w:tmpl w:val="38941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27CB2"/>
    <w:multiLevelType w:val="hybridMultilevel"/>
    <w:tmpl w:val="F9E09692"/>
    <w:lvl w:ilvl="0" w:tplc="0ABEA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2527"/>
    <w:multiLevelType w:val="hybridMultilevel"/>
    <w:tmpl w:val="E09C7C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C20B66"/>
    <w:multiLevelType w:val="hybridMultilevel"/>
    <w:tmpl w:val="098A2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326EE"/>
    <w:multiLevelType w:val="hybridMultilevel"/>
    <w:tmpl w:val="FDC06B50"/>
    <w:lvl w:ilvl="0" w:tplc="5336B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781B"/>
    <w:multiLevelType w:val="hybridMultilevel"/>
    <w:tmpl w:val="DA96447C"/>
    <w:lvl w:ilvl="0" w:tplc="CCEA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758A"/>
    <w:multiLevelType w:val="hybridMultilevel"/>
    <w:tmpl w:val="0C7A1530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A52E8"/>
    <w:multiLevelType w:val="hybridMultilevel"/>
    <w:tmpl w:val="DFF2D1BA"/>
    <w:lvl w:ilvl="0" w:tplc="6D12B1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4916"/>
    <w:multiLevelType w:val="hybridMultilevel"/>
    <w:tmpl w:val="E2AE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44DA8"/>
    <w:multiLevelType w:val="hybridMultilevel"/>
    <w:tmpl w:val="7618D70E"/>
    <w:lvl w:ilvl="0" w:tplc="C6C04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C1039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F1DBA"/>
    <w:multiLevelType w:val="hybridMultilevel"/>
    <w:tmpl w:val="25D00A2A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64BDB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00C4"/>
    <w:rsid w:val="00000C3F"/>
    <w:rsid w:val="000208B1"/>
    <w:rsid w:val="000306D9"/>
    <w:rsid w:val="00036391"/>
    <w:rsid w:val="00052A20"/>
    <w:rsid w:val="00056BB8"/>
    <w:rsid w:val="00093BA5"/>
    <w:rsid w:val="000A59E7"/>
    <w:rsid w:val="000C5877"/>
    <w:rsid w:val="000D7C5C"/>
    <w:rsid w:val="000E7D6B"/>
    <w:rsid w:val="0010190B"/>
    <w:rsid w:val="0018710B"/>
    <w:rsid w:val="0019590B"/>
    <w:rsid w:val="001A3701"/>
    <w:rsid w:val="001A4EB2"/>
    <w:rsid w:val="001B7A36"/>
    <w:rsid w:val="001C61B1"/>
    <w:rsid w:val="001D4ACF"/>
    <w:rsid w:val="001F4451"/>
    <w:rsid w:val="00243FB9"/>
    <w:rsid w:val="0027300E"/>
    <w:rsid w:val="002733E0"/>
    <w:rsid w:val="002A2D24"/>
    <w:rsid w:val="002A7090"/>
    <w:rsid w:val="002D4F0C"/>
    <w:rsid w:val="002E3E1A"/>
    <w:rsid w:val="00304E34"/>
    <w:rsid w:val="00307F07"/>
    <w:rsid w:val="00323FA5"/>
    <w:rsid w:val="00340E35"/>
    <w:rsid w:val="00375A6E"/>
    <w:rsid w:val="003B75CB"/>
    <w:rsid w:val="003C2DBF"/>
    <w:rsid w:val="003D1B06"/>
    <w:rsid w:val="003D3B25"/>
    <w:rsid w:val="003D7248"/>
    <w:rsid w:val="00400E58"/>
    <w:rsid w:val="004012E0"/>
    <w:rsid w:val="00440F7A"/>
    <w:rsid w:val="004533B6"/>
    <w:rsid w:val="00461095"/>
    <w:rsid w:val="004876C4"/>
    <w:rsid w:val="00487D96"/>
    <w:rsid w:val="004E6835"/>
    <w:rsid w:val="004F5AF9"/>
    <w:rsid w:val="005231A1"/>
    <w:rsid w:val="00525DE1"/>
    <w:rsid w:val="00527059"/>
    <w:rsid w:val="00542C78"/>
    <w:rsid w:val="00564380"/>
    <w:rsid w:val="00565075"/>
    <w:rsid w:val="00572810"/>
    <w:rsid w:val="005A2437"/>
    <w:rsid w:val="005B5574"/>
    <w:rsid w:val="005E372B"/>
    <w:rsid w:val="005F14C0"/>
    <w:rsid w:val="005F5653"/>
    <w:rsid w:val="005F7445"/>
    <w:rsid w:val="0060762C"/>
    <w:rsid w:val="00631432"/>
    <w:rsid w:val="00635668"/>
    <w:rsid w:val="00637609"/>
    <w:rsid w:val="00641767"/>
    <w:rsid w:val="00653FFE"/>
    <w:rsid w:val="00660B0B"/>
    <w:rsid w:val="00664EE2"/>
    <w:rsid w:val="006676B4"/>
    <w:rsid w:val="006839E7"/>
    <w:rsid w:val="00690063"/>
    <w:rsid w:val="00690254"/>
    <w:rsid w:val="006A7E4D"/>
    <w:rsid w:val="006E4600"/>
    <w:rsid w:val="007229F2"/>
    <w:rsid w:val="00733C88"/>
    <w:rsid w:val="00737227"/>
    <w:rsid w:val="00742DAB"/>
    <w:rsid w:val="007442C4"/>
    <w:rsid w:val="00746626"/>
    <w:rsid w:val="00751D7A"/>
    <w:rsid w:val="00753E0B"/>
    <w:rsid w:val="0075675E"/>
    <w:rsid w:val="00766905"/>
    <w:rsid w:val="00792F60"/>
    <w:rsid w:val="007A6B8B"/>
    <w:rsid w:val="007C6EE4"/>
    <w:rsid w:val="007D0B9A"/>
    <w:rsid w:val="007D5619"/>
    <w:rsid w:val="007E5405"/>
    <w:rsid w:val="0080095E"/>
    <w:rsid w:val="00816037"/>
    <w:rsid w:val="00833E0D"/>
    <w:rsid w:val="00861054"/>
    <w:rsid w:val="00874ED5"/>
    <w:rsid w:val="008821A8"/>
    <w:rsid w:val="008B43F0"/>
    <w:rsid w:val="008E281F"/>
    <w:rsid w:val="008F207F"/>
    <w:rsid w:val="00933775"/>
    <w:rsid w:val="009422C3"/>
    <w:rsid w:val="009559E7"/>
    <w:rsid w:val="00957D07"/>
    <w:rsid w:val="0097765E"/>
    <w:rsid w:val="00984428"/>
    <w:rsid w:val="00996C51"/>
    <w:rsid w:val="009A37FC"/>
    <w:rsid w:val="009B5A4A"/>
    <w:rsid w:val="009C0EDE"/>
    <w:rsid w:val="009C1A64"/>
    <w:rsid w:val="009C5767"/>
    <w:rsid w:val="009C5CEB"/>
    <w:rsid w:val="00A2373E"/>
    <w:rsid w:val="00A62845"/>
    <w:rsid w:val="00A673AC"/>
    <w:rsid w:val="00A817E2"/>
    <w:rsid w:val="00A875E4"/>
    <w:rsid w:val="00A94DE2"/>
    <w:rsid w:val="00AD3923"/>
    <w:rsid w:val="00B10ECA"/>
    <w:rsid w:val="00B317DB"/>
    <w:rsid w:val="00B4496D"/>
    <w:rsid w:val="00B44D28"/>
    <w:rsid w:val="00B512E0"/>
    <w:rsid w:val="00B77814"/>
    <w:rsid w:val="00B822A1"/>
    <w:rsid w:val="00B97834"/>
    <w:rsid w:val="00BA0480"/>
    <w:rsid w:val="00BB3B78"/>
    <w:rsid w:val="00BC65A8"/>
    <w:rsid w:val="00BC67BF"/>
    <w:rsid w:val="00BD1F08"/>
    <w:rsid w:val="00BE5066"/>
    <w:rsid w:val="00C00C8E"/>
    <w:rsid w:val="00C0153A"/>
    <w:rsid w:val="00C31376"/>
    <w:rsid w:val="00C803FA"/>
    <w:rsid w:val="00C85934"/>
    <w:rsid w:val="00C8619F"/>
    <w:rsid w:val="00C87063"/>
    <w:rsid w:val="00CA5322"/>
    <w:rsid w:val="00CA60A2"/>
    <w:rsid w:val="00CA6C63"/>
    <w:rsid w:val="00CB7A31"/>
    <w:rsid w:val="00CC349E"/>
    <w:rsid w:val="00CF5E99"/>
    <w:rsid w:val="00D5002E"/>
    <w:rsid w:val="00D514CE"/>
    <w:rsid w:val="00D6133F"/>
    <w:rsid w:val="00D642F0"/>
    <w:rsid w:val="00D84D66"/>
    <w:rsid w:val="00D97E35"/>
    <w:rsid w:val="00DA2B71"/>
    <w:rsid w:val="00DB4B51"/>
    <w:rsid w:val="00DC1C25"/>
    <w:rsid w:val="00DD2264"/>
    <w:rsid w:val="00DE2F3E"/>
    <w:rsid w:val="00DF0B0B"/>
    <w:rsid w:val="00DF55B8"/>
    <w:rsid w:val="00E00623"/>
    <w:rsid w:val="00E40593"/>
    <w:rsid w:val="00E62BD1"/>
    <w:rsid w:val="00E661CF"/>
    <w:rsid w:val="00E80991"/>
    <w:rsid w:val="00E8325B"/>
    <w:rsid w:val="00EA3F9F"/>
    <w:rsid w:val="00EB700C"/>
    <w:rsid w:val="00EF5569"/>
    <w:rsid w:val="00F003D2"/>
    <w:rsid w:val="00F05B12"/>
    <w:rsid w:val="00F31972"/>
    <w:rsid w:val="00F326C9"/>
    <w:rsid w:val="00F46136"/>
    <w:rsid w:val="00F466EB"/>
    <w:rsid w:val="00F46798"/>
    <w:rsid w:val="00F518FC"/>
    <w:rsid w:val="00F55941"/>
    <w:rsid w:val="00F64B94"/>
    <w:rsid w:val="00F7215D"/>
    <w:rsid w:val="00F815DD"/>
    <w:rsid w:val="00FA2873"/>
    <w:rsid w:val="00FA6040"/>
    <w:rsid w:val="00FB6296"/>
    <w:rsid w:val="00FD06D7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2F3E"/>
    <w:rPr>
      <w:color w:val="0000FF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9C0EDE"/>
    <w:pPr>
      <w:ind w:left="720"/>
      <w:contextualSpacing/>
    </w:pPr>
  </w:style>
  <w:style w:type="character" w:customStyle="1" w:styleId="st1">
    <w:name w:val="st1"/>
    <w:basedOn w:val="Standardnpsmoodstavce"/>
    <w:rsid w:val="00BD1F08"/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9559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2F3E"/>
    <w:rPr>
      <w:color w:val="0000FF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9C0EDE"/>
    <w:pPr>
      <w:ind w:left="720"/>
      <w:contextualSpacing/>
    </w:pPr>
  </w:style>
  <w:style w:type="character" w:customStyle="1" w:styleId="st1">
    <w:name w:val="st1"/>
    <w:basedOn w:val="Standardnpsmoodstavce"/>
    <w:rsid w:val="00BD1F08"/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9559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r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eu.mssf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taceEu.cz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file:///C:\Users\fismar\AppData\Local\Microsoft\Windows\Temporary%20Internet%20Files\Content.Outlook\BXEU6H19\www.crr.cz\cs\crr\kontakty-iop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A6FD-6163-4BF6-9E1A-9EB65741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Alice Marciszová</cp:lastModifiedBy>
  <cp:revision>5</cp:revision>
  <cp:lastPrinted>2015-07-21T07:05:00Z</cp:lastPrinted>
  <dcterms:created xsi:type="dcterms:W3CDTF">2015-10-20T10:22:00Z</dcterms:created>
  <dcterms:modified xsi:type="dcterms:W3CDTF">2015-10-21T08:39:00Z</dcterms:modified>
</cp:coreProperties>
</file>