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proofErr w:type="gramStart"/>
      <w:r w:rsidRPr="00D603C1">
        <w:rPr>
          <w:rFonts w:ascii="Arial" w:hAnsi="Arial" w:cs="Arial"/>
          <w:b/>
          <w:caps/>
          <w:sz w:val="40"/>
          <w:szCs w:val="40"/>
        </w:rPr>
        <w:t>technická  pomoc</w:t>
      </w:r>
      <w:proofErr w:type="gramEnd"/>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 xml:space="preserve">Vydání 1/0, platnost </w:t>
      </w:r>
      <w:r>
        <w:rPr>
          <w:b/>
          <w:sz w:val="28"/>
          <w:szCs w:val="28"/>
        </w:rPr>
        <w:t xml:space="preserve">a účinnost </w:t>
      </w:r>
      <w:r w:rsidRPr="00973DDD">
        <w:rPr>
          <w:b/>
          <w:sz w:val="28"/>
          <w:szCs w:val="28"/>
        </w:rPr>
        <w:t xml:space="preserve">od </w:t>
      </w:r>
      <w:r>
        <w:rPr>
          <w:b/>
          <w:sz w:val="28"/>
          <w:szCs w:val="28"/>
        </w:rPr>
        <w:t>1</w:t>
      </w:r>
      <w:r w:rsidRPr="00973DDD">
        <w:rPr>
          <w:b/>
          <w:sz w:val="28"/>
          <w:szCs w:val="28"/>
        </w:rPr>
        <w:t xml:space="preserve">. </w:t>
      </w:r>
      <w:r>
        <w:rPr>
          <w:b/>
          <w:sz w:val="28"/>
          <w:szCs w:val="28"/>
        </w:rPr>
        <w:t>7</w:t>
      </w:r>
      <w:r w:rsidRPr="00973DDD">
        <w:rPr>
          <w:b/>
          <w:sz w:val="28"/>
          <w:szCs w:val="28"/>
        </w:rPr>
        <w:t>. 2015</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w:t>
      </w:r>
      <w:proofErr w:type="gramStart"/>
      <w:r w:rsidR="00D2452D" w:rsidRPr="0028724B">
        <w:rPr>
          <w:bCs/>
        </w:rPr>
        <w:t>č.j.</w:t>
      </w:r>
      <w:proofErr w:type="gramEnd"/>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proofErr w:type="gramStart"/>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Celkové</w:t>
            </w:r>
            <w:proofErr w:type="gramEnd"/>
            <w:r w:rsidRPr="0028724B">
              <w:rPr>
                <w:snapToGrid w:val="0"/>
                <w:sz w:val="24"/>
                <w:szCs w:val="24"/>
              </w:rPr>
              <w:t xml:space="preserve">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 xml:space="preserve">Podíl na celkových </w:t>
            </w:r>
            <w:proofErr w:type="gramStart"/>
            <w:r w:rsidRPr="0028724B">
              <w:rPr>
                <w:b/>
                <w:snapToGrid w:val="0"/>
                <w:sz w:val="24"/>
                <w:szCs w:val="24"/>
              </w:rPr>
              <w:t>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w:t>
            </w:r>
            <w:proofErr w:type="gramEnd"/>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D264F">
        <w:rPr>
          <w:snapToGrid w:val="0"/>
          <w:sz w:val="24"/>
        </w:rPr>
        <w:t xml:space="preserve"> a dále</w:t>
      </w:r>
      <w:r w:rsidR="005C520B">
        <w:rPr>
          <w:snapToGrid w:val="0"/>
          <w:sz w:val="24"/>
        </w:rPr>
        <w:t xml:space="preserve"> </w:t>
      </w:r>
      <w:r w:rsidR="007878F8">
        <w:rPr>
          <w:snapToGrid w:val="0"/>
          <w:sz w:val="24"/>
        </w:rPr>
        <w:t>v souladu s </w:t>
      </w:r>
      <w:r w:rsidR="00495EC0">
        <w:rPr>
          <w:snapToGrid w:val="0"/>
          <w:sz w:val="24"/>
        </w:rPr>
        <w:t xml:space="preserve">Pravidly </w:t>
      </w:r>
      <w:r w:rsidR="007878F8">
        <w:rPr>
          <w:snapToGrid w:val="0"/>
          <w:sz w:val="24"/>
        </w:rPr>
        <w:t>pro žadatele a příjemce v</w:t>
      </w:r>
      <w:r w:rsidR="005C520B">
        <w:rPr>
          <w:snapToGrid w:val="0"/>
          <w:sz w:val="24"/>
        </w:rPr>
        <w:t> </w:t>
      </w:r>
      <w:r w:rsidR="007878F8">
        <w:rPr>
          <w:snapToGrid w:val="0"/>
          <w:sz w:val="24"/>
        </w:rPr>
        <w:t>OPTP</w:t>
      </w:r>
      <w:r w:rsidR="005C520B">
        <w:rPr>
          <w:snapToGrid w:val="0"/>
          <w:sz w:val="24"/>
        </w:rPr>
        <w:t xml:space="preserve"> a Výzvou</w:t>
      </w:r>
      <w:r w:rsidR="007878F8">
        <w:rPr>
          <w:snapToGrid w:val="0"/>
          <w:sz w:val="24"/>
        </w:rPr>
        <w:t>.</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 je příjemce povinen předkládat zprávu</w:t>
      </w:r>
      <w:r w:rsidR="00FD793A">
        <w:rPr>
          <w:snapToGrid w:val="0"/>
          <w:sz w:val="24"/>
        </w:rPr>
        <w:t xml:space="preserve"> o realizaci</w:t>
      </w:r>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zpráva</w:t>
      </w:r>
      <w:r w:rsidR="00FD793A">
        <w:rPr>
          <w:snapToGrid w:val="0"/>
          <w:sz w:val="24"/>
        </w:rPr>
        <w:t xml:space="preserve"> o realizaci</w:t>
      </w:r>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zprávy </w:t>
      </w:r>
      <w:r w:rsidR="001E3D30">
        <w:rPr>
          <w:sz w:val="24"/>
          <w:szCs w:val="24"/>
        </w:rPr>
        <w:t>o realizaci</w:t>
      </w:r>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zprávu</w:t>
      </w:r>
      <w:r w:rsidR="001E3D30">
        <w:rPr>
          <w:snapToGrid w:val="0"/>
          <w:sz w:val="24"/>
        </w:rPr>
        <w:t xml:space="preserve"> o realizaci</w:t>
      </w:r>
      <w:r w:rsidR="001B2EBE">
        <w:rPr>
          <w:snapToGrid w:val="0"/>
          <w:sz w:val="24"/>
        </w:rPr>
        <w:t xml:space="preserve"> projektu</w:t>
      </w:r>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zprávu </w:t>
      </w:r>
      <w:r w:rsidR="001E3D30">
        <w:rPr>
          <w:snapToGrid w:val="0"/>
          <w:sz w:val="24"/>
        </w:rPr>
        <w:t>o realizaci</w:t>
      </w:r>
      <w:r w:rsidR="001B2EBE">
        <w:rPr>
          <w:snapToGrid w:val="0"/>
          <w:sz w:val="24"/>
        </w:rPr>
        <w:t xml:space="preserve"> projektu</w:t>
      </w:r>
      <w:r w:rsidR="001E3D30">
        <w:rPr>
          <w:snapToGrid w:val="0"/>
          <w:sz w:val="24"/>
        </w:rPr>
        <w:t xml:space="preserve"> </w:t>
      </w:r>
      <w:r w:rsidR="005F0933" w:rsidRPr="0028724B">
        <w:rPr>
          <w:snapToGrid w:val="0"/>
          <w:sz w:val="24"/>
        </w:rPr>
        <w:lastRenderedPageBreak/>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r w:rsidR="000D22A3">
        <w:rPr>
          <w:snapToGrid w:val="0"/>
          <w:sz w:val="24"/>
        </w:rPr>
        <w:t>zprávy</w:t>
      </w:r>
      <w:r w:rsidR="001E3D30">
        <w:rPr>
          <w:snapToGrid w:val="0"/>
          <w:sz w:val="24"/>
        </w:rPr>
        <w:t xml:space="preserve"> o realizaci</w:t>
      </w:r>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+/-30 kalendářních dnů s etapovou/závěrečnou zprávou</w:t>
      </w:r>
      <w:r w:rsidR="001E3D30">
        <w:rPr>
          <w:snapToGrid w:val="0"/>
          <w:sz w:val="24"/>
        </w:rPr>
        <w:t xml:space="preserve"> o realizaci</w:t>
      </w:r>
      <w:r w:rsidR="005F0933" w:rsidRPr="0028724B">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zprávu</w:t>
      </w:r>
      <w:r w:rsidR="001E3D30">
        <w:rPr>
          <w:snapToGrid w:val="0"/>
          <w:sz w:val="24"/>
        </w:rPr>
        <w:t xml:space="preserve"> o realizaci</w:t>
      </w:r>
      <w:r w:rsidR="001B2EBE">
        <w:rPr>
          <w:snapToGrid w:val="0"/>
          <w:sz w:val="24"/>
        </w:rPr>
        <w:t xml:space="preserve"> projektu</w:t>
      </w:r>
      <w:r w:rsidR="005F0933" w:rsidRPr="0028724B">
        <w:rPr>
          <w:snapToGrid w:val="0"/>
          <w:sz w:val="24"/>
        </w:rPr>
        <w:t xml:space="preserve">. </w:t>
      </w:r>
      <w:r w:rsidR="00C60F01" w:rsidRPr="00C60F01">
        <w:rPr>
          <w:snapToGrid w:val="0"/>
          <w:sz w:val="24"/>
        </w:rPr>
        <w:t xml:space="preserve">V případě, že je realizace etapy ukončena před </w:t>
      </w:r>
      <w:r w:rsidR="004B1388">
        <w:rPr>
          <w:snapToGrid w:val="0"/>
          <w:sz w:val="24"/>
        </w:rPr>
        <w:t>vygenerováním</w:t>
      </w:r>
      <w:r w:rsidR="004B1388"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zprávu</w:t>
      </w:r>
      <w:r w:rsidR="001E3D30">
        <w:rPr>
          <w:snapToGrid w:val="0"/>
          <w:sz w:val="24"/>
        </w:rPr>
        <w:t xml:space="preserve"> o realizaci</w:t>
      </w:r>
      <w:r w:rsidR="00C60F01" w:rsidRPr="00C60F01">
        <w:rPr>
          <w:snapToGrid w:val="0"/>
          <w:sz w:val="24"/>
        </w:rPr>
        <w:t xml:space="preserve"> </w:t>
      </w:r>
      <w:r w:rsidR="001B2EBE">
        <w:rPr>
          <w:snapToGrid w:val="0"/>
          <w:sz w:val="24"/>
        </w:rPr>
        <w:t>projektu</w:t>
      </w:r>
      <w:r w:rsidR="001B2EBE" w:rsidRPr="00C60F01">
        <w:rPr>
          <w:snapToGrid w:val="0"/>
          <w:sz w:val="24"/>
        </w:rPr>
        <w:t xml:space="preserve"> </w:t>
      </w:r>
      <w:r w:rsidR="00C60F01" w:rsidRPr="00C60F01">
        <w:rPr>
          <w:snapToGrid w:val="0"/>
          <w:sz w:val="24"/>
        </w:rPr>
        <w:t>do 20</w:t>
      </w:r>
      <w:r w:rsidR="00AF4BF9">
        <w:rPr>
          <w:snapToGrid w:val="0"/>
          <w:sz w:val="24"/>
        </w:rPr>
        <w:t> </w:t>
      </w:r>
      <w:r w:rsidR="00C60F01" w:rsidRPr="00C60F01">
        <w:rPr>
          <w:snapToGrid w:val="0"/>
          <w:sz w:val="24"/>
        </w:rPr>
        <w:t>pracovních dnů od data doručení Dopisu příjemci</w:t>
      </w:r>
      <w:r w:rsidR="004B1388">
        <w:rPr>
          <w:snapToGrid w:val="0"/>
          <w:sz w:val="24"/>
        </w:rPr>
        <w:t xml:space="preserve"> formou MS2014+</w:t>
      </w:r>
      <w:r w:rsidR="0053486F">
        <w:rPr>
          <w:snapToGrid w:val="0"/>
          <w:sz w:val="24"/>
        </w:rPr>
        <w:t>.</w:t>
      </w:r>
      <w:r w:rsidR="00C60F01" w:rsidRPr="00C60F01">
        <w:rPr>
          <w:snapToGrid w:val="0"/>
          <w:sz w:val="24"/>
        </w:rPr>
        <w:t xml:space="preserve"> </w:t>
      </w:r>
      <w:r w:rsidR="006B689C">
        <w:rPr>
          <w:snapToGrid w:val="0"/>
          <w:sz w:val="24"/>
        </w:rPr>
        <w:t>Výše uvedené lhůty na předložení zpráv</w:t>
      </w:r>
      <w:r w:rsidR="001E3D30">
        <w:rPr>
          <w:snapToGrid w:val="0"/>
          <w:sz w:val="24"/>
        </w:rPr>
        <w:t xml:space="preserve"> o realizaci</w:t>
      </w:r>
      <w:r w:rsidR="001B2EBE">
        <w:rPr>
          <w:snapToGrid w:val="0"/>
          <w:sz w:val="24"/>
        </w:rPr>
        <w:t xml:space="preserve"> projektu</w:t>
      </w:r>
      <w:r w:rsidR="006B689C">
        <w:rPr>
          <w:snapToGrid w:val="0"/>
          <w:sz w:val="24"/>
        </w:rPr>
        <w:t xml:space="preserve"> 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BF40C0">
        <w:rPr>
          <w:snapToGrid w:val="0"/>
          <w:sz w:val="24"/>
        </w:rPr>
        <w:t>ŘO OPTP</w:t>
      </w:r>
      <w:r w:rsidR="00514A94" w:rsidRPr="00056BB6">
        <w:rPr>
          <w:snapToGrid w:val="0"/>
          <w:sz w:val="24"/>
        </w:rPr>
        <w:t xml:space="preserve"> všechny změny a</w:t>
      </w:r>
      <w:r w:rsidR="00BF40C0">
        <w:rPr>
          <w:snapToGrid w:val="0"/>
          <w:sz w:val="24"/>
        </w:rPr>
        <w:t> </w:t>
      </w:r>
      <w:r w:rsidR="00514A94" w:rsidRPr="00056BB6">
        <w:rPr>
          <w:snapToGrid w:val="0"/>
          <w:sz w:val="24"/>
        </w:rPr>
        <w:t xml:space="preserve">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w:t>
      </w:r>
      <w:r w:rsidR="004B1388">
        <w:rPr>
          <w:snapToGrid w:val="0"/>
          <w:sz w:val="24"/>
        </w:rPr>
        <w:t xml:space="preserve">v MS2014+ </w:t>
      </w:r>
      <w:r w:rsidR="00514A94" w:rsidRPr="00056BB6">
        <w:rPr>
          <w:snapToGrid w:val="0"/>
          <w:sz w:val="24"/>
        </w:rPr>
        <w:t xml:space="preserve">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203D7B">
        <w:rPr>
          <w:snapToGrid w:val="0"/>
          <w:sz w:val="24"/>
        </w:rPr>
        <w:t>etapové zprávy</w:t>
      </w:r>
      <w:r w:rsidR="0073087A" w:rsidRPr="0073087A">
        <w:rPr>
          <w:snapToGrid w:val="0"/>
          <w:sz w:val="24"/>
        </w:rPr>
        <w:t xml:space="preserve"> </w:t>
      </w:r>
      <w:r w:rsidR="0073087A">
        <w:rPr>
          <w:snapToGrid w:val="0"/>
          <w:sz w:val="24"/>
        </w:rPr>
        <w:t>o real</w:t>
      </w:r>
      <w:r w:rsidR="003F2378">
        <w:rPr>
          <w:snapToGrid w:val="0"/>
          <w:sz w:val="24"/>
        </w:rPr>
        <w:t>i</w:t>
      </w:r>
      <w:r w:rsidR="0073087A">
        <w:rPr>
          <w:snapToGrid w:val="0"/>
          <w:sz w:val="24"/>
        </w:rPr>
        <w:t>zaci projektu</w:t>
      </w:r>
      <w:r w:rsidR="00056BB6" w:rsidRPr="00056BB6">
        <w:rPr>
          <w:snapToGrid w:val="0"/>
          <w:sz w:val="24"/>
        </w:rPr>
        <w:t xml:space="preserve">.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r w:rsidR="005D7319" w:rsidRPr="0028724B">
        <w:rPr>
          <w:szCs w:val="24"/>
        </w:rPr>
        <w:t xml:space="preserve"> ž</w:t>
      </w:r>
      <w:r w:rsidR="00514A94" w:rsidRPr="0028724B">
        <w:rPr>
          <w:szCs w:val="24"/>
        </w:rPr>
        <w:t xml:space="preserve">ádost o platbu je </w:t>
      </w:r>
      <w:r w:rsidR="00EC314E" w:rsidRPr="0028724B">
        <w:rPr>
          <w:szCs w:val="24"/>
        </w:rPr>
        <w:t>příjemce</w:t>
      </w:r>
      <w:r w:rsidR="00514A94" w:rsidRPr="0028724B">
        <w:rPr>
          <w:szCs w:val="24"/>
        </w:rPr>
        <w:t xml:space="preserve"> povin</w:t>
      </w:r>
      <w:r w:rsidR="00EC314E" w:rsidRPr="0028724B">
        <w:rPr>
          <w:szCs w:val="24"/>
        </w:rPr>
        <w:t>en</w:t>
      </w:r>
      <w:r w:rsidR="00514A94" w:rsidRPr="0028724B">
        <w:rPr>
          <w:szCs w:val="24"/>
        </w:rPr>
        <w:t xml:space="preserve"> předložit vždy nejpozději do </w:t>
      </w:r>
      <w:r w:rsidR="00A872F8" w:rsidRPr="0028724B">
        <w:rPr>
          <w:szCs w:val="24"/>
        </w:rPr>
        <w:t>20</w:t>
      </w:r>
      <w:r w:rsidR="00AF4BF9">
        <w:rPr>
          <w:szCs w:val="24"/>
        </w:rPr>
        <w:t> </w:t>
      </w:r>
      <w:r w:rsidR="00514A94" w:rsidRPr="0028724B">
        <w:rPr>
          <w:szCs w:val="24"/>
        </w:rPr>
        <w:t>pracovních dnů od ukončení</w:t>
      </w:r>
      <w:r w:rsidR="00E77565" w:rsidRPr="0028724B">
        <w:rPr>
          <w:szCs w:val="24"/>
        </w:rPr>
        <w:t xml:space="preserve"> etapy projektu resp.</w:t>
      </w:r>
      <w:r w:rsidR="00514A94" w:rsidRPr="0028724B">
        <w:rPr>
          <w:szCs w:val="24"/>
        </w:rPr>
        <w:t xml:space="preserve"> realizace projektu, spolu s</w:t>
      </w:r>
      <w:r w:rsidR="001E3D30">
        <w:rPr>
          <w:szCs w:val="24"/>
        </w:rPr>
        <w:t>e</w:t>
      </w:r>
      <w:r w:rsidR="00514A94" w:rsidRPr="0028724B">
        <w:rPr>
          <w:szCs w:val="24"/>
        </w:rPr>
        <w:t xml:space="preserve">  zprávou </w:t>
      </w:r>
      <w:r w:rsidR="005A067F">
        <w:rPr>
          <w:szCs w:val="24"/>
        </w:rPr>
        <w:br/>
      </w:r>
      <w:r w:rsidR="001E3D30">
        <w:rPr>
          <w:szCs w:val="24"/>
        </w:rPr>
        <w:t xml:space="preserve">o realizaci </w:t>
      </w:r>
      <w:r w:rsidR="00944133">
        <w:rPr>
          <w:szCs w:val="24"/>
        </w:rPr>
        <w:t xml:space="preserve">projektu </w:t>
      </w:r>
      <w:r w:rsidR="00514A94" w:rsidRPr="0028724B">
        <w:rPr>
          <w:szCs w:val="24"/>
        </w:rPr>
        <w:t>podle části III</w:t>
      </w:r>
      <w:r w:rsidR="00627C2F">
        <w:rPr>
          <w:szCs w:val="24"/>
        </w:rPr>
        <w:t>.,</w:t>
      </w:r>
      <w:r w:rsidR="00514A94" w:rsidRPr="0028724B">
        <w:rPr>
          <w:szCs w:val="24"/>
        </w:rPr>
        <w:t xml:space="preserve"> 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 xml:space="preserve">V případě, </w:t>
      </w:r>
      <w:r>
        <w:rPr>
          <w:szCs w:val="24"/>
        </w:rPr>
        <w:t xml:space="preserve">že je realizace projektu/etapy ukončena před </w:t>
      </w:r>
      <w:r w:rsidR="00EA5FC2">
        <w:rPr>
          <w:szCs w:val="24"/>
        </w:rPr>
        <w:t xml:space="preserve">podpisem </w:t>
      </w:r>
      <w:r>
        <w:rPr>
          <w:szCs w:val="24"/>
        </w:rPr>
        <w:t>Dopisu</w:t>
      </w:r>
      <w:r w:rsidR="00583AE8" w:rsidRPr="0028724B">
        <w:rPr>
          <w:szCs w:val="24"/>
        </w:rPr>
        <w:t>, je příjemce povinen předložit zjednodušenou žádost o platbu do 20 p</w:t>
      </w:r>
      <w:r>
        <w:rPr>
          <w:szCs w:val="24"/>
        </w:rPr>
        <w:t xml:space="preserve">racovních dnů od </w:t>
      </w:r>
      <w:r w:rsidR="007E1155">
        <w:rPr>
          <w:szCs w:val="24"/>
        </w:rPr>
        <w:t xml:space="preserve">data </w:t>
      </w:r>
      <w:r w:rsidR="004B1388">
        <w:rPr>
          <w:szCs w:val="24"/>
        </w:rPr>
        <w:t xml:space="preserve">vygenerování </w:t>
      </w:r>
      <w:r>
        <w:rPr>
          <w:szCs w:val="24"/>
        </w:rPr>
        <w:t>Dopisu</w:t>
      </w:r>
      <w:r w:rsidR="007E1155">
        <w:rPr>
          <w:szCs w:val="24"/>
        </w:rPr>
        <w:t xml:space="preserve"> příjemci</w:t>
      </w:r>
      <w:r w:rsidR="004B1388">
        <w:rPr>
          <w:szCs w:val="24"/>
        </w:rPr>
        <w:t xml:space="preserve"> a oznámení</w:t>
      </w:r>
      <w:r w:rsidR="00DB2728">
        <w:rPr>
          <w:szCs w:val="24"/>
        </w:rPr>
        <w:t xml:space="preserve"> o vygenerování Dopisu</w:t>
      </w:r>
      <w:r w:rsidR="004B1388">
        <w:rPr>
          <w:szCs w:val="24"/>
        </w:rPr>
        <w:t xml:space="preserve"> formou </w:t>
      </w:r>
      <w:r w:rsidR="005A067F">
        <w:rPr>
          <w:szCs w:val="24"/>
        </w:rPr>
        <w:t>MS2014+</w:t>
      </w:r>
      <w:r w:rsidR="00583AE8" w:rsidRPr="0028724B">
        <w:rPr>
          <w:szCs w:val="24"/>
        </w:rPr>
        <w:t>.</w:t>
      </w:r>
      <w:r w:rsidR="009C1331">
        <w:rPr>
          <w:szCs w:val="24"/>
        </w:rPr>
        <w:t xml:space="preserve"> Lhůta 20 pracovních dnů může být prodloužena, pokud o to příjemce </w:t>
      </w:r>
      <w:r w:rsidR="00674323">
        <w:rPr>
          <w:szCs w:val="24"/>
        </w:rPr>
        <w:t xml:space="preserve">s předstihem </w:t>
      </w:r>
      <w:r w:rsidR="009C1331">
        <w:rPr>
          <w:szCs w:val="24"/>
        </w:rPr>
        <w:t>požádá</w:t>
      </w:r>
      <w:r w:rsidR="00674323">
        <w:rPr>
          <w:szCs w:val="24"/>
        </w:rPr>
        <w:t xml:space="preserve"> </w:t>
      </w:r>
      <w:r w:rsidR="009C1331">
        <w:rPr>
          <w:szCs w:val="24"/>
        </w:rPr>
        <w:t xml:space="preserve">ŘO OPTP a svou žádost dostatečně zdůvodní. </w:t>
      </w:r>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4"/>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lastRenderedPageBreak/>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w:t>
      </w:r>
      <w:r w:rsidR="00EE176E" w:rsidRPr="00BD6D55">
        <w:rPr>
          <w:snapToGrid w:val="0"/>
          <w:sz w:val="24"/>
        </w:rPr>
        <w:t xml:space="preserve">článkem </w:t>
      </w:r>
      <w:r w:rsidR="008A592C" w:rsidRPr="007E131D">
        <w:rPr>
          <w:snapToGrid w:val="0"/>
          <w:sz w:val="24"/>
        </w:rPr>
        <w:t xml:space="preserve">140 </w:t>
      </w:r>
      <w:r w:rsidR="00EE176E" w:rsidRPr="007E131D">
        <w:rPr>
          <w:snapToGrid w:val="0"/>
          <w:sz w:val="24"/>
        </w:rPr>
        <w:t xml:space="preserve">Nařízení Rady (ES) č. </w:t>
      </w:r>
      <w:r w:rsidR="008A592C" w:rsidRPr="007E131D">
        <w:rPr>
          <w:snapToGrid w:val="0"/>
          <w:sz w:val="24"/>
        </w:rPr>
        <w:t>1303</w:t>
      </w:r>
      <w:r w:rsidR="00EE176E" w:rsidRPr="007E131D">
        <w:rPr>
          <w:snapToGrid w:val="0"/>
          <w:sz w:val="24"/>
        </w:rPr>
        <w:t>/</w:t>
      </w:r>
      <w:r w:rsidR="008A592C" w:rsidRPr="007E131D">
        <w:rPr>
          <w:snapToGrid w:val="0"/>
          <w:sz w:val="24"/>
        </w:rPr>
        <w:t xml:space="preserve">2013 </w:t>
      </w:r>
      <w:r w:rsidR="00B13599" w:rsidRPr="007E131D">
        <w:rPr>
          <w:snapToGrid w:val="0"/>
          <w:sz w:val="24"/>
        </w:rPr>
        <w:t xml:space="preserve">po dobu tří let od </w:t>
      </w:r>
      <w:r w:rsidR="00E47EBA" w:rsidRPr="007E131D">
        <w:rPr>
          <w:snapToGrid w:val="0"/>
          <w:sz w:val="24"/>
        </w:rPr>
        <w:t>31.</w:t>
      </w:r>
      <w:r w:rsidR="007E131D">
        <w:rPr>
          <w:snapToGrid w:val="0"/>
          <w:sz w:val="24"/>
        </w:rPr>
        <w:t xml:space="preserve"> </w:t>
      </w:r>
      <w:r w:rsidR="00E47EBA" w:rsidRPr="007E131D">
        <w:rPr>
          <w:snapToGrid w:val="0"/>
          <w:sz w:val="24"/>
        </w:rPr>
        <w:t>prosince následujícího po předložení účetní závěrky</w:t>
      </w:r>
      <w:r w:rsidR="00EE176E" w:rsidRPr="007E131D">
        <w:rPr>
          <w:snapToGrid w:val="0"/>
          <w:sz w:val="24"/>
        </w:rPr>
        <w:t>,</w:t>
      </w:r>
      <w:r w:rsidR="00E47EBA" w:rsidRPr="007E131D">
        <w:rPr>
          <w:snapToGrid w:val="0"/>
          <w:sz w:val="24"/>
        </w:rPr>
        <w:t xml:space="preserve"> v níž jsou výdaje na operaci uvedeny</w:t>
      </w:r>
      <w:r w:rsidR="007E131D" w:rsidRPr="001D301E">
        <w:rPr>
          <w:snapToGrid w:val="0"/>
          <w:sz w:val="24"/>
        </w:rPr>
        <w:t xml:space="preserve"> a to minimálně do roku 2028</w:t>
      </w:r>
      <w:r w:rsidR="00E47EBA" w:rsidRPr="007E131D">
        <w:rPr>
          <w:snapToGrid w:val="0"/>
          <w:sz w:val="24"/>
        </w:rPr>
        <w:t>,</w:t>
      </w:r>
      <w:r w:rsidR="00EE176E" w:rsidRPr="00056BB6">
        <w:rPr>
          <w:snapToGrid w:val="0"/>
          <w:sz w:val="24"/>
        </w:rPr>
        <w:t xml:space="preserve"> a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E47EBA" w:rsidRPr="00056BB6">
        <w:rPr>
          <w:snapToGrid w:val="0"/>
          <w:sz w:val="24"/>
        </w:rPr>
        <w:t>20</w:t>
      </w:r>
      <w:r w:rsidR="00E47EBA">
        <w:rPr>
          <w:snapToGrid w:val="0"/>
          <w:sz w:val="24"/>
        </w:rPr>
        <w:t>14</w:t>
      </w:r>
      <w:r w:rsidR="002C743F" w:rsidRPr="00056BB6">
        <w:rPr>
          <w:snapToGrid w:val="0"/>
          <w:sz w:val="24"/>
        </w:rPr>
        <w:t>-</w:t>
      </w:r>
      <w:r w:rsidR="00E47EBA" w:rsidRPr="00056BB6">
        <w:rPr>
          <w:snapToGrid w:val="0"/>
          <w:sz w:val="24"/>
        </w:rPr>
        <w:t>20</w:t>
      </w:r>
      <w:r w:rsidR="00E47EBA">
        <w:rPr>
          <w:snapToGrid w:val="0"/>
          <w:sz w:val="24"/>
        </w:rPr>
        <w:t>20</w:t>
      </w:r>
      <w:r w:rsidR="00E47EBA" w:rsidRPr="00056BB6">
        <w:rPr>
          <w:snapToGrid w:val="0"/>
          <w:sz w:val="24"/>
        </w:rPr>
        <w:t xml:space="preserve"> </w:t>
      </w:r>
      <w:r w:rsidR="00CB0680" w:rsidRPr="00056BB6">
        <w:rPr>
          <w:snapToGrid w:val="0"/>
          <w:sz w:val="24"/>
        </w:rPr>
        <w:t xml:space="preserve">a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jen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C45012">
        <w:rPr>
          <w:snapToGrid w:val="0"/>
          <w:sz w:val="24"/>
          <w:szCs w:val="24"/>
        </w:rPr>
        <w:t xml:space="preserve">podle </w:t>
      </w:r>
      <w:r w:rsidR="00FA6987" w:rsidRPr="00B455B7">
        <w:rPr>
          <w:sz w:val="24"/>
          <w:szCs w:val="24"/>
        </w:rPr>
        <w:t>Metodického pokynu k rozvoji lidských zdrojů v progra</w:t>
      </w:r>
      <w:bookmarkStart w:id="0" w:name="_GoBack"/>
      <w:bookmarkEnd w:id="0"/>
      <w:r w:rsidR="00FA6987" w:rsidRPr="00B455B7">
        <w:rPr>
          <w:sz w:val="24"/>
          <w:szCs w:val="24"/>
        </w:rPr>
        <w:t xml:space="preserve">movém období let 2014 až 2020 a v programovém období 2007 až 2013 schváleným usnesením vlády č. 444 ze dne </w:t>
      </w:r>
      <w:r w:rsidR="0075050E" w:rsidRPr="00B455B7">
        <w:rPr>
          <w:sz w:val="24"/>
          <w:szCs w:val="24"/>
        </w:rPr>
        <w:t>16. 6. 2014</w:t>
      </w:r>
      <w:r w:rsidR="00FA6987">
        <w:rPr>
          <w:rFonts w:ascii="Tahoma" w:hAnsi="Tahoma" w:cs="Tahoma"/>
          <w:sz w:val="22"/>
          <w:szCs w:val="22"/>
        </w:rPr>
        <w:t xml:space="preserve"> </w:t>
      </w:r>
      <w:r w:rsidRPr="00056BB6">
        <w:rPr>
          <w:snapToGrid w:val="0"/>
          <w:sz w:val="24"/>
        </w:rPr>
        <w:t>(dále jen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1A2F1C">
        <w:rPr>
          <w:snapToGrid w:val="0"/>
          <w:sz w:val="24"/>
        </w:rPr>
        <w:t>i</w:t>
      </w:r>
      <w:r w:rsidR="00555871" w:rsidRPr="00B7116E">
        <w:rPr>
          <w:snapToGrid w:val="0"/>
          <w:sz w:val="24"/>
        </w:rPr>
        <w:t>):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lastRenderedPageBreak/>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lastRenderedPageBreak/>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lastRenderedPageBreak/>
              <w:t xml:space="preserve">min. 25 %, je-li doba, do kdy si dodavatelé musí opatřit </w:t>
            </w:r>
            <w:r w:rsidRPr="00C83126">
              <w:rPr>
                <w:color w:val="222222"/>
              </w:rPr>
              <w:lastRenderedPageBreak/>
              <w:t xml:space="preserve">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lastRenderedPageBreak/>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lastRenderedPageBreak/>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 xml:space="preserve">Pozdní oznámení změny statutárního </w:t>
      </w:r>
      <w:r w:rsidR="00EA5FC2" w:rsidRPr="00EA5FC2">
        <w:rPr>
          <w:snapToGrid w:val="0"/>
          <w:sz w:val="24"/>
        </w:rPr>
        <w:lastRenderedPageBreak/>
        <w:t>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xml:space="preserve">- 1. věta,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Default="00601B9B" w:rsidP="00723447">
      <w:pPr>
        <w:widowControl w:val="0"/>
        <w:numPr>
          <w:ilvl w:val="0"/>
          <w:numId w:val="26"/>
        </w:numPr>
        <w:spacing w:after="120"/>
        <w:ind w:right="-2"/>
        <w:jc w:val="both"/>
        <w:rPr>
          <w:snapToGrid w:val="0"/>
          <w:sz w:val="24"/>
        </w:rPr>
      </w:pPr>
      <w:r w:rsidRPr="00723447">
        <w:rPr>
          <w:snapToGrid w:val="0"/>
          <w:sz w:val="24"/>
        </w:rPr>
        <w:t xml:space="preserve">v části III, na které je poskytnutí požadované částky vázáno pod bodem 13.,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uvedených v tabulce č. 5. </w:t>
      </w:r>
      <w:r w:rsidR="008C0CB2">
        <w:rPr>
          <w:sz w:val="22"/>
          <w:szCs w:val="22"/>
        </w:rPr>
        <w:t xml:space="preserve">V případě více pochybení v rámci jednoho výběrového řízení </w:t>
      </w:r>
      <w:r w:rsidR="008C0CB2" w:rsidRPr="00A21829">
        <w:rPr>
          <w:b/>
          <w:sz w:val="22"/>
          <w:szCs w:val="22"/>
        </w:rPr>
        <w:t>nejsou sankce sčítány</w:t>
      </w:r>
      <w:r w:rsidR="008C0CB2">
        <w:rPr>
          <w:sz w:val="22"/>
          <w:szCs w:val="22"/>
        </w:rPr>
        <w:t xml:space="preserve">, nýbrž je uplatněna nejvyšší z příslušných sankcí. </w:t>
      </w:r>
      <w:r w:rsidR="00723447" w:rsidRPr="00BD3755">
        <w:rPr>
          <w:snapToGrid w:val="0"/>
          <w:sz w:val="24"/>
        </w:rPr>
        <w:t xml:space="preserve"> </w:t>
      </w:r>
    </w:p>
    <w:p w:rsidR="00C342AC" w:rsidRDefault="008C0CB2" w:rsidP="00A21829">
      <w:pPr>
        <w:keepNext/>
        <w:keepLines/>
        <w:widowControl w:val="0"/>
        <w:spacing w:after="120"/>
        <w:ind w:right="-2"/>
        <w:jc w:val="both"/>
        <w:rPr>
          <w:snapToGrid w:val="0"/>
          <w:sz w:val="24"/>
        </w:rPr>
      </w:pPr>
      <w:r w:rsidRPr="00A21829">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1D10BD" w:rsidRPr="002C2E02" w:rsidTr="00A21829">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Výše finanční korekce (v %)</w:t>
            </w:r>
          </w:p>
        </w:tc>
      </w:tr>
      <w:tr w:rsidR="001D10BD" w:rsidRPr="002C2E02" w:rsidTr="00A2182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Vybraný uchazeč nesplňuje klíčové požadavky</w:t>
            </w:r>
            <w:r w:rsidR="00C342AC">
              <w:rPr>
                <w:rStyle w:val="Znakapoznpodarou"/>
                <w:color w:val="000000"/>
              </w:rPr>
              <w:footnoteReference w:id="6"/>
            </w:r>
            <w:r w:rsidRPr="00A21829">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Pochybení ve zveřejnění výběrového řízení, např. VŘ neuveřejněno podle MP</w:t>
            </w:r>
            <w:r w:rsidR="00C3668E">
              <w:rPr>
                <w:color w:val="000000"/>
              </w:rPr>
              <w:t xml:space="preserve"> RLZ</w:t>
            </w:r>
            <w:r w:rsidRPr="00A21829">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 xml:space="preserve">a) Nezveřejnění inzerátu ani na jednom povinném webu, tj. daného subjektu implementace i </w:t>
            </w:r>
            <w:proofErr w:type="gramStart"/>
            <w:r w:rsidRPr="00A21829">
              <w:rPr>
                <w:color w:val="000000"/>
              </w:rPr>
              <w:t>www.strukturalni-fondy</w:t>
            </w:r>
            <w:proofErr w:type="gramEnd"/>
            <w:r w:rsidRPr="00A21829">
              <w:rPr>
                <w:color w:val="000000"/>
              </w:rPr>
              <w:t>.cz,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18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00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 xml:space="preserve">c) Zveřejnění inzerátu jen na jednom webu (dané organizace či na </w:t>
            </w:r>
            <w:proofErr w:type="gramStart"/>
            <w:r w:rsidRPr="00A21829">
              <w:rPr>
                <w:color w:val="000000"/>
              </w:rPr>
              <w:t>www.strukturalni-fondy</w:t>
            </w:r>
            <w:proofErr w:type="gramEnd"/>
            <w:r w:rsidRPr="00A21829">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jc w:val="center"/>
              <w:rPr>
                <w:color w:val="000000"/>
              </w:rPr>
            </w:pPr>
            <w:r w:rsidRPr="00A21829">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07679" w:rsidRDefault="001D10BD" w:rsidP="00A21829">
            <w:pPr>
              <w:jc w:val="both"/>
              <w:rPr>
                <w:color w:val="000000"/>
              </w:rPr>
            </w:pPr>
            <w:r w:rsidRPr="00A21829">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A21829">
              <w:rPr>
                <w:color w:val="000000"/>
              </w:rPr>
              <w:br/>
            </w:r>
            <w:r w:rsidRPr="00A21829">
              <w:rPr>
                <w:color w:val="000000"/>
              </w:rPr>
              <w:br/>
              <w:t>Požadované doklady:</w:t>
            </w:r>
          </w:p>
          <w:p w:rsidR="00C3668E" w:rsidRDefault="001D10BD" w:rsidP="00A21829">
            <w:pPr>
              <w:jc w:val="both"/>
              <w:rPr>
                <w:color w:val="000000"/>
              </w:rPr>
            </w:pPr>
            <w:r w:rsidRPr="00A21829">
              <w:rPr>
                <w:color w:val="000000"/>
              </w:rPr>
              <w:br/>
              <w:t xml:space="preserve">- doklady o zveřejnění informace o 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A21829">
              <w:rPr>
                <w:color w:val="000000"/>
              </w:rPr>
              <w:t>printscreeny</w:t>
            </w:r>
            <w:proofErr w:type="spellEnd"/>
            <w:r w:rsidRPr="00A21829">
              <w:rPr>
                <w:color w:val="000000"/>
              </w:rPr>
              <w:t xml:space="preserve"> zveřejněného inzerátu z obou webů;</w:t>
            </w:r>
          </w:p>
          <w:p w:rsidR="00507679" w:rsidRDefault="001D10BD" w:rsidP="00A21829">
            <w:pPr>
              <w:jc w:val="both"/>
              <w:rPr>
                <w:color w:val="000000"/>
              </w:rPr>
            </w:pPr>
            <w:r w:rsidRPr="00A21829">
              <w:rPr>
                <w:color w:val="000000"/>
              </w:rPr>
              <w:br/>
              <w:t>- zápis z výběrového řízení podepsaný všemi členy výběrové komise;</w:t>
            </w:r>
          </w:p>
          <w:p w:rsidR="001D10BD" w:rsidRPr="00A21829" w:rsidRDefault="001D10BD" w:rsidP="00A21829">
            <w:pPr>
              <w:jc w:val="both"/>
              <w:rPr>
                <w:color w:val="000000"/>
              </w:rPr>
            </w:pPr>
            <w:r w:rsidRPr="00A21829">
              <w:rPr>
                <w:color w:val="000000"/>
              </w:rPr>
              <w:br/>
              <w:t>- doložení přijetí zaměstnance na volnou pracovní pozici bez skutečného výběrového řízení (</w:t>
            </w:r>
            <w:r w:rsidR="00C3668E" w:rsidRPr="00253CF9">
              <w:rPr>
                <w:color w:val="000000"/>
              </w:rPr>
              <w:t>detailněji viz</w:t>
            </w:r>
            <w:r w:rsidRPr="00A21829">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a) Výběrová komise nebyla ustanovena v souladu s požadavky MP</w:t>
            </w:r>
            <w:r w:rsidR="00C3668E">
              <w:rPr>
                <w:color w:val="000000"/>
              </w:rPr>
              <w:t xml:space="preserve"> RLZ</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87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c) Chybí zdůvodnění přijetí zaměstnance na volnou pracovní pozici bez skutečného výběrového řízení (</w:t>
            </w:r>
            <w:r w:rsidR="00C3668E" w:rsidRPr="00253CF9">
              <w:rPr>
                <w:color w:val="000000"/>
              </w:rPr>
              <w:t>detailně viz</w:t>
            </w:r>
            <w:r w:rsidRPr="00A21829">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531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507679" w:rsidRPr="00A21829" w:rsidRDefault="00507679" w:rsidP="00A21829">
            <w:pPr>
              <w:jc w:val="both"/>
              <w:rPr>
                <w:color w:val="000000"/>
              </w:rPr>
            </w:pPr>
            <w:r w:rsidRPr="002C2E02">
              <w:rPr>
                <w:color w:val="000000"/>
              </w:rPr>
              <w:t>d)</w:t>
            </w:r>
            <w:r>
              <w:rPr>
                <w:color w:val="000000"/>
              </w:rPr>
              <w:t xml:space="preserve"> </w:t>
            </w:r>
            <w:r w:rsidR="001D10BD" w:rsidRPr="00A21829">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001D10BD" w:rsidRPr="00A21829">
              <w:rPr>
                <w:color w:val="000000"/>
              </w:rPr>
              <w:t>).</w:t>
            </w:r>
          </w:p>
          <w:p w:rsidR="00C3668E" w:rsidRDefault="001D10BD" w:rsidP="00A21829">
            <w:pPr>
              <w:jc w:val="both"/>
              <w:rPr>
                <w:b/>
              </w:rPr>
            </w:pPr>
            <w:r w:rsidRPr="00A21829">
              <w:br/>
            </w:r>
            <w:r w:rsidRPr="00A21829">
              <w:rPr>
                <w:b/>
              </w:rPr>
              <w:t xml:space="preserve">Minimální informace </w:t>
            </w:r>
            <w:r w:rsidR="00507679" w:rsidRPr="00FE5ADE">
              <w:rPr>
                <w:b/>
              </w:rPr>
              <w:t xml:space="preserve">požadované </w:t>
            </w:r>
            <w:r w:rsidRPr="00A21829">
              <w:rPr>
                <w:b/>
              </w:rPr>
              <w:t>v zápisu:</w:t>
            </w:r>
          </w:p>
          <w:p w:rsidR="00507679" w:rsidRDefault="001D10BD" w:rsidP="00A21829">
            <w:pPr>
              <w:jc w:val="both"/>
            </w:pPr>
            <w:r w:rsidRPr="00A21829">
              <w:t>- identifikace pozice;</w:t>
            </w:r>
          </w:p>
          <w:p w:rsidR="00C3668E" w:rsidRDefault="001D10BD" w:rsidP="00A21829">
            <w:pPr>
              <w:jc w:val="both"/>
            </w:pPr>
            <w:r w:rsidRPr="00A21829">
              <w:t>- období, po které byl inzerát zveřejněn</w:t>
            </w:r>
            <w:r w:rsidR="00C342AC">
              <w:rPr>
                <w:rStyle w:val="Znakapoznpodarou"/>
              </w:rPr>
              <w:footnoteReference w:id="7"/>
            </w:r>
            <w:r w:rsidRPr="00A21829">
              <w:t>;</w:t>
            </w:r>
          </w:p>
          <w:p w:rsidR="00C3668E" w:rsidRDefault="001D10BD" w:rsidP="00A21829">
            <w:pPr>
              <w:jc w:val="both"/>
            </w:pPr>
            <w:r w:rsidRPr="00A21829">
              <w:t>- uvedení celkového počtu přihlášek/zájemců;</w:t>
            </w:r>
          </w:p>
          <w:p w:rsidR="00C3668E" w:rsidRDefault="001D10BD" w:rsidP="00A21829">
            <w:pPr>
              <w:jc w:val="both"/>
            </w:pPr>
            <w:r w:rsidRPr="00A21829">
              <w:t>- seznam uchazečů pozvaných na pohovor;</w:t>
            </w:r>
          </w:p>
          <w:p w:rsidR="00C3668E" w:rsidRDefault="001D10BD" w:rsidP="00A21829">
            <w:pPr>
              <w:jc w:val="both"/>
            </w:pPr>
            <w:r w:rsidRPr="00A21829">
              <w:t>- data, kdy byly uskutečněny přijímací pohovory;</w:t>
            </w:r>
          </w:p>
          <w:p w:rsidR="00507679" w:rsidRDefault="001D10BD" w:rsidP="00A21829">
            <w:pPr>
              <w:jc w:val="both"/>
            </w:pPr>
            <w:r w:rsidRPr="00A21829">
              <w:t>- zdůvodnění výběru zaměstnance, který je výběrovou komisí doporučen k přijetí na danou pozici a určení pořadí dalších úspěšných uchazečů;</w:t>
            </w:r>
          </w:p>
          <w:p w:rsidR="00C3668E" w:rsidRDefault="001D10BD" w:rsidP="00A21829">
            <w:pPr>
              <w:jc w:val="both"/>
            </w:pPr>
            <w:r w:rsidRPr="00A21829">
              <w:t>- prohlášení členů komise, že úspěšní uchazeči splňují klíčové požadavky inzerátu</w:t>
            </w:r>
            <w:r w:rsidR="00C342AC">
              <w:rPr>
                <w:rStyle w:val="Znakapoznpodarou"/>
              </w:rPr>
              <w:footnoteReference w:id="8"/>
            </w:r>
          </w:p>
          <w:p w:rsidR="00C3668E" w:rsidRDefault="001D10BD" w:rsidP="00A21829">
            <w:pPr>
              <w:jc w:val="both"/>
            </w:pPr>
            <w:r w:rsidRPr="00A21829">
              <w:t>- datum vyhotovení zápisu z výběrového řízení;</w:t>
            </w:r>
          </w:p>
          <w:p w:rsidR="00C3668E" w:rsidRDefault="001D10BD" w:rsidP="00A21829">
            <w:pPr>
              <w:jc w:val="both"/>
            </w:pPr>
            <w:r w:rsidRPr="00A21829">
              <w:t>- jména členů hodnotící komise, včetně jejich pracovní pozice, názvu útvaru a jejich podpisů;</w:t>
            </w:r>
          </w:p>
          <w:p w:rsidR="00C3668E" w:rsidRDefault="001D10BD" w:rsidP="00A21829">
            <w:pPr>
              <w:jc w:val="both"/>
            </w:pPr>
            <w:r w:rsidRPr="00A21829">
              <w:t>- prohlášení členů komise o nepodjatosti;</w:t>
            </w:r>
          </w:p>
          <w:p w:rsidR="001D10BD" w:rsidRPr="00A21829" w:rsidRDefault="001D10BD" w:rsidP="00A21829">
            <w:pPr>
              <w:jc w:val="both"/>
            </w:pPr>
            <w:r w:rsidRPr="00A21829">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77"/>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507679" w:rsidRPr="00A21829" w:rsidRDefault="00507679" w:rsidP="00A21829">
            <w:pPr>
              <w:jc w:val="both"/>
              <w:rPr>
                <w:color w:val="000000"/>
              </w:rPr>
            </w:pPr>
            <w:r w:rsidRPr="002C2E02">
              <w:rPr>
                <w:color w:val="000000"/>
              </w:rPr>
              <w:t>e)</w:t>
            </w:r>
            <w:r>
              <w:rPr>
                <w:color w:val="000000"/>
              </w:rPr>
              <w:t xml:space="preserve"> </w:t>
            </w:r>
            <w:r w:rsidR="001D10BD" w:rsidRPr="00A21829">
              <w:rPr>
                <w:color w:val="000000"/>
              </w:rPr>
              <w:t>Zveřejněný inzerát neobsahoval všechny minimální povinné požadavky bez ohledu na počet chybějících položek.</w:t>
            </w:r>
          </w:p>
          <w:p w:rsidR="00507679" w:rsidRPr="00A21829" w:rsidRDefault="001D10BD" w:rsidP="00A21829">
            <w:pPr>
              <w:jc w:val="both"/>
              <w:rPr>
                <w:b/>
              </w:rPr>
            </w:pPr>
            <w:r w:rsidRPr="00A21829">
              <w:br/>
            </w:r>
            <w:r w:rsidRPr="00A21829">
              <w:rPr>
                <w:b/>
              </w:rPr>
              <w:t>Formální požadavky:</w:t>
            </w:r>
          </w:p>
          <w:p w:rsidR="00507679" w:rsidRDefault="001D10BD" w:rsidP="00A21829">
            <w:pPr>
              <w:jc w:val="both"/>
            </w:pPr>
            <w:r w:rsidRPr="00A21829">
              <w:t>- charakteristika náplně práce;</w:t>
            </w:r>
          </w:p>
          <w:p w:rsidR="00507679" w:rsidRDefault="001D10BD" w:rsidP="00A21829">
            <w:pPr>
              <w:jc w:val="both"/>
            </w:pPr>
            <w:r w:rsidRPr="00A21829">
              <w:t>- místo výkonu práce;</w:t>
            </w:r>
          </w:p>
          <w:p w:rsidR="00507679" w:rsidRDefault="001D10BD" w:rsidP="00A21829">
            <w:pPr>
              <w:jc w:val="both"/>
            </w:pPr>
            <w:r w:rsidRPr="00A21829">
              <w:t>- termín/období zahájení pracovního poměru/dle dohody;</w:t>
            </w:r>
          </w:p>
          <w:p w:rsidR="00C3668E" w:rsidRDefault="001D10BD" w:rsidP="00A21829">
            <w:pPr>
              <w:jc w:val="both"/>
            </w:pPr>
            <w:r w:rsidRPr="00A21829">
              <w:t>- plný/částečný pracovní úvazek;</w:t>
            </w:r>
          </w:p>
          <w:p w:rsidR="00C3668E" w:rsidRDefault="001D10BD" w:rsidP="00A21829">
            <w:pPr>
              <w:jc w:val="both"/>
            </w:pPr>
            <w:r w:rsidRPr="00A21829">
              <w:t>- délka pracovního poměru (doba neurčitá/určitá);</w:t>
            </w:r>
          </w:p>
          <w:p w:rsidR="00507679" w:rsidRDefault="001D10BD" w:rsidP="00A21829">
            <w:pPr>
              <w:jc w:val="both"/>
            </w:pPr>
            <w:r w:rsidRPr="00A21829">
              <w:t xml:space="preserve">- uvedení platových či mzdových podmínek, případně </w:t>
            </w:r>
            <w:r w:rsidRPr="00A21829">
              <w:lastRenderedPageBreak/>
              <w:t>platové třídy, tj. odkaz na příslušné usnesení vlády nebo zákon;</w:t>
            </w:r>
            <w:r w:rsidRPr="00A21829">
              <w:br/>
              <w:t>- termín, do kdy má být přihláška do výběrového řízení zaslána;</w:t>
            </w:r>
          </w:p>
          <w:p w:rsidR="00507679" w:rsidRDefault="001D10BD" w:rsidP="00A21829">
            <w:pPr>
              <w:jc w:val="both"/>
            </w:pPr>
            <w:r w:rsidRPr="00A21829">
              <w:t>- způsob podání přihlášky (např. osobně na podatelnu, poštou, e-mailem);</w:t>
            </w:r>
          </w:p>
          <w:p w:rsidR="00C3668E" w:rsidRDefault="001D10BD" w:rsidP="00A21829">
            <w:pPr>
              <w:jc w:val="both"/>
            </w:pPr>
            <w:r w:rsidRPr="00A21829">
              <w:t>- kontaktní údaje pro doručení přihlášky;</w:t>
            </w:r>
          </w:p>
          <w:p w:rsidR="00C3668E" w:rsidRDefault="001D10BD" w:rsidP="00A21829">
            <w:pPr>
              <w:jc w:val="both"/>
              <w:rPr>
                <w:b/>
              </w:rPr>
            </w:pPr>
            <w:r w:rsidRPr="00A21829">
              <w:t>- formulace vylučující střet zájmů uchazeče - doporuče</w:t>
            </w:r>
            <w:r w:rsidR="00C342AC">
              <w:t>ná</w:t>
            </w:r>
            <w:r w:rsidRPr="00A21829">
              <w:t xml:space="preserve"> formulac</w:t>
            </w:r>
            <w:r w:rsidR="00C342AC">
              <w:t>e</w:t>
            </w:r>
            <w:r w:rsidRPr="00A21829">
              <w:t xml:space="preserve"> „Uchazeč zasláním přihlášky do výběrového řízení stvrzuje, že si není vědom osobních ani profesních vazeb, které by při vykonávání činnosti v pozici, o kterou se uchází, znamenaly střet zájmu.“</w:t>
            </w:r>
            <w:r w:rsidRPr="00A21829">
              <w:br/>
            </w:r>
            <w:r w:rsidRPr="00A21829">
              <w:br/>
            </w:r>
            <w:r w:rsidRPr="00A21829">
              <w:rPr>
                <w:b/>
              </w:rPr>
              <w:t>Požadavky kladené na uchazeče:</w:t>
            </w:r>
          </w:p>
          <w:p w:rsidR="00C3668E" w:rsidRDefault="001D10BD" w:rsidP="00A21829">
            <w:pPr>
              <w:jc w:val="both"/>
            </w:pPr>
            <w:r w:rsidRPr="00A21829">
              <w:t>- odpovídající odborné znalosti dle typu pozice;</w:t>
            </w:r>
          </w:p>
          <w:p w:rsidR="00C3668E" w:rsidRDefault="001D10BD" w:rsidP="00A21829">
            <w:pPr>
              <w:jc w:val="both"/>
            </w:pPr>
            <w:r w:rsidRPr="00A21829">
              <w:t>- odpovídající minimální dosažené vzdělání;</w:t>
            </w:r>
          </w:p>
          <w:p w:rsidR="00C3668E" w:rsidRDefault="001D10BD" w:rsidP="00A21829">
            <w:pPr>
              <w:jc w:val="both"/>
            </w:pPr>
            <w:r w:rsidRPr="00A21829">
              <w:t>- zaslání strukturovaného životopisu;</w:t>
            </w:r>
          </w:p>
          <w:p w:rsidR="00C3668E" w:rsidRDefault="001D10BD" w:rsidP="00A21829">
            <w:pPr>
              <w:jc w:val="both"/>
            </w:pPr>
            <w:r w:rsidRPr="00A21829">
              <w:t>- odpovídající znalost práce s PC (MS Office);</w:t>
            </w:r>
          </w:p>
          <w:p w:rsidR="001D10BD" w:rsidRPr="00A21829" w:rsidRDefault="001D10BD" w:rsidP="00A21829">
            <w:pPr>
              <w:jc w:val="both"/>
            </w:pPr>
            <w:r w:rsidRPr="00A21829">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lastRenderedPageBreak/>
              <w:t>10</w:t>
            </w:r>
          </w:p>
        </w:tc>
      </w:tr>
    </w:tbl>
    <w:p w:rsidR="001D10BD" w:rsidRDefault="001D10BD" w:rsidP="00A21829">
      <w:pPr>
        <w:widowControl w:val="0"/>
        <w:spacing w:after="120"/>
        <w:ind w:left="765" w:right="-2"/>
        <w:jc w:val="both"/>
        <w:rPr>
          <w:snapToGrid w:val="0"/>
          <w:sz w:val="24"/>
        </w:rPr>
      </w:pP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Pr>
          <w:snapToGrid w:val="0"/>
          <w:sz w:val="24"/>
        </w:rPr>
        <w:t>4</w:t>
      </w:r>
      <w:r w:rsidRPr="00723447">
        <w:rPr>
          <w:snapToGrid w:val="0"/>
          <w:sz w:val="24"/>
        </w:rPr>
        <w:t xml:space="preserve">., bude v případech porušení uvedených </w:t>
      </w:r>
      <w:r>
        <w:rPr>
          <w:snapToGrid w:val="0"/>
          <w:sz w:val="24"/>
        </w:rPr>
        <w:t>v MP komunikace udělena sankce dle typu porušení.</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v rámci právního aktu o poskytnutí dotace, a sice v její </w:t>
      </w:r>
      <w:r w:rsidRPr="00A21829">
        <w:rPr>
          <w:b/>
          <w:snapToGrid w:val="0"/>
          <w:sz w:val="24"/>
        </w:rPr>
        <w:t>aktuální výši</w:t>
      </w:r>
      <w:r w:rsidRPr="00A21829">
        <w:rPr>
          <w:snapToGrid w:val="0"/>
          <w:sz w:val="24"/>
        </w:rPr>
        <w:t xml:space="preserve"> v době udělení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proofErr w:type="gramStart"/>
      <w:r>
        <w:rPr>
          <w:rFonts w:cs="Arial"/>
          <w:sz w:val="24"/>
          <w:szCs w:val="24"/>
        </w:rPr>
        <w:t>p.d</w:t>
      </w:r>
      <w:proofErr w:type="spellEnd"/>
      <w:r w:rsidRPr="00A21829">
        <w:rPr>
          <w:rFonts w:cs="Arial"/>
          <w:sz w:val="24"/>
          <w:szCs w:val="24"/>
        </w:rPr>
        <w:t>.</w:t>
      </w:r>
      <w:proofErr w:type="gramEnd"/>
      <w:r w:rsidRPr="00A21829">
        <w:rPr>
          <w:rFonts w:cs="Arial"/>
          <w:sz w:val="24"/>
          <w:szCs w:val="24"/>
        </w:rPr>
        <w:t xml:space="preserve">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neučiní nebo ji učiní chybně – bude přistoupeno k sankci za pochybení podle tabulky č. </w:t>
      </w:r>
      <w:r w:rsidR="00FF6E48">
        <w:rPr>
          <w:snapToGrid w:val="0"/>
          <w:sz w:val="24"/>
        </w:rPr>
        <w:t>6</w:t>
      </w:r>
      <w:r w:rsidRPr="00A21829">
        <w:rPr>
          <w:snapToGrid w:val="0"/>
          <w:sz w:val="24"/>
        </w:rPr>
        <w:t xml:space="preserve"> a poté bude 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tabulky č. </w:t>
      </w:r>
      <w:r w:rsidR="00FF6E48">
        <w:rPr>
          <w:snapToGrid w:val="0"/>
          <w:sz w:val="24"/>
        </w:rPr>
        <w:t>6</w:t>
      </w:r>
      <w:r w:rsidRPr="00A21829">
        <w:rPr>
          <w:snapToGrid w:val="0"/>
          <w:sz w:val="24"/>
        </w:rPr>
        <w:t xml:space="preserve">. Nezajištění nápravy ve stanoveném termínu </w:t>
      </w:r>
      <w:r w:rsidRPr="00A21829">
        <w:rPr>
          <w:snapToGrid w:val="0"/>
          <w:sz w:val="24"/>
        </w:rPr>
        <w:lastRenderedPageBreak/>
        <w:t>a stanoveným způsobem, představuje porušení podmínek poskytnutí podpory, a dále, že sankcionováno je každé nezajištění, tj. každá nesplněná výzva k nápravě představuje jedno porušení podmínek poskytnutí dotace. K udělení sankce za nerespektování výzvy poskytovatele může dojít několikrát, není-li náprava zjednána ve lhůtě stanovené ve výzvě, až do zajištění nápravy. V případě povinných nástrojů musí být pochybení odstraněno vždy.</w:t>
      </w:r>
    </w:p>
    <w:p w:rsidR="00046FAB" w:rsidRPr="00A21829" w:rsidRDefault="00046FAB" w:rsidP="00A21829">
      <w:pPr>
        <w:pStyle w:val="Mjstyl3"/>
        <w:keepNext/>
        <w:numPr>
          <w:ilvl w:val="0"/>
          <w:numId w:val="0"/>
        </w:numPr>
        <w:spacing w:before="240"/>
        <w:ind w:left="646"/>
        <w:rPr>
          <w:rFonts w:cs="Times New Roman"/>
          <w:b/>
          <w:sz w:val="24"/>
          <w:szCs w:val="24"/>
        </w:rPr>
      </w:pPr>
      <w:r w:rsidRPr="00A21829">
        <w:rPr>
          <w:rFonts w:ascii="Times New Roman" w:hAnsi="Times New Roman" w:cs="Times New Roman"/>
          <w:b/>
          <w:sz w:val="24"/>
          <w:szCs w:val="24"/>
        </w:rPr>
        <w:t xml:space="preserve">Tabulka č. </w:t>
      </w:r>
      <w:r w:rsidR="00FF6E48">
        <w:rPr>
          <w:rFonts w:ascii="Times New Roman" w:hAnsi="Times New Roman" w:cs="Times New Roman"/>
          <w:b/>
          <w:sz w:val="24"/>
          <w:szCs w:val="24"/>
        </w:rPr>
        <w:t>6</w:t>
      </w:r>
      <w:r w:rsidR="000A644A">
        <w:rPr>
          <w:rFonts w:ascii="Times New Roman" w:hAnsi="Times New Roman" w:cs="Times New Roman"/>
          <w:b/>
          <w:sz w:val="24"/>
          <w:szCs w:val="24"/>
        </w:rPr>
        <w:t>: Povinné nástroje</w:t>
      </w:r>
    </w:p>
    <w:bookmarkStart w:id="7" w:name="_MON_1495627478"/>
    <w:bookmarkEnd w:id="7"/>
    <w:p w:rsidR="00046FAB" w:rsidRPr="00A21829" w:rsidRDefault="000A644A" w:rsidP="00046FAB">
      <w:pPr>
        <w:pStyle w:val="Odstavecseseznamem"/>
        <w:spacing w:after="120"/>
        <w:rPr>
          <w:rFonts w:cs="Arial"/>
          <w:sz w:val="24"/>
          <w:szCs w:val="24"/>
        </w:rPr>
      </w:pPr>
      <w:r w:rsidRPr="002C2E02">
        <w:rPr>
          <w:rFonts w:cs="Arial"/>
          <w:sz w:val="24"/>
          <w:szCs w:val="24"/>
        </w:rPr>
        <w:object w:dxaOrig="7269"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43.25pt" o:ole="">
            <v:imagedata r:id="rId14" o:title=""/>
          </v:shape>
          <o:OLEObject Type="Embed" ProgID="Excel.Sheet.12" ShapeID="_x0000_i1025" DrawAspect="Content" ObjectID="_1497255444" r:id="rId15"/>
        </w:object>
      </w:r>
    </w:p>
    <w:p w:rsidR="00046FAB" w:rsidRDefault="00046FAB" w:rsidP="00A21829">
      <w:pPr>
        <w:keepNext/>
        <w:keepLines/>
        <w:spacing w:before="240" w:after="120"/>
        <w:ind w:firstLine="709"/>
        <w:rPr>
          <w:rFonts w:cs="Arial"/>
          <w:b/>
          <w:sz w:val="24"/>
          <w:szCs w:val="24"/>
        </w:rPr>
      </w:pPr>
      <w:r w:rsidRPr="00A21829">
        <w:rPr>
          <w:rFonts w:cs="Arial"/>
          <w:b/>
          <w:sz w:val="24"/>
          <w:szCs w:val="24"/>
        </w:rPr>
        <w:t>Pravidla uplatňování sankcí u 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kontrolním subjektem (lhůta musí být přizpůsobena době nezbytně nutné na zajištění nápravy).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9"/>
      </w:r>
      <w:r w:rsidRPr="00046FAB">
        <w:rPr>
          <w:snapToGrid w:val="0"/>
          <w:sz w:val="24"/>
        </w:rPr>
        <w:t>), bude příjemci udělena výtka č. 1 v kategorii A nebo B dle tabulky č</w:t>
      </w:r>
      <w:r w:rsidR="00F22800">
        <w:rPr>
          <w:snapToGrid w:val="0"/>
          <w:sz w:val="24"/>
        </w:rPr>
        <w:t xml:space="preserve">. </w:t>
      </w:r>
      <w:r w:rsidR="00FF6E48">
        <w:rPr>
          <w:snapToGrid w:val="0"/>
          <w:sz w:val="24"/>
        </w:rPr>
        <w:t>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sidR="00FF6E48">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10"/>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sidR="00FF6E48">
        <w:rPr>
          <w:snapToGrid w:val="0"/>
          <w:sz w:val="24"/>
        </w:rPr>
        <w:t>7</w:t>
      </w:r>
      <w:r w:rsidRPr="00046FAB">
        <w:rPr>
          <w:snapToGrid w:val="0"/>
          <w:sz w:val="24"/>
        </w:rPr>
        <w:t xml:space="preserve">; </w:t>
      </w:r>
    </w:p>
    <w:p w:rsidR="00F22800" w:rsidRPr="00A21829" w:rsidRDefault="00F22800" w:rsidP="00A21829">
      <w:pPr>
        <w:keepNext/>
        <w:keepLines/>
        <w:spacing w:after="240"/>
        <w:ind w:firstLine="708"/>
        <w:rPr>
          <w:rFonts w:cs="Arial"/>
          <w:b/>
          <w:sz w:val="24"/>
          <w:szCs w:val="24"/>
        </w:rPr>
      </w:pPr>
      <w:r w:rsidRPr="00A21829">
        <w:rPr>
          <w:rFonts w:cs="Arial"/>
          <w:b/>
          <w:sz w:val="24"/>
          <w:szCs w:val="24"/>
        </w:rPr>
        <w:lastRenderedPageBreak/>
        <w:t xml:space="preserve">Tabulka č. </w:t>
      </w:r>
      <w:r w:rsidR="00FF6E48">
        <w:rPr>
          <w:rFonts w:cs="Arial"/>
          <w:b/>
          <w:sz w:val="24"/>
          <w:szCs w:val="24"/>
        </w:rPr>
        <w:t>7</w:t>
      </w:r>
      <w:r w:rsidR="000A644A">
        <w:rPr>
          <w:rFonts w:cs="Arial"/>
          <w:b/>
          <w:sz w:val="24"/>
          <w:szCs w:val="24"/>
        </w:rPr>
        <w:t>: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7E2D36" w:rsidRPr="007E2D36" w:rsidTr="00A2182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2D36" w:rsidRPr="007E2D36" w:rsidRDefault="007E2D36" w:rsidP="00A21829">
            <w:pPr>
              <w:keepNext/>
              <w:keepLines/>
              <w:jc w:val="center"/>
              <w:rPr>
                <w:rFonts w:ascii="Arial" w:hAnsi="Arial" w:cs="Arial"/>
                <w:b/>
                <w:bCs/>
                <w:color w:val="000000"/>
                <w:sz w:val="22"/>
                <w:szCs w:val="22"/>
              </w:rPr>
            </w:pPr>
            <w:r w:rsidRPr="007E2D36">
              <w:rPr>
                <w:rFonts w:ascii="Arial" w:hAnsi="Arial" w:cs="Arial"/>
                <w:b/>
                <w:bCs/>
                <w:color w:val="000000"/>
                <w:sz w:val="22"/>
                <w:szCs w:val="22"/>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jc w:val="center"/>
              <w:rPr>
                <w:rFonts w:ascii="Arial" w:hAnsi="Arial" w:cs="Arial"/>
                <w:b/>
                <w:bCs/>
                <w:color w:val="000000"/>
                <w:sz w:val="22"/>
                <w:szCs w:val="22"/>
              </w:rPr>
            </w:pPr>
            <w:r w:rsidRPr="007E2D36">
              <w:rPr>
                <w:rFonts w:ascii="Arial" w:hAnsi="Arial" w:cs="Arial"/>
                <w:b/>
                <w:bCs/>
                <w:color w:val="000000"/>
                <w:sz w:val="22"/>
                <w:szCs w:val="22"/>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jc w:val="center"/>
              <w:rPr>
                <w:rFonts w:ascii="Arial" w:hAnsi="Arial" w:cs="Arial"/>
                <w:b/>
                <w:bCs/>
                <w:color w:val="000000"/>
                <w:sz w:val="22"/>
                <w:szCs w:val="22"/>
              </w:rPr>
            </w:pPr>
            <w:r w:rsidRPr="007E2D36">
              <w:rPr>
                <w:rFonts w:ascii="Arial" w:hAnsi="Arial" w:cs="Arial"/>
                <w:b/>
                <w:bCs/>
                <w:color w:val="000000"/>
                <w:sz w:val="22"/>
                <w:szCs w:val="22"/>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jc w:val="center"/>
              <w:rPr>
                <w:rFonts w:ascii="Arial" w:hAnsi="Arial" w:cs="Arial"/>
                <w:b/>
                <w:bCs/>
                <w:color w:val="000000"/>
                <w:sz w:val="22"/>
                <w:szCs w:val="22"/>
              </w:rPr>
            </w:pPr>
            <w:r w:rsidRPr="007E2D36">
              <w:rPr>
                <w:rFonts w:ascii="Arial" w:hAnsi="Arial" w:cs="Arial"/>
                <w:b/>
                <w:bCs/>
                <w:color w:val="000000"/>
                <w:sz w:val="22"/>
                <w:szCs w:val="22"/>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jc w:val="center"/>
              <w:rPr>
                <w:rFonts w:ascii="Arial" w:hAnsi="Arial" w:cs="Arial"/>
                <w:b/>
                <w:bCs/>
                <w:color w:val="000000"/>
                <w:sz w:val="22"/>
                <w:szCs w:val="22"/>
              </w:rPr>
            </w:pPr>
            <w:r w:rsidRPr="007E2D36">
              <w:rPr>
                <w:rFonts w:ascii="Arial" w:hAnsi="Arial" w:cs="Arial"/>
                <w:b/>
                <w:bCs/>
                <w:color w:val="000000"/>
                <w:sz w:val="22"/>
                <w:szCs w:val="22"/>
              </w:rPr>
              <w:t>Výše sankce</w:t>
            </w:r>
          </w:p>
        </w:tc>
      </w:tr>
      <w:tr w:rsidR="007E2D36" w:rsidRPr="007E2D36" w:rsidTr="00A2182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7E2D36" w:rsidRPr="007E2D36" w:rsidRDefault="007E2D36" w:rsidP="00A21829">
            <w:pPr>
              <w:keepNext/>
              <w:keepLines/>
              <w:jc w:val="center"/>
              <w:rPr>
                <w:rFonts w:ascii="Arial" w:hAnsi="Arial" w:cs="Arial"/>
                <w:b/>
                <w:bCs/>
                <w:color w:val="000000"/>
                <w:sz w:val="22"/>
                <w:szCs w:val="22"/>
              </w:rPr>
            </w:pPr>
            <w:r w:rsidRPr="007E2D36">
              <w:rPr>
                <w:rFonts w:ascii="Arial" w:hAnsi="Arial" w:cs="Arial"/>
                <w:b/>
                <w:bCs/>
                <w:color w:val="000000"/>
                <w:sz w:val="22"/>
                <w:szCs w:val="22"/>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7E2D36" w:rsidRPr="007E2D36" w:rsidRDefault="007E2D36" w:rsidP="00A21829">
            <w:pPr>
              <w:keepNext/>
              <w:keepLines/>
              <w:jc w:val="center"/>
              <w:rPr>
                <w:rFonts w:ascii="Arial" w:hAnsi="Arial" w:cs="Arial"/>
                <w:color w:val="000000"/>
                <w:sz w:val="22"/>
                <w:szCs w:val="22"/>
              </w:rPr>
            </w:pPr>
            <w:r w:rsidRPr="007E2D36">
              <w:rPr>
                <w:rFonts w:ascii="Arial" w:hAnsi="Arial" w:cs="Arial"/>
                <w:color w:val="000000"/>
                <w:sz w:val="22"/>
                <w:szCs w:val="22"/>
              </w:rPr>
              <w:t>A</w:t>
            </w:r>
          </w:p>
        </w:tc>
        <w:tc>
          <w:tcPr>
            <w:tcW w:w="2263" w:type="dxa"/>
            <w:tcBorders>
              <w:top w:val="nil"/>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rPr>
                <w:rFonts w:ascii="Arial" w:hAnsi="Arial" w:cs="Arial"/>
                <w:color w:val="000000"/>
                <w:sz w:val="22"/>
                <w:szCs w:val="22"/>
              </w:rPr>
            </w:pPr>
            <w:r w:rsidRPr="007E2D36">
              <w:rPr>
                <w:rFonts w:ascii="Arial" w:hAnsi="Arial" w:cs="Arial"/>
                <w:color w:val="000000"/>
                <w:sz w:val="22"/>
                <w:szCs w:val="22"/>
              </w:rPr>
              <w:t xml:space="preserve">Logo EU </w:t>
            </w:r>
            <w:r w:rsidRPr="007E2D36">
              <w:rPr>
                <w:rFonts w:ascii="Arial" w:hAnsi="Arial" w:cs="Arial"/>
                <w:color w:val="000000"/>
                <w:sz w:val="22"/>
                <w:szCs w:val="22"/>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rPr>
                <w:rFonts w:ascii="Arial" w:hAnsi="Arial" w:cs="Arial"/>
                <w:color w:val="000000"/>
                <w:sz w:val="22"/>
                <w:szCs w:val="22"/>
              </w:rPr>
            </w:pPr>
            <w:r w:rsidRPr="007E2D36">
              <w:rPr>
                <w:rFonts w:ascii="Arial" w:hAnsi="Arial" w:cs="Arial"/>
                <w:color w:val="000000"/>
                <w:sz w:val="22"/>
                <w:szCs w:val="22"/>
              </w:rPr>
              <w:t>chybí zcela</w:t>
            </w:r>
          </w:p>
        </w:tc>
        <w:tc>
          <w:tcPr>
            <w:tcW w:w="894" w:type="dxa"/>
            <w:tcBorders>
              <w:top w:val="nil"/>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rPr>
                <w:rFonts w:ascii="Arial" w:hAnsi="Arial" w:cs="Arial"/>
                <w:color w:val="000000"/>
                <w:sz w:val="22"/>
                <w:szCs w:val="22"/>
              </w:rPr>
            </w:pPr>
            <w:r w:rsidRPr="007E2D36">
              <w:rPr>
                <w:rFonts w:ascii="Arial" w:hAnsi="Arial" w:cs="Arial"/>
                <w:color w:val="000000"/>
                <w:sz w:val="22"/>
                <w:szCs w:val="22"/>
              </w:rPr>
              <w:t>0,6%</w:t>
            </w:r>
          </w:p>
        </w:tc>
      </w:tr>
      <w:tr w:rsidR="007E2D36" w:rsidRPr="007E2D36" w:rsidTr="00A21829">
        <w:trPr>
          <w:trHeight w:val="2349"/>
        </w:trPr>
        <w:tc>
          <w:tcPr>
            <w:tcW w:w="2106" w:type="dxa"/>
            <w:vMerge/>
            <w:tcBorders>
              <w:top w:val="nil"/>
              <w:left w:val="single" w:sz="4" w:space="0" w:color="auto"/>
              <w:bottom w:val="single" w:sz="4" w:space="0" w:color="auto"/>
              <w:right w:val="single" w:sz="4" w:space="0" w:color="auto"/>
            </w:tcBorders>
            <w:vAlign w:val="center"/>
            <w:hideMark/>
          </w:tcPr>
          <w:p w:rsidR="007E2D36" w:rsidRPr="007E2D36" w:rsidRDefault="007E2D36" w:rsidP="00A21829">
            <w:pPr>
              <w:keepNext/>
              <w:keepLines/>
              <w:rPr>
                <w:rFonts w:ascii="Arial" w:hAnsi="Arial" w:cs="Arial"/>
                <w:b/>
                <w:bCs/>
                <w:color w:val="000000"/>
                <w:sz w:val="22"/>
                <w:szCs w:val="22"/>
              </w:rPr>
            </w:pPr>
          </w:p>
        </w:tc>
        <w:tc>
          <w:tcPr>
            <w:tcW w:w="1155" w:type="dxa"/>
            <w:tcBorders>
              <w:top w:val="nil"/>
              <w:left w:val="nil"/>
              <w:bottom w:val="single" w:sz="4" w:space="0" w:color="auto"/>
              <w:right w:val="single" w:sz="4" w:space="0" w:color="auto"/>
            </w:tcBorders>
            <w:shd w:val="clear" w:color="auto" w:fill="auto"/>
            <w:vAlign w:val="center"/>
            <w:hideMark/>
          </w:tcPr>
          <w:p w:rsidR="007E2D36" w:rsidRPr="007E2D36" w:rsidRDefault="007E2D36" w:rsidP="00A21829">
            <w:pPr>
              <w:keepNext/>
              <w:keepLines/>
              <w:jc w:val="center"/>
              <w:rPr>
                <w:rFonts w:ascii="Arial" w:hAnsi="Arial" w:cs="Arial"/>
                <w:color w:val="000000"/>
                <w:sz w:val="22"/>
                <w:szCs w:val="22"/>
              </w:rPr>
            </w:pPr>
            <w:r w:rsidRPr="007E2D36">
              <w:rPr>
                <w:rFonts w:ascii="Arial" w:hAnsi="Arial" w:cs="Arial"/>
                <w:color w:val="000000"/>
                <w:sz w:val="22"/>
                <w:szCs w:val="22"/>
              </w:rPr>
              <w:t>B</w:t>
            </w:r>
          </w:p>
        </w:tc>
        <w:tc>
          <w:tcPr>
            <w:tcW w:w="2263" w:type="dxa"/>
            <w:tcBorders>
              <w:top w:val="nil"/>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rPr>
                <w:rFonts w:ascii="Arial" w:hAnsi="Arial" w:cs="Arial"/>
                <w:color w:val="000000"/>
                <w:sz w:val="22"/>
                <w:szCs w:val="22"/>
              </w:rPr>
            </w:pPr>
            <w:r w:rsidRPr="007E2D36">
              <w:rPr>
                <w:rFonts w:ascii="Arial" w:hAnsi="Arial" w:cs="Arial"/>
                <w:color w:val="000000"/>
                <w:sz w:val="22"/>
                <w:szCs w:val="22"/>
              </w:rPr>
              <w:t>Logo EU (znak EU včetně všech povinných odkazů / textů)</w:t>
            </w:r>
            <w:r w:rsidRPr="007E2D36">
              <w:rPr>
                <w:rFonts w:ascii="Arial" w:hAnsi="Arial" w:cs="Arial"/>
                <w:color w:val="000000"/>
                <w:sz w:val="22"/>
                <w:szCs w:val="22"/>
              </w:rPr>
              <w:br/>
            </w:r>
            <w:r w:rsidRPr="007E2D36">
              <w:rPr>
                <w:rFonts w:ascii="Arial" w:hAnsi="Arial" w:cs="Arial"/>
                <w:color w:val="000000"/>
                <w:sz w:val="22"/>
                <w:szCs w:val="22"/>
              </w:rPr>
              <w:br/>
              <w:t>informace na internetové stránce, pokud taková existuje</w:t>
            </w:r>
            <w:r w:rsidR="000A644A">
              <w:rPr>
                <w:rStyle w:val="Znakapoznpodarou"/>
                <w:rFonts w:ascii="Arial" w:hAnsi="Arial" w:cs="Arial"/>
                <w:color w:val="000000"/>
                <w:sz w:val="22"/>
                <w:szCs w:val="22"/>
              </w:rPr>
              <w:footnoteReference w:id="11"/>
            </w:r>
          </w:p>
        </w:tc>
        <w:tc>
          <w:tcPr>
            <w:tcW w:w="1807" w:type="dxa"/>
            <w:tcBorders>
              <w:top w:val="nil"/>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rPr>
                <w:rFonts w:ascii="Arial" w:hAnsi="Arial" w:cs="Arial"/>
                <w:color w:val="000000"/>
                <w:sz w:val="22"/>
                <w:szCs w:val="22"/>
              </w:rPr>
            </w:pPr>
            <w:r w:rsidRPr="007E2D36">
              <w:rPr>
                <w:rFonts w:ascii="Arial" w:hAnsi="Arial" w:cs="Arial"/>
                <w:color w:val="000000"/>
                <w:sz w:val="22"/>
                <w:szCs w:val="22"/>
              </w:rPr>
              <w:t>je uveden chybně</w:t>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7E2D36" w:rsidRPr="007E2D36" w:rsidRDefault="007E2D36" w:rsidP="00A21829">
            <w:pPr>
              <w:keepNext/>
              <w:keepLines/>
              <w:rPr>
                <w:rFonts w:ascii="Arial" w:hAnsi="Arial" w:cs="Arial"/>
                <w:color w:val="000000"/>
                <w:sz w:val="22"/>
                <w:szCs w:val="22"/>
              </w:rPr>
            </w:pPr>
            <w:r w:rsidRPr="007E2D36">
              <w:rPr>
                <w:rFonts w:ascii="Arial" w:hAnsi="Arial" w:cs="Arial"/>
                <w:color w:val="000000"/>
                <w:sz w:val="22"/>
                <w:szCs w:val="22"/>
              </w:rPr>
              <w:t>0,4%</w:t>
            </w:r>
          </w:p>
        </w:tc>
      </w:tr>
    </w:tbl>
    <w:p w:rsidR="00F22800" w:rsidRPr="00A21829" w:rsidRDefault="00F22800" w:rsidP="00A21829">
      <w:pPr>
        <w:keepNext/>
        <w:keepLines/>
        <w:spacing w:after="120"/>
        <w:ind w:firstLine="709"/>
        <w:rPr>
          <w:rFonts w:cs="Arial"/>
          <w:b/>
          <w:sz w:val="24"/>
          <w:szCs w:val="24"/>
        </w:rPr>
      </w:pPr>
    </w:p>
    <w:p w:rsidR="00CC05C3" w:rsidRPr="00BD3755" w:rsidRDefault="00CC05C3" w:rsidP="00A21829">
      <w:pPr>
        <w:widowControl w:val="0"/>
        <w:spacing w:after="120"/>
        <w:ind w:left="765" w:right="-2"/>
        <w:jc w:val="both"/>
        <w:rPr>
          <w:snapToGrid w:val="0"/>
          <w:sz w:val="24"/>
        </w:rPr>
      </w:pP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 xml:space="preserve">Příjemce postupuje v souladu s Programovým dokumentem OPTP a řídí se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jen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jen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w:t>
      </w:r>
      <w:r w:rsidRPr="0028724B">
        <w:rPr>
          <w:snapToGrid w:val="0"/>
          <w:sz w:val="24"/>
          <w:szCs w:val="24"/>
        </w:rPr>
        <w:lastRenderedPageBreak/>
        <w:t>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w:t>
      </w:r>
      <w:proofErr w:type="gramStart"/>
      <w:r>
        <w:rPr>
          <w:snapToGrid w:val="0"/>
          <w:sz w:val="24"/>
        </w:rPr>
        <w:t>…..dne</w:t>
      </w:r>
      <w:proofErr w:type="gramEnd"/>
      <w:r>
        <w:rPr>
          <w:snapToGrid w:val="0"/>
          <w:sz w:val="24"/>
        </w:rPr>
        <w:t>………….20…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w:t>
      </w:r>
      <w:proofErr w:type="gramStart"/>
      <w:r>
        <w:rPr>
          <w:snapToGrid w:val="0"/>
          <w:sz w:val="24"/>
        </w:rPr>
        <w:t>….dne</w:t>
      </w:r>
      <w:proofErr w:type="gramEnd"/>
      <w:r>
        <w:rPr>
          <w:snapToGrid w:val="0"/>
          <w:sz w:val="24"/>
        </w:rPr>
        <w:t xml:space="preserve">…………..20..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1D10BD">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FD" w:rsidRDefault="004442FD">
      <w:r>
        <w:separator/>
      </w:r>
    </w:p>
  </w:endnote>
  <w:endnote w:type="continuationSeparator" w:id="0">
    <w:p w:rsidR="004442FD" w:rsidRDefault="0044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ab/>
    </w:r>
    <w:r>
      <w:rPr>
        <w:snapToGrid w:val="0"/>
      </w:rPr>
      <w:tab/>
    </w:r>
  </w:p>
  <w:p w:rsidR="004442FD" w:rsidRDefault="004442F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Registrační číslo projektu:………………………</w:t>
    </w:r>
    <w:proofErr w:type="gramStart"/>
    <w:r>
      <w:rPr>
        <w:snapToGrid w:val="0"/>
      </w:rPr>
      <w:t>…..</w:t>
    </w:r>
    <w:r>
      <w:rPr>
        <w:snapToGrid w:val="0"/>
      </w:rPr>
      <w:tab/>
    </w:r>
    <w:r>
      <w:rPr>
        <w:snapToGrid w:val="0"/>
      </w:rPr>
      <w:tab/>
    </w:r>
    <w:r w:rsidRPr="00FE72D5">
      <w:rPr>
        <w:snapToGrid w:val="0"/>
        <w:sz w:val="22"/>
        <w:szCs w:val="22"/>
      </w:rPr>
      <w:t>Strana</w:t>
    </w:r>
    <w:proofErr w:type="gramEnd"/>
    <w:r w:rsidRPr="00FE72D5">
      <w:rPr>
        <w:snapToGrid w:val="0"/>
        <w:sz w:val="22"/>
        <w:szCs w:val="22"/>
      </w:rPr>
      <w:t xml:space="preserve">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84665C">
      <w:rPr>
        <w:noProof/>
        <w:snapToGrid w:val="0"/>
        <w:sz w:val="22"/>
        <w:szCs w:val="22"/>
      </w:rPr>
      <w:t>5</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84665C">
      <w:rPr>
        <w:noProof/>
        <w:snapToGrid w:val="0"/>
        <w:sz w:val="22"/>
        <w:szCs w:val="22"/>
      </w:rPr>
      <w:t>15</w:t>
    </w:r>
    <w:r w:rsidRPr="00FE72D5">
      <w:rPr>
        <w:snapToGrid w:val="0"/>
        <w:sz w:val="22"/>
        <w:szCs w:val="22"/>
      </w:rPr>
      <w:fldChar w:fldCharType="end"/>
    </w:r>
  </w:p>
  <w:p w:rsidR="004442FD" w:rsidRDefault="004442F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FD" w:rsidRDefault="004442FD">
      <w:r>
        <w:separator/>
      </w:r>
    </w:p>
  </w:footnote>
  <w:footnote w:type="continuationSeparator" w:id="0">
    <w:p w:rsidR="004442FD" w:rsidRDefault="004442FD">
      <w:r>
        <w:continuationSeparator/>
      </w:r>
    </w:p>
  </w:footnote>
  <w:footnote w:id="1">
    <w:p w:rsidR="004442FD" w:rsidRPr="00A21829" w:rsidRDefault="004442FD"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4442FD" w:rsidRPr="005C40F1" w:rsidRDefault="004442FD" w:rsidP="00DD4802">
      <w:pPr>
        <w:pStyle w:val="Textpoznpodarou"/>
        <w:jc w:val="both"/>
      </w:pPr>
      <w:r w:rsidRPr="005C40F1">
        <w:rPr>
          <w:rStyle w:val="Znakapoznpodarou"/>
        </w:rPr>
        <w:footnoteRef/>
      </w:r>
      <w:r w:rsidRPr="005C40F1">
        <w:t xml:space="preserve"> Podle ustanovení § 44 odst. 2 písm. e) zákona č. 218/2000 Sb., o rozpočtových pravidlech, ve znění pozdějších předpisů; </w:t>
      </w:r>
    </w:p>
  </w:footnote>
  <w:footnote w:id="3">
    <w:p w:rsidR="004442FD" w:rsidRDefault="004442FD" w:rsidP="00DD4802">
      <w:pPr>
        <w:pStyle w:val="Textpoznpodarou"/>
        <w:jc w:val="both"/>
      </w:pPr>
      <w:r w:rsidRPr="005C40F1">
        <w:rPr>
          <w:rStyle w:val="Znakapoznpodarou"/>
        </w:rPr>
        <w:footnoteRef/>
      </w:r>
      <w:r w:rsidRPr="005C40F1">
        <w:t xml:space="preserve"> Podle ustanovení § 44 odst. 2 písm. i) zákona č. 218/2000 Sb., o rozpočtových pravidlech, ve znění pozdějších předpisů.</w:t>
      </w:r>
    </w:p>
  </w:footnote>
  <w:footnote w:id="4">
    <w:p w:rsidR="004442FD" w:rsidRDefault="004442FD" w:rsidP="00A21829">
      <w:pPr>
        <w:pStyle w:val="Textkomente"/>
        <w:jc w:val="both"/>
      </w:pPr>
      <w:r w:rsidRPr="005362D6">
        <w:rPr>
          <w:rStyle w:val="Znakapoznpodarou"/>
        </w:rPr>
        <w:footnoteRef/>
      </w:r>
      <w:r w:rsidRPr="005362D6">
        <w:t xml:space="preserve"> Povinnost vést odpovídající účetní kód pro všechny transakce související s operací je stanovena v </w:t>
      </w:r>
      <w:r w:rsidRPr="00BD6D55">
        <w:t xml:space="preserve">čl. </w:t>
      </w:r>
      <w:r>
        <w:t>125</w:t>
      </w:r>
      <w:r w:rsidRPr="00BD6D55">
        <w:t xml:space="preserve"> </w:t>
      </w:r>
      <w:proofErr w:type="gramStart"/>
      <w:r w:rsidRPr="00BD6D55">
        <w:t>odst. d)</w:t>
      </w:r>
      <w:r>
        <w:t xml:space="preserve">, e) </w:t>
      </w:r>
      <w:r w:rsidRPr="00BD6D55">
        <w:t xml:space="preserve"> </w:t>
      </w:r>
      <w:r w:rsidRPr="00BD6D55">
        <w:rPr>
          <w:snapToGrid w:val="0"/>
        </w:rPr>
        <w:t>Nařízení</w:t>
      </w:r>
      <w:proofErr w:type="gramEnd"/>
      <w:r w:rsidRPr="00BD6D55">
        <w:rPr>
          <w:snapToGrid w:val="0"/>
        </w:rPr>
        <w:t xml:space="preserve"> Rady (ES) č. </w:t>
      </w:r>
      <w:r>
        <w:rPr>
          <w:snapToGrid w:val="0"/>
        </w:rPr>
        <w:t>1</w:t>
      </w:r>
      <w:r w:rsidRPr="00BD6D55">
        <w:rPr>
          <w:snapToGrid w:val="0"/>
        </w:rPr>
        <w:t>3</w:t>
      </w:r>
      <w:r>
        <w:rPr>
          <w:snapToGrid w:val="0"/>
        </w:rPr>
        <w:t>03</w:t>
      </w:r>
      <w:r w:rsidRPr="00BD6D55">
        <w:rPr>
          <w:snapToGrid w:val="0"/>
        </w:rPr>
        <w:t>/20</w:t>
      </w:r>
      <w:r>
        <w:rPr>
          <w:snapToGrid w:val="0"/>
        </w:rPr>
        <w:t>13</w:t>
      </w:r>
      <w:r w:rsidRPr="00BD6D55">
        <w:t>.</w:t>
      </w:r>
      <w:r>
        <w:t xml:space="preserve"> </w:t>
      </w:r>
    </w:p>
    <w:p w:rsidR="004442FD" w:rsidRDefault="004442FD" w:rsidP="00056BB6">
      <w:pPr>
        <w:pStyle w:val="Textpoznpodarou"/>
      </w:pPr>
    </w:p>
  </w:footnote>
  <w:footnote w:id="5">
    <w:p w:rsidR="004442FD" w:rsidRPr="005C40F1" w:rsidRDefault="004442F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C342AC" w:rsidRPr="005C40F1" w:rsidRDefault="00C342AC" w:rsidP="005C40F1">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C342AC" w:rsidRPr="005C40F1" w:rsidRDefault="00C342AC" w:rsidP="005C40F1">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8">
    <w:p w:rsidR="00C342AC" w:rsidRPr="00A21829" w:rsidRDefault="00C342AC" w:rsidP="005C40F1">
      <w:pPr>
        <w:pStyle w:val="Textpoznpodarou"/>
        <w:jc w:val="both"/>
        <w:rPr>
          <w:sz w:val="18"/>
          <w:szCs w:val="18"/>
        </w:rPr>
      </w:pPr>
      <w:r w:rsidRPr="005C40F1">
        <w:rPr>
          <w:rStyle w:val="Znakapoznpodarou"/>
        </w:rPr>
        <w:footnoteRef/>
      </w:r>
      <w:r w:rsidRPr="005C40F1">
        <w:t xml:space="preserve"> </w:t>
      </w:r>
      <w:r w:rsidRPr="00A21829">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A21829">
        <w:rPr>
          <w:sz w:val="18"/>
          <w:szCs w:val="18"/>
        </w:rPr>
        <w:t xml:space="preserve">  </w:t>
      </w:r>
    </w:p>
  </w:footnote>
  <w:footnote w:id="9">
    <w:p w:rsidR="004442FD" w:rsidRPr="005C40F1" w:rsidRDefault="004442F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10">
    <w:p w:rsidR="004442FD" w:rsidRPr="005C40F1" w:rsidRDefault="004442F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1">
    <w:p w:rsidR="000A644A" w:rsidRDefault="000A644A" w:rsidP="005C40F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00776F">
    <w:pPr>
      <w:pStyle w:val="Zhlav"/>
      <w:ind w:right="360"/>
      <w:jc w:val="center"/>
    </w:pPr>
    <w:r>
      <w:rPr>
        <w:noProof/>
      </w:rPr>
      <w:drawing>
        <wp:anchor distT="0" distB="0" distL="114300" distR="114300" simplePos="0" relativeHeight="251659264" behindDoc="0" locked="0" layoutInCell="1" allowOverlap="1" wp14:anchorId="273D104C" wp14:editId="6CA6F099">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3E79"/>
    <w:rsid w:val="00134D5A"/>
    <w:rsid w:val="0013566B"/>
    <w:rsid w:val="00140632"/>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4C4B"/>
    <w:rsid w:val="001C5976"/>
    <w:rsid w:val="001C6819"/>
    <w:rsid w:val="001C7078"/>
    <w:rsid w:val="001D10BD"/>
    <w:rsid w:val="001D301E"/>
    <w:rsid w:val="001D31DC"/>
    <w:rsid w:val="001D42B8"/>
    <w:rsid w:val="001D4A15"/>
    <w:rsid w:val="001D4E3F"/>
    <w:rsid w:val="001D51AA"/>
    <w:rsid w:val="001D57EA"/>
    <w:rsid w:val="001D65F7"/>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C0E28"/>
    <w:rsid w:val="004C18AA"/>
    <w:rsid w:val="004C3EC1"/>
    <w:rsid w:val="004D0257"/>
    <w:rsid w:val="004D05C7"/>
    <w:rsid w:val="004D353D"/>
    <w:rsid w:val="004D37A1"/>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6F7"/>
    <w:rsid w:val="006C5EA4"/>
    <w:rsid w:val="006C6493"/>
    <w:rsid w:val="006C6E39"/>
    <w:rsid w:val="006D0786"/>
    <w:rsid w:val="006D2E83"/>
    <w:rsid w:val="006D63EB"/>
    <w:rsid w:val="006D6D0D"/>
    <w:rsid w:val="006D71B1"/>
    <w:rsid w:val="006E0106"/>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E0CC6"/>
    <w:rsid w:val="008E0D03"/>
    <w:rsid w:val="008E1769"/>
    <w:rsid w:val="008E213E"/>
    <w:rsid w:val="008E3ABD"/>
    <w:rsid w:val="008E5D9B"/>
    <w:rsid w:val="008E6DEA"/>
    <w:rsid w:val="008E6F29"/>
    <w:rsid w:val="008F033A"/>
    <w:rsid w:val="008F07E6"/>
    <w:rsid w:val="008F0C1A"/>
    <w:rsid w:val="008F10BD"/>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A0F1C"/>
    <w:rsid w:val="009A13CC"/>
    <w:rsid w:val="009A55E2"/>
    <w:rsid w:val="009A5760"/>
    <w:rsid w:val="009A72B7"/>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E0CC9"/>
    <w:rsid w:val="009E7953"/>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300DD"/>
    <w:rsid w:val="00A30D9D"/>
    <w:rsid w:val="00A31398"/>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2303"/>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4BFD-C5FF-4BDB-8BB9-BD108597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4958</Words>
  <Characters>29062</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4</cp:revision>
  <cp:lastPrinted>2014-06-02T11:10:00Z</cp:lastPrinted>
  <dcterms:created xsi:type="dcterms:W3CDTF">2015-07-01T08:29:00Z</dcterms:created>
  <dcterms:modified xsi:type="dcterms:W3CDTF">2015-07-01T09:31:00Z</dcterms:modified>
</cp:coreProperties>
</file>