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DC63D3">
        <w:rPr>
          <w:b/>
          <w:sz w:val="28"/>
          <w:szCs w:val="28"/>
        </w:rPr>
        <w:t xml:space="preserve">Vydání </w:t>
      </w:r>
      <w:r w:rsidR="00DC63D3" w:rsidRPr="008D7E78">
        <w:rPr>
          <w:b/>
          <w:sz w:val="28"/>
          <w:szCs w:val="28"/>
        </w:rPr>
        <w:t>2</w:t>
      </w:r>
      <w:r w:rsidRPr="00DC63D3">
        <w:rPr>
          <w:b/>
          <w:sz w:val="28"/>
          <w:szCs w:val="28"/>
        </w:rPr>
        <w:t>/</w:t>
      </w:r>
      <w:r w:rsidR="00DC63D3" w:rsidRPr="008D7E78">
        <w:rPr>
          <w:b/>
          <w:sz w:val="28"/>
          <w:szCs w:val="28"/>
        </w:rPr>
        <w:t>0</w:t>
      </w:r>
      <w:r w:rsidRPr="00DC63D3">
        <w:rPr>
          <w:b/>
          <w:sz w:val="28"/>
          <w:szCs w:val="28"/>
        </w:rPr>
        <w:t>, platnost</w:t>
      </w:r>
      <w:r w:rsidR="00703A01" w:rsidRPr="00DC63D3">
        <w:rPr>
          <w:b/>
          <w:sz w:val="28"/>
          <w:szCs w:val="28"/>
        </w:rPr>
        <w:t xml:space="preserve"> od </w:t>
      </w:r>
      <w:r w:rsidR="00DC63D3" w:rsidRPr="008D7E78">
        <w:rPr>
          <w:b/>
          <w:sz w:val="28"/>
          <w:szCs w:val="28"/>
        </w:rPr>
        <w:t>2</w:t>
      </w:r>
      <w:r w:rsidR="00C72CFD" w:rsidRPr="00DC63D3">
        <w:rPr>
          <w:b/>
          <w:sz w:val="28"/>
          <w:szCs w:val="28"/>
        </w:rPr>
        <w:t>1</w:t>
      </w:r>
      <w:r w:rsidR="00703A01" w:rsidRPr="00DC63D3">
        <w:rPr>
          <w:b/>
          <w:sz w:val="28"/>
          <w:szCs w:val="28"/>
        </w:rPr>
        <w:t xml:space="preserve">. </w:t>
      </w:r>
      <w:r w:rsidR="00DC63D3" w:rsidRPr="008D7E78">
        <w:rPr>
          <w:b/>
          <w:sz w:val="28"/>
          <w:szCs w:val="28"/>
        </w:rPr>
        <w:t>02</w:t>
      </w:r>
      <w:r w:rsidR="00703A01" w:rsidRPr="00DC63D3">
        <w:rPr>
          <w:b/>
          <w:sz w:val="28"/>
          <w:szCs w:val="28"/>
        </w:rPr>
        <w:t>. 201</w:t>
      </w:r>
      <w:r w:rsidR="00DC63D3" w:rsidRPr="008D7E78">
        <w:rPr>
          <w:b/>
          <w:sz w:val="28"/>
          <w:szCs w:val="28"/>
        </w:rPr>
        <w:t>7</w:t>
      </w:r>
      <w:r w:rsidRPr="00DC63D3">
        <w:rPr>
          <w:b/>
          <w:sz w:val="28"/>
          <w:szCs w:val="28"/>
        </w:rPr>
        <w:t xml:space="preserve"> a účinnost od </w:t>
      </w:r>
      <w:r w:rsidR="00DC63D3" w:rsidRPr="008D7E78">
        <w:rPr>
          <w:b/>
          <w:sz w:val="28"/>
          <w:szCs w:val="28"/>
        </w:rPr>
        <w:t>0</w:t>
      </w:r>
      <w:r w:rsidR="00703A01" w:rsidRPr="00DC63D3">
        <w:rPr>
          <w:b/>
          <w:sz w:val="28"/>
          <w:szCs w:val="28"/>
        </w:rPr>
        <w:t>1</w:t>
      </w:r>
      <w:r w:rsidRPr="00DC63D3">
        <w:rPr>
          <w:b/>
          <w:sz w:val="28"/>
          <w:szCs w:val="28"/>
        </w:rPr>
        <w:t xml:space="preserve">. </w:t>
      </w:r>
      <w:r w:rsidR="00DC63D3" w:rsidRPr="008D7E78">
        <w:rPr>
          <w:b/>
          <w:sz w:val="28"/>
          <w:szCs w:val="28"/>
        </w:rPr>
        <w:t>03</w:t>
      </w:r>
      <w:r w:rsidRPr="00DC63D3">
        <w:rPr>
          <w:b/>
          <w:sz w:val="28"/>
          <w:szCs w:val="28"/>
        </w:rPr>
        <w:t>. 201</w:t>
      </w:r>
      <w:r w:rsidR="00DC63D3" w:rsidRPr="00DC63D3">
        <w:rPr>
          <w:b/>
          <w:sz w:val="28"/>
          <w:szCs w:val="28"/>
        </w:rPr>
        <w:t>7</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pžp</w:t>
      </w:r>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Pr="00E716FD">
        <w:rPr>
          <w:rFonts w:ascii="Arial" w:hAnsi="Arial" w:cs="Arial"/>
          <w:sz w:val="22"/>
          <w:szCs w:val="22"/>
        </w:rPr>
        <w:t>zakázek, systém elektronických tržišť upravuje usnesení vlády č. 343 ze dne 10. 5. 2010.</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18198F" w:rsidP="000112DB">
      <w:pPr>
        <w:spacing w:before="240" w:after="240"/>
        <w:jc w:val="both"/>
        <w:rPr>
          <w:rFonts w:ascii="Arial" w:hAnsi="Arial" w:cs="Arial"/>
          <w:sz w:val="22"/>
          <w:szCs w:val="22"/>
        </w:rPr>
      </w:pPr>
      <w:r w:rsidRPr="0018198F">
        <w:rPr>
          <w:rFonts w:ascii="Arial" w:hAnsi="Arial" w:cs="Arial"/>
          <w:sz w:val="22"/>
          <w:szCs w:val="22"/>
        </w:rPr>
        <w:t>Zadávání zakázek, které nejsou zadávány podle postupů stanovených v zákoně č. 13</w:t>
      </w:r>
      <w:r w:rsidR="001F2963">
        <w:rPr>
          <w:rFonts w:ascii="Arial" w:hAnsi="Arial" w:cs="Arial"/>
          <w:sz w:val="22"/>
          <w:szCs w:val="22"/>
        </w:rPr>
        <w:t>4</w:t>
      </w:r>
      <w:r w:rsidRPr="0018198F">
        <w:rPr>
          <w:rFonts w:ascii="Arial" w:hAnsi="Arial" w:cs="Arial"/>
          <w:sz w:val="22"/>
          <w:szCs w:val="22"/>
        </w:rPr>
        <w:t>/20</w:t>
      </w:r>
      <w:r w:rsidR="001F2963">
        <w:rPr>
          <w:rFonts w:ascii="Arial" w:hAnsi="Arial" w:cs="Arial"/>
          <w:sz w:val="22"/>
          <w:szCs w:val="22"/>
        </w:rPr>
        <w:t>1</w:t>
      </w:r>
      <w:r w:rsidRPr="0018198F">
        <w:rPr>
          <w:rFonts w:ascii="Arial" w:hAnsi="Arial" w:cs="Arial"/>
          <w:sz w:val="22"/>
          <w:szCs w:val="22"/>
        </w:rPr>
        <w:t xml:space="preserve">6 Sb., o </w:t>
      </w:r>
      <w:r w:rsidR="001F2963">
        <w:rPr>
          <w:rFonts w:ascii="Arial" w:hAnsi="Arial" w:cs="Arial"/>
          <w:sz w:val="22"/>
          <w:szCs w:val="22"/>
        </w:rPr>
        <w:t xml:space="preserve">zadávání </w:t>
      </w:r>
      <w:r w:rsidRPr="0018198F">
        <w:rPr>
          <w:rFonts w:ascii="Arial" w:hAnsi="Arial" w:cs="Arial"/>
          <w:sz w:val="22"/>
          <w:szCs w:val="22"/>
        </w:rPr>
        <w:t>veřejných zakáz</w:t>
      </w:r>
      <w:r w:rsidR="001F2963">
        <w:rPr>
          <w:rFonts w:ascii="Arial" w:hAnsi="Arial" w:cs="Arial"/>
          <w:sz w:val="22"/>
          <w:szCs w:val="22"/>
        </w:rPr>
        <w:t>e</w:t>
      </w:r>
      <w:r w:rsidRPr="0018198F">
        <w:rPr>
          <w:rFonts w:ascii="Arial" w:hAnsi="Arial" w:cs="Arial"/>
          <w:sz w:val="22"/>
          <w:szCs w:val="22"/>
        </w:rPr>
        <w:t>k</w:t>
      </w:r>
      <w:r w:rsidR="00113215">
        <w:rPr>
          <w:rFonts w:ascii="Arial" w:hAnsi="Arial" w:cs="Arial"/>
          <w:sz w:val="22"/>
          <w:szCs w:val="22"/>
        </w:rPr>
        <w:t xml:space="preserve">, </w:t>
      </w:r>
      <w:r w:rsidRPr="0018198F">
        <w:rPr>
          <w:rFonts w:ascii="Arial" w:hAnsi="Arial" w:cs="Arial"/>
          <w:sz w:val="22"/>
          <w:szCs w:val="22"/>
        </w:rPr>
        <w:t>jehož účelem je zadání zakázky, a to až do uzavření smlouvy nebo do zrušení výběrového řízení. Postupy a problematiku výběrových řízení upravuje Metodický pokyn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p>
    <w:p w:rsidR="005815D8" w:rsidRPr="00E716FD" w:rsidRDefault="005815D8" w:rsidP="000112DB">
      <w:pPr>
        <w:spacing w:before="240" w:after="240"/>
        <w:jc w:val="both"/>
        <w:rPr>
          <w:rFonts w:ascii="Arial" w:hAnsi="Arial" w:cs="Arial"/>
          <w:sz w:val="22"/>
          <w:szCs w:val="22"/>
        </w:rPr>
      </w:pPr>
    </w:p>
    <w:p w:rsidR="002A4839" w:rsidRDefault="002A4839" w:rsidP="00E716FD">
      <w:pPr>
        <w:rPr>
          <w:rFonts w:ascii="Arial" w:hAnsi="Arial" w:cs="Arial"/>
          <w:b/>
          <w:sz w:val="22"/>
          <w:szCs w:val="22"/>
        </w:rPr>
      </w:pPr>
      <w:r>
        <w:rPr>
          <w:b/>
        </w:rPr>
        <w:br w:type="page"/>
      </w:r>
    </w:p>
    <w:p w:rsidR="00CC728B" w:rsidRDefault="00CC728B" w:rsidP="008D7E78">
      <w:pPr>
        <w:pStyle w:val="Odstavecseseznamem"/>
        <w:ind w:left="432"/>
        <w:jc w:val="center"/>
        <w:rPr>
          <w:b/>
        </w:rPr>
      </w:pPr>
    </w:p>
    <w:bookmarkEnd w:id="3"/>
    <w:bookmarkEnd w:id="4"/>
    <w:bookmarkEnd w:id="5"/>
    <w:bookmarkEnd w:id="6"/>
    <w:p w:rsidR="00CC728B" w:rsidRPr="008D7E78" w:rsidRDefault="00CC728B" w:rsidP="008D7E78">
      <w:pPr>
        <w:pStyle w:val="Odstavecseseznamem"/>
        <w:ind w:left="432"/>
        <w:jc w:val="center"/>
        <w:rPr>
          <w:rFonts w:ascii="Arial" w:hAnsi="Arial" w:cs="Arial"/>
          <w:b/>
          <w:iCs/>
          <w:color w:val="231F20"/>
          <w:sz w:val="26"/>
          <w:szCs w:val="26"/>
          <w:u w:val="single"/>
        </w:rPr>
      </w:pPr>
      <w:r w:rsidRPr="008D7E78">
        <w:rPr>
          <w:rFonts w:ascii="Arial" w:hAnsi="Arial" w:cs="Arial"/>
          <w:b/>
          <w:iCs/>
          <w:color w:val="231F20"/>
          <w:sz w:val="26"/>
          <w:szCs w:val="26"/>
          <w:u w:val="single"/>
        </w:rPr>
        <w:t>Stanovisko ŘO OPTP k postupu dle PŽP po nabytí účinnosti zákona č 134/2016 Sb., o zadávání veřejných zakázek</w:t>
      </w:r>
    </w:p>
    <w:p w:rsidR="00CC728B" w:rsidRPr="00D72393" w:rsidRDefault="00CC728B" w:rsidP="008D7E78">
      <w:pPr>
        <w:pStyle w:val="Odstavecseseznamem"/>
        <w:ind w:left="432"/>
        <w:rPr>
          <w:rFonts w:ascii="Arial" w:hAnsi="Arial" w:cs="Arial"/>
          <w:b/>
          <w:u w:val="single"/>
        </w:rPr>
      </w:pPr>
    </w:p>
    <w:p w:rsidR="009D1BAC" w:rsidRDefault="00CC728B" w:rsidP="008D7E78">
      <w:pPr>
        <w:pStyle w:val="Odstavecseseznamem"/>
        <w:ind w:left="0"/>
        <w:jc w:val="both"/>
        <w:rPr>
          <w:rFonts w:ascii="Arial" w:hAnsi="Arial" w:cs="Arial"/>
          <w:i/>
          <w:iCs/>
          <w:color w:val="231F20"/>
          <w:sz w:val="22"/>
          <w:szCs w:val="22"/>
        </w:rPr>
      </w:pPr>
      <w:r w:rsidRPr="008D7E78">
        <w:rPr>
          <w:rFonts w:ascii="Arial" w:hAnsi="Arial" w:cs="Arial"/>
          <w:i/>
          <w:iCs/>
          <w:color w:val="231F20"/>
          <w:sz w:val="22"/>
          <w:szCs w:val="22"/>
        </w:rPr>
        <w:t xml:space="preserve">Dne 1. října 2016 nabyl účinnosti zákon č. 134/2016 Sb., o zadávání veřejných zakázek (dále jen „ZZVZ“), který nahradil zákon č. 137/2006 Sb., o veřejných zakázkách, ve znění pozdějších předpisů (dále jen „ZVZ“). </w:t>
      </w:r>
    </w:p>
    <w:p w:rsidR="00CC728B" w:rsidRPr="008D7E78" w:rsidRDefault="00CC728B" w:rsidP="008D7E78">
      <w:pPr>
        <w:pStyle w:val="Odstavecseseznamem"/>
        <w:ind w:left="432"/>
        <w:jc w:val="both"/>
        <w:rPr>
          <w:rFonts w:ascii="Arial" w:hAnsi="Arial" w:cs="Arial"/>
          <w:i/>
          <w:iCs/>
          <w:color w:val="231F20"/>
          <w:sz w:val="22"/>
          <w:szCs w:val="22"/>
        </w:rPr>
      </w:pPr>
    </w:p>
    <w:p w:rsidR="00CC728B" w:rsidRPr="008D7E78" w:rsidRDefault="00CC728B" w:rsidP="008D7E78">
      <w:pPr>
        <w:pStyle w:val="Odstavecseseznamem"/>
        <w:ind w:left="0"/>
        <w:jc w:val="both"/>
        <w:rPr>
          <w:rFonts w:ascii="Arial" w:hAnsi="Arial" w:cs="Arial"/>
          <w:i/>
          <w:iCs/>
          <w:color w:val="231F20"/>
          <w:sz w:val="22"/>
          <w:szCs w:val="22"/>
        </w:rPr>
      </w:pPr>
      <w:r w:rsidRPr="008D7E78">
        <w:rPr>
          <w:rFonts w:ascii="Arial" w:hAnsi="Arial" w:cs="Arial"/>
          <w:i/>
          <w:iCs/>
          <w:color w:val="231F20"/>
          <w:sz w:val="22"/>
          <w:szCs w:val="22"/>
        </w:rPr>
        <w:t>Část A. této Přílohy č. 14 PŽP, jež upravuje veřejné zakázky zadávané podle ZZVZ, je plně v souladu s ustanoveními ZZVZ a zadavatel je povinen zadávat veřejné zakázky dle ZZVZ a PŽP.</w:t>
      </w:r>
    </w:p>
    <w:p w:rsidR="00CC728B" w:rsidRPr="008D7E78" w:rsidRDefault="00CC728B" w:rsidP="008D7E78">
      <w:pPr>
        <w:pStyle w:val="Odstavecseseznamem"/>
        <w:ind w:left="0"/>
        <w:jc w:val="both"/>
        <w:rPr>
          <w:rFonts w:ascii="Arial" w:hAnsi="Arial" w:cs="Arial"/>
          <w:i/>
          <w:iCs/>
          <w:color w:val="231F20"/>
          <w:sz w:val="22"/>
          <w:szCs w:val="22"/>
        </w:rPr>
      </w:pPr>
    </w:p>
    <w:p w:rsidR="00CC728B" w:rsidRPr="008D7E78" w:rsidRDefault="00CC728B" w:rsidP="008D7E78">
      <w:pPr>
        <w:pStyle w:val="Odstavecseseznamem"/>
        <w:ind w:left="0"/>
        <w:jc w:val="both"/>
        <w:rPr>
          <w:rFonts w:ascii="Arial" w:hAnsi="Arial" w:cs="Arial"/>
          <w:i/>
          <w:iCs/>
          <w:color w:val="231F20"/>
          <w:sz w:val="22"/>
          <w:szCs w:val="22"/>
        </w:rPr>
      </w:pPr>
      <w:r w:rsidRPr="008D7E78">
        <w:rPr>
          <w:rFonts w:ascii="Arial" w:hAnsi="Arial" w:cs="Arial"/>
          <w:i/>
          <w:iCs/>
          <w:color w:val="231F20"/>
          <w:sz w:val="22"/>
          <w:szCs w:val="22"/>
        </w:rPr>
        <w:t>Část B. této Přílohy č. 14 PŽP upravující zadávání zakázek, které nejsou zadávány podle postupů stanovených v ZZVZ je upravena dle účinného znění Metodického pokynu pro oblast zadávání zakázek pro programové období 2014-2020 (dále jen „MP</w:t>
      </w:r>
      <w:r w:rsidR="001F182A">
        <w:rPr>
          <w:rFonts w:ascii="Arial" w:hAnsi="Arial" w:cs="Arial"/>
          <w:i/>
          <w:iCs/>
          <w:color w:val="231F20"/>
          <w:sz w:val="22"/>
          <w:szCs w:val="22"/>
        </w:rPr>
        <w:t xml:space="preserve"> zakázky</w:t>
      </w:r>
      <w:r w:rsidRPr="008D7E78">
        <w:rPr>
          <w:rFonts w:ascii="Arial" w:hAnsi="Arial" w:cs="Arial"/>
          <w:i/>
          <w:iCs/>
          <w:color w:val="231F20"/>
          <w:sz w:val="22"/>
          <w:szCs w:val="22"/>
        </w:rPr>
        <w:t>“). Účinné znění MP</w:t>
      </w:r>
      <w:r w:rsidR="001F182A">
        <w:rPr>
          <w:rFonts w:ascii="Arial" w:hAnsi="Arial" w:cs="Arial"/>
          <w:i/>
          <w:iCs/>
          <w:color w:val="231F20"/>
          <w:sz w:val="22"/>
          <w:szCs w:val="22"/>
        </w:rPr>
        <w:t xml:space="preserve"> zakázky</w:t>
      </w:r>
      <w:r w:rsidRPr="008D7E78">
        <w:rPr>
          <w:rFonts w:ascii="Arial" w:hAnsi="Arial" w:cs="Arial"/>
          <w:i/>
          <w:iCs/>
          <w:color w:val="231F20"/>
          <w:sz w:val="22"/>
          <w:szCs w:val="22"/>
        </w:rPr>
        <w:t xml:space="preserve"> doposud nereflektuje současnou právní úpravu zadávání veřejných zakázek dle ZZVZ, a stále odkazuje a užívá pravidel „staré“ právní úpravy dle ZVZ. Upozorňujeme proto zadavatele, že i přestože je v účinnosti „nový“ ZZVZ, je nutné, aby zadavatel postupoval při zadávání zakázek, jež nejsou zadávány postupy dle ZZVZ (tzn. VZMR), dle části B. Přílohy č. 14 PŽP. Pokud se v</w:t>
      </w:r>
      <w:r w:rsidRPr="008D7E78">
        <w:rPr>
          <w:rFonts w:ascii="Arial" w:hAnsi="Arial" w:cs="Arial"/>
          <w:i/>
          <w:iCs/>
          <w:sz w:val="22"/>
          <w:szCs w:val="22"/>
        </w:rPr>
        <w:t xml:space="preserve"> PŽP</w:t>
      </w:r>
      <w:r w:rsidRPr="008D7E78">
        <w:rPr>
          <w:rFonts w:ascii="Arial" w:hAnsi="Arial" w:cs="Arial"/>
          <w:i/>
          <w:iCs/>
          <w:color w:val="231F20"/>
          <w:sz w:val="22"/>
          <w:szCs w:val="22"/>
        </w:rPr>
        <w:t xml:space="preserve"> vyskytuje odkaz na ZVZ nebo na jeho prováděcí předpisy musí být vykládán jako odkaz na ZZVZ nebo na prováděcí předpisy k ZZVZ.</w:t>
      </w:r>
    </w:p>
    <w:p w:rsidR="00D72393" w:rsidRPr="008D7E78" w:rsidRDefault="00D72393" w:rsidP="008D7E78">
      <w:pPr>
        <w:pStyle w:val="Odstavecseseznamem"/>
        <w:ind w:left="0"/>
        <w:jc w:val="both"/>
        <w:rPr>
          <w:rFonts w:ascii="Arial" w:hAnsi="Arial" w:cs="Arial"/>
          <w:i/>
          <w:iCs/>
          <w:color w:val="231F20"/>
          <w:sz w:val="22"/>
          <w:szCs w:val="22"/>
        </w:rPr>
      </w:pPr>
    </w:p>
    <w:p w:rsidR="00B64282" w:rsidRPr="008D7E78" w:rsidRDefault="00B64282" w:rsidP="00B64282">
      <w:pPr>
        <w:jc w:val="both"/>
        <w:rPr>
          <w:rFonts w:ascii="Arial" w:hAnsi="Arial" w:cs="Arial"/>
          <w:i/>
          <w:iCs/>
          <w:color w:val="231F20"/>
          <w:sz w:val="22"/>
          <w:szCs w:val="22"/>
        </w:rPr>
      </w:pPr>
      <w:r w:rsidRPr="008D7E78">
        <w:rPr>
          <w:rFonts w:ascii="Arial" w:hAnsi="Arial" w:cs="Arial"/>
          <w:i/>
          <w:iCs/>
          <w:color w:val="231F20"/>
          <w:sz w:val="22"/>
          <w:szCs w:val="22"/>
        </w:rPr>
        <w:t>Seznam ustanovení PŽP, která odkazují na ZVZ, a seznam analogických ustanovení ZZVZ.</w:t>
      </w:r>
    </w:p>
    <w:p w:rsidR="00B64282" w:rsidRPr="00D72393" w:rsidRDefault="00B64282" w:rsidP="008D7E78">
      <w:pPr>
        <w:pStyle w:val="Odstavecseseznamem"/>
        <w:ind w:left="0"/>
        <w:jc w:val="both"/>
        <w:rPr>
          <w:rFonts w:ascii="Arial" w:hAnsi="Arial" w:cs="Arial"/>
          <w:i/>
          <w:iCs/>
          <w:color w:val="231F20"/>
          <w:sz w:val="24"/>
          <w:szCs w:val="24"/>
        </w:rPr>
      </w:pPr>
    </w:p>
    <w:tbl>
      <w:tblPr>
        <w:tblStyle w:val="Mkatabulky"/>
        <w:tblW w:w="0" w:type="auto"/>
        <w:tblLook w:val="04A0" w:firstRow="1" w:lastRow="0" w:firstColumn="1" w:lastColumn="0" w:noHBand="0" w:noVBand="1"/>
      </w:tblPr>
      <w:tblGrid>
        <w:gridCol w:w="1809"/>
        <w:gridCol w:w="3698"/>
        <w:gridCol w:w="3779"/>
      </w:tblGrid>
      <w:tr w:rsidR="00B64282" w:rsidRPr="00194925" w:rsidTr="00B64282">
        <w:tc>
          <w:tcPr>
            <w:tcW w:w="180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b/>
                <w:iCs/>
                <w:color w:val="231F20"/>
                <w:sz w:val="22"/>
                <w:szCs w:val="22"/>
                <w:lang w:eastAsia="en-US"/>
              </w:rPr>
            </w:pPr>
            <w:r w:rsidRPr="008D7E78">
              <w:rPr>
                <w:rFonts w:ascii="Arial" w:hAnsi="Arial" w:cs="Arial"/>
                <w:b/>
                <w:iCs/>
                <w:color w:val="231F20"/>
                <w:sz w:val="22"/>
                <w:szCs w:val="22"/>
              </w:rPr>
              <w:t>Ustanovení PŽP</w:t>
            </w:r>
          </w:p>
        </w:tc>
        <w:tc>
          <w:tcPr>
            <w:tcW w:w="369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b/>
                <w:iCs/>
                <w:color w:val="231F20"/>
                <w:sz w:val="22"/>
                <w:szCs w:val="22"/>
                <w:lang w:eastAsia="en-US"/>
              </w:rPr>
            </w:pPr>
            <w:r w:rsidRPr="008D7E78">
              <w:rPr>
                <w:rFonts w:ascii="Arial" w:hAnsi="Arial" w:cs="Arial"/>
                <w:b/>
                <w:iCs/>
                <w:color w:val="231F20"/>
                <w:sz w:val="22"/>
                <w:szCs w:val="22"/>
              </w:rPr>
              <w:t>Znění aktuální verze PŽP</w:t>
            </w:r>
          </w:p>
        </w:tc>
        <w:tc>
          <w:tcPr>
            <w:tcW w:w="3780"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b/>
                <w:iCs/>
                <w:color w:val="231F20"/>
                <w:sz w:val="22"/>
                <w:szCs w:val="22"/>
                <w:lang w:eastAsia="en-US"/>
              </w:rPr>
            </w:pPr>
            <w:r w:rsidRPr="008D7E78">
              <w:rPr>
                <w:rFonts w:ascii="Arial" w:hAnsi="Arial" w:cs="Arial"/>
                <w:b/>
                <w:iCs/>
                <w:color w:val="231F20"/>
                <w:sz w:val="22"/>
                <w:szCs w:val="22"/>
              </w:rPr>
              <w:t>Analogická úprava podle ZZVZ od 1. října 2016</w:t>
            </w:r>
          </w:p>
        </w:tc>
      </w:tr>
      <w:tr w:rsidR="00B64282" w:rsidRPr="00194925" w:rsidTr="00B64282">
        <w:tc>
          <w:tcPr>
            <w:tcW w:w="180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b/>
                <w:i/>
                <w:iCs/>
                <w:color w:val="231F20"/>
                <w:sz w:val="22"/>
                <w:szCs w:val="22"/>
                <w:highlight w:val="yellow"/>
                <w:lang w:eastAsia="en-US"/>
              </w:rPr>
            </w:pPr>
            <w:r w:rsidRPr="008D7E78">
              <w:rPr>
                <w:rFonts w:ascii="Arial" w:hAnsi="Arial" w:cs="Arial"/>
                <w:b/>
                <w:i/>
                <w:iCs/>
                <w:color w:val="231F20"/>
                <w:sz w:val="22"/>
                <w:szCs w:val="22"/>
              </w:rPr>
              <w:t>Příloha č. 14 PŽP</w:t>
            </w:r>
          </w:p>
        </w:tc>
        <w:tc>
          <w:tcPr>
            <w:tcW w:w="369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i/>
                <w:iCs/>
                <w:color w:val="231F20"/>
                <w:sz w:val="22"/>
                <w:szCs w:val="22"/>
                <w:lang w:eastAsia="en-US"/>
              </w:rPr>
            </w:pPr>
            <w:r w:rsidRPr="008D7E78">
              <w:rPr>
                <w:rFonts w:ascii="Arial" w:hAnsi="Arial" w:cs="Arial"/>
                <w:i/>
                <w:iCs/>
                <w:color w:val="231F20"/>
                <w:sz w:val="22"/>
                <w:szCs w:val="22"/>
              </w:rPr>
              <w:t>Profil zadavatele – Elektronický nástroj definovaný podle § 17 písm. w) ZVZ.</w:t>
            </w:r>
          </w:p>
        </w:tc>
        <w:tc>
          <w:tcPr>
            <w:tcW w:w="3780"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i/>
                <w:iCs/>
                <w:color w:val="231F20"/>
                <w:sz w:val="22"/>
                <w:szCs w:val="22"/>
                <w:lang w:eastAsia="en-US"/>
              </w:rPr>
            </w:pPr>
            <w:r w:rsidRPr="008D7E78">
              <w:rPr>
                <w:rFonts w:ascii="Arial" w:hAnsi="Arial" w:cs="Arial"/>
                <w:i/>
                <w:iCs/>
                <w:color w:val="231F20"/>
                <w:sz w:val="22"/>
                <w:szCs w:val="22"/>
              </w:rPr>
              <w:t>Profilem zadavatele je elektronický nástroj podle § 214 ZZVZ.</w:t>
            </w:r>
          </w:p>
        </w:tc>
      </w:tr>
      <w:tr w:rsidR="00B64282" w:rsidRPr="00194925" w:rsidTr="00B64282">
        <w:tc>
          <w:tcPr>
            <w:tcW w:w="180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i/>
                <w:iCs/>
                <w:color w:val="231F20"/>
                <w:sz w:val="22"/>
                <w:szCs w:val="22"/>
                <w:highlight w:val="yellow"/>
                <w:lang w:eastAsia="en-US"/>
              </w:rPr>
            </w:pPr>
            <w:r w:rsidRPr="008D7E78">
              <w:rPr>
                <w:rFonts w:ascii="Arial" w:hAnsi="Arial" w:cs="Arial"/>
                <w:b/>
                <w:i/>
                <w:iCs/>
                <w:color w:val="231F20"/>
                <w:sz w:val="22"/>
                <w:szCs w:val="22"/>
              </w:rPr>
              <w:t xml:space="preserve">Příloha č. 14 PŽP, Část B. Zadávání zakázek, které nejsou zadávány podle postupů stanovených v Zákoně, 4. odstavec </w:t>
            </w:r>
          </w:p>
        </w:tc>
        <w:tc>
          <w:tcPr>
            <w:tcW w:w="369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i/>
                <w:iCs/>
                <w:color w:val="231F20"/>
                <w:sz w:val="22"/>
                <w:szCs w:val="22"/>
                <w:lang w:eastAsia="en-US"/>
              </w:rPr>
            </w:pPr>
            <w:r w:rsidRPr="008D7E78">
              <w:rPr>
                <w:rFonts w:ascii="Arial" w:hAnsi="Arial" w:cs="Arial"/>
                <w:i/>
                <w:iCs/>
                <w:color w:val="231F20"/>
                <w:sz w:val="22"/>
                <w:szCs w:val="22"/>
              </w:rPr>
              <w:t>Příjemci, kteří jsou veřejnými nebo dotovanými zadavateli podle § 2 odst. 2 a 3 ZVZ, jsou povinni zadávat zakázky postupy upravenými v PŽP při zadání zakázky malé hodnoty. Postupy upravenými v PŽP však nejsou povinni zadávat zakázky malé hodnoty, které splňují podmínky pro použití výjimky stanovené v § 18 odst. 1 až 4 a § 23 ZVZ.</w:t>
            </w:r>
          </w:p>
        </w:tc>
        <w:tc>
          <w:tcPr>
            <w:tcW w:w="3780" w:type="dxa"/>
            <w:tcBorders>
              <w:top w:val="single" w:sz="4" w:space="0" w:color="auto"/>
              <w:left w:val="single" w:sz="4" w:space="0" w:color="auto"/>
              <w:bottom w:val="single" w:sz="4" w:space="0" w:color="auto"/>
              <w:right w:val="single" w:sz="4" w:space="0" w:color="auto"/>
            </w:tcBorders>
          </w:tcPr>
          <w:p w:rsidR="00B64282" w:rsidRPr="008D7E78" w:rsidRDefault="00B64282">
            <w:pPr>
              <w:rPr>
                <w:rFonts w:ascii="Arial" w:hAnsi="Arial" w:cs="Arial"/>
                <w:i/>
                <w:iCs/>
                <w:color w:val="231F20"/>
                <w:sz w:val="22"/>
                <w:szCs w:val="22"/>
              </w:rPr>
            </w:pPr>
            <w:r w:rsidRPr="008D7E78">
              <w:rPr>
                <w:rFonts w:ascii="Arial" w:hAnsi="Arial" w:cs="Arial"/>
                <w:i/>
                <w:iCs/>
                <w:color w:val="231F20"/>
                <w:sz w:val="22"/>
                <w:szCs w:val="22"/>
              </w:rPr>
              <w:t xml:space="preserve">Veřejnými nebo dotovanými zadavateli jsou zadavatelé ve smyslu § 4 odst. 1 a 2 ZZVZ. </w:t>
            </w:r>
          </w:p>
          <w:p w:rsidR="00B64282" w:rsidRPr="008D7E78" w:rsidRDefault="00B64282">
            <w:pPr>
              <w:rPr>
                <w:rFonts w:ascii="Arial" w:hAnsi="Arial" w:cs="Arial"/>
                <w:i/>
                <w:iCs/>
                <w:color w:val="231F20"/>
                <w:sz w:val="22"/>
                <w:szCs w:val="22"/>
              </w:rPr>
            </w:pPr>
          </w:p>
          <w:p w:rsidR="00B64282" w:rsidRPr="008D7E78" w:rsidRDefault="00B64282">
            <w:pPr>
              <w:rPr>
                <w:rFonts w:ascii="Arial" w:hAnsi="Arial" w:cs="Arial"/>
                <w:i/>
                <w:iCs/>
                <w:color w:val="231F20"/>
                <w:sz w:val="22"/>
                <w:szCs w:val="22"/>
                <w:lang w:eastAsia="en-US"/>
              </w:rPr>
            </w:pPr>
            <w:r w:rsidRPr="008D7E78">
              <w:rPr>
                <w:rFonts w:ascii="Arial" w:hAnsi="Arial" w:cs="Arial"/>
                <w:i/>
                <w:iCs/>
                <w:color w:val="231F20"/>
                <w:sz w:val="22"/>
                <w:szCs w:val="22"/>
              </w:rPr>
              <w:t>Výjimka z postupů, upravených v PŽP, se vztahuje na zakázky malé hodnoty, které splňují podmínky pro použití výjimky stanovené v § 29, § 30 ZZVZ, nebo podmínky pro jejich zadání v jednacím řízení bez uveřejnění podle § 63 odst. 3 a 5 a § 64 až 66 ZZVZ.</w:t>
            </w:r>
          </w:p>
        </w:tc>
      </w:tr>
      <w:tr w:rsidR="00B64282" w:rsidRPr="00194925" w:rsidTr="00B64282">
        <w:tc>
          <w:tcPr>
            <w:tcW w:w="180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b/>
                <w:i/>
                <w:iCs/>
                <w:color w:val="231F20"/>
                <w:sz w:val="22"/>
                <w:szCs w:val="22"/>
                <w:highlight w:val="yellow"/>
                <w:lang w:eastAsia="en-US"/>
              </w:rPr>
            </w:pPr>
            <w:r w:rsidRPr="008D7E78">
              <w:rPr>
                <w:rFonts w:ascii="Arial" w:hAnsi="Arial" w:cs="Arial"/>
                <w:b/>
                <w:i/>
                <w:iCs/>
                <w:color w:val="231F20"/>
                <w:sz w:val="22"/>
                <w:szCs w:val="22"/>
              </w:rPr>
              <w:t>Bod 7.1. písm. b)</w:t>
            </w:r>
          </w:p>
        </w:tc>
        <w:tc>
          <w:tcPr>
            <w:tcW w:w="3699"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i/>
                <w:iCs/>
                <w:color w:val="231F20"/>
                <w:sz w:val="22"/>
                <w:szCs w:val="22"/>
                <w:lang w:eastAsia="en-US"/>
              </w:rPr>
            </w:pPr>
            <w:r w:rsidRPr="008D7E78">
              <w:rPr>
                <w:rFonts w:ascii="Arial" w:hAnsi="Arial" w:cs="Arial"/>
                <w:i/>
                <w:iCs/>
                <w:color w:val="231F20"/>
                <w:sz w:val="22"/>
                <w:szCs w:val="22"/>
              </w:rPr>
              <w:t>Odkaz na nařízení vlády č. 77/2008 Sb.</w:t>
            </w:r>
          </w:p>
        </w:tc>
        <w:tc>
          <w:tcPr>
            <w:tcW w:w="3780" w:type="dxa"/>
            <w:tcBorders>
              <w:top w:val="single" w:sz="4" w:space="0" w:color="auto"/>
              <w:left w:val="single" w:sz="4" w:space="0" w:color="auto"/>
              <w:bottom w:val="single" w:sz="4" w:space="0" w:color="auto"/>
              <w:right w:val="single" w:sz="4" w:space="0" w:color="auto"/>
            </w:tcBorders>
            <w:hideMark/>
          </w:tcPr>
          <w:p w:rsidR="00B64282" w:rsidRPr="008D7E78" w:rsidRDefault="00B64282">
            <w:pPr>
              <w:rPr>
                <w:rFonts w:ascii="Arial" w:hAnsi="Arial" w:cs="Arial"/>
                <w:i/>
                <w:iCs/>
                <w:color w:val="231F20"/>
                <w:sz w:val="22"/>
                <w:szCs w:val="22"/>
                <w:lang w:eastAsia="en-US"/>
              </w:rPr>
            </w:pPr>
            <w:r w:rsidRPr="008D7E78">
              <w:rPr>
                <w:rFonts w:ascii="Arial" w:hAnsi="Arial" w:cs="Arial"/>
                <w:i/>
                <w:iCs/>
                <w:color w:val="231F20"/>
                <w:sz w:val="22"/>
                <w:szCs w:val="22"/>
              </w:rPr>
              <w:t>Pokud PŽP odkazuje na nařízení vlády č. 77/2008 Sb., je myšleno nařízení vlády č. 172/2016 Sb. ze dne 11. května 2016 o stanovení finančních limitů a částek pro účely zákona o zadávání veřejných zakázek.</w:t>
            </w:r>
          </w:p>
        </w:tc>
      </w:tr>
    </w:tbl>
    <w:p w:rsidR="009177C0" w:rsidRPr="008D7E78"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(dále „Zákon“)</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Zákonem.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rsidR="0002409B" w:rsidRDefault="0002409B" w:rsidP="008D7E78">
      <w:pPr>
        <w:spacing w:line="240" w:lineRule="atLeast"/>
        <w:ind w:left="567"/>
        <w:rPr>
          <w:rFonts w:ascii="Arial" w:hAnsi="Arial" w:cs="Arial"/>
          <w:sz w:val="22"/>
          <w:szCs w:val="22"/>
        </w:rPr>
      </w:pPr>
    </w:p>
    <w:p w:rsidR="009177C0" w:rsidRPr="009177C0" w:rsidRDefault="009177C0" w:rsidP="008D7E78">
      <w:pPr>
        <w:spacing w:line="240" w:lineRule="atLeast"/>
        <w:ind w:left="567"/>
        <w:rPr>
          <w:rFonts w:ascii="Arial" w:hAnsi="Arial" w:cs="Arial"/>
          <w:sz w:val="22"/>
          <w:szCs w:val="22"/>
        </w:rPr>
      </w:pPr>
      <w:r w:rsidRPr="009177C0">
        <w:rPr>
          <w:rFonts w:ascii="Arial" w:hAnsi="Arial" w:cs="Arial"/>
          <w:sz w:val="22"/>
          <w:szCs w:val="22"/>
        </w:rPr>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Zaslat ŘO OPTP pozvánku</w:t>
      </w:r>
      <w:r w:rsidR="00312C25">
        <w:rPr>
          <w:rFonts w:ascii="Arial" w:hAnsi="Arial" w:cs="Arial"/>
          <w:sz w:val="22"/>
          <w:szCs w:val="22"/>
        </w:rPr>
        <w:t xml:space="preserve"> na otevírání nabídek</w:t>
      </w:r>
      <w:r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předložit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Výzva o zahájení zadávacího řízení, zadávací a příp. kvalifikační dokumentace (je-li zadavatelem vyhotovena) včetně uveřejnění/prokázání oslovení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7642B1"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Zákonem (protokol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642E80" w:rsidRDefault="00642E80" w:rsidP="00D95F17">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9177C0" w:rsidRDefault="00A839DA" w:rsidP="00D95F17">
      <w:pPr>
        <w:pStyle w:val="Odstavecseseznamem"/>
        <w:numPr>
          <w:ilvl w:val="0"/>
          <w:numId w:val="35"/>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rsidR="00A77A2B" w:rsidRPr="00D95F17" w:rsidRDefault="00A77A2B" w:rsidP="00D95F17">
      <w:pPr>
        <w:pStyle w:val="Odstavecseseznamem"/>
        <w:numPr>
          <w:ilvl w:val="0"/>
          <w:numId w:val="35"/>
        </w:numPr>
        <w:spacing w:line="240" w:lineRule="atLeast"/>
        <w:ind w:left="851" w:hanging="284"/>
        <w:jc w:val="both"/>
        <w:rPr>
          <w:rFonts w:ascii="Arial" w:hAnsi="Arial" w:cs="Arial"/>
          <w:sz w:val="22"/>
          <w:szCs w:val="22"/>
        </w:rPr>
      </w:pPr>
    </w:p>
    <w:p w:rsid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452B4E">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D95F17">
      <w:pPr>
        <w:pStyle w:val="Odstavecseseznamem"/>
        <w:numPr>
          <w:ilvl w:val="0"/>
          <w:numId w:val="35"/>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Seznam osob podílejících se na přípravě a průběhu zadávacího řízení podle bodu A.3. písm. f) musí zahrnovat:</w:t>
      </w:r>
    </w:p>
    <w:p w:rsidR="006D7E9C" w:rsidRDefault="006D7E9C" w:rsidP="008D7E78">
      <w:pPr>
        <w:pStyle w:val="Odstavecseseznamem"/>
        <w:spacing w:line="240" w:lineRule="atLeast"/>
        <w:ind w:left="567"/>
        <w:jc w:val="both"/>
        <w:rPr>
          <w:rFonts w:ascii="Arial" w:hAnsi="Arial" w:cs="Arial"/>
          <w:sz w:val="22"/>
          <w:szCs w:val="22"/>
        </w:rPr>
      </w:pPr>
    </w:p>
    <w:p w:rsidR="006D7E9C" w:rsidRPr="006D7E9C" w:rsidRDefault="006D7E9C" w:rsidP="008D7E78">
      <w:pPr>
        <w:pStyle w:val="Odstavecseseznamem"/>
        <w:numPr>
          <w:ilvl w:val="0"/>
          <w:numId w:val="182"/>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rsidR="006D7E9C" w:rsidRPr="006D7E9C" w:rsidRDefault="006D7E9C" w:rsidP="008D7E78">
      <w:pPr>
        <w:pStyle w:val="Odstavecseseznamem"/>
        <w:numPr>
          <w:ilvl w:val="0"/>
          <w:numId w:val="182"/>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6D7E9C" w:rsidRPr="006D7E9C" w:rsidRDefault="006D7E9C" w:rsidP="008D7E78">
      <w:pPr>
        <w:pStyle w:val="Odstavecseseznamem"/>
        <w:numPr>
          <w:ilvl w:val="0"/>
          <w:numId w:val="182"/>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rsidR="006D7E9C" w:rsidRPr="006D7E9C" w:rsidRDefault="006D7E9C" w:rsidP="008D7E78">
      <w:pPr>
        <w:pStyle w:val="Odstavecseseznamem"/>
        <w:numPr>
          <w:ilvl w:val="0"/>
          <w:numId w:val="182"/>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rsidR="006D7E9C" w:rsidRPr="006D7E9C" w:rsidRDefault="006D7E9C" w:rsidP="008D7E78">
      <w:pPr>
        <w:pStyle w:val="Odstavecseseznamem"/>
        <w:numPr>
          <w:ilvl w:val="0"/>
          <w:numId w:val="182"/>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rsidR="006D7E9C" w:rsidRPr="006D7E9C" w:rsidRDefault="006D7E9C" w:rsidP="008D7E78">
      <w:pPr>
        <w:pStyle w:val="Odstavecseseznamem"/>
        <w:numPr>
          <w:ilvl w:val="0"/>
          <w:numId w:val="182"/>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6D7E9C" w:rsidRPr="006D7E9C" w:rsidRDefault="006D7E9C" w:rsidP="008D7E78">
      <w:pPr>
        <w:pStyle w:val="Odstavecseseznamem"/>
        <w:numPr>
          <w:ilvl w:val="0"/>
          <w:numId w:val="182"/>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RDefault="006D7E9C" w:rsidP="008D7E78">
      <w:pPr>
        <w:pStyle w:val="Odstavecseseznamem"/>
        <w:spacing w:line="240" w:lineRule="atLeast"/>
        <w:ind w:left="851"/>
        <w:jc w:val="both"/>
        <w:rPr>
          <w:rFonts w:ascii="Arial" w:hAnsi="Arial" w:cs="Arial"/>
          <w:sz w:val="22"/>
          <w:szCs w:val="22"/>
        </w:rPr>
      </w:pPr>
    </w:p>
    <w:p w:rsidR="006D7E9C"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F900B3" w:rsidRPr="008D7E78" w:rsidRDefault="00F900B3" w:rsidP="008D7E78">
      <w:pPr>
        <w:spacing w:line="240" w:lineRule="atLeast"/>
        <w:ind w:left="567"/>
        <w:jc w:val="both"/>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lastRenderedPageBreak/>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 xml:space="preserve">žádosti o </w:t>
      </w:r>
      <w:r w:rsidR="00CD7CA1">
        <w:rPr>
          <w:rFonts w:ascii="Arial" w:hAnsi="Arial" w:cs="Arial"/>
          <w:sz w:val="22"/>
          <w:szCs w:val="22"/>
        </w:rPr>
        <w:t>platbu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uzavřená s vybraným </w:t>
      </w:r>
      <w:r w:rsidR="00B2657C">
        <w:rPr>
          <w:rFonts w:ascii="Arial" w:hAnsi="Arial" w:cs="Arial"/>
          <w:sz w:val="22"/>
          <w:szCs w:val="22"/>
        </w:rPr>
        <w:t>dodavatelem</w:t>
      </w:r>
      <w:r w:rsidR="00B2657C" w:rsidRPr="009177C0">
        <w:rPr>
          <w:rFonts w:ascii="Arial" w:hAnsi="Arial" w:cs="Arial"/>
          <w:sz w:val="22"/>
          <w:szCs w:val="22"/>
        </w:rPr>
        <w:t xml:space="preserve"> </w:t>
      </w:r>
      <w:r w:rsidRPr="009177C0">
        <w:rPr>
          <w:rFonts w:ascii="Arial" w:hAnsi="Arial" w:cs="Arial"/>
          <w:sz w:val="22"/>
          <w:szCs w:val="22"/>
        </w:rPr>
        <w:t>včetně jejího uveřejnění na profilu zadavatele</w:t>
      </w:r>
    </w:p>
    <w:p w:rsidR="009177C0" w:rsidRPr="00A51A0D" w:rsidRDefault="00A839DA" w:rsidP="00452B4E">
      <w:pPr>
        <w:pStyle w:val="Odstavecseseznamem"/>
        <w:numPr>
          <w:ilvl w:val="0"/>
          <w:numId w:val="36"/>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D95F17">
      <w:pPr>
        <w:pStyle w:val="Odstavecseseznamem"/>
        <w:numPr>
          <w:ilvl w:val="0"/>
          <w:numId w:val="36"/>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D95F17" w:rsidRDefault="00BD4D43" w:rsidP="00D95F17">
      <w:pPr>
        <w:rPr>
          <w:rFonts w:ascii="Arial" w:hAnsi="Arial" w:cs="Arial"/>
          <w:sz w:val="22"/>
          <w:szCs w:val="22"/>
        </w:rPr>
      </w:pP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9177C0"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 xml:space="preserve">Dodavatel je povinen opatřit každý výstup z veřejné zakázky, pokud je určen pro informování veřejnosti nebo pro cílové skupiny o podpořené operaci včetně jakéhokoliv potvrzení účasti nebo jiného potvrzení, znakem EU spolu s názvem </w:t>
      </w:r>
      <w:r w:rsidRPr="009177C0">
        <w:rPr>
          <w:rFonts w:ascii="Arial" w:hAnsi="Arial" w:cs="Arial"/>
          <w:sz w:val="22"/>
          <w:szCs w:val="22"/>
        </w:rPr>
        <w:lastRenderedPageBreak/>
        <w:t>fondu/fondů a programu.</w:t>
      </w:r>
      <w:r w:rsidRPr="0028752E">
        <w:rPr>
          <w:rStyle w:val="Znakapoznpodarou"/>
          <w:rFonts w:ascii="Arial" w:hAnsi="Arial" w:cs="Arial"/>
          <w:szCs w:val="16"/>
        </w:rPr>
        <w:footnoteReference w:id="1"/>
      </w:r>
      <w:r w:rsidRPr="0028752E">
        <w:rPr>
          <w:rFonts w:ascii="Arial" w:hAnsi="Arial" w:cs="Arial"/>
          <w:sz w:val="16"/>
          <w:szCs w:val="16"/>
        </w:rPr>
        <w:t xml:space="preserve"> </w:t>
      </w:r>
    </w:p>
    <w:p w:rsidR="009177C0" w:rsidRPr="009177C0" w:rsidRDefault="009177C0" w:rsidP="0028752E"/>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který bude obsahovat povinná ustanovení dle A.5</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10</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10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 xml:space="preserve">na základě rámcové </w:t>
      </w:r>
      <w:r w:rsidR="00B2657C">
        <w:rPr>
          <w:rFonts w:ascii="Arial" w:hAnsi="Arial" w:cs="Arial"/>
          <w:b/>
          <w:sz w:val="22"/>
          <w:szCs w:val="22"/>
        </w:rPr>
        <w:t>dohody</w:t>
      </w:r>
      <w:r w:rsidR="00B2657C" w:rsidRPr="009177C0">
        <w:rPr>
          <w:rFonts w:ascii="Arial" w:hAnsi="Arial" w:cs="Arial"/>
          <w:sz w:val="22"/>
          <w:szCs w:val="22"/>
        </w:rPr>
        <w:t xml:space="preserve"> </w:t>
      </w:r>
      <w:r w:rsidRPr="009177C0">
        <w:rPr>
          <w:rFonts w:ascii="Arial" w:hAnsi="Arial" w:cs="Arial"/>
          <w:b/>
          <w:sz w:val="22"/>
          <w:szCs w:val="22"/>
        </w:rPr>
        <w:t xml:space="preserve">uzavřené s více </w:t>
      </w:r>
      <w:r w:rsidR="00FF665D">
        <w:rPr>
          <w:rFonts w:ascii="Arial" w:hAnsi="Arial" w:cs="Arial"/>
          <w:b/>
          <w:sz w:val="22"/>
          <w:szCs w:val="22"/>
        </w:rPr>
        <w:t>dodavateli</w:t>
      </w:r>
      <w:r w:rsidR="00E2798F">
        <w:rPr>
          <w:rFonts w:ascii="Arial" w:hAnsi="Arial" w:cs="Arial"/>
          <w:b/>
          <w:sz w:val="22"/>
          <w:szCs w:val="22"/>
        </w:rPr>
        <w:t xml:space="preserve"> </w:t>
      </w:r>
      <w:r w:rsidRPr="009177C0">
        <w:rPr>
          <w:rFonts w:ascii="Arial" w:hAnsi="Arial" w:cs="Arial"/>
          <w:sz w:val="22"/>
          <w:szCs w:val="22"/>
        </w:rPr>
        <w:t>(tzv. minitendr) předložit postupem uvedeným v bodech A.1., A.3., A.4. ŘO</w:t>
      </w:r>
      <w:r w:rsidR="008737D2">
        <w:rPr>
          <w:rFonts w:ascii="Arial" w:hAnsi="Arial" w:cs="Arial"/>
          <w:sz w:val="22"/>
          <w:szCs w:val="22"/>
        </w:rPr>
        <w:t> </w:t>
      </w:r>
      <w:r w:rsidRPr="009177C0">
        <w:rPr>
          <w:rFonts w:ascii="Arial" w:hAnsi="Arial" w:cs="Arial"/>
          <w:sz w:val="22"/>
          <w:szCs w:val="22"/>
        </w:rPr>
        <w:t>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A51A0D" w:rsidRDefault="009177C0" w:rsidP="00D95F17">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minitendrů, předloží první výzvu, první návrh smlouvy k posouzení (ustanovení bodu A.2. a </w:t>
      </w:r>
      <w:r w:rsidR="0028752E" w:rsidRPr="009177C0">
        <w:rPr>
          <w:rFonts w:ascii="Arial" w:hAnsi="Arial" w:cs="Arial"/>
          <w:i/>
          <w:sz w:val="22"/>
          <w:szCs w:val="22"/>
        </w:rPr>
        <w:t>A.4. tím</w:t>
      </w:r>
      <w:r w:rsidRPr="009177C0">
        <w:rPr>
          <w:rFonts w:ascii="Arial" w:hAnsi="Arial" w:cs="Arial"/>
          <w:i/>
          <w:sz w:val="22"/>
          <w:szCs w:val="22"/>
        </w:rPr>
        <w:t xml:space="preserve"> není dotčeno).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bodu A.1.</w:t>
      </w:r>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 (blíže viz příloha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A.3., </w:t>
      </w:r>
      <w:r w:rsidR="0028752E" w:rsidRPr="0028752E">
        <w:rPr>
          <w:rFonts w:ascii="Arial" w:hAnsi="Arial" w:cs="Arial"/>
          <w:sz w:val="22"/>
          <w:szCs w:val="22"/>
        </w:rPr>
        <w:t>A.4.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D87E40" w:rsidRPr="00D95F17" w:rsidRDefault="009177C0" w:rsidP="00D95F1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w:t>
      </w:r>
      <w:r w:rsidRPr="00A51A0D">
        <w:rPr>
          <w:rFonts w:ascii="Arial" w:hAnsi="Arial" w:cs="Arial"/>
          <w:sz w:val="22"/>
          <w:szCs w:val="22"/>
        </w:rPr>
        <w:lastRenderedPageBreak/>
        <w:t xml:space="preserve">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E561B" w:rsidRPr="00D95F17">
        <w:rPr>
          <w:rFonts w:ascii="Arial" w:hAnsi="Arial" w:cs="Arial"/>
          <w:sz w:val="22"/>
          <w:szCs w:val="22"/>
        </w:rPr>
        <w:t>Zákona 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D87E40" w:rsidRPr="00D95F17">
        <w:rPr>
          <w:rFonts w:ascii="Arial" w:hAnsi="Arial" w:cs="Arial"/>
          <w:sz w:val="22"/>
          <w:szCs w:val="22"/>
        </w:rPr>
        <w:t>vloží příjemce veškerou dokumentaci k zadávacímu řízení do MS14+</w:t>
      </w:r>
      <w:r w:rsidR="00D87E40">
        <w:rPr>
          <w:rFonts w:ascii="Arial" w:hAnsi="Arial" w:cs="Arial"/>
          <w:sz w:val="22"/>
          <w:szCs w:val="22"/>
        </w:rPr>
        <w:t xml:space="preserve"> k </w:t>
      </w:r>
      <w:r w:rsidR="00D87E40" w:rsidRPr="00BF312E">
        <w:rPr>
          <w:rFonts w:ascii="Arial" w:hAnsi="Arial" w:cs="Arial"/>
          <w:sz w:val="22"/>
          <w:szCs w:val="22"/>
        </w:rPr>
        <w:t>danému projektu a zadávacímu řízení</w:t>
      </w:r>
      <w:r w:rsidR="00D87E40">
        <w:rPr>
          <w:rFonts w:ascii="Arial" w:hAnsi="Arial" w:cs="Arial"/>
          <w:sz w:val="22"/>
          <w:szCs w:val="22"/>
        </w:rPr>
        <w:t xml:space="preserve"> a informuje o tom formou interní </w:t>
      </w:r>
      <w:r w:rsidR="00D87E40" w:rsidRPr="00BF312E">
        <w:rPr>
          <w:rFonts w:ascii="Arial" w:hAnsi="Arial" w:cs="Arial"/>
          <w:sz w:val="22"/>
          <w:szCs w:val="22"/>
        </w:rPr>
        <w:t xml:space="preserve">depeše v MS2014+ </w:t>
      </w:r>
      <w:r w:rsidR="007E561B">
        <w:rPr>
          <w:rFonts w:ascii="Arial" w:hAnsi="Arial" w:cs="Arial"/>
          <w:sz w:val="22"/>
          <w:szCs w:val="22"/>
        </w:rPr>
        <w:t>příslušného projektového manažera a specialisty</w:t>
      </w:r>
      <w:r w:rsidR="00D87E40" w:rsidRPr="00BF312E">
        <w:rPr>
          <w:rFonts w:ascii="Arial" w:hAnsi="Arial" w:cs="Arial"/>
          <w:sz w:val="22"/>
          <w:szCs w:val="22"/>
        </w:rPr>
        <w:t xml:space="preserve"> na veřejné zakázky</w:t>
      </w:r>
      <w:r w:rsidR="007E561B">
        <w:rPr>
          <w:rFonts w:ascii="Arial" w:hAnsi="Arial" w:cs="Arial"/>
          <w:sz w:val="22"/>
          <w:szCs w:val="22"/>
        </w:rPr>
        <w:t>. Pokud v zadávacím řízení došlo ke změně (např. byl uzavřen dodatek)</w:t>
      </w:r>
      <w:r w:rsidR="0080373B">
        <w:rPr>
          <w:rFonts w:ascii="Arial" w:hAnsi="Arial" w:cs="Arial"/>
          <w:sz w:val="22"/>
          <w:szCs w:val="22"/>
        </w:rPr>
        <w:t>,</w:t>
      </w:r>
      <w:r w:rsidR="007E561B">
        <w:rPr>
          <w:rFonts w:ascii="Arial" w:hAnsi="Arial" w:cs="Arial"/>
          <w:sz w:val="22"/>
          <w:szCs w:val="22"/>
        </w:rPr>
        <w:t xml:space="preserve"> </w:t>
      </w:r>
      <w:r w:rsidR="0080373B">
        <w:rPr>
          <w:rFonts w:ascii="Arial" w:hAnsi="Arial" w:cs="Arial"/>
          <w:sz w:val="22"/>
          <w:szCs w:val="22"/>
        </w:rPr>
        <w:t xml:space="preserve">je příjemce navíc </w:t>
      </w:r>
      <w:r w:rsidR="007E561B" w:rsidRPr="0079696E">
        <w:rPr>
          <w:rFonts w:ascii="Arial" w:hAnsi="Arial" w:cs="Arial"/>
          <w:sz w:val="22"/>
          <w:szCs w:val="22"/>
        </w:rPr>
        <w:t xml:space="preserve">povinen </w:t>
      </w:r>
      <w:r w:rsidR="0080373B">
        <w:rPr>
          <w:rFonts w:ascii="Arial" w:hAnsi="Arial" w:cs="Arial"/>
          <w:sz w:val="22"/>
          <w:szCs w:val="22"/>
        </w:rPr>
        <w:t>předložit dokumentaci k této změně</w:t>
      </w:r>
      <w:r w:rsidR="007E561B" w:rsidRPr="0079696E">
        <w:rPr>
          <w:rFonts w:ascii="Arial" w:hAnsi="Arial" w:cs="Arial"/>
          <w:sz w:val="22"/>
          <w:szCs w:val="22"/>
        </w:rPr>
        <w:t xml:space="preserve"> k</w:t>
      </w:r>
      <w:r w:rsidR="0080373B">
        <w:rPr>
          <w:rFonts w:ascii="Arial" w:hAnsi="Arial" w:cs="Arial"/>
          <w:sz w:val="22"/>
          <w:szCs w:val="22"/>
        </w:rPr>
        <w:t> </w:t>
      </w:r>
      <w:r w:rsidR="007E561B" w:rsidRPr="0079696E">
        <w:rPr>
          <w:rFonts w:ascii="Arial" w:hAnsi="Arial" w:cs="Arial"/>
          <w:sz w:val="22"/>
          <w:szCs w:val="22"/>
        </w:rPr>
        <w:t>posouzení</w:t>
      </w:r>
      <w:r w:rsidR="0080373B">
        <w:rPr>
          <w:rFonts w:ascii="Arial" w:hAnsi="Arial" w:cs="Arial"/>
          <w:sz w:val="22"/>
          <w:szCs w:val="22"/>
        </w:rPr>
        <w:t>.</w:t>
      </w:r>
    </w:p>
    <w:p w:rsidR="009177C0" w:rsidRPr="009177C0" w:rsidRDefault="009177C0" w:rsidP="00D95F17"/>
    <w:p w:rsidR="00BF312E"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administrativního ověření </w:t>
      </w:r>
      <w:r w:rsidRPr="00A51A0D">
        <w:rPr>
          <w:rFonts w:ascii="Arial" w:hAnsi="Arial" w:cs="Arial"/>
          <w:b/>
          <w:sz w:val="22"/>
          <w:szCs w:val="22"/>
        </w:rPr>
        <w:t>interim</w:t>
      </w:r>
      <w:r w:rsidRPr="00D95F17">
        <w:rPr>
          <w:rFonts w:ascii="Arial" w:hAnsi="Arial" w:cs="Arial"/>
          <w:sz w:val="22"/>
          <w:szCs w:val="22"/>
        </w:rPr>
        <w:t xml:space="preserve"> </w:t>
      </w:r>
      <w:r w:rsidRPr="00BF312E">
        <w:rPr>
          <w:rFonts w:ascii="Arial" w:hAnsi="Arial" w:cs="Arial"/>
          <w:sz w:val="22"/>
          <w:szCs w:val="22"/>
        </w:rPr>
        <w:t>příjemce předkládá podklady k</w:t>
      </w:r>
      <w:r w:rsidR="00981718">
        <w:rPr>
          <w:rFonts w:ascii="Arial" w:hAnsi="Arial" w:cs="Arial"/>
          <w:sz w:val="22"/>
          <w:szCs w:val="22"/>
        </w:rPr>
        <w:t> </w:t>
      </w:r>
      <w:r w:rsidRPr="00BF312E">
        <w:rPr>
          <w:rFonts w:ascii="Arial" w:hAnsi="Arial" w:cs="Arial"/>
          <w:sz w:val="22"/>
          <w:szCs w:val="22"/>
        </w:rPr>
        <w:t>zadávacímu řízení v příloze interní depeše v MS2014+ adresované specialistům na veřejné zakázky, v kopii příslušnému projektovému manažerovi</w:t>
      </w:r>
      <w:r w:rsidR="00E15D56" w:rsidRPr="00E15D56">
        <w:rPr>
          <w:rFonts w:ascii="Arial" w:hAnsi="Arial" w:cs="Arial"/>
          <w:sz w:val="22"/>
          <w:szCs w:val="22"/>
        </w:rPr>
        <w:t xml:space="preserve">. Do textu interní depeše příjemce vždy uvede název a registrační číslo projektu a název a číslo </w:t>
      </w:r>
      <w:r w:rsidR="00E15D56">
        <w:rPr>
          <w:rFonts w:ascii="Arial" w:hAnsi="Arial" w:cs="Arial"/>
          <w:sz w:val="22"/>
          <w:szCs w:val="22"/>
        </w:rPr>
        <w:t xml:space="preserve">veřejné </w:t>
      </w:r>
      <w:r w:rsidR="00E15D56" w:rsidRPr="00E15D56">
        <w:rPr>
          <w:rFonts w:ascii="Arial" w:hAnsi="Arial" w:cs="Arial"/>
          <w:sz w:val="22"/>
          <w:szCs w:val="22"/>
        </w:rPr>
        <w:t>zakázky uvedené v</w:t>
      </w:r>
      <w:r w:rsidR="00F54FCF">
        <w:rPr>
          <w:rFonts w:ascii="Arial" w:hAnsi="Arial" w:cs="Arial"/>
          <w:sz w:val="22"/>
          <w:szCs w:val="22"/>
        </w:rPr>
        <w:t> </w:t>
      </w:r>
      <w:r w:rsidR="00E15D56" w:rsidRPr="00E15D56">
        <w:rPr>
          <w:rFonts w:ascii="Arial" w:hAnsi="Arial" w:cs="Arial"/>
          <w:sz w:val="22"/>
          <w:szCs w:val="22"/>
        </w:rPr>
        <w:t>MS</w:t>
      </w:r>
      <w:r w:rsidR="00F54FCF">
        <w:rPr>
          <w:rFonts w:ascii="Arial" w:hAnsi="Arial" w:cs="Arial"/>
          <w:sz w:val="22"/>
          <w:szCs w:val="22"/>
        </w:rPr>
        <w:t>20</w:t>
      </w:r>
      <w:r w:rsidR="00E15D56" w:rsidRPr="00E15D56">
        <w:rPr>
          <w:rFonts w:ascii="Arial" w:hAnsi="Arial" w:cs="Arial"/>
          <w:sz w:val="22"/>
          <w:szCs w:val="22"/>
        </w:rPr>
        <w:t>14+</w:t>
      </w:r>
      <w:r w:rsidRPr="00BF312E">
        <w:rPr>
          <w:rFonts w:ascii="Arial" w:hAnsi="Arial" w:cs="Arial"/>
          <w:sz w:val="22"/>
          <w:szCs w:val="22"/>
        </w:rPr>
        <w:t xml:space="preserve">. V průběhu ověřování předložené dokumentace (zasílání připomínek ze strany ŘO a jejich následné vypořádání) bude veškerá komunikace probíhat prostřednictvím interních depeší a upravená dokumentace bude zasílána v příloze těchto depeší. </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BF312E"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Po vydání finálního stanoviska z dané fáze administrativního ověření veřejné zakázky (tj. po schválení finální verze dokumentace k dané fázi administrativního ověření), příjemce</w:t>
      </w:r>
      <w:r w:rsidR="00E15D56">
        <w:rPr>
          <w:rFonts w:ascii="Arial" w:hAnsi="Arial" w:cs="Arial"/>
          <w:sz w:val="22"/>
          <w:szCs w:val="22"/>
        </w:rPr>
        <w:t xml:space="preserve"> neprodleně</w:t>
      </w:r>
      <w:r w:rsidRPr="00BF312E">
        <w:rPr>
          <w:rFonts w:ascii="Arial" w:hAnsi="Arial" w:cs="Arial"/>
          <w:sz w:val="22"/>
          <w:szCs w:val="22"/>
        </w:rPr>
        <w:t xml:space="preserve"> vloží takto schválenou finální verzi podkladů k zadávacímu řízení do MS2014+ k danému projektu a zadávacímu řízení</w:t>
      </w:r>
      <w:r w:rsidR="00E15D56">
        <w:rPr>
          <w:rFonts w:ascii="Arial" w:hAnsi="Arial" w:cs="Arial"/>
          <w:sz w:val="22"/>
          <w:szCs w:val="22"/>
        </w:rPr>
        <w:t>, a to</w:t>
      </w:r>
      <w:r w:rsidRPr="00BF312E">
        <w:rPr>
          <w:rFonts w:ascii="Arial" w:hAnsi="Arial" w:cs="Arial"/>
          <w:sz w:val="22"/>
          <w:szCs w:val="22"/>
        </w:rPr>
        <w:t xml:space="preserve"> buď formou „Oznámení o změně“ nebo prostřednictvím</w:t>
      </w:r>
      <w:r w:rsidR="00E15D56">
        <w:rPr>
          <w:rFonts w:ascii="Arial" w:hAnsi="Arial" w:cs="Arial"/>
          <w:sz w:val="22"/>
          <w:szCs w:val="22"/>
        </w:rPr>
        <w:t xml:space="preserve"> nejbližší</w:t>
      </w:r>
      <w:r w:rsidRPr="00BF312E">
        <w:rPr>
          <w:rFonts w:ascii="Arial" w:hAnsi="Arial" w:cs="Arial"/>
          <w:sz w:val="22"/>
          <w:szCs w:val="22"/>
        </w:rPr>
        <w:t xml:space="preserve"> „Zprávy o realizaci“</w:t>
      </w:r>
      <w:r w:rsidR="00E15D56" w:rsidRPr="008D7E78">
        <w:rPr>
          <w:rFonts w:ascii="Arial" w:hAnsi="Arial" w:cs="Arial"/>
          <w:sz w:val="22"/>
          <w:szCs w:val="22"/>
        </w:rPr>
        <w:t xml:space="preserve"> </w:t>
      </w:r>
      <w:r w:rsidR="00E15D56" w:rsidRPr="00E15D56">
        <w:rPr>
          <w:rFonts w:ascii="Arial" w:hAnsi="Arial" w:cs="Arial"/>
          <w:sz w:val="22"/>
          <w:szCs w:val="22"/>
        </w:rPr>
        <w:t>“ nebo „Žádosti o platbu“</w:t>
      </w:r>
      <w:r w:rsidRPr="00BF312E">
        <w:rPr>
          <w:rFonts w:ascii="Arial" w:hAnsi="Arial" w:cs="Arial"/>
          <w:sz w:val="22"/>
          <w:szCs w:val="22"/>
        </w:rPr>
        <w:t>.</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administrativního ověření </w:t>
      </w:r>
      <w:r w:rsidRPr="008D7E78">
        <w:rPr>
          <w:rFonts w:ascii="Arial" w:hAnsi="Arial" w:cs="Arial"/>
          <w:sz w:val="22"/>
          <w:szCs w:val="22"/>
        </w:rPr>
        <w:t>ex-ante</w:t>
      </w:r>
      <w:r w:rsidRPr="00BF312E">
        <w:rPr>
          <w:rFonts w:ascii="Arial" w:hAnsi="Arial" w:cs="Arial"/>
          <w:sz w:val="22"/>
          <w:szCs w:val="22"/>
        </w:rPr>
        <w:t xml:space="preserve"> příjemce předkládá podklady k</w:t>
      </w:r>
      <w:r w:rsidR="002D0B09">
        <w:rPr>
          <w:rFonts w:ascii="Arial" w:hAnsi="Arial" w:cs="Arial"/>
          <w:sz w:val="22"/>
          <w:szCs w:val="22"/>
        </w:rPr>
        <w:t> </w:t>
      </w:r>
      <w:r w:rsidRPr="00BF312E">
        <w:rPr>
          <w:rFonts w:ascii="Arial" w:hAnsi="Arial" w:cs="Arial"/>
          <w:sz w:val="22"/>
          <w:szCs w:val="22"/>
        </w:rPr>
        <w:t xml:space="preserve">zadávacímu řízení </w:t>
      </w:r>
      <w:r w:rsidR="002D0B09" w:rsidRPr="00BF312E">
        <w:rPr>
          <w:rFonts w:ascii="Arial" w:hAnsi="Arial" w:cs="Arial"/>
          <w:sz w:val="22"/>
          <w:szCs w:val="22"/>
        </w:rPr>
        <w:t>v příloze interní depeše v MS2014+ adresované specialistům na veřejné zakázky, v kopii příslušnému projektovému manažerovi</w:t>
      </w:r>
      <w:r w:rsidR="00E15D56" w:rsidRPr="00E15D56">
        <w:rPr>
          <w:rFonts w:ascii="Arial" w:hAnsi="Arial" w:cs="Arial"/>
          <w:sz w:val="22"/>
          <w:szCs w:val="22"/>
        </w:rPr>
        <w:t>. Do textu interní depeše příjemce vždy uvede název a registrační číslo projektu a název a číslo zakázky uvedené v</w:t>
      </w:r>
      <w:r w:rsidR="00F54FCF">
        <w:rPr>
          <w:rFonts w:ascii="Arial" w:hAnsi="Arial" w:cs="Arial"/>
          <w:sz w:val="22"/>
          <w:szCs w:val="22"/>
        </w:rPr>
        <w:t> </w:t>
      </w:r>
      <w:r w:rsidR="00E15D56" w:rsidRPr="00E15D56">
        <w:rPr>
          <w:rFonts w:ascii="Arial" w:hAnsi="Arial" w:cs="Arial"/>
          <w:sz w:val="22"/>
          <w:szCs w:val="22"/>
        </w:rPr>
        <w:t>MS</w:t>
      </w:r>
      <w:r w:rsidR="00F54FCF">
        <w:rPr>
          <w:rFonts w:ascii="Arial" w:hAnsi="Arial" w:cs="Arial"/>
          <w:sz w:val="22"/>
          <w:szCs w:val="22"/>
        </w:rPr>
        <w:t>20</w:t>
      </w:r>
      <w:r w:rsidR="00E15D56" w:rsidRPr="00E15D56">
        <w:rPr>
          <w:rFonts w:ascii="Arial" w:hAnsi="Arial" w:cs="Arial"/>
          <w:sz w:val="22"/>
          <w:szCs w:val="22"/>
        </w:rPr>
        <w:t>14+</w:t>
      </w:r>
      <w:r w:rsidR="00CD7CA1">
        <w:rPr>
          <w:rFonts w:ascii="Arial" w:hAnsi="Arial" w:cs="Arial"/>
          <w:sz w:val="22"/>
          <w:szCs w:val="22"/>
        </w:rPr>
        <w:t>. V</w:t>
      </w:r>
      <w:r w:rsidR="002D0B09" w:rsidRPr="00BF312E">
        <w:rPr>
          <w:rFonts w:ascii="Arial" w:hAnsi="Arial" w:cs="Arial"/>
          <w:sz w:val="22"/>
          <w:szCs w:val="22"/>
        </w:rPr>
        <w:t>eškerou dokumentaci k zadávacímu řízení</w:t>
      </w:r>
      <w:r w:rsidR="002D0B09">
        <w:rPr>
          <w:rFonts w:ascii="Arial" w:hAnsi="Arial" w:cs="Arial"/>
          <w:sz w:val="22"/>
          <w:szCs w:val="22"/>
        </w:rPr>
        <w:t xml:space="preserve"> </w:t>
      </w:r>
      <w:r w:rsidR="00CD7CA1">
        <w:rPr>
          <w:rFonts w:ascii="Arial" w:hAnsi="Arial" w:cs="Arial"/>
          <w:sz w:val="22"/>
          <w:szCs w:val="22"/>
        </w:rPr>
        <w:t>příjemce rovněž v</w:t>
      </w:r>
      <w:r w:rsidR="00CD7CA1" w:rsidRPr="00BF312E">
        <w:rPr>
          <w:rFonts w:ascii="Arial" w:hAnsi="Arial" w:cs="Arial"/>
          <w:sz w:val="22"/>
          <w:szCs w:val="22"/>
        </w:rPr>
        <w:t xml:space="preserve">loží </w:t>
      </w:r>
      <w:r w:rsidR="005A2CFC">
        <w:rPr>
          <w:rFonts w:ascii="Arial" w:hAnsi="Arial" w:cs="Arial"/>
          <w:sz w:val="22"/>
          <w:szCs w:val="22"/>
        </w:rPr>
        <w:t>do</w:t>
      </w:r>
      <w:r w:rsidR="005A2CFC" w:rsidRPr="00BF312E">
        <w:rPr>
          <w:rFonts w:ascii="Arial" w:hAnsi="Arial" w:cs="Arial"/>
          <w:sz w:val="22"/>
          <w:szCs w:val="22"/>
        </w:rPr>
        <w:t xml:space="preserve"> </w:t>
      </w:r>
      <w:r w:rsidRPr="00BF312E">
        <w:rPr>
          <w:rFonts w:ascii="Arial" w:hAnsi="Arial" w:cs="Arial"/>
          <w:sz w:val="22"/>
          <w:szCs w:val="22"/>
        </w:rPr>
        <w:t>MS2014+ k danému projektu a</w:t>
      </w:r>
      <w:r w:rsidR="005A2CFC">
        <w:rPr>
          <w:rFonts w:ascii="Arial" w:hAnsi="Arial" w:cs="Arial"/>
          <w:sz w:val="22"/>
          <w:szCs w:val="22"/>
        </w:rPr>
        <w:t> </w:t>
      </w:r>
      <w:r w:rsidRPr="00BF312E">
        <w:rPr>
          <w:rFonts w:ascii="Arial" w:hAnsi="Arial" w:cs="Arial"/>
          <w:sz w:val="22"/>
          <w:szCs w:val="22"/>
        </w:rPr>
        <w:t xml:space="preserve">zadávacímu řízení. </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OPTP dříve ověřována a u již 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projektu, v rámci kterého 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8D19CA" w:rsidRPr="0028752E"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u w:val="single"/>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8D19CA" w:rsidRPr="0028752E" w:rsidRDefault="008D19CA" w:rsidP="0028752E">
      <w:pPr>
        <w:pStyle w:val="Odstavecseseznamem"/>
        <w:rPr>
          <w:rFonts w:ascii="Arial" w:hAnsi="Arial" w:cs="Arial"/>
          <w:sz w:val="22"/>
          <w:szCs w:val="22"/>
          <w:u w:val="single"/>
        </w:rPr>
      </w:pPr>
    </w:p>
    <w:p w:rsidR="009177C0" w:rsidRPr="008D7E78"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zakázek</w:t>
      </w:r>
      <w:r w:rsidR="008D19CA" w:rsidRPr="008D7E78">
        <w:rPr>
          <w:b/>
          <w:sz w:val="26"/>
          <w:szCs w:val="26"/>
        </w:rPr>
        <w:t xml:space="preserve">, </w:t>
      </w:r>
      <w:r w:rsidRPr="008D7E78">
        <w:rPr>
          <w:b/>
          <w:sz w:val="26"/>
          <w:szCs w:val="26"/>
        </w:rPr>
        <w:t>které nejsou zadávány podle postupů stanovených v Zákoně</w:t>
      </w:r>
    </w:p>
    <w:p w:rsidR="009177C0" w:rsidRPr="009177C0" w:rsidRDefault="009177C0" w:rsidP="009177C0">
      <w:pPr>
        <w:pStyle w:val="Odstavecseseznamem"/>
        <w:spacing w:line="240" w:lineRule="atLeast"/>
        <w:ind w:left="792"/>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Zákonem,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 dostupný na adrese:</w:t>
      </w:r>
      <w:r w:rsidRPr="009177C0">
        <w:rPr>
          <w:rFonts w:ascii="Arial" w:hAnsi="Arial" w:cs="Arial"/>
          <w:i/>
          <w:sz w:val="22"/>
          <w:szCs w:val="22"/>
        </w:rPr>
        <w:t xml:space="preserve"> </w:t>
      </w:r>
      <w:hyperlink r:id="rId10" w:history="1">
        <w:r w:rsidRPr="009177C0">
          <w:rPr>
            <w:rStyle w:val="Hypertextovodkaz"/>
            <w:rFonts w:ascii="Arial" w:hAnsi="Arial" w:cs="Arial"/>
            <w:sz w:val="22"/>
            <w:szCs w:val="22"/>
          </w:rPr>
          <w:t>www.strukturalni-fondy.cz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lastRenderedPageBreak/>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Pr="009177C0" w:rsidRDefault="009177C0"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9177C0" w:rsidRPr="009177C0" w:rsidRDefault="009177C0" w:rsidP="0028752E">
      <w:pPr>
        <w:pStyle w:val="Odstavecseseznamem"/>
        <w:spacing w:line="240" w:lineRule="atLeast"/>
        <w:ind w:left="792"/>
        <w:jc w:val="both"/>
        <w:rPr>
          <w:rFonts w:ascii="Arial" w:hAnsi="Arial" w:cs="Arial"/>
          <w:b/>
          <w:sz w:val="22"/>
          <w:szCs w:val="22"/>
          <w:u w:val="single"/>
        </w:rPr>
      </w:pPr>
    </w:p>
    <w:p w:rsidR="009177C0" w:rsidRPr="009177C0" w:rsidRDefault="009177C0" w:rsidP="0028752E">
      <w:pPr>
        <w:jc w:val="both"/>
        <w:rPr>
          <w:rFonts w:ascii="Arial" w:hAnsi="Arial" w:cs="Arial"/>
          <w:sz w:val="22"/>
          <w:szCs w:val="22"/>
          <w:u w:color="FF0000"/>
        </w:rPr>
      </w:pPr>
      <w:r w:rsidRPr="009177C0">
        <w:rPr>
          <w:rFonts w:ascii="Arial" w:hAnsi="Arial" w:cs="Arial"/>
          <w:b/>
          <w:sz w:val="22"/>
          <w:szCs w:val="22"/>
        </w:rPr>
        <w:t>Příjemci, kteří jsou veřejnými nebo dotovanými zadavateli</w:t>
      </w:r>
      <w:r w:rsidRPr="009177C0">
        <w:rPr>
          <w:rFonts w:ascii="Arial" w:hAnsi="Arial" w:cs="Arial"/>
          <w:sz w:val="22"/>
          <w:szCs w:val="22"/>
        </w:rPr>
        <w:t xml:space="preserve"> </w:t>
      </w:r>
      <w:r w:rsidRPr="009177C0">
        <w:rPr>
          <w:rFonts w:ascii="Arial" w:hAnsi="Arial" w:cs="Arial"/>
          <w:sz w:val="22"/>
          <w:szCs w:val="22"/>
          <w:u w:color="FF0000"/>
        </w:rPr>
        <w:t>podle § 2 odst. 2 a 3 Zákona</w:t>
      </w:r>
      <w:r w:rsidRPr="009177C0">
        <w:rPr>
          <w:rFonts w:ascii="Arial" w:hAnsi="Arial" w:cs="Arial"/>
          <w:sz w:val="22"/>
          <w:szCs w:val="22"/>
        </w:rPr>
        <w:t xml:space="preserve">, jsou povinni zadávat zakázky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při zadání zakázky malé hodnoty</w:t>
      </w:r>
      <w:r w:rsidRPr="00777903">
        <w:rPr>
          <w:rStyle w:val="Znakapoznpodarou"/>
          <w:rFonts w:ascii="Arial" w:hAnsi="Arial" w:cs="Arial"/>
          <w:szCs w:val="22"/>
        </w:rPr>
        <w:footnoteReference w:id="2"/>
      </w:r>
      <w:r w:rsidRPr="00777903">
        <w:rPr>
          <w:rFonts w:ascii="Arial" w:hAnsi="Arial" w:cs="Arial"/>
          <w:sz w:val="16"/>
          <w:szCs w:val="22"/>
        </w:rPr>
        <w:t>.</w:t>
      </w:r>
      <w:r w:rsidRPr="009177C0">
        <w:rPr>
          <w:rFonts w:ascii="Arial" w:hAnsi="Arial" w:cs="Arial"/>
          <w:sz w:val="22"/>
          <w:szCs w:val="22"/>
        </w:rPr>
        <w:t xml:space="preserve">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však nejsou povinni zadávat zakázky malé hodnoty, které splňují podmínky pro použití výjimky stanovené v § 18 odst. 1 až 4 a § 23 </w:t>
      </w:r>
      <w:r w:rsidRPr="009177C0">
        <w:rPr>
          <w:rFonts w:ascii="Arial" w:hAnsi="Arial" w:cs="Arial"/>
          <w:sz w:val="22"/>
          <w:szCs w:val="22"/>
          <w:u w:color="FF0000"/>
        </w:rPr>
        <w:t>Zákona.</w:t>
      </w:r>
    </w:p>
    <w:p w:rsidR="009177C0" w:rsidRPr="008D7E78" w:rsidRDefault="009177C0" w:rsidP="0028752E">
      <w:pPr>
        <w:pStyle w:val="Odstavecseseznamem"/>
        <w:spacing w:line="240" w:lineRule="atLeast"/>
        <w:ind w:left="567"/>
        <w:jc w:val="both"/>
        <w:rPr>
          <w:rFonts w:ascii="Arial" w:hAnsi="Arial" w:cs="Arial"/>
          <w:sz w:val="28"/>
          <w:szCs w:val="28"/>
        </w:rPr>
      </w:pPr>
    </w:p>
    <w:p w:rsidR="00DB26A9" w:rsidRPr="008D7E78" w:rsidRDefault="009177C0" w:rsidP="0028752E">
      <w:pPr>
        <w:jc w:val="both"/>
        <w:rPr>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00952D9A" w:rsidRPr="008D7E78" w:rsidRDefault="00952D9A" w:rsidP="00952D9A">
      <w:pPr>
        <w:pStyle w:val="Mjstyl3"/>
        <w:numPr>
          <w:ilvl w:val="1"/>
          <w:numId w:val="44"/>
        </w:numPr>
        <w:spacing w:before="240" w:after="240"/>
        <w:rPr>
          <w:b/>
        </w:rPr>
      </w:pPr>
      <w:r w:rsidRPr="008D7E78">
        <w:rPr>
          <w:b/>
        </w:rPr>
        <w:t>Zásady postupu zadavatele</w:t>
      </w:r>
    </w:p>
    <w:p w:rsidR="00952D9A" w:rsidRDefault="00952D9A" w:rsidP="008D7E78">
      <w:pPr>
        <w:pStyle w:val="Mjstyl3"/>
        <w:numPr>
          <w:ilvl w:val="3"/>
          <w:numId w:val="44"/>
        </w:numPr>
        <w:spacing w:before="240" w:after="240"/>
      </w:pPr>
      <w:r>
        <w:t>Zadavatel je povinen při zadávání zakázky dodržovat zásady transparentnosti, přiměřenosti, rovného zacházení a zákazu diskriminace.</w:t>
      </w:r>
    </w:p>
    <w:p w:rsidR="00952D9A" w:rsidRPr="008D7E78" w:rsidRDefault="00952D9A" w:rsidP="00952D9A">
      <w:pPr>
        <w:pStyle w:val="Mjstyl3"/>
        <w:numPr>
          <w:ilvl w:val="1"/>
          <w:numId w:val="44"/>
        </w:numPr>
        <w:spacing w:before="240" w:after="240"/>
        <w:rPr>
          <w:b/>
        </w:rPr>
      </w:pPr>
      <w:r w:rsidRPr="008D7E78">
        <w:rPr>
          <w:b/>
        </w:rPr>
        <w:t xml:space="preserve">Veřejná zakázka/zakázka </w:t>
      </w:r>
    </w:p>
    <w:p w:rsidR="00952D9A" w:rsidRDefault="00952D9A" w:rsidP="008D7E78">
      <w:pPr>
        <w:pStyle w:val="Mjstyl3"/>
        <w:numPr>
          <w:ilvl w:val="3"/>
          <w:numId w:val="44"/>
        </w:numPr>
        <w:spacing w:before="240" w:after="240"/>
      </w:pPr>
      <w:r>
        <w:t xml:space="preserve">Veřejná zakázka/zakázka je realizována na základě písemné smlouvy nebo písemné objednávky (pouze u zakázek malé hodnoty I. kategorie) mezi zadavatelem a jedním či více dodavateli, jejímž předmětem je úplatné poskytnutí dodávek či služeb nebo úplatné provedení stavebních prací. </w:t>
      </w:r>
    </w:p>
    <w:p w:rsidR="00952D9A" w:rsidRDefault="00952D9A" w:rsidP="008D7E78">
      <w:pPr>
        <w:pStyle w:val="Mjstyl3"/>
        <w:numPr>
          <w:ilvl w:val="3"/>
          <w:numId w:val="44"/>
        </w:numPr>
        <w:spacing w:before="240" w:after="240"/>
      </w:pPr>
      <w:r>
        <w:t>Veřejná zakázka/zakázka se podle předmětu dělí na zakázky na dodávky, zakázky na služby nebo zakázky na stavební práce.</w:t>
      </w:r>
    </w:p>
    <w:p w:rsidR="00952D9A" w:rsidRDefault="00952D9A" w:rsidP="008D7E78">
      <w:pPr>
        <w:pStyle w:val="Mjstyl3"/>
        <w:numPr>
          <w:ilvl w:val="3"/>
          <w:numId w:val="44"/>
        </w:numPr>
        <w:spacing w:before="240" w:after="240"/>
      </w:pPr>
      <w:r>
        <w:t>Veřejnou zakázkou/zakázkou na dodávky je zakázka, jejímž předmětem je pořízení věci („zboží“) formou koupě, koupě zboží na splátky, nájmu nebo pachtu zboží nebo nájmu nebo pachtu zboží s právem následné koupě (leasing). Dále za veřejnou zakázku/zakázku na dodávky lze považovat poskytnutí služby spočívající v umístění, montáži či uvedení zboží (viz předchozí věta), do provozu, pokud tyto činnosti nejsou základním účelem zakázky, avšak jsou nezbytné ke splnění zakázky na dodávky.</w:t>
      </w:r>
    </w:p>
    <w:p w:rsidR="00952D9A" w:rsidRDefault="00952D9A" w:rsidP="008D7E78">
      <w:pPr>
        <w:pStyle w:val="Mjstyl3"/>
        <w:numPr>
          <w:ilvl w:val="3"/>
          <w:numId w:val="44"/>
        </w:numPr>
        <w:spacing w:before="240" w:after="240"/>
      </w:pPr>
      <w:r>
        <w:t>Veřejnou zakázkou/zakázkou na služby je zakázka, která není veřejnou zakázkou/zakázkou na dodávky nebo stavební práce. Veřejnou zakázkou/zakázkou na služby je také zakázka, jejímž předmětem je kromě poskytnutí služeb rovněž poskytnutí dodávky dle bodu 2.3, pokud předpokládaná hodnota poskytovaných služeb je vyšší než předpokládaná hodnota poskytované dodávky.</w:t>
      </w:r>
    </w:p>
    <w:p w:rsidR="00952D9A" w:rsidRPr="008D7E78" w:rsidRDefault="00952D9A" w:rsidP="00952D9A">
      <w:pPr>
        <w:pStyle w:val="Mjstyl3"/>
        <w:numPr>
          <w:ilvl w:val="1"/>
          <w:numId w:val="44"/>
        </w:numPr>
        <w:spacing w:before="240" w:after="240"/>
        <w:rPr>
          <w:b/>
        </w:rPr>
      </w:pPr>
      <w:r w:rsidRPr="008D7E78">
        <w:rPr>
          <w:b/>
        </w:rPr>
        <w:t xml:space="preserve">Druh zakázky podle předpokládané hodnoty </w:t>
      </w:r>
    </w:p>
    <w:p w:rsidR="00952D9A" w:rsidRDefault="00952D9A" w:rsidP="008D7E78">
      <w:pPr>
        <w:pStyle w:val="Mjstyl3"/>
        <w:numPr>
          <w:ilvl w:val="3"/>
          <w:numId w:val="44"/>
        </w:numPr>
        <w:spacing w:before="240" w:after="240"/>
      </w:pPr>
      <w:r>
        <w:t>Pro účely tohoto PŽP se zakázky podle výše předpokládané hodnoty člení na veřejné zakázky/zakázky:</w:t>
      </w:r>
    </w:p>
    <w:p w:rsidR="00952D9A" w:rsidRDefault="00952D9A" w:rsidP="008D7E78">
      <w:pPr>
        <w:pStyle w:val="Mjstyl3"/>
        <w:numPr>
          <w:ilvl w:val="2"/>
          <w:numId w:val="91"/>
        </w:numPr>
        <w:spacing w:before="240" w:after="240"/>
      </w:pPr>
      <w:r>
        <w:t xml:space="preserve">malé hodnoty </w:t>
      </w:r>
    </w:p>
    <w:p w:rsidR="00952D9A" w:rsidRDefault="00952D9A" w:rsidP="008D7E78">
      <w:pPr>
        <w:pStyle w:val="Mjstyl3"/>
        <w:numPr>
          <w:ilvl w:val="2"/>
          <w:numId w:val="91"/>
        </w:numPr>
        <w:spacing w:before="240" w:after="240"/>
      </w:pPr>
      <w:r>
        <w:lastRenderedPageBreak/>
        <w:t xml:space="preserve">vyšší hodnoty </w:t>
      </w:r>
    </w:p>
    <w:p w:rsidR="00952D9A" w:rsidRPr="00C62935" w:rsidRDefault="00952D9A" w:rsidP="008D7E78">
      <w:pPr>
        <w:pStyle w:val="Mjstyl3"/>
        <w:numPr>
          <w:ilvl w:val="3"/>
          <w:numId w:val="44"/>
        </w:numPr>
        <w:spacing w:before="240" w:after="240"/>
      </w:pPr>
      <w:r>
        <w:t xml:space="preserve">Zakázkou malé hodnoty je zakázka, jejíž předpokládaná hodnota nedosáhne 2 000 000 Kč bez daně z přidané hodnoty v případě zakázky na dodávky a/nebo služby. Zakázky jsou zadávané podle této Přílohy č. 14 PŽP, jež zapracovává ustanovení </w:t>
      </w:r>
      <w:r w:rsidRPr="00C62935">
        <w:t>Metodického pokynu pro oblast zadávání zakázek pro programové období 2014-2020.</w:t>
      </w:r>
    </w:p>
    <w:p w:rsidR="00C62935" w:rsidRPr="008D7E78" w:rsidRDefault="00C62935" w:rsidP="008D7E78">
      <w:pPr>
        <w:pStyle w:val="Mjstyl3"/>
        <w:numPr>
          <w:ilvl w:val="3"/>
          <w:numId w:val="44"/>
        </w:numPr>
        <w:spacing w:before="240" w:after="240"/>
        <w:rPr>
          <w:b/>
        </w:rPr>
      </w:pPr>
      <w:r w:rsidRPr="008D7E78">
        <w:t xml:space="preserve">Zakázky malé hodnoty jsou podle výše předpokládané hodnoty </w:t>
      </w:r>
      <w:r w:rsidRPr="008D7E78">
        <w:rPr>
          <w:b/>
        </w:rPr>
        <w:t>odstupňovány do dvou kategorií:</w:t>
      </w:r>
    </w:p>
    <w:p w:rsidR="00C62935" w:rsidRPr="008D7E78" w:rsidRDefault="00C62935" w:rsidP="00C62935">
      <w:pPr>
        <w:pStyle w:val="Odstavecseseznamem"/>
        <w:spacing w:line="240" w:lineRule="atLeast"/>
        <w:ind w:left="1416"/>
        <w:rPr>
          <w:rFonts w:ascii="Arial" w:hAnsi="Arial" w:cs="Arial"/>
          <w:sz w:val="22"/>
          <w:szCs w:val="22"/>
        </w:rPr>
      </w:pPr>
    </w:p>
    <w:p w:rsidR="00C62935" w:rsidRPr="008D7E78" w:rsidRDefault="00C62935" w:rsidP="00C62935">
      <w:pPr>
        <w:pStyle w:val="Odstavecseseznamem"/>
        <w:numPr>
          <w:ilvl w:val="0"/>
          <w:numId w:val="40"/>
        </w:numPr>
        <w:spacing w:line="240" w:lineRule="atLeast"/>
        <w:ind w:left="567" w:firstLine="0"/>
        <w:jc w:val="both"/>
        <w:rPr>
          <w:rFonts w:ascii="Arial" w:hAnsi="Arial" w:cs="Arial"/>
          <w:sz w:val="22"/>
          <w:szCs w:val="22"/>
        </w:rPr>
      </w:pPr>
      <w:r w:rsidRPr="008D7E78">
        <w:rPr>
          <w:rFonts w:ascii="Arial" w:hAnsi="Arial" w:cs="Arial"/>
          <w:sz w:val="22"/>
          <w:szCs w:val="22"/>
        </w:rPr>
        <w:t xml:space="preserve"> kategorie - zakázka, jejíž předpokládaná hodnota nedosáhne 400 000 Kč bez daně z přidané hodnoty</w:t>
      </w:r>
    </w:p>
    <w:p w:rsidR="00C62935" w:rsidRPr="008D7E78" w:rsidRDefault="00C62935" w:rsidP="00C62935">
      <w:pPr>
        <w:spacing w:line="240" w:lineRule="atLeast"/>
        <w:ind w:left="709" w:hanging="425"/>
        <w:jc w:val="both"/>
        <w:rPr>
          <w:rFonts w:ascii="Arial" w:hAnsi="Arial" w:cs="Arial"/>
          <w:sz w:val="22"/>
          <w:szCs w:val="22"/>
        </w:rPr>
      </w:pPr>
    </w:p>
    <w:p w:rsidR="00C62935" w:rsidRPr="009177C0" w:rsidRDefault="00C62935" w:rsidP="00C62935">
      <w:pPr>
        <w:pStyle w:val="Odstavecseseznamem"/>
        <w:spacing w:line="240" w:lineRule="atLeast"/>
        <w:ind w:left="567"/>
        <w:jc w:val="both"/>
        <w:rPr>
          <w:rFonts w:ascii="Arial" w:hAnsi="Arial" w:cs="Arial"/>
          <w:sz w:val="22"/>
          <w:szCs w:val="22"/>
        </w:rPr>
      </w:pPr>
      <w:r w:rsidRPr="008D7E78">
        <w:rPr>
          <w:rFonts w:ascii="Arial" w:hAnsi="Arial" w:cs="Arial"/>
          <w:sz w:val="22"/>
          <w:szCs w:val="22"/>
        </w:rPr>
        <w:t>II. kategorie - zakázka, jejíž předpokládaná hodnota činí nejméně 400 000 Kč bez daně z přidané hodnoty.</w:t>
      </w:r>
    </w:p>
    <w:p w:rsidR="00C62935" w:rsidRPr="00C62935" w:rsidRDefault="00C62935" w:rsidP="008D7E78"/>
    <w:p w:rsidR="00952D9A" w:rsidRDefault="00952D9A" w:rsidP="008D7E78">
      <w:pPr>
        <w:pStyle w:val="Mjstyl3"/>
        <w:numPr>
          <w:ilvl w:val="3"/>
          <w:numId w:val="44"/>
        </w:numPr>
        <w:spacing w:before="240" w:after="240"/>
      </w:pPr>
      <w:r>
        <w:t>Zakázkou vyšší hodnoty je veřejná zakázka na dodávky a/nebo služby, jejíž předpokládaná hodnota činí nejméně 2 000 000 Kč bez daně z přidané hodnoty. Veřejné zakázky jsou zadávané podle zákona č. 134/2016 Sb., o zadávání veřejných zakázek.</w:t>
      </w:r>
    </w:p>
    <w:p w:rsidR="00952D9A" w:rsidRPr="008D7E78" w:rsidRDefault="00952D9A" w:rsidP="00C71899">
      <w:pPr>
        <w:pStyle w:val="Mjstyl3"/>
        <w:numPr>
          <w:ilvl w:val="1"/>
          <w:numId w:val="44"/>
        </w:numPr>
        <w:spacing w:before="240" w:after="240"/>
        <w:rPr>
          <w:b/>
        </w:rPr>
      </w:pPr>
      <w:r w:rsidRPr="008D7E78">
        <w:rPr>
          <w:b/>
        </w:rPr>
        <w:t>Stanovení předmětu zakázky</w:t>
      </w:r>
    </w:p>
    <w:p w:rsidR="00952D9A" w:rsidRDefault="00952D9A" w:rsidP="008D7E78">
      <w:pPr>
        <w:pStyle w:val="Mjstyl3"/>
        <w:numPr>
          <w:ilvl w:val="3"/>
          <w:numId w:val="44"/>
        </w:numPr>
        <w:spacing w:before="240" w:after="240"/>
      </w:pPr>
      <w:r>
        <w:t>Zadavatel stanoví předmět zakázky tak, aby předmětem jedné zakázky byla:</w:t>
      </w:r>
    </w:p>
    <w:p w:rsidR="00952D9A" w:rsidRDefault="00952D9A" w:rsidP="008D7E78">
      <w:pPr>
        <w:pStyle w:val="Mjstyl3"/>
        <w:numPr>
          <w:ilvl w:val="2"/>
          <w:numId w:val="98"/>
        </w:numPr>
        <w:spacing w:before="240" w:after="240"/>
      </w:pPr>
      <w:r>
        <w:t>všechna plnění, jejichž předměty plnění tvoří jeden funkční celek nebo</w:t>
      </w:r>
    </w:p>
    <w:p w:rsidR="00952D9A" w:rsidRDefault="00952D9A" w:rsidP="008D7E78">
      <w:pPr>
        <w:pStyle w:val="Mjstyl3"/>
        <w:numPr>
          <w:ilvl w:val="2"/>
          <w:numId w:val="98"/>
        </w:numPr>
        <w:spacing w:before="240" w:after="240"/>
      </w:pPr>
      <w:r>
        <w:t>všechna obdobná a spolu související plnění, přičemž související plnění jsou ta, která spolu místně, věcně a časově souvisí.</w:t>
      </w:r>
    </w:p>
    <w:p w:rsidR="00952D9A" w:rsidRDefault="00952D9A" w:rsidP="008D7E78">
      <w:pPr>
        <w:pStyle w:val="Mjstyl3"/>
        <w:numPr>
          <w:ilvl w:val="3"/>
          <w:numId w:val="44"/>
        </w:numPr>
        <w:spacing w:before="240" w:after="240"/>
      </w:pPr>
      <w:r>
        <w:t xml:space="preserve">Při určení předmětu zakázky není přípustné uvádět v zadávacích podmínkách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pokud by to vedlo ke zvýhodnění nebo vyloučení určitých uchazečů nebo určitých výrobků. </w:t>
      </w:r>
    </w:p>
    <w:p w:rsidR="00952D9A" w:rsidRDefault="00952D9A" w:rsidP="008D7E78">
      <w:pPr>
        <w:pStyle w:val="Mjstyl3"/>
        <w:numPr>
          <w:ilvl w:val="0"/>
          <w:numId w:val="0"/>
        </w:numPr>
        <w:spacing w:before="240" w:after="240"/>
        <w:ind w:left="576"/>
      </w:pPr>
      <w:r>
        <w:t>Takový odkaz lze výjimečně připustit, pokud:</w:t>
      </w:r>
    </w:p>
    <w:p w:rsidR="00952D9A" w:rsidRDefault="00952D9A" w:rsidP="008D7E78">
      <w:pPr>
        <w:pStyle w:val="Mjstyl3"/>
        <w:numPr>
          <w:ilvl w:val="2"/>
          <w:numId w:val="96"/>
        </w:numPr>
        <w:spacing w:before="240" w:after="240"/>
      </w:pPr>
      <w:r>
        <w:t>by bez jeho použití, nebylo možné dostatečně přesně a srozumitelně určit předmět zakázky, zadavatel však zároveň musí v zadávacích podmínkách výslovně umožnit pro plnění zakázky použití i jiných, kvalitativně a technicky obdobných řešení, nebo</w:t>
      </w:r>
    </w:p>
    <w:p w:rsidR="00952D9A" w:rsidRDefault="00952D9A" w:rsidP="008D7E78">
      <w:pPr>
        <w:pStyle w:val="Mjstyl3"/>
        <w:numPr>
          <w:ilvl w:val="2"/>
          <w:numId w:val="96"/>
        </w:numPr>
        <w:spacing w:before="240" w:after="240"/>
      </w:pPr>
      <w:r>
        <w:t xml:space="preserve">by bylo pořizované plnění nekompatibilní s již používanými zařízeními či systémy a jeho přizpůsobení by provozu zadavatele působilo mimořádné obtíže, může zadavatel v zadávacích podmínkách uvést podrobněji specifický popis plnění. </w:t>
      </w:r>
    </w:p>
    <w:p w:rsidR="00952D9A" w:rsidRDefault="00952D9A" w:rsidP="008D7E78">
      <w:pPr>
        <w:pStyle w:val="Mjstyl3"/>
        <w:numPr>
          <w:ilvl w:val="3"/>
          <w:numId w:val="44"/>
        </w:numPr>
        <w:spacing w:before="240" w:after="240"/>
      </w:pPr>
      <w:r>
        <w:t>Skutečnosti uvedené v předchozím bodu je zadavatel povinen poskytovateli podpory na vyžádání prokázat.</w:t>
      </w:r>
    </w:p>
    <w:p w:rsidR="00952D9A" w:rsidRPr="008D7E78" w:rsidRDefault="00952D9A" w:rsidP="0041078B">
      <w:pPr>
        <w:pStyle w:val="Mjstyl3"/>
        <w:numPr>
          <w:ilvl w:val="1"/>
          <w:numId w:val="44"/>
        </w:numPr>
        <w:spacing w:before="240" w:after="240"/>
        <w:rPr>
          <w:b/>
        </w:rPr>
      </w:pPr>
      <w:r w:rsidRPr="008D7E78">
        <w:rPr>
          <w:b/>
        </w:rPr>
        <w:lastRenderedPageBreak/>
        <w:t>Stanovení předpokládané hodnoty zakázky</w:t>
      </w:r>
    </w:p>
    <w:p w:rsidR="00952D9A" w:rsidRDefault="00952D9A" w:rsidP="008D7E78">
      <w:pPr>
        <w:pStyle w:val="Mjstyl3"/>
        <w:numPr>
          <w:ilvl w:val="3"/>
          <w:numId w:val="44"/>
        </w:numPr>
        <w:spacing w:before="240" w:after="240"/>
      </w:pPr>
      <w:r>
        <w:t>Předpokládanou hodnotou zakázky se rozumí předpokládaná výše peněžitého závazku vyplývající pro zadavatele z plnění zakázky. Zadavatel je povinen předpokládanou hodnotu zakázky stanovit pro účely postupu ve výběrovém řízení před jeho zahájením. Při stanovení předpokládané hodnoty zakázky je vždy rozhodná cena bez daně z přidané hodnoty, a to cena ke dni zahájení výběrového řízení.</w:t>
      </w:r>
    </w:p>
    <w:p w:rsidR="00952D9A" w:rsidRDefault="00952D9A" w:rsidP="008D7E78">
      <w:pPr>
        <w:pStyle w:val="Mjstyl3"/>
        <w:numPr>
          <w:ilvl w:val="3"/>
          <w:numId w:val="44"/>
        </w:numPr>
        <w:spacing w:before="240" w:after="240"/>
      </w:pPr>
      <w:r>
        <w:t>Při stanovení předpokládané hodnoty zakázky zadavatel vychází z údajů a informací o zakázkách stejného nebo obdobného předmětu plnění, nebo údajů a informací získaných průzkumem trhu s požadovaným plněním nebo informací získaných jiným vhodným způsobem.</w:t>
      </w:r>
    </w:p>
    <w:p w:rsidR="00952D9A" w:rsidRDefault="00952D9A" w:rsidP="008D7E78">
      <w:pPr>
        <w:pStyle w:val="Mjstyl3"/>
        <w:numPr>
          <w:ilvl w:val="3"/>
          <w:numId w:val="44"/>
        </w:numPr>
        <w:spacing w:before="240" w:after="240"/>
      </w:pPr>
      <w:r>
        <w:t>V případě, že zadavatel má v úmyslu uzavřít smlouvu na dobu neurčitou nebo na dobu, jejíž trvání nelze přesně vymezit, je povinen stanovit předpokládanou hodnotu zakázky na základě předpokládané výše peněžitého závazku za 48 měsíců.</w:t>
      </w:r>
    </w:p>
    <w:p w:rsidR="00952D9A" w:rsidRPr="008D7E78" w:rsidRDefault="00952D9A" w:rsidP="0041078B">
      <w:pPr>
        <w:pStyle w:val="Mjstyl3"/>
        <w:numPr>
          <w:ilvl w:val="1"/>
          <w:numId w:val="44"/>
        </w:numPr>
        <w:spacing w:before="240" w:after="240"/>
        <w:rPr>
          <w:b/>
        </w:rPr>
      </w:pPr>
      <w:r w:rsidRPr="008D7E78">
        <w:rPr>
          <w:b/>
        </w:rPr>
        <w:t>Dělení předmětu zakázky</w:t>
      </w:r>
    </w:p>
    <w:p w:rsidR="00952D9A" w:rsidRDefault="00952D9A" w:rsidP="008D7E78">
      <w:pPr>
        <w:pStyle w:val="Mjstyl3"/>
        <w:numPr>
          <w:ilvl w:val="3"/>
          <w:numId w:val="44"/>
        </w:numPr>
        <w:spacing w:before="240" w:after="240"/>
      </w:pPr>
      <w:r>
        <w:t>Zadavatel nesmí rozdělit předmět zakázky tak, aby tím došlo ke snížení předpokládané hodnoty pod finanční limity stanovené v této Příloze</w:t>
      </w:r>
      <w:r w:rsidR="005C450D">
        <w:t xml:space="preserve"> č. 14 PŽP a k zadání zakázky v </w:t>
      </w:r>
      <w:r>
        <w:t xml:space="preserve">jiném (mírnějším) druhu výběrového řízení, než jaký odpovídá celkové předpokládané hodnotě. </w:t>
      </w:r>
    </w:p>
    <w:p w:rsidR="00952D9A" w:rsidRDefault="00952D9A" w:rsidP="008D7E78">
      <w:pPr>
        <w:pStyle w:val="Mjstyl3"/>
        <w:numPr>
          <w:ilvl w:val="3"/>
          <w:numId w:val="44"/>
        </w:numPr>
        <w:spacing w:before="240" w:after="240"/>
      </w:pPr>
      <w:r>
        <w:t>Při stanovení předpokládané hodnoty je zadavatel povinen sečíst předpokládané hodnoty obdobných, spolu souvisejících dodávek č</w:t>
      </w:r>
      <w:r w:rsidR="005C450D">
        <w:t>i služeb, které hodlá pořídit v </w:t>
      </w:r>
      <w:r>
        <w:t>průběhu účetního období. To neplatí pro dodávky nebo služby, jejichž jednotková cen</w:t>
      </w:r>
      <w:r w:rsidR="005C450D">
        <w:t xml:space="preserve">a je v průběhu účetního období </w:t>
      </w:r>
      <w:r>
        <w:t>proměnlivá a zadavatel tyto dodávky nebo služby pořizuje opakovaně podle svých aktuálních potřeb.</w:t>
      </w:r>
    </w:p>
    <w:p w:rsidR="00952D9A" w:rsidRDefault="00952D9A" w:rsidP="008D7E78">
      <w:pPr>
        <w:pStyle w:val="Mjstyl3"/>
        <w:numPr>
          <w:ilvl w:val="3"/>
          <w:numId w:val="44"/>
        </w:numPr>
        <w:spacing w:before="240" w:after="240"/>
      </w:pPr>
      <w:r>
        <w:t>Zadavatel není povinen sčítat předpokládané hodnoty zakázek, které budou pořizovány „nahodile“ dle zcela aktuálních potřeb zadavatele a které nelze objektivně dopředu vůbec předvídat (např. zakázky realizované v krajně naléhavých případech jako důsledek nepředvídatelných poškození a zničení určitých majetkových hodnot apod.).</w:t>
      </w:r>
    </w:p>
    <w:p w:rsidR="005C450D" w:rsidRDefault="00952D9A" w:rsidP="008D7E78">
      <w:pPr>
        <w:pStyle w:val="Mjstyl3"/>
        <w:numPr>
          <w:ilvl w:val="3"/>
          <w:numId w:val="44"/>
        </w:numPr>
        <w:spacing w:before="240" w:after="240"/>
      </w:pPr>
      <w:r>
        <w:t xml:space="preserve">V případě pochybností, zda zadavatel dodržel povinnosti stanovené v bodech </w:t>
      </w:r>
      <w:r w:rsidR="005C450D">
        <w:t>B.</w:t>
      </w:r>
      <w:r w:rsidR="001F48A5">
        <w:t>7</w:t>
      </w:r>
      <w:r w:rsidR="005C450D">
        <w:t>.1 a B.</w:t>
      </w:r>
      <w:r w:rsidR="001F48A5">
        <w:t>7</w:t>
      </w:r>
      <w:r w:rsidR="005C450D">
        <w:t>.2</w:t>
      </w:r>
      <w:r>
        <w:t>, prokazuje zadavatel, že povinnosti dodržel.</w:t>
      </w:r>
    </w:p>
    <w:p w:rsidR="007535CE" w:rsidRDefault="007535CE" w:rsidP="0041078B">
      <w:pPr>
        <w:pStyle w:val="Mjstyl3"/>
        <w:numPr>
          <w:ilvl w:val="1"/>
          <w:numId w:val="44"/>
        </w:numPr>
        <w:spacing w:before="240" w:after="240"/>
        <w:rPr>
          <w:b/>
        </w:rPr>
      </w:pPr>
      <w:r w:rsidRPr="008D7E78">
        <w:rPr>
          <w:b/>
        </w:rPr>
        <w:t>Zadání dodatečných služeb</w:t>
      </w:r>
    </w:p>
    <w:p w:rsidR="007535CE" w:rsidRPr="008D7E78" w:rsidRDefault="007535CE" w:rsidP="008D7E78">
      <w:pPr>
        <w:pStyle w:val="Mjstyl3"/>
        <w:numPr>
          <w:ilvl w:val="3"/>
          <w:numId w:val="44"/>
        </w:numPr>
        <w:spacing w:before="240" w:after="240"/>
      </w:pPr>
      <w:r>
        <w:t>Dodatečné zakázky na služby, jejichž potřeba vznikla v důsledku objektivně nepředvídaných okolností a které jsou nezbytné pro provedení původní zakázky na služby, může zadavatel zadat</w:t>
      </w:r>
      <w:r w:rsidR="0055251C">
        <w:t xml:space="preserve"> tyto dodatečné práce stávajícímu dodavateli za předpokladu, že dodatečné služby nemohou být technicky nebo ekonomicky odděleny od původní zakázky, pokud by toto oddělení způsobilo závažnou újmu zadavateli, nebo ačkoliv je toto oddělení technicky či ekonomicky možné, jsou dodatečné služby zcela nezbytné pro dokončení předmětu původní zakázky a zároveň celkový rozsah do</w:t>
      </w:r>
      <w:r w:rsidR="00603F7A">
        <w:t>datečných služeb nepřekročí 50 %</w:t>
      </w:r>
      <w:r w:rsidR="0055251C">
        <w:t xml:space="preserve"> ceny původní zakázky.</w:t>
      </w:r>
    </w:p>
    <w:p w:rsidR="009177C0" w:rsidRPr="009177C0" w:rsidRDefault="009177C0" w:rsidP="0041078B">
      <w:pPr>
        <w:pStyle w:val="Mjstyl3"/>
        <w:numPr>
          <w:ilvl w:val="1"/>
          <w:numId w:val="44"/>
        </w:numPr>
        <w:spacing w:before="240" w:after="240"/>
        <w:rPr>
          <w:b/>
        </w:rPr>
      </w:pPr>
      <w:r w:rsidRPr="009177C0">
        <w:rPr>
          <w:b/>
        </w:rPr>
        <w:t>Druh výběrového řízení</w:t>
      </w:r>
    </w:p>
    <w:p w:rsidR="009177C0" w:rsidRPr="009177C0" w:rsidRDefault="009177C0" w:rsidP="00C23D45">
      <w:pPr>
        <w:pStyle w:val="Mjstyl3"/>
        <w:numPr>
          <w:ilvl w:val="3"/>
          <w:numId w:val="44"/>
        </w:numPr>
        <w:spacing w:before="240" w:after="240"/>
      </w:pPr>
      <w:r w:rsidRPr="009177C0">
        <w:t>Zadavatel může zadat zakázku:</w:t>
      </w:r>
    </w:p>
    <w:p w:rsidR="009177C0" w:rsidRPr="009177C0" w:rsidRDefault="009177C0" w:rsidP="008D7E78">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lastRenderedPageBreak/>
        <w:t>v otevřené výzvě, nebo</w:t>
      </w:r>
    </w:p>
    <w:p w:rsidR="009177C0" w:rsidRPr="009177C0" w:rsidRDefault="009177C0" w:rsidP="008D7E78">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na elektronickém tržišti, nebo</w:t>
      </w:r>
    </w:p>
    <w:p w:rsidR="009177C0" w:rsidRPr="009177C0" w:rsidRDefault="009177C0" w:rsidP="008D7E78">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v uzavřené výzvě.</w:t>
      </w:r>
    </w:p>
    <w:p w:rsidR="009177C0" w:rsidRPr="009177C0" w:rsidRDefault="009177C0" w:rsidP="0041078B">
      <w:pPr>
        <w:pStyle w:val="Mjstyl3"/>
        <w:numPr>
          <w:ilvl w:val="3"/>
          <w:numId w:val="44"/>
        </w:numPr>
        <w:spacing w:before="240" w:after="240"/>
      </w:pPr>
      <w:r w:rsidRPr="009177C0">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9177C0" w:rsidRPr="009177C0" w:rsidRDefault="009177C0" w:rsidP="008D7E78">
      <w:pPr>
        <w:pStyle w:val="Zkladntext"/>
        <w:numPr>
          <w:ilvl w:val="0"/>
          <w:numId w:val="116"/>
        </w:numPr>
        <w:tabs>
          <w:tab w:val="left" w:pos="1276"/>
        </w:tabs>
        <w:spacing w:after="60"/>
        <w:jc w:val="both"/>
        <w:rPr>
          <w:rFonts w:ascii="Arial" w:hAnsi="Arial" w:cs="Arial"/>
          <w:sz w:val="22"/>
          <w:szCs w:val="22"/>
        </w:rPr>
      </w:pPr>
      <w:r w:rsidRPr="009177C0">
        <w:rPr>
          <w:rFonts w:ascii="Arial" w:hAnsi="Arial" w:cs="Arial"/>
          <w:sz w:val="22"/>
          <w:szCs w:val="22"/>
        </w:rPr>
        <w:t>na profilu zadavatele, nebo</w:t>
      </w:r>
    </w:p>
    <w:p w:rsidR="009177C0" w:rsidRPr="009177C0" w:rsidRDefault="009177C0" w:rsidP="008D7E78">
      <w:pPr>
        <w:pStyle w:val="Zkladntext"/>
        <w:numPr>
          <w:ilvl w:val="0"/>
          <w:numId w:val="116"/>
        </w:numPr>
        <w:tabs>
          <w:tab w:val="left" w:pos="1276"/>
        </w:tabs>
        <w:spacing w:after="60"/>
        <w:jc w:val="both"/>
        <w:rPr>
          <w:rFonts w:ascii="Arial" w:hAnsi="Arial" w:cs="Arial"/>
          <w:sz w:val="22"/>
          <w:szCs w:val="22"/>
        </w:rPr>
      </w:pPr>
      <w:r w:rsidRPr="009177C0">
        <w:rPr>
          <w:rFonts w:ascii="Arial" w:hAnsi="Arial" w:cs="Arial"/>
          <w:sz w:val="22"/>
          <w:szCs w:val="22"/>
        </w:rPr>
        <w:t xml:space="preserve">ve </w:t>
      </w:r>
      <w:r w:rsidR="00E15D56">
        <w:rPr>
          <w:rFonts w:ascii="Arial" w:hAnsi="Arial" w:cs="Arial"/>
          <w:sz w:val="22"/>
          <w:szCs w:val="22"/>
        </w:rPr>
        <w:t>V</w:t>
      </w:r>
      <w:r w:rsidRPr="009177C0">
        <w:rPr>
          <w:rFonts w:ascii="Arial" w:hAnsi="Arial" w:cs="Arial"/>
          <w:sz w:val="22"/>
          <w:szCs w:val="22"/>
        </w:rPr>
        <w:t>ěstníku veřejných zakázek nebo</w:t>
      </w:r>
    </w:p>
    <w:p w:rsidR="009177C0" w:rsidRPr="009177C0" w:rsidRDefault="00B8662C" w:rsidP="008D7E78">
      <w:pPr>
        <w:pStyle w:val="Zkladntext"/>
        <w:numPr>
          <w:ilvl w:val="0"/>
          <w:numId w:val="116"/>
        </w:numPr>
        <w:tabs>
          <w:tab w:val="left" w:pos="1276"/>
        </w:tabs>
        <w:spacing w:after="60"/>
        <w:jc w:val="both"/>
        <w:rPr>
          <w:rFonts w:ascii="Arial" w:hAnsi="Arial" w:cs="Arial"/>
          <w:sz w:val="22"/>
          <w:szCs w:val="22"/>
        </w:rPr>
      </w:pPr>
      <w:r>
        <w:rPr>
          <w:rFonts w:ascii="Arial" w:hAnsi="Arial" w:cs="Arial"/>
          <w:sz w:val="22"/>
          <w:szCs w:val="22"/>
        </w:rPr>
        <w:t xml:space="preserve">na </w:t>
      </w:r>
      <w:r w:rsidR="009177C0" w:rsidRPr="009177C0">
        <w:rPr>
          <w:rFonts w:ascii="Arial" w:hAnsi="Arial" w:cs="Arial"/>
          <w:sz w:val="22"/>
          <w:szCs w:val="22"/>
        </w:rPr>
        <w:t xml:space="preserve">webových stránkách </w:t>
      </w:r>
      <w:r>
        <w:rPr>
          <w:rFonts w:ascii="Arial" w:hAnsi="Arial" w:cs="Arial"/>
          <w:sz w:val="22"/>
          <w:szCs w:val="22"/>
        </w:rPr>
        <w:t>OPTP</w:t>
      </w:r>
      <w:r w:rsidR="009177C0" w:rsidRPr="009177C0">
        <w:rPr>
          <w:rFonts w:ascii="Arial" w:hAnsi="Arial" w:cs="Arial"/>
          <w:sz w:val="22"/>
          <w:szCs w:val="22"/>
        </w:rPr>
        <w:t xml:space="preserve">. </w:t>
      </w:r>
    </w:p>
    <w:p w:rsidR="009177C0" w:rsidRPr="009177C0" w:rsidRDefault="009177C0" w:rsidP="0041078B">
      <w:pPr>
        <w:pStyle w:val="Mjstyl3"/>
        <w:numPr>
          <w:ilvl w:val="3"/>
          <w:numId w:val="44"/>
        </w:numPr>
        <w:spacing w:before="240" w:after="240"/>
      </w:pPr>
      <w:r w:rsidRPr="009177C0">
        <w:t>V  uzavřené výzvě vyzývá zadavatel písemnou výzvou nejméně 3 zájemce k podání nabídky. Zadavatel vyzve pouze takové zájemce, o kterých má informace, že jsou způsobilí požadované plnění poskytnout. Zadavatel nesmí vyzývat opakovaně stejný okruh zájemců, není-li to odůvodněno předmětem plnění zakázky či jinými zvláštními okolnostmi, případně zrušením předcházejícího výběrového řízení.</w:t>
      </w:r>
    </w:p>
    <w:p w:rsidR="009177C0" w:rsidRPr="009177C0" w:rsidRDefault="009177C0" w:rsidP="00C23D45">
      <w:pPr>
        <w:pStyle w:val="Mjstyl3"/>
        <w:numPr>
          <w:ilvl w:val="3"/>
          <w:numId w:val="44"/>
        </w:numPr>
        <w:spacing w:before="240" w:after="240"/>
      </w:pPr>
      <w:r w:rsidRPr="009177C0">
        <w:t xml:space="preserve">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dle </w:t>
      </w:r>
      <w:r w:rsidR="00833334">
        <w:t>PŽP</w:t>
      </w:r>
      <w:r w:rsidR="00833334" w:rsidRPr="009177C0">
        <w:t xml:space="preserve"> </w:t>
      </w:r>
      <w:r w:rsidRPr="009177C0">
        <w:t>se nepoužijí. Současně však musí být dodrženy Obecné zásady Smlouvy o fungování EU při zadávání zakázek.</w:t>
      </w:r>
    </w:p>
    <w:p w:rsidR="009177C0" w:rsidRPr="009177C0" w:rsidRDefault="009177C0" w:rsidP="00E15D56">
      <w:pPr>
        <w:pStyle w:val="Mjstyl3"/>
        <w:numPr>
          <w:ilvl w:val="1"/>
          <w:numId w:val="44"/>
        </w:numPr>
        <w:spacing w:before="240" w:after="240"/>
        <w:rPr>
          <w:b/>
        </w:rPr>
      </w:pPr>
      <w:r w:rsidRPr="009177C0">
        <w:rPr>
          <w:b/>
        </w:rPr>
        <w:t>Zadávací podmínky</w:t>
      </w:r>
    </w:p>
    <w:p w:rsidR="009177C0" w:rsidRPr="009177C0" w:rsidRDefault="009177C0" w:rsidP="00E15D56">
      <w:pPr>
        <w:pStyle w:val="Mjstyl3"/>
        <w:numPr>
          <w:ilvl w:val="3"/>
          <w:numId w:val="44"/>
        </w:numPr>
        <w:spacing w:before="240" w:after="240"/>
      </w:pPr>
      <w:r w:rsidRPr="009177C0">
        <w:t>Součástí oznámení otevřené výzvy, oznámení uzavřené výzvy nebo informací uveřejněných na elektronickém tržišti (dále „oznámení výběrového řízení“) musí být základní informace o zakázce a výběrovém řízení. Oznámení musí obsahovat alespoň tyto údaje:</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Identifikační údaje zadavatele</w:t>
      </w:r>
      <w:r w:rsidRPr="0028752E">
        <w:rPr>
          <w:rStyle w:val="Znakapoznpodarou"/>
          <w:rFonts w:ascii="Arial" w:hAnsi="Arial" w:cs="Arial"/>
          <w:szCs w:val="16"/>
        </w:rPr>
        <w:footnoteReference w:id="3"/>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Název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Druh zakázky (dodávky</w:t>
      </w:r>
      <w:r w:rsidR="00E27EC4">
        <w:rPr>
          <w:rFonts w:ascii="Arial" w:hAnsi="Arial" w:cs="Arial"/>
          <w:sz w:val="22"/>
          <w:szCs w:val="22"/>
        </w:rPr>
        <w:t xml:space="preserve"> nebo</w:t>
      </w:r>
      <w:r w:rsidRPr="009177C0">
        <w:rPr>
          <w:rFonts w:ascii="Arial" w:hAnsi="Arial" w:cs="Arial"/>
          <w:sz w:val="22"/>
          <w:szCs w:val="22"/>
        </w:rPr>
        <w:t xml:space="preserve"> služby);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Lhůta a místo pro podání nabídky;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Předmět zakázky v podrobnostech nezbytných pro zpracování nabídky; </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Základní hodnotící kritérium, kterým je i) ekonomická výhodnost nabídky, nebo ii) nejnižší nabídková cena. V případě, že je základním hodnotícím kritériem ekonomická výhodnost nabídky, stanoví zadavatel vždy dílčí hodnotící kritéria tak, aby vyjadřovala vztah užitné hodnoty a ceny.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w:t>
      </w:r>
      <w:r w:rsidRPr="009177C0">
        <w:rPr>
          <w:rFonts w:ascii="Arial" w:hAnsi="Arial" w:cs="Arial"/>
          <w:sz w:val="22"/>
          <w:szCs w:val="22"/>
        </w:rPr>
        <w:lastRenderedPageBreak/>
        <w:t>servis, zabezpečení dodávek, dodací lhůta nebo lhůta pro dokončení. Dílčím hodnotícím kritériem nemohou být kvalifikační předpoklady, smluvní podmínky, jejichž účelem je zajištění povinností dodavatele, nebo platební podmínky;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hodnocení hodnotících kritérií</w:t>
      </w:r>
      <w:r w:rsidRPr="0028752E">
        <w:rPr>
          <w:rStyle w:val="Znakapoznpodarou"/>
          <w:rFonts w:ascii="Arial" w:hAnsi="Arial" w:cs="Arial"/>
          <w:szCs w:val="16"/>
        </w:rPr>
        <w:footnoteReference w:id="4"/>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jednání s uchazeči, pokud hodlá zadavatel s uchazeči jednat podle bodu B.</w:t>
      </w:r>
      <w:r w:rsidR="00CF25A1">
        <w:rPr>
          <w:rFonts w:ascii="Arial" w:hAnsi="Arial" w:cs="Arial"/>
          <w:sz w:val="22"/>
          <w:szCs w:val="22"/>
        </w:rPr>
        <w:t>12</w:t>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Podmínky a požadavky na zpracování nabídky, jaké údaje týkající se předmětu zakázky a jeho realizace mají uchazeči v nabídkách uvést, aby mohl zadavatel posoudit soulad nabídky se zadávacími podmínkami;</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Požadavek na způsob zpracování nabídkové ceny;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Doba a místo plnění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Požadavky na varianty nabídek, pokud je zadavatel připouští;</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Poskytování dodatečných informací dle bodu B.</w:t>
      </w:r>
      <w:r w:rsidR="00CF25A1">
        <w:rPr>
          <w:rFonts w:ascii="Arial" w:hAnsi="Arial" w:cs="Arial"/>
          <w:sz w:val="22"/>
          <w:szCs w:val="22"/>
        </w:rPr>
        <w:t>11</w:t>
      </w:r>
      <w:r w:rsidRPr="009177C0">
        <w:rPr>
          <w:rFonts w:ascii="Arial" w:hAnsi="Arial" w:cs="Arial"/>
          <w:sz w:val="22"/>
          <w:szCs w:val="22"/>
        </w:rPr>
        <w:t>.3;</w:t>
      </w:r>
    </w:p>
    <w:p w:rsidR="009177C0" w:rsidRPr="009177C0" w:rsidRDefault="009177C0" w:rsidP="0041078B">
      <w:pPr>
        <w:pStyle w:val="Mjstyl3"/>
        <w:numPr>
          <w:ilvl w:val="3"/>
          <w:numId w:val="44"/>
        </w:numPr>
        <w:spacing w:before="240" w:after="240"/>
      </w:pPr>
      <w:r w:rsidRPr="009177C0">
        <w:t>Zadávací podmínky mohou dále obsahovat zejména:</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Požadavky na prokázání kvalifikace uchazeče, pokud zadavatel požadavky na kvalifikaci stanoví;</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Obchodní podmínky, včetně platebních podmínek nebo závazný vzor smlouvy na plnění zakázky; </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Požadavky na specifikaci případných subdodavatelů (identifikační údaje) a věcné vymezení plnění dodaného jejich prostřednictvím; </w:t>
      </w:r>
    </w:p>
    <w:p w:rsidR="009177C0" w:rsidRPr="009177C0" w:rsidRDefault="009177C0" w:rsidP="0041078B">
      <w:pPr>
        <w:pStyle w:val="Mjstyl3"/>
        <w:numPr>
          <w:ilvl w:val="3"/>
          <w:numId w:val="44"/>
        </w:numPr>
        <w:spacing w:before="240" w:after="240"/>
      </w:pPr>
      <w:r w:rsidRPr="009177C0">
        <w:t xml:space="preserve">Pokud zadavatel v rámci uzavřené nebo otevřené výzvy přímo vyzývá zájemce, musí být schopen prokázat odeslání </w:t>
      </w:r>
      <w:r w:rsidR="00EE2D55">
        <w:t xml:space="preserve">nebo uveřejnění </w:t>
      </w:r>
      <w:r w:rsidRPr="009177C0">
        <w:t xml:space="preserve">této výzvy. </w:t>
      </w:r>
    </w:p>
    <w:p w:rsidR="009177C0" w:rsidRPr="009177C0" w:rsidRDefault="009177C0" w:rsidP="0041078B">
      <w:pPr>
        <w:pStyle w:val="Mjstyl3"/>
        <w:numPr>
          <w:ilvl w:val="3"/>
          <w:numId w:val="44"/>
        </w:numPr>
        <w:spacing w:before="240" w:after="240"/>
      </w:pPr>
      <w:r w:rsidRPr="009177C0">
        <w:t>Vzorový formulář oznámení výběrového řízení - zadávacích podmínek je přílohou č. 2 MP</w:t>
      </w:r>
      <w:r w:rsidR="001F182A">
        <w:t xml:space="preserve"> zakázky</w:t>
      </w:r>
      <w:r w:rsidRPr="009177C0">
        <w:t>. Tento formulář má pouze doporučující charakter, nicméně vždy je nutné dodržet minimálně požadavky stanovené v bodě B.</w:t>
      </w:r>
      <w:r w:rsidR="00CF25A1">
        <w:t>10</w:t>
      </w:r>
      <w:r w:rsidRPr="009177C0">
        <w:t xml:space="preserve">.1. </w:t>
      </w:r>
    </w:p>
    <w:p w:rsidR="009177C0" w:rsidRPr="009177C0" w:rsidRDefault="009177C0" w:rsidP="00C23D45">
      <w:pPr>
        <w:pStyle w:val="Mjstyl3"/>
        <w:numPr>
          <w:ilvl w:val="1"/>
          <w:numId w:val="44"/>
        </w:numPr>
        <w:spacing w:before="240" w:after="240"/>
        <w:rPr>
          <w:b/>
        </w:rPr>
      </w:pPr>
      <w:bookmarkStart w:id="7" w:name="_Toc320285887"/>
      <w:bookmarkStart w:id="8" w:name="_Toc283647555"/>
      <w:bookmarkStart w:id="9" w:name="_Toc323899547"/>
      <w:r w:rsidRPr="009177C0">
        <w:rPr>
          <w:b/>
        </w:rPr>
        <w:t>Lhůta pro podání nabídek</w:t>
      </w:r>
      <w:bookmarkEnd w:id="7"/>
      <w:bookmarkEnd w:id="8"/>
      <w:bookmarkEnd w:id="9"/>
      <w:r w:rsidRPr="009177C0">
        <w:rPr>
          <w:b/>
        </w:rPr>
        <w:t xml:space="preserve"> a dodatečné informace k zadávacím podmínkám</w:t>
      </w:r>
    </w:p>
    <w:p w:rsidR="009177C0" w:rsidRPr="009177C0" w:rsidRDefault="009177C0" w:rsidP="00E15D56">
      <w:pPr>
        <w:pStyle w:val="Mjstyl3"/>
        <w:numPr>
          <w:ilvl w:val="3"/>
          <w:numId w:val="44"/>
        </w:numPr>
        <w:spacing w:before="240" w:after="240"/>
      </w:pPr>
      <w:r w:rsidRPr="009177C0">
        <w:t>Lhůtu pro podání nabídek stanoví zadavatel vždy s ohledem na předmět zakázky v</w:t>
      </w:r>
      <w:r w:rsidR="00327514">
        <w:t> </w:t>
      </w:r>
      <w:r w:rsidRPr="009177C0">
        <w:t xml:space="preserve">oznámení výběrového řízení stanovením konce lhůty pro podání nabídek. Lhůta stanovená podle </w:t>
      </w:r>
      <w:r w:rsidR="00833334">
        <w:t>PŽP</w:t>
      </w:r>
      <w:r w:rsidR="00833334" w:rsidRPr="009177C0">
        <w:t xml:space="preserve"> </w:t>
      </w:r>
      <w:r w:rsidRPr="009177C0">
        <w:t xml:space="preserve">počíná dnem, který následuje po události, jež je rozhodující pro její počátek. Rozhodnou událostí je uveřejnění oznámení o zahájení výběrového řízení/odeslání výzvy k podání nabídky. </w:t>
      </w:r>
    </w:p>
    <w:p w:rsidR="009177C0" w:rsidRPr="00E77072" w:rsidRDefault="009177C0" w:rsidP="00E15D56">
      <w:pPr>
        <w:pStyle w:val="Mjstyl3"/>
        <w:numPr>
          <w:ilvl w:val="3"/>
          <w:numId w:val="44"/>
        </w:numPr>
        <w:spacing w:before="240" w:after="240"/>
      </w:pPr>
      <w:r w:rsidRPr="009177C0">
        <w:t>Lhůta pro podání nabídek nesmí být</w:t>
      </w:r>
      <w:r w:rsidR="00E77072">
        <w:t xml:space="preserve"> </w:t>
      </w:r>
      <w:r w:rsidRPr="00E77072">
        <w:t>kratší než 10 kalendářních dnů</w:t>
      </w:r>
      <w:r w:rsidR="00E77072">
        <w:t>.</w:t>
      </w:r>
    </w:p>
    <w:p w:rsidR="009177C0" w:rsidRPr="009177C0" w:rsidRDefault="009177C0" w:rsidP="00E15D56">
      <w:pPr>
        <w:pStyle w:val="Mjstyl3"/>
        <w:numPr>
          <w:ilvl w:val="3"/>
          <w:numId w:val="44"/>
        </w:numPr>
        <w:spacing w:before="240" w:after="240"/>
      </w:pPr>
      <w:r w:rsidRPr="009177C0">
        <w:t>Dodavatel je oprávněn po zadavateli požadovat písemně dodatečné informace k</w:t>
      </w:r>
      <w:r w:rsidR="00327514">
        <w:t> </w:t>
      </w:r>
      <w:r w:rsidRPr="009177C0">
        <w:t>zadávacím podmínkám. Písemná žádost musí být zadavateli doručena nejpozději 4</w:t>
      </w:r>
      <w:r w:rsidR="00A61A39">
        <w:t> </w:t>
      </w:r>
      <w:r w:rsidRPr="009177C0">
        <w:t>pracovní dny před uplynutím lhůty pro podání nabídek. Dodatečné informace může zadavatel poskytnout i</w:t>
      </w:r>
      <w:r w:rsidR="00327514">
        <w:t> </w:t>
      </w:r>
      <w:r w:rsidRPr="009177C0">
        <w:t>bez předchozí žádosti.</w:t>
      </w:r>
    </w:p>
    <w:p w:rsidR="009177C0" w:rsidRPr="009177C0" w:rsidRDefault="009177C0" w:rsidP="00E15D56">
      <w:pPr>
        <w:pStyle w:val="Mjstyl3"/>
        <w:numPr>
          <w:ilvl w:val="3"/>
          <w:numId w:val="44"/>
        </w:numPr>
        <w:spacing w:before="240" w:after="240"/>
      </w:pPr>
      <w:r w:rsidRPr="009177C0">
        <w:t xml:space="preserve">Zadavatel odešle dodatečné informace k zadávacím podmínkám, případně související dokumenty, nejpozději do 2 pracovních dnů po doručení žádosti podle předchozího odstavce. </w:t>
      </w:r>
    </w:p>
    <w:p w:rsidR="009177C0" w:rsidRPr="009177C0" w:rsidRDefault="009177C0" w:rsidP="00516781">
      <w:pPr>
        <w:pStyle w:val="Mjstyl3"/>
        <w:numPr>
          <w:ilvl w:val="3"/>
          <w:numId w:val="44"/>
        </w:numPr>
        <w:spacing w:before="240" w:after="240"/>
      </w:pPr>
      <w:r w:rsidRPr="009177C0">
        <w:lastRenderedPageBreak/>
        <w:t>Dodatečné informace, včetně přesného znění požadavku podle odstavce B.</w:t>
      </w:r>
      <w:r w:rsidR="00CF25A1">
        <w:t>11</w:t>
      </w:r>
      <w:r w:rsidRPr="009177C0">
        <w:t xml:space="preserve">.3,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  </w:t>
      </w:r>
    </w:p>
    <w:p w:rsidR="009177C0" w:rsidRDefault="009177C0">
      <w:pPr>
        <w:pStyle w:val="Mjstyl3"/>
        <w:numPr>
          <w:ilvl w:val="3"/>
          <w:numId w:val="44"/>
        </w:numPr>
        <w:spacing w:before="240" w:after="240"/>
      </w:pPr>
      <w:r w:rsidRPr="009177C0">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9177C0" w:rsidRPr="009177C0" w:rsidRDefault="009177C0" w:rsidP="0041078B">
      <w:pPr>
        <w:pStyle w:val="Mjstyl3"/>
        <w:numPr>
          <w:ilvl w:val="1"/>
          <w:numId w:val="44"/>
        </w:numPr>
        <w:spacing w:before="240" w:after="240"/>
        <w:rPr>
          <w:b/>
        </w:rPr>
      </w:pPr>
      <w:bookmarkStart w:id="10" w:name="_Toc211932112"/>
      <w:bookmarkStart w:id="11" w:name="_Toc320285888"/>
      <w:r w:rsidRPr="000F104D">
        <w:rPr>
          <w:b/>
        </w:rPr>
        <w:t>Jednání</w:t>
      </w:r>
      <w:r w:rsidRPr="009177C0">
        <w:rPr>
          <w:b/>
        </w:rPr>
        <w:t xml:space="preserve"> o nabídkách</w:t>
      </w:r>
    </w:p>
    <w:p w:rsidR="009177C0" w:rsidRPr="009177C0" w:rsidRDefault="009177C0" w:rsidP="00C23D45">
      <w:pPr>
        <w:pStyle w:val="Mjstyl3"/>
        <w:numPr>
          <w:ilvl w:val="3"/>
          <w:numId w:val="44"/>
        </w:numPr>
        <w:spacing w:before="240" w:after="240"/>
      </w:pPr>
      <w:r w:rsidRPr="009177C0">
        <w:t xml:space="preserve">Zadavatel si může v zadávacích podmínkách vyhradit, že o podaných nabídkách bude s uchazeči jednat. V takovém případě je v zadávací dokumentaci povinen uvést: </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a zásady jednání s uchazeči o nabídkách,</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výběru uchazečů pro další fáze jednání, rozhodne-li se zadavatel postupně omezovat počet uchazečů podle bodu B.</w:t>
      </w:r>
      <w:r w:rsidR="00AD5F8E">
        <w:rPr>
          <w:rFonts w:ascii="Arial" w:hAnsi="Arial" w:cs="Arial"/>
          <w:sz w:val="22"/>
          <w:szCs w:val="22"/>
        </w:rPr>
        <w:t>12</w:t>
      </w:r>
      <w:r w:rsidRPr="009177C0">
        <w:rPr>
          <w:rFonts w:ascii="Arial" w:hAnsi="Arial" w:cs="Arial"/>
          <w:sz w:val="22"/>
          <w:szCs w:val="22"/>
          <w:lang w:val="en-US" w:eastAsia="en-US"/>
        </w:rPr>
        <w:t>.8</w:t>
      </w:r>
      <w:r w:rsidRPr="009177C0">
        <w:rPr>
          <w:rFonts w:ascii="Arial" w:hAnsi="Arial" w:cs="Arial"/>
          <w:sz w:val="22"/>
          <w:szCs w:val="22"/>
        </w:rPr>
        <w:t>, o jejichž nabídkách bude v</w:t>
      </w:r>
      <w:r w:rsidR="004D123D">
        <w:rPr>
          <w:rFonts w:ascii="Arial" w:hAnsi="Arial" w:cs="Arial"/>
          <w:sz w:val="22"/>
          <w:szCs w:val="22"/>
        </w:rPr>
        <w:t> </w:t>
      </w:r>
      <w:r w:rsidRPr="009177C0">
        <w:rPr>
          <w:rFonts w:ascii="Arial" w:hAnsi="Arial" w:cs="Arial"/>
          <w:sz w:val="22"/>
          <w:szCs w:val="22"/>
        </w:rPr>
        <w:t>jednotlivých fázích jednat.</w:t>
      </w:r>
    </w:p>
    <w:p w:rsidR="009177C0" w:rsidRPr="009177C0" w:rsidRDefault="009177C0" w:rsidP="0041078B">
      <w:pPr>
        <w:pStyle w:val="Mjstyl3"/>
        <w:numPr>
          <w:ilvl w:val="3"/>
          <w:numId w:val="44"/>
        </w:numPr>
        <w:spacing w:before="240" w:after="240"/>
      </w:pPr>
      <w:r w:rsidRPr="009177C0">
        <w:t xml:space="preserve">Po otevření obálek s nabídkami, po posouzení a hodnocení nabídek podle </w:t>
      </w:r>
      <w:r w:rsidR="00CB5B2E">
        <w:t xml:space="preserve">části </w:t>
      </w:r>
      <w:r w:rsidRPr="009177C0">
        <w:t>B.</w:t>
      </w:r>
      <w:r w:rsidR="00AD5F8E">
        <w:t>13.</w:t>
      </w:r>
      <w:r w:rsidRPr="009177C0">
        <w:t>, B.</w:t>
      </w:r>
      <w:r w:rsidR="00AD5F8E">
        <w:t>14</w:t>
      </w:r>
      <w:r w:rsidRPr="009177C0">
        <w:t>.</w:t>
      </w:r>
      <w:r w:rsidR="003C6814">
        <w:t xml:space="preserve"> </w:t>
      </w:r>
      <w:r w:rsidRPr="009177C0">
        <w:t>a B.</w:t>
      </w:r>
      <w:r w:rsidR="00AD5F8E">
        <w:t>15</w:t>
      </w:r>
      <w:r w:rsidRPr="009177C0">
        <w:t>. oznámí zadavatel písemně všem uchazečům, jejichž nabídky byly 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9177C0" w:rsidRPr="009177C0" w:rsidRDefault="009177C0" w:rsidP="00C23D45">
      <w:pPr>
        <w:pStyle w:val="Mjstyl3"/>
        <w:numPr>
          <w:ilvl w:val="3"/>
          <w:numId w:val="44"/>
        </w:numPr>
        <w:spacing w:before="240" w:after="240"/>
      </w:pPr>
      <w:r w:rsidRPr="009177C0">
        <w:t>Zadavatel je oprávněn jednat s uchazeči o všech podmínkách plnění obsažených v</w:t>
      </w:r>
      <w:r w:rsidR="004D123D">
        <w:t> </w:t>
      </w:r>
      <w:r w:rsidRPr="009177C0">
        <w:t>nabídkách, zejména o podmínkách, které jsou předmětem hodnocení. Zadavatel není oprávněn v průběhu jednání o nabídkách měnit zadávací podmínky.</w:t>
      </w:r>
    </w:p>
    <w:p w:rsidR="009177C0" w:rsidRPr="009177C0" w:rsidRDefault="009177C0" w:rsidP="00E15D56">
      <w:pPr>
        <w:pStyle w:val="Mjstyl3"/>
        <w:numPr>
          <w:ilvl w:val="3"/>
          <w:numId w:val="44"/>
        </w:numPr>
        <w:spacing w:before="240" w:after="240"/>
      </w:pPr>
      <w:r w:rsidRPr="009177C0">
        <w:t>Zadavatel může jednáním o nabídkách pověřit hodnotící komisi, některé její členy či</w:t>
      </w:r>
      <w:r w:rsidR="004D123D">
        <w:t> </w:t>
      </w:r>
      <w:r w:rsidRPr="009177C0">
        <w:t xml:space="preserve">pověřenou osobu. </w:t>
      </w:r>
    </w:p>
    <w:p w:rsidR="009177C0" w:rsidRPr="009177C0" w:rsidRDefault="009177C0" w:rsidP="00E15D56">
      <w:pPr>
        <w:pStyle w:val="Mjstyl3"/>
        <w:numPr>
          <w:ilvl w:val="3"/>
          <w:numId w:val="44"/>
        </w:numPr>
        <w:spacing w:before="240" w:after="240"/>
      </w:pPr>
      <w:r w:rsidRPr="009177C0">
        <w:t>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w:t>
      </w:r>
    </w:p>
    <w:p w:rsidR="009177C0" w:rsidRPr="009177C0" w:rsidRDefault="009177C0" w:rsidP="00E15D56">
      <w:pPr>
        <w:pStyle w:val="Mjstyl3"/>
        <w:numPr>
          <w:ilvl w:val="3"/>
          <w:numId w:val="44"/>
        </w:numPr>
        <w:spacing w:before="240" w:after="240"/>
      </w:pPr>
      <w:r w:rsidRPr="009177C0">
        <w:t>Zadavatel může jednat o nabídkách se všemi uchazeči současně či odděleně.</w:t>
      </w:r>
    </w:p>
    <w:p w:rsidR="009177C0" w:rsidRPr="009177C0" w:rsidRDefault="009177C0" w:rsidP="00E15D56">
      <w:pPr>
        <w:pStyle w:val="Mjstyl3"/>
        <w:numPr>
          <w:ilvl w:val="3"/>
          <w:numId w:val="44"/>
        </w:numPr>
        <w:spacing w:before="240" w:after="240"/>
      </w:pPr>
      <w:r w:rsidRPr="009177C0">
        <w:t>Z každého jednání o nabídkách vyhotovuje zadavatel protokol s uvedením všech ujednání, která mohou mít za následek změnu nabídky či návrhu smlouvy (dále "protokol z jednání"). Protokol z jednání podepisuje zadavatel a uchazeč či uchazeči, kteří se jednání o nabídkách účastnili.</w:t>
      </w:r>
    </w:p>
    <w:p w:rsidR="009177C0" w:rsidRPr="009177C0" w:rsidRDefault="009177C0" w:rsidP="00516781">
      <w:pPr>
        <w:pStyle w:val="Mjstyl3"/>
        <w:numPr>
          <w:ilvl w:val="3"/>
          <w:numId w:val="44"/>
        </w:numPr>
        <w:spacing w:before="240" w:after="240"/>
      </w:pPr>
      <w:r w:rsidRPr="009177C0">
        <w:t>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w:t>
      </w:r>
      <w:r w:rsidR="004D123D">
        <w:t> </w:t>
      </w:r>
      <w:r w:rsidRPr="009177C0">
        <w:t>nabídkách, pořadí uchazečů a informaci o tom, se kterými uchazeči bude jednáno v</w:t>
      </w:r>
      <w:r w:rsidR="004D123D">
        <w:t> </w:t>
      </w:r>
      <w:r w:rsidRPr="009177C0">
        <w:t xml:space="preserve">další fázi (dále "protokol o konečném výsledku hodnocení"). Protokol o konečném </w:t>
      </w:r>
      <w:r w:rsidRPr="009177C0">
        <w:lastRenderedPageBreak/>
        <w:t>výsledku hodnocení je zadavatel povinen odeslat všem uchazečům, s nimiž bylo jednání o nabídkách v dané fázi uskutečněno bez zbytečného odkladu.</w:t>
      </w:r>
    </w:p>
    <w:p w:rsidR="00E517E7" w:rsidRPr="00FA2EC7" w:rsidRDefault="009177C0" w:rsidP="00516781">
      <w:pPr>
        <w:pStyle w:val="Mjstyl3"/>
        <w:numPr>
          <w:ilvl w:val="3"/>
          <w:numId w:val="44"/>
        </w:numPr>
        <w:spacing w:before="240" w:after="240"/>
      </w:pPr>
      <w:r w:rsidRPr="009177C0">
        <w:t>Zadavatel může před zahájením jakékoliv fáze jednání o nabídkách oznámit uchazečům, že jde o poslední fázi jednání o nabídkách; na této skutečnosti se také může zadavatel se všemi uchazeči kdykoliv písemně dohodnout.</w:t>
      </w:r>
    </w:p>
    <w:p w:rsidR="009177C0" w:rsidRPr="009177C0" w:rsidRDefault="009177C0">
      <w:pPr>
        <w:pStyle w:val="Mjstyl3"/>
        <w:numPr>
          <w:ilvl w:val="1"/>
          <w:numId w:val="44"/>
        </w:numPr>
        <w:spacing w:before="240" w:after="240"/>
        <w:rPr>
          <w:b/>
        </w:rPr>
      </w:pPr>
      <w:bookmarkStart w:id="12" w:name="_Toc320285889"/>
      <w:bookmarkStart w:id="13" w:name="_Toc283647557"/>
      <w:bookmarkStart w:id="14" w:name="_Toc323899549"/>
      <w:bookmarkEnd w:id="10"/>
      <w:bookmarkEnd w:id="11"/>
      <w:r w:rsidRPr="009177C0">
        <w:rPr>
          <w:b/>
        </w:rPr>
        <w:t>Otevírání obálek, posouzení a hodnocení nabídek</w:t>
      </w:r>
      <w:bookmarkEnd w:id="12"/>
      <w:bookmarkEnd w:id="13"/>
      <w:bookmarkEnd w:id="14"/>
    </w:p>
    <w:p w:rsidR="009177C0" w:rsidRPr="009177C0" w:rsidRDefault="009177C0">
      <w:pPr>
        <w:pStyle w:val="Mjstyl3"/>
        <w:numPr>
          <w:ilvl w:val="3"/>
          <w:numId w:val="44"/>
        </w:numPr>
        <w:spacing w:before="240" w:after="240"/>
      </w:pPr>
      <w:r w:rsidRPr="009177C0">
        <w:t>Otevírání obálek, posouzení a hodnocení nabídek provádí:</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zadavatel,</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jiná osoba, pověřená zadavatelem (dále „pověřená osoba“), tímto způsobem je možné posuzovat a hodnotit pouze zakázky malé hodnoty nebo</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 xml:space="preserve">hodnotící komise, která má alespoň 3 členy, kterou jmenuje zadavatel. </w:t>
      </w:r>
    </w:p>
    <w:p w:rsidR="009177C0" w:rsidRPr="009177C0" w:rsidRDefault="009177C0" w:rsidP="0041078B">
      <w:pPr>
        <w:pStyle w:val="Mjstyl3"/>
        <w:numPr>
          <w:ilvl w:val="3"/>
          <w:numId w:val="44"/>
        </w:numPr>
        <w:spacing w:before="240" w:after="240"/>
      </w:pPr>
      <w:r w:rsidRPr="009177C0">
        <w:t>O otevírání obálek, posouzení a hodnocení nabídek se pořizuje protokol obsahující rozhodné skutečnosti, týkající se posouzení a hodnocení nabídek:</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doručených nabídek, včetně identifikačních údajů uchazečů;</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uchazečů vyzvaných k doplnění/objasnění nabídky, pokud byli vyzváni;</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seznam vyřazených nabídek a zdůvodnění vyřazení nabídek, pokud byly nějaké nabídky vyřazeny;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popis způsobu a odůvodnění hodnocení nabídek, pokud je hodnotícím kritériem ekonomická výhodnost nabídky;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výsledek hodnocení. </w:t>
      </w:r>
    </w:p>
    <w:p w:rsidR="009177C0" w:rsidRPr="009177C0" w:rsidRDefault="009177C0" w:rsidP="0041078B">
      <w:pPr>
        <w:pStyle w:val="Mjstyl3"/>
        <w:numPr>
          <w:ilvl w:val="3"/>
          <w:numId w:val="44"/>
        </w:numPr>
        <w:spacing w:before="240" w:after="240"/>
      </w:pPr>
      <w:r w:rsidRPr="009177C0">
        <w:t>Vzory protokolu o otevírání obálek, posouzení a hodnocení nabídek je přílohou č. 3 MP</w:t>
      </w:r>
      <w:r w:rsidR="001F182A">
        <w:t xml:space="preserve"> zakázky</w:t>
      </w:r>
      <w:r w:rsidRPr="009177C0">
        <w:t>. Tento protokol má pouze doporučující charakter, nicméně vždy je nutné dodržet minimálně požadavky stanovené v bodě B.</w:t>
      </w:r>
      <w:r w:rsidR="00935E30">
        <w:t>13</w:t>
      </w:r>
      <w:r w:rsidRPr="009177C0">
        <w:t>.2.</w:t>
      </w:r>
    </w:p>
    <w:p w:rsidR="009177C0" w:rsidRPr="009177C0" w:rsidRDefault="009177C0" w:rsidP="00C23D45">
      <w:pPr>
        <w:pStyle w:val="Mjstyl3"/>
        <w:numPr>
          <w:ilvl w:val="1"/>
          <w:numId w:val="44"/>
        </w:numPr>
        <w:spacing w:before="240" w:after="240"/>
        <w:rPr>
          <w:b/>
        </w:rPr>
      </w:pPr>
      <w:r w:rsidRPr="009177C0">
        <w:rPr>
          <w:b/>
        </w:rPr>
        <w:t xml:space="preserve"> Otevírání obálek a nabídek podaných v elektronické podobě</w:t>
      </w:r>
    </w:p>
    <w:p w:rsidR="009177C0" w:rsidRPr="009177C0" w:rsidRDefault="009177C0" w:rsidP="00E15D56">
      <w:pPr>
        <w:pStyle w:val="Mjstyl3"/>
        <w:numPr>
          <w:ilvl w:val="3"/>
          <w:numId w:val="44"/>
        </w:numPr>
        <w:spacing w:before="240" w:after="240"/>
      </w:pPr>
      <w:r w:rsidRPr="009177C0">
        <w:t xml:space="preserve">Obálky nesmí být otevřeny před uplynutím lhůty pro podání nabídek. Otevírají se pouze obálky doručené ve lhůtě pro podání nabídek. </w:t>
      </w:r>
    </w:p>
    <w:p w:rsidR="009177C0" w:rsidRPr="009177C0" w:rsidRDefault="009177C0" w:rsidP="00E15D56">
      <w:pPr>
        <w:pStyle w:val="Mjstyl3"/>
        <w:numPr>
          <w:ilvl w:val="3"/>
          <w:numId w:val="44"/>
        </w:numPr>
        <w:spacing w:before="240" w:after="240"/>
      </w:pPr>
      <w:r w:rsidRPr="009177C0">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9177C0" w:rsidRPr="009177C0" w:rsidRDefault="009177C0" w:rsidP="00E15D56">
      <w:pPr>
        <w:pStyle w:val="Mjstyl3"/>
        <w:numPr>
          <w:ilvl w:val="1"/>
          <w:numId w:val="44"/>
        </w:numPr>
        <w:spacing w:before="240" w:after="240"/>
        <w:rPr>
          <w:b/>
        </w:rPr>
      </w:pPr>
      <w:bookmarkStart w:id="15" w:name="_Toc320285890"/>
      <w:bookmarkStart w:id="16" w:name="_Toc283647558"/>
      <w:bookmarkStart w:id="17" w:name="_Toc323899550"/>
      <w:r w:rsidRPr="009177C0">
        <w:rPr>
          <w:b/>
        </w:rPr>
        <w:t xml:space="preserve">Posouzení a hodnocení nabídek </w:t>
      </w:r>
      <w:bookmarkEnd w:id="15"/>
      <w:bookmarkEnd w:id="16"/>
      <w:bookmarkEnd w:id="17"/>
    </w:p>
    <w:p w:rsidR="009177C0" w:rsidRPr="009177C0" w:rsidRDefault="009177C0" w:rsidP="00E15D56">
      <w:pPr>
        <w:pStyle w:val="Mjstyl3"/>
        <w:numPr>
          <w:ilvl w:val="3"/>
          <w:numId w:val="44"/>
        </w:numPr>
        <w:spacing w:before="240" w:after="240"/>
      </w:pPr>
      <w:r w:rsidRPr="009177C0">
        <w:t>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w:t>
      </w:r>
    </w:p>
    <w:p w:rsidR="009177C0" w:rsidRPr="009177C0" w:rsidRDefault="009177C0" w:rsidP="00516781">
      <w:pPr>
        <w:pStyle w:val="Mjstyl3"/>
        <w:numPr>
          <w:ilvl w:val="3"/>
          <w:numId w:val="44"/>
        </w:numPr>
        <w:spacing w:before="240" w:after="240"/>
      </w:pPr>
      <w:r w:rsidRPr="009177C0">
        <w:t>Po otevření obálek provede zadavatel, hodnotící komise nebo pověřená osoba posouzení nabídek. Posouzení nabídek spočívá v posouzení, zda jsou nabídky zpracovány v souladu se zadávacími podmínkami.</w:t>
      </w:r>
    </w:p>
    <w:p w:rsidR="009177C0" w:rsidRPr="009177C0" w:rsidRDefault="009177C0" w:rsidP="00516781">
      <w:pPr>
        <w:pStyle w:val="Mjstyl3"/>
        <w:numPr>
          <w:ilvl w:val="3"/>
          <w:numId w:val="44"/>
        </w:numPr>
        <w:spacing w:before="240" w:after="240"/>
      </w:pPr>
      <w:r w:rsidRPr="009177C0">
        <w:lastRenderedPageBreak/>
        <w:t>Jestliže je nabídka shledána jako nejasná nebo neúplná, může být uchazeč vyzván k jejímu doplnění nebo objasnění. Doplněním nebo objasněním nabídek nesmí být změněna nabídková cena a/nebo údaje a informace, které jsou předmětem hodnocení.</w:t>
      </w:r>
    </w:p>
    <w:p w:rsidR="009177C0" w:rsidRPr="009177C0" w:rsidRDefault="009177C0">
      <w:pPr>
        <w:pStyle w:val="Mjstyl3"/>
        <w:numPr>
          <w:ilvl w:val="3"/>
          <w:numId w:val="44"/>
        </w:numPr>
        <w:spacing w:before="240" w:after="240"/>
      </w:pPr>
      <w:r w:rsidRPr="009177C0">
        <w:t xml:space="preserve">V případě, že uchazeč nabídku v dodatečné lhůtě nedoplní nebo neobjasní, případně zadavatel nepromine pozdní doplnění nebo objasnění, musí být tato nabídka vyřazena. </w:t>
      </w:r>
    </w:p>
    <w:p w:rsidR="009177C0" w:rsidRPr="009177C0" w:rsidRDefault="009177C0">
      <w:pPr>
        <w:pStyle w:val="Mjstyl3"/>
        <w:numPr>
          <w:ilvl w:val="3"/>
          <w:numId w:val="44"/>
        </w:numPr>
        <w:spacing w:before="240" w:after="240"/>
      </w:pPr>
      <w:r w:rsidRPr="009177C0">
        <w:t>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případě dojde k posouzení nabídky, která byla podána uchazečem, se kterým má být uzavřena smlouva. Tuto skutečnost je v takovém případě uvedena v protokolu dle bodu B.</w:t>
      </w:r>
      <w:r w:rsidR="00701767">
        <w:t>13</w:t>
      </w:r>
      <w:r w:rsidRPr="009177C0">
        <w:t>.2.</w:t>
      </w:r>
    </w:p>
    <w:p w:rsidR="009177C0" w:rsidRPr="009177C0" w:rsidRDefault="009177C0">
      <w:pPr>
        <w:pStyle w:val="Mjstyl3"/>
        <w:numPr>
          <w:ilvl w:val="3"/>
          <w:numId w:val="44"/>
        </w:numPr>
        <w:spacing w:before="240" w:after="240"/>
      </w:pPr>
      <w:r w:rsidRPr="009177C0">
        <w:t xml:space="preserve">Zadavatel rozhodne o novém posouzení a hodnocení nabídek, pokud zjistí, že hodnotící komise nebo pověřená osoba porušila postup stanovený </w:t>
      </w:r>
      <w:r w:rsidR="00777903">
        <w:t>PŽP</w:t>
      </w:r>
      <w:r w:rsidRPr="009177C0">
        <w:t xml:space="preserve">. Pro nové posouzení a hodnocení nabídek může zadavatel ustanovit jinou hodnotící komisi nebo tímto pověřit jinou osobu, případně provede nové posouzení a hodnocení nabídek sám. </w:t>
      </w:r>
    </w:p>
    <w:p w:rsidR="009177C0" w:rsidRPr="009177C0" w:rsidRDefault="009177C0">
      <w:pPr>
        <w:pStyle w:val="Mjstyl3"/>
        <w:numPr>
          <w:ilvl w:val="1"/>
          <w:numId w:val="44"/>
        </w:numPr>
        <w:spacing w:before="240" w:after="240"/>
        <w:rPr>
          <w:b/>
        </w:rPr>
      </w:pPr>
      <w:bookmarkStart w:id="18" w:name="_Toc211932113"/>
      <w:bookmarkStart w:id="19" w:name="_Toc320285893"/>
      <w:bookmarkStart w:id="20" w:name="_Toc283647561"/>
      <w:bookmarkStart w:id="21" w:name="_Toc323899553"/>
      <w:r w:rsidRPr="009177C0">
        <w:rPr>
          <w:b/>
        </w:rPr>
        <w:t>Uzavření smlouvy s dodavatelem</w:t>
      </w:r>
      <w:bookmarkEnd w:id="18"/>
      <w:bookmarkEnd w:id="19"/>
      <w:bookmarkEnd w:id="20"/>
      <w:bookmarkEnd w:id="21"/>
    </w:p>
    <w:p w:rsidR="009177C0" w:rsidRPr="009177C0" w:rsidRDefault="009177C0">
      <w:pPr>
        <w:pStyle w:val="Mjstyl3"/>
        <w:numPr>
          <w:ilvl w:val="3"/>
          <w:numId w:val="44"/>
        </w:numPr>
        <w:spacing w:before="240" w:after="240"/>
      </w:pPr>
      <w:bookmarkStart w:id="22" w:name="_Toc212001895"/>
      <w:bookmarkStart w:id="23" w:name="_Toc212002200"/>
      <w:bookmarkStart w:id="24" w:name="_Toc214090532"/>
      <w:bookmarkStart w:id="25" w:name="_Toc215308344"/>
      <w:bookmarkStart w:id="26" w:name="_Toc215312451"/>
      <w:bookmarkStart w:id="27" w:name="_Toc215900683"/>
      <w:bookmarkStart w:id="28" w:name="_Toc272342898"/>
      <w:bookmarkStart w:id="29" w:name="_Toc272343089"/>
      <w:bookmarkStart w:id="30" w:name="_Toc283647562"/>
      <w:bookmarkStart w:id="31" w:name="_Toc320280100"/>
      <w:bookmarkStart w:id="32" w:name="_Toc320281389"/>
      <w:bookmarkStart w:id="33" w:name="_Toc320285894"/>
      <w:bookmarkStart w:id="34" w:name="_Toc323899554"/>
      <w:bookmarkStart w:id="35" w:name="_Toc320258825"/>
      <w:r w:rsidRPr="009177C0">
        <w:t>V případě uzavírání smlouvy platí, že zadavatel je oprávněn uzavřít smlouvu pouze s uchazečem, který podal vítěznou nabídku (dále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listině nebo elektronicky) na výzvy zadavatele. V případě, že uchazeč neposkytl zadavateli dostatečnou součinnost, doloží zadavatel tuto skutečnost písemně formou čestného prohlášení.</w:t>
      </w:r>
      <w:bookmarkEnd w:id="22"/>
      <w:bookmarkEnd w:id="23"/>
      <w:bookmarkEnd w:id="24"/>
      <w:bookmarkEnd w:id="25"/>
      <w:bookmarkEnd w:id="26"/>
      <w:bookmarkEnd w:id="27"/>
      <w:bookmarkEnd w:id="28"/>
      <w:bookmarkEnd w:id="29"/>
      <w:bookmarkEnd w:id="30"/>
      <w:bookmarkEnd w:id="31"/>
      <w:bookmarkEnd w:id="32"/>
      <w:bookmarkEnd w:id="33"/>
      <w:bookmarkEnd w:id="34"/>
      <w:r w:rsidRPr="009177C0">
        <w:t xml:space="preserve"> </w:t>
      </w:r>
      <w:bookmarkEnd w:id="35"/>
    </w:p>
    <w:p w:rsidR="009177C0" w:rsidRPr="009177C0" w:rsidRDefault="009177C0">
      <w:pPr>
        <w:pStyle w:val="Mjstyl3"/>
        <w:numPr>
          <w:ilvl w:val="3"/>
          <w:numId w:val="44"/>
        </w:numPr>
        <w:spacing w:before="240" w:after="240"/>
      </w:pPr>
      <w:bookmarkStart w:id="36" w:name="_Toc212001896"/>
      <w:bookmarkStart w:id="37" w:name="_Toc212002201"/>
      <w:bookmarkStart w:id="38" w:name="_Toc214090533"/>
      <w:bookmarkStart w:id="39" w:name="_Toc215308345"/>
      <w:bookmarkStart w:id="40" w:name="_Toc215312452"/>
      <w:bookmarkStart w:id="41" w:name="_Toc215900684"/>
      <w:bookmarkStart w:id="42" w:name="_Toc272342899"/>
      <w:bookmarkStart w:id="43" w:name="_Toc272343090"/>
      <w:bookmarkStart w:id="44" w:name="_Toc283647563"/>
      <w:bookmarkStart w:id="45" w:name="_Toc320258826"/>
      <w:bookmarkStart w:id="46" w:name="_Toc320280101"/>
      <w:bookmarkStart w:id="47" w:name="_Toc320281390"/>
      <w:bookmarkStart w:id="48" w:name="_Toc320285895"/>
      <w:bookmarkStart w:id="49" w:name="_Toc323899555"/>
      <w:r w:rsidRPr="009177C0">
        <w:t>Zadavatel nesmí uzavřít smlouvu s uchazečem,</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177C0">
        <w:t xml:space="preserve">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resp. s uchazečem ve sdružení, který je zaměstnancem zadavatele či členem realizačního týmu či osobou, která se na základě smluvního vztahu podílela na zadání předmětného výběrového řízení, nebo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jehož subdodavatelem je zaměstnanec zadavatele, člen realizačního týmu či osoba, která se na základě smluvního vztahu podílela na zadání předmětného výběrového řízení.</w:t>
      </w:r>
    </w:p>
    <w:p w:rsidR="009177C0" w:rsidRPr="009177C0" w:rsidRDefault="009177C0" w:rsidP="0041078B">
      <w:pPr>
        <w:pStyle w:val="Mjstyl3"/>
        <w:numPr>
          <w:ilvl w:val="3"/>
          <w:numId w:val="44"/>
        </w:numPr>
        <w:spacing w:before="240" w:after="240"/>
      </w:pPr>
      <w:bookmarkStart w:id="50" w:name="_Toc212001897"/>
      <w:bookmarkStart w:id="51" w:name="_Toc212002202"/>
      <w:bookmarkStart w:id="52" w:name="_Toc214090534"/>
      <w:bookmarkStart w:id="53" w:name="_Toc215308346"/>
      <w:bookmarkStart w:id="54" w:name="_Toc215312453"/>
      <w:bookmarkStart w:id="55" w:name="_Toc215900685"/>
      <w:bookmarkStart w:id="56" w:name="_Toc272342900"/>
      <w:bookmarkStart w:id="57" w:name="_Toc272343091"/>
      <w:bookmarkStart w:id="58" w:name="_Toc283647564"/>
      <w:bookmarkStart w:id="59" w:name="_Toc320258827"/>
      <w:bookmarkStart w:id="60" w:name="_Toc320280102"/>
      <w:bookmarkStart w:id="61" w:name="_Toc320281391"/>
      <w:bookmarkStart w:id="62" w:name="_Toc320285896"/>
      <w:bookmarkStart w:id="63" w:name="_Toc323899556"/>
      <w:r w:rsidRPr="009177C0">
        <w:t>Smlouva musí mít písemnou formu a musí obsahovat alespoň tyto náležitosti:</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177C0">
        <w:t xml:space="preserve">  </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označení smluvních stran vč. IČO a DIČ pokud jsou přiděleny;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předmět plnění (konkretizovaný kvantitativně i kvalitativně);</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lastRenderedPageBreak/>
        <w:t xml:space="preserve">cena bez daně </w:t>
      </w:r>
      <w:r w:rsidR="00CC1BDF">
        <w:rPr>
          <w:rFonts w:ascii="Arial" w:hAnsi="Arial" w:cs="Arial"/>
          <w:sz w:val="22"/>
          <w:szCs w:val="22"/>
        </w:rPr>
        <w:t>z</w:t>
      </w:r>
      <w:r w:rsidRPr="009177C0">
        <w:rPr>
          <w:rFonts w:ascii="Arial" w:hAnsi="Arial" w:cs="Arial"/>
          <w:sz w:val="22"/>
          <w:szCs w:val="22"/>
        </w:rPr>
        <w:t xml:space="preserve">přidané hodnoty, vč.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a uvedení samotné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příp. uvést, že dodavatel není plátcem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přidané hodnoty, platební podmínky;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doba a místo plnění;</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další obligatorní náležitosti dle zákona č. 89/2012 Sb., občanského zákoníku.</w:t>
      </w:r>
    </w:p>
    <w:p w:rsidR="009177C0" w:rsidRPr="009177C0" w:rsidRDefault="009177C0" w:rsidP="0041078B">
      <w:pPr>
        <w:pStyle w:val="Mjstyl3"/>
        <w:numPr>
          <w:ilvl w:val="3"/>
          <w:numId w:val="44"/>
        </w:numPr>
        <w:spacing w:before="240" w:after="240"/>
      </w:pPr>
      <w:bookmarkStart w:id="64" w:name="_Toc320258828"/>
      <w:bookmarkStart w:id="65" w:name="_Toc320280103"/>
      <w:bookmarkStart w:id="66" w:name="_Toc320281392"/>
      <w:bookmarkStart w:id="67" w:name="_Toc320285897"/>
      <w:bookmarkStart w:id="68" w:name="_Toc323899557"/>
      <w:r w:rsidRPr="009177C0">
        <w:t>Zadavatel nesmí umožnit podstatnou změnu práv a povinností vyplývajících ze smlouvy, kterou uzavřel na plnění zakázky. Za podstatnou se považuje taková změna, která by</w:t>
      </w:r>
      <w:bookmarkEnd w:id="64"/>
      <w:bookmarkEnd w:id="65"/>
      <w:bookmarkEnd w:id="66"/>
      <w:bookmarkEnd w:id="67"/>
      <w:bookmarkEnd w:id="68"/>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ro</w:t>
      </w:r>
      <w:r w:rsidRPr="009177C0">
        <w:rPr>
          <w:rFonts w:ascii="Arial" w:hAnsi="Arial" w:cs="Arial"/>
          <w:sz w:val="22"/>
          <w:szCs w:val="22"/>
          <w:lang w:val="en-US" w:eastAsia="en-US"/>
        </w:rPr>
        <w:t>zšířila předmět veřejné zakázky</w:t>
      </w:r>
      <w:r w:rsidRPr="009177C0">
        <w:rPr>
          <w:rFonts w:ascii="Arial" w:hAnsi="Arial" w:cs="Arial"/>
          <w:sz w:val="22"/>
          <w:szCs w:val="22"/>
        </w:rPr>
        <w:t>;</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umožnila účast jiných dodavatelů;</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mohla ovlivnit výběr nejvhodnější nabídky nebo</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měnila ekonomickou rovnováhu smlouvy ve prospěch uchazeče.</w:t>
      </w:r>
    </w:p>
    <w:p w:rsidR="009177C0" w:rsidRPr="009177C0" w:rsidRDefault="009177C0" w:rsidP="0041078B">
      <w:pPr>
        <w:pStyle w:val="Mjstyl3"/>
        <w:numPr>
          <w:ilvl w:val="1"/>
          <w:numId w:val="44"/>
        </w:numPr>
        <w:spacing w:before="240" w:after="240"/>
        <w:rPr>
          <w:b/>
        </w:rPr>
      </w:pPr>
      <w:r w:rsidRPr="009177C0">
        <w:rPr>
          <w:b/>
        </w:rPr>
        <w:t>Zrušení výběrového řízení</w:t>
      </w:r>
    </w:p>
    <w:p w:rsidR="009177C0" w:rsidRPr="009177C0" w:rsidRDefault="009177C0" w:rsidP="00C23D45">
      <w:pPr>
        <w:pStyle w:val="Mjstyl3"/>
        <w:numPr>
          <w:ilvl w:val="3"/>
          <w:numId w:val="44"/>
        </w:numPr>
        <w:spacing w:before="240" w:after="240"/>
      </w:pPr>
      <w:r w:rsidRPr="009177C0">
        <w:t>Zadavatel je oprávněn výběrové řízení zrušit, nejpozději však do uzavření smlouvy. O</w:t>
      </w:r>
      <w:r w:rsidR="00B7277F">
        <w:t> </w:t>
      </w:r>
      <w:r w:rsidRPr="009177C0">
        <w:t xml:space="preserve">zrušení výběrového řízení je zadavatel povinen bezodkladně písemně informovat všechny uchazeče, kteří podali nabídku ve lhůtě pro podání nabídek. </w:t>
      </w:r>
    </w:p>
    <w:p w:rsidR="009177C0" w:rsidRPr="009177C0" w:rsidRDefault="009177C0" w:rsidP="00E15D56">
      <w:pPr>
        <w:pStyle w:val="Mjstyl3"/>
        <w:numPr>
          <w:ilvl w:val="3"/>
          <w:numId w:val="44"/>
        </w:numPr>
        <w:spacing w:before="240" w:after="240"/>
        <w:rPr>
          <w:rStyle w:val="StyleArial11pt"/>
        </w:rPr>
      </w:pPr>
      <w:r w:rsidRPr="009177C0">
        <w:t>V případě zrušení výběrového řízení v době běhu lhůty pro podávání nabídek, uveřejní zadavatel informaci o zrušení výběrového řízení stejným způsobem, jakým toto výběrové řízení zahájil.</w:t>
      </w:r>
    </w:p>
    <w:p w:rsidR="009177C0" w:rsidRPr="009177C0" w:rsidRDefault="009177C0" w:rsidP="00E15D56">
      <w:pPr>
        <w:pStyle w:val="Mjstyl3"/>
        <w:numPr>
          <w:ilvl w:val="1"/>
          <w:numId w:val="44"/>
        </w:numPr>
        <w:spacing w:before="240" w:after="240"/>
        <w:rPr>
          <w:b/>
        </w:rPr>
      </w:pPr>
      <w:r w:rsidRPr="009177C0">
        <w:rPr>
          <w:b/>
        </w:rPr>
        <w:t xml:space="preserve">Poskytování informací </w:t>
      </w:r>
    </w:p>
    <w:p w:rsidR="009177C0" w:rsidRPr="009177C0" w:rsidRDefault="009177C0" w:rsidP="00E15D56">
      <w:pPr>
        <w:pStyle w:val="Mjstyl3"/>
        <w:numPr>
          <w:ilvl w:val="3"/>
          <w:numId w:val="44"/>
        </w:numPr>
        <w:spacing w:before="240" w:after="240"/>
      </w:pPr>
      <w:r w:rsidRPr="009177C0">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DB26A9" w:rsidRPr="00D95F17" w:rsidRDefault="009177C0" w:rsidP="00E15D56">
      <w:pPr>
        <w:pStyle w:val="Mjstyl3"/>
        <w:numPr>
          <w:ilvl w:val="3"/>
          <w:numId w:val="44"/>
        </w:numPr>
        <w:spacing w:before="240" w:after="240"/>
      </w:pPr>
      <w:r w:rsidRPr="009177C0">
        <w:t>Pokud si to zadavatel v oznámení výběrového řízení vyhradil, může ve výběrovém řízení uveřejnit oznámení o výsledku výběrového řízení a případné oznámení o</w:t>
      </w:r>
      <w:r w:rsidR="00B7277F">
        <w:t> </w:t>
      </w:r>
      <w:r w:rsidRPr="009177C0">
        <w:t>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DB26A9" w:rsidRDefault="00DB26A9" w:rsidP="009177C0">
      <w:pPr>
        <w:spacing w:line="240" w:lineRule="atLeast"/>
        <w:rPr>
          <w:rFonts w:ascii="Arial" w:hAnsi="Arial" w:cs="Arial"/>
          <w:b/>
          <w:sz w:val="22"/>
          <w:szCs w:val="22"/>
        </w:rPr>
      </w:pPr>
    </w:p>
    <w:p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 v</w:t>
      </w:r>
      <w:r w:rsidR="001F182A">
        <w:rPr>
          <w:rFonts w:ascii="Arial" w:hAnsi="Arial" w:cs="Arial"/>
          <w:b/>
          <w:sz w:val="26"/>
          <w:szCs w:val="26"/>
        </w:rPr>
        <w:t> </w:t>
      </w:r>
      <w:r w:rsidRPr="008D7E78">
        <w:rPr>
          <w:rFonts w:ascii="Arial" w:hAnsi="Arial" w:cs="Arial"/>
          <w:b/>
          <w:sz w:val="26"/>
          <w:szCs w:val="26"/>
        </w:rPr>
        <w:t>MP</w:t>
      </w:r>
      <w:r w:rsidR="001F182A">
        <w:rPr>
          <w:rFonts w:ascii="Arial" w:hAnsi="Arial" w:cs="Arial"/>
          <w:b/>
          <w:sz w:val="26"/>
          <w:szCs w:val="26"/>
        </w:rPr>
        <w:t xml:space="preserve"> zakázky</w:t>
      </w:r>
      <w:r w:rsidRPr="008D7E78">
        <w:rPr>
          <w:rFonts w:ascii="Arial" w:hAnsi="Arial" w:cs="Arial"/>
          <w:b/>
          <w:sz w:val="26"/>
          <w:szCs w:val="26"/>
        </w:rPr>
        <w:t xml:space="preserve"> je příjemce také povinen:</w:t>
      </w:r>
    </w:p>
    <w:p w:rsidR="009177C0" w:rsidRPr="009177C0" w:rsidRDefault="009177C0" w:rsidP="0041078B">
      <w:pPr>
        <w:pStyle w:val="Mjstyl3"/>
        <w:numPr>
          <w:ilvl w:val="1"/>
          <w:numId w:val="44"/>
        </w:numPr>
        <w:spacing w:before="240" w:after="240"/>
      </w:pPr>
      <w:r w:rsidRPr="009177C0">
        <w:rPr>
          <w:b/>
        </w:rPr>
        <w:t>Před zahájením výběrového řízení</w:t>
      </w:r>
      <w:r w:rsidRPr="009177C0">
        <w:t xml:space="preserve"> předložit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i/>
          <w:sz w:val="22"/>
          <w:szCs w:val="22"/>
        </w:rPr>
        <w:lastRenderedPageBreak/>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Pr="0041078B"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E15D56" w:rsidRDefault="009177C0" w:rsidP="0041078B">
      <w:pPr>
        <w:pStyle w:val="Mjstyl3"/>
        <w:numPr>
          <w:ilvl w:val="1"/>
          <w:numId w:val="44"/>
        </w:numPr>
        <w:spacing w:before="240" w:after="240"/>
        <w:rPr>
          <w:i/>
        </w:rPr>
      </w:pPr>
      <w:r w:rsidRPr="00C23D45">
        <w:t>Zaslat ŘO OPTP pozvánku nejpozději 5 prac</w:t>
      </w:r>
      <w:r w:rsidRPr="00146F13">
        <w:t xml:space="preserve">ovních dnů před termínem konání </w:t>
      </w:r>
      <w:r w:rsidR="00B7277F" w:rsidRPr="00146F13">
        <w:t>prvního</w:t>
      </w:r>
      <w:r w:rsidRPr="00E15D56">
        <w:t xml:space="preserve"> jednání hodnoticí komise. </w:t>
      </w:r>
    </w:p>
    <w:p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41078B">
      <w:pPr>
        <w:pStyle w:val="Mjstyl3"/>
        <w:numPr>
          <w:ilvl w:val="1"/>
          <w:numId w:val="44"/>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hodnoticí komise (pokud byly jmenovány) </w:t>
      </w:r>
    </w:p>
    <w:p w:rsidR="00CD40A5" w:rsidRDefault="00CD40A5" w:rsidP="008D7E78">
      <w:pPr>
        <w:pStyle w:val="Odstavecseseznamem"/>
        <w:numPr>
          <w:ilvl w:val="0"/>
          <w:numId w:val="38"/>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p>
    <w:p w:rsidR="00CD40A5" w:rsidRPr="00D95F17" w:rsidRDefault="00CD40A5" w:rsidP="008D7E78">
      <w:pPr>
        <w:pStyle w:val="Odstavecseseznamem"/>
        <w:numPr>
          <w:ilvl w:val="0"/>
          <w:numId w:val="38"/>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obálek, posouzení a hodnocení nabídek, protokol z každého jednání o nabídkách, protokol o konečném výsledku hodnocení, bylo-li o nabídkách jednáno)</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4B07A1"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o vyřazení nabídky, včetně dokladu prokazujícího jeho odeslání/uveřejnění, pokud byla nějaká nabídka vyřazena</w:t>
      </w:r>
    </w:p>
    <w:p w:rsidR="009177C0" w:rsidRPr="009177C0" w:rsidRDefault="004B07A1" w:rsidP="00452B4E">
      <w:pPr>
        <w:pStyle w:val="Odstavecseseznamem"/>
        <w:numPr>
          <w:ilvl w:val="0"/>
          <w:numId w:val="38"/>
        </w:numPr>
        <w:spacing w:line="240" w:lineRule="atLeast"/>
        <w:ind w:left="851" w:hanging="284"/>
        <w:jc w:val="both"/>
        <w:rPr>
          <w:rFonts w:ascii="Arial" w:hAnsi="Arial" w:cs="Arial"/>
          <w:sz w:val="22"/>
          <w:szCs w:val="22"/>
        </w:rPr>
      </w:pPr>
      <w:r>
        <w:rPr>
          <w:rFonts w:ascii="Arial" w:hAnsi="Arial" w:cs="Arial"/>
          <w:sz w:val="22"/>
          <w:szCs w:val="22"/>
        </w:rPr>
        <w:t>Oznámení o výběru nejvhodnější nabídky</w:t>
      </w:r>
      <w:r w:rsidR="009177C0" w:rsidRPr="009177C0">
        <w:rPr>
          <w:rFonts w:ascii="Arial" w:hAnsi="Arial" w:cs="Arial"/>
          <w:sz w:val="22"/>
          <w:szCs w:val="22"/>
        </w:rPr>
        <w:t xml:space="preserve">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pStyle w:val="Odstavecseseznamem"/>
        <w:spacing w:line="240" w:lineRule="atLeast"/>
        <w:ind w:left="1560"/>
        <w:rPr>
          <w:rFonts w:ascii="Arial" w:hAnsi="Arial" w:cs="Arial"/>
          <w:sz w:val="22"/>
          <w:szCs w:val="22"/>
        </w:rPr>
      </w:pPr>
    </w:p>
    <w:p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CD40A5" w:rsidRPr="00A77A2B" w:rsidRDefault="00CD40A5" w:rsidP="008D7E78">
      <w:pPr>
        <w:pStyle w:val="Mjstyl3"/>
        <w:numPr>
          <w:ilvl w:val="1"/>
          <w:numId w:val="44"/>
        </w:numPr>
        <w:spacing w:before="240" w:after="240"/>
      </w:pPr>
      <w:r>
        <w:lastRenderedPageBreak/>
        <w:t xml:space="preserve">Seznam osob podílejících se na přípravě a průběhu </w:t>
      </w:r>
      <w:r w:rsidR="0033377E">
        <w:t>výběrového řízení podle bodu B.21. písm. d</w:t>
      </w:r>
      <w:r>
        <w:t>) musí zahrnovat:</w:t>
      </w:r>
    </w:p>
    <w:p w:rsidR="00CD40A5" w:rsidRPr="006D7E9C" w:rsidRDefault="00CD40A5" w:rsidP="008D7E78">
      <w:pPr>
        <w:pStyle w:val="Odstavecseseznamem"/>
        <w:numPr>
          <w:ilvl w:val="0"/>
          <w:numId w:val="18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rsidR="00CD40A5" w:rsidRPr="006D7E9C" w:rsidRDefault="00CD40A5" w:rsidP="008D7E78">
      <w:pPr>
        <w:pStyle w:val="Odstavecseseznamem"/>
        <w:numPr>
          <w:ilvl w:val="0"/>
          <w:numId w:val="18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CD40A5" w:rsidRPr="006D7E9C" w:rsidRDefault="00CD40A5" w:rsidP="008D7E78">
      <w:pPr>
        <w:pStyle w:val="Odstavecseseznamem"/>
        <w:numPr>
          <w:ilvl w:val="0"/>
          <w:numId w:val="18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rsidR="00CD40A5" w:rsidRPr="006D7E9C" w:rsidRDefault="00CD40A5" w:rsidP="008D7E78">
      <w:pPr>
        <w:pStyle w:val="Odstavecseseznamem"/>
        <w:numPr>
          <w:ilvl w:val="0"/>
          <w:numId w:val="18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rsidR="00CD40A5" w:rsidRPr="006D7E9C" w:rsidRDefault="00CD40A5" w:rsidP="008D7E78">
      <w:pPr>
        <w:pStyle w:val="Odstavecseseznamem"/>
        <w:numPr>
          <w:ilvl w:val="0"/>
          <w:numId w:val="18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rsidR="00CD40A5" w:rsidRPr="006D7E9C" w:rsidRDefault="00CD40A5" w:rsidP="008D7E78">
      <w:pPr>
        <w:pStyle w:val="Odstavecseseznamem"/>
        <w:numPr>
          <w:ilvl w:val="0"/>
          <w:numId w:val="18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CD40A5" w:rsidRPr="006D7E9C" w:rsidRDefault="00CD40A5" w:rsidP="008D7E78">
      <w:pPr>
        <w:pStyle w:val="Odstavecseseznamem"/>
        <w:numPr>
          <w:ilvl w:val="0"/>
          <w:numId w:val="18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RDefault="00CD40A5" w:rsidP="00CD40A5">
      <w:pPr>
        <w:pStyle w:val="Odstavecseseznamem"/>
        <w:spacing w:line="240" w:lineRule="atLeast"/>
        <w:ind w:left="851"/>
        <w:jc w:val="both"/>
        <w:rPr>
          <w:rFonts w:ascii="Arial" w:hAnsi="Arial" w:cs="Arial"/>
          <w:sz w:val="22"/>
          <w:szCs w:val="22"/>
        </w:rPr>
      </w:pPr>
    </w:p>
    <w:p w:rsidR="00CD40A5" w:rsidRPr="008D7E78"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9177C0" w:rsidRPr="0028752E" w:rsidRDefault="009177C0" w:rsidP="0041078B">
      <w:pPr>
        <w:pStyle w:val="Mjstyl3"/>
        <w:numPr>
          <w:ilvl w:val="1"/>
          <w:numId w:val="44"/>
        </w:numPr>
        <w:spacing w:before="240" w:after="240"/>
        <w:rPr>
          <w:i/>
        </w:rPr>
      </w:pPr>
      <w:r w:rsidRPr="009177C0">
        <w:rPr>
          <w:b/>
        </w:rPr>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 je-li vyžadováno její uveřejnění podle Zákona</w:t>
      </w: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výsledku výběrového řízení zaslaná všem uchazečům, kteří podali nabídku ve lhůtě pro podání nabídek, jejichž nabídka nebyla vyřazena, včetně dokladů prokazujících jejich odeslání, pokud toto oznámení nebylo uveřejněno dle bodu </w:t>
      </w:r>
      <w:r w:rsidR="00833334">
        <w:rPr>
          <w:rFonts w:ascii="Arial" w:hAnsi="Arial" w:cs="Arial"/>
          <w:sz w:val="22"/>
          <w:szCs w:val="22"/>
        </w:rPr>
        <w:t>B.1</w:t>
      </w:r>
      <w:r w:rsidR="00701767">
        <w:rPr>
          <w:rFonts w:ascii="Arial" w:hAnsi="Arial" w:cs="Arial"/>
          <w:sz w:val="22"/>
          <w:szCs w:val="22"/>
        </w:rPr>
        <w:t>8</w:t>
      </w:r>
      <w:r w:rsidR="00833334">
        <w:rPr>
          <w:rFonts w:ascii="Arial" w:hAnsi="Arial" w:cs="Arial"/>
          <w:sz w:val="22"/>
          <w:szCs w:val="22"/>
        </w:rPr>
        <w:t>.2</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9177C0" w:rsidRDefault="009177C0" w:rsidP="0041078B">
      <w:pPr>
        <w:pStyle w:val="Mjstyl3"/>
        <w:numPr>
          <w:ilvl w:val="1"/>
          <w:numId w:val="44"/>
        </w:numPr>
        <w:spacing w:before="240" w:after="240"/>
      </w:pPr>
      <w:r w:rsidRPr="0028752E">
        <w:t>Do všech smluv</w:t>
      </w:r>
      <w:r w:rsidRPr="009177C0">
        <w:t xml:space="preserve"> </w:t>
      </w:r>
      <w:r w:rsidR="00AF281A" w:rsidRPr="009177C0">
        <w:t xml:space="preserve">s dodavateli </w:t>
      </w:r>
      <w:r w:rsidR="00AF281A" w:rsidRPr="000D36F7">
        <w:rPr>
          <w:b/>
        </w:rPr>
        <w:t>je</w:t>
      </w:r>
      <w:r w:rsidR="00AF281A">
        <w:t xml:space="preserve"> příjemce </w:t>
      </w:r>
      <w:r w:rsidR="00AF281A" w:rsidRPr="000D36F7">
        <w:rPr>
          <w:b/>
        </w:rPr>
        <w:t>povinen</w:t>
      </w:r>
      <w:r w:rsidR="00AF281A">
        <w:t xml:space="preserve"> </w:t>
      </w:r>
      <w:r w:rsidR="00AF281A" w:rsidRPr="009177C0">
        <w:t>zapracovat ustanovení:</w:t>
      </w:r>
    </w:p>
    <w:p w:rsidR="009177C0" w:rsidRPr="009177C0" w:rsidRDefault="009177C0" w:rsidP="00452B4E">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xml:space="preserve">, </w:t>
      </w:r>
      <w:r w:rsidRPr="009177C0">
        <w:rPr>
          <w:rFonts w:cs="Arial"/>
          <w:sz w:val="22"/>
          <w:szCs w:val="22"/>
        </w:rPr>
        <w:lastRenderedPageBreak/>
        <w:t xml:space="preserve">ve znění pozdějších předpisů (dále </w:t>
      </w:r>
      <w:r w:rsidR="00D614D4">
        <w:rPr>
          <w:rFonts w:cs="Arial"/>
          <w:sz w:val="22"/>
          <w:szCs w:val="22"/>
        </w:rPr>
        <w:t>„</w:t>
      </w:r>
      <w:r w:rsidRPr="009177C0">
        <w:rPr>
          <w:rFonts w:cs="Arial"/>
          <w:sz w:val="22"/>
          <w:szCs w:val="22"/>
        </w:rPr>
        <w:t>ZFK</w:t>
      </w:r>
      <w:r w:rsidR="00D614D4">
        <w:rPr>
          <w:rFonts w:cs="Arial"/>
          <w:sz w:val="22"/>
          <w:szCs w:val="22"/>
        </w:rPr>
        <w:t>“</w:t>
      </w:r>
      <w:r w:rsidRPr="009177C0">
        <w:rPr>
          <w:rFonts w:cs="Arial"/>
          <w:sz w:val="22"/>
          <w:szCs w:val="22"/>
        </w:rP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pStyle w:val="Odstavecseseznamem"/>
        <w:widowControl w:val="0"/>
        <w:adjustRightInd w:val="0"/>
        <w:spacing w:line="240" w:lineRule="atLeast"/>
        <w:ind w:left="851" w:hanging="284"/>
        <w:textAlignment w:val="baseline"/>
        <w:rPr>
          <w:rFonts w:ascii="Arial" w:hAnsi="Arial" w:cs="Arial"/>
          <w:sz w:val="22"/>
          <w:szCs w:val="22"/>
        </w:rPr>
      </w:pPr>
    </w:p>
    <w:p w:rsidR="009177C0" w:rsidRDefault="009177C0" w:rsidP="00452B4E">
      <w:pPr>
        <w:pStyle w:val="Odstavecseseznamem"/>
        <w:widowControl w:val="0"/>
        <w:numPr>
          <w:ilvl w:val="0"/>
          <w:numId w:val="32"/>
        </w:numPr>
        <w:tabs>
          <w:tab w:val="left" w:pos="851"/>
        </w:tabs>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Pr>
          <w:rFonts w:ascii="Arial" w:hAnsi="Arial" w:cs="Arial"/>
          <w:snapToGrid w:val="0"/>
          <w:sz w:val="22"/>
          <w:szCs w:val="22"/>
        </w:rPr>
        <w:t>minimálně</w:t>
      </w:r>
      <w:r w:rsidRPr="009177C0">
        <w:rPr>
          <w:rFonts w:ascii="Arial" w:hAnsi="Arial" w:cs="Arial"/>
          <w:snapToGrid w:val="0"/>
          <w:sz w:val="22"/>
          <w:szCs w:val="22"/>
        </w:rPr>
        <w:t xml:space="preserve"> do </w:t>
      </w:r>
      <w:r w:rsidR="00760D93">
        <w:rPr>
          <w:rFonts w:ascii="Arial" w:hAnsi="Arial" w:cs="Arial"/>
          <w:snapToGrid w:val="0"/>
          <w:sz w:val="22"/>
          <w:szCs w:val="22"/>
        </w:rPr>
        <w:t xml:space="preserve">roku </w:t>
      </w:r>
      <w:r w:rsidRPr="00D95F17">
        <w:rPr>
          <w:rFonts w:ascii="Arial" w:hAnsi="Arial" w:cs="Arial"/>
          <w:snapToGrid w:val="0"/>
          <w:sz w:val="22"/>
          <w:szCs w:val="22"/>
        </w:rPr>
        <w:t>202</w:t>
      </w:r>
      <w:r w:rsidR="006169B7" w:rsidRPr="00D95F17">
        <w:rPr>
          <w:rFonts w:ascii="Arial" w:hAnsi="Arial" w:cs="Arial"/>
          <w:snapToGrid w:val="0"/>
          <w:sz w:val="22"/>
          <w:szCs w:val="22"/>
        </w:rPr>
        <w:t>7</w:t>
      </w:r>
      <w:r w:rsidRPr="00D95F17">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plněním smlouvy.</w:t>
      </w:r>
    </w:p>
    <w:p w:rsidR="004702EB" w:rsidRPr="009177C0" w:rsidRDefault="004702EB" w:rsidP="0028752E">
      <w:pPr>
        <w:pStyle w:val="Odstavecseseznamem"/>
        <w:widowControl w:val="0"/>
        <w:tabs>
          <w:tab w:val="left" w:pos="851"/>
        </w:tabs>
        <w:adjustRightInd w:val="0"/>
        <w:spacing w:line="240" w:lineRule="atLeast"/>
        <w:ind w:left="851"/>
        <w:contextualSpacing w:val="0"/>
        <w:jc w:val="both"/>
        <w:textAlignment w:val="baseline"/>
        <w:rPr>
          <w:rFonts w:ascii="Arial" w:hAnsi="Arial" w:cs="Arial"/>
          <w:sz w:val="22"/>
          <w:szCs w:val="22"/>
        </w:rPr>
      </w:pPr>
    </w:p>
    <w:p w:rsidR="009177C0" w:rsidRPr="0028752E" w:rsidRDefault="004702EB" w:rsidP="0028752E">
      <w:pPr>
        <w:pStyle w:val="Odstavecseseznamem"/>
        <w:spacing w:line="240" w:lineRule="atLeast"/>
        <w:ind w:left="567"/>
        <w:rPr>
          <w:rFonts w:ascii="Arial" w:hAnsi="Arial" w:cs="Arial"/>
          <w:i/>
          <w:sz w:val="22"/>
          <w:szCs w:val="22"/>
        </w:rPr>
      </w:pPr>
      <w:r w:rsidRPr="0028752E">
        <w:rPr>
          <w:rFonts w:ascii="Arial" w:hAnsi="Arial" w:cs="Arial"/>
          <w:i/>
          <w:sz w:val="22"/>
          <w:szCs w:val="22"/>
        </w:rPr>
        <w:t>Toto ustanovení se nevztahuje na zakázky malé hodnoty I. kategorie.</w:t>
      </w:r>
    </w:p>
    <w:p w:rsidR="00AF281A" w:rsidRPr="00AF281A" w:rsidRDefault="00AF281A" w:rsidP="0041078B">
      <w:pPr>
        <w:pStyle w:val="Mjstyl3"/>
        <w:numPr>
          <w:ilvl w:val="1"/>
          <w:numId w:val="44"/>
        </w:numPr>
        <w:spacing w:before="240" w:after="240"/>
      </w:pPr>
      <w:r>
        <w:t xml:space="preserve">Do smluv s dodavateli </w:t>
      </w:r>
      <w:r w:rsidRPr="000D36F7">
        <w:rPr>
          <w:b/>
        </w:rPr>
        <w:t>je doporučeno</w:t>
      </w:r>
      <w:r>
        <w:t xml:space="preserve"> zapracovat ustanovení:</w:t>
      </w:r>
    </w:p>
    <w:p w:rsidR="009177C0" w:rsidRPr="009177C0"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rPr>
          <w:rFonts w:ascii="Arial" w:hAnsi="Arial" w:cs="Arial"/>
          <w:sz w:val="22"/>
          <w:szCs w:val="22"/>
        </w:rPr>
      </w:pPr>
      <w:r w:rsidRPr="0028752E">
        <w:rPr>
          <w:rFonts w:ascii="Arial" w:hAnsi="Arial" w:cs="Arial"/>
          <w:sz w:val="22"/>
          <w:szCs w:val="22"/>
        </w:rPr>
        <w:t>Každý</w:t>
      </w:r>
      <w:r w:rsidRPr="009177C0">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9177C0" w:rsidRDefault="00DB26A9" w:rsidP="009177C0">
      <w:pPr>
        <w:spacing w:line="240" w:lineRule="atLeast"/>
        <w:ind w:left="851" w:hanging="284"/>
        <w:rPr>
          <w:rFonts w:ascii="Arial" w:hAnsi="Arial" w:cs="Arial"/>
          <w:sz w:val="22"/>
          <w:szCs w:val="22"/>
        </w:rPr>
      </w:pPr>
    </w:p>
    <w:p w:rsidR="004702EB" w:rsidRPr="004702EB"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5"/>
      </w:r>
    </w:p>
    <w:p w:rsidR="00121C0F" w:rsidRDefault="00121C0F" w:rsidP="0028752E">
      <w:pPr>
        <w:pStyle w:val="Odstavecseseznamem"/>
        <w:rPr>
          <w:i/>
        </w:rPr>
      </w:pPr>
    </w:p>
    <w:p w:rsidR="004702EB" w:rsidRPr="004702EB" w:rsidRDefault="004702EB" w:rsidP="0028752E">
      <w:pPr>
        <w:pStyle w:val="Odstavecseseznamem"/>
      </w:pPr>
      <w:r w:rsidRPr="0028752E">
        <w:rPr>
          <w:rFonts w:ascii="Arial" w:hAnsi="Arial" w:cs="Arial"/>
          <w:i/>
          <w:sz w:val="22"/>
          <w:szCs w:val="22"/>
        </w:rPr>
        <w:t>Toto ustanovení se nevztahuje na zakázky malé hodnoty I. kategorie.</w:t>
      </w:r>
    </w:p>
    <w:p w:rsidR="00CA34EA" w:rsidRPr="0028752E" w:rsidRDefault="00CA34EA" w:rsidP="0041078B">
      <w:pPr>
        <w:pStyle w:val="Mjstyl3"/>
        <w:numPr>
          <w:ilvl w:val="1"/>
          <w:numId w:val="44"/>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t>B.</w:t>
      </w:r>
      <w:r w:rsidR="00B56B1D">
        <w:t>24</w:t>
      </w:r>
      <w:r w:rsidRPr="00E0434B">
        <w:t>. Neuzavření dodatku ke smlouvě nebude ze strany ŘO OPTP sankcionováno.</w:t>
      </w:r>
    </w:p>
    <w:p w:rsidR="00B33550" w:rsidRDefault="00B33550" w:rsidP="00C23D45">
      <w:pPr>
        <w:pStyle w:val="Mjstyl3"/>
        <w:numPr>
          <w:ilvl w:val="1"/>
          <w:numId w:val="44"/>
        </w:numPr>
        <w:spacing w:before="240" w:after="240"/>
      </w:pPr>
      <w:r w:rsidRPr="001E6F04">
        <w:rPr>
          <w:b/>
        </w:rPr>
        <w:t>Před uzavřením dodatku ke smlouvě</w:t>
      </w:r>
      <w:r w:rsidRPr="009177C0">
        <w:t xml:space="preserve"> na plnění zakázky předložit min. 10 pracovních dnů před podpisem dodatku ŘO OPTP návrh dodatku k posouzení. ŘO OPTP poskytne vyjádření do 10 pracovních dnů ode dne obdržení kompletních podkladů.</w:t>
      </w:r>
    </w:p>
    <w:p w:rsidR="009177C0" w:rsidRPr="009177C0" w:rsidRDefault="009177C0" w:rsidP="00E15D56">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uzavřené s více uchazeči</w:t>
      </w:r>
      <w:r w:rsidRPr="009177C0">
        <w:t xml:space="preserve"> (analog. dle Zákona, tzv. minitendr) předložit postupem uvedeným v bodech B.1</w:t>
      </w:r>
      <w:r w:rsidR="00B4425F">
        <w:t>9</w:t>
      </w:r>
      <w:r w:rsidRPr="009177C0">
        <w:t>., B.</w:t>
      </w:r>
      <w:r w:rsidR="00B4425F">
        <w:t>21</w:t>
      </w:r>
      <w:r w:rsidRPr="009177C0">
        <w:t>., B.</w:t>
      </w:r>
      <w:r w:rsidR="00B56B1D">
        <w:t>23</w:t>
      </w:r>
      <w:r w:rsidRPr="009177C0">
        <w:t>. ŘO OPTP podklady k posouzení včetně zaslání pozvánky dle bodu B.</w:t>
      </w:r>
      <w:r w:rsidR="00B4425F">
        <w:t>20</w:t>
      </w:r>
      <w:r w:rsidRPr="009177C0">
        <w:t>.</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 (ustanovení bodu B.</w:t>
      </w:r>
      <w:r w:rsidR="00BD2784">
        <w:rPr>
          <w:rFonts w:ascii="Arial" w:hAnsi="Arial" w:cs="Arial"/>
          <w:i/>
          <w:sz w:val="22"/>
          <w:szCs w:val="22"/>
        </w:rPr>
        <w:t>20</w:t>
      </w:r>
      <w:r w:rsidRPr="009177C0">
        <w:rPr>
          <w:rFonts w:ascii="Arial" w:hAnsi="Arial" w:cs="Arial"/>
          <w:i/>
          <w:sz w:val="22"/>
          <w:szCs w:val="22"/>
        </w:rPr>
        <w:t>. a B.</w:t>
      </w:r>
      <w:r w:rsidR="00B56B1D">
        <w:rPr>
          <w:rFonts w:ascii="Arial" w:hAnsi="Arial" w:cs="Arial"/>
          <w:i/>
          <w:sz w:val="22"/>
          <w:szCs w:val="22"/>
        </w:rPr>
        <w:t>23</w:t>
      </w:r>
      <w:r w:rsidRPr="009177C0">
        <w:rPr>
          <w:rFonts w:ascii="Arial" w:hAnsi="Arial" w:cs="Arial"/>
          <w:i/>
          <w:sz w:val="22"/>
          <w:szCs w:val="22"/>
        </w:rPr>
        <w:t>. tím není dotčeno). V opačném případě je příjemce povinen postupovat analogicky od bodu B.</w:t>
      </w:r>
      <w:r w:rsidR="00BD2784">
        <w:rPr>
          <w:rFonts w:ascii="Arial" w:hAnsi="Arial" w:cs="Arial"/>
          <w:i/>
          <w:sz w:val="22"/>
          <w:szCs w:val="22"/>
        </w:rPr>
        <w:t>19</w:t>
      </w:r>
      <w:r w:rsidRPr="009177C0">
        <w:rPr>
          <w:rFonts w:ascii="Arial" w:hAnsi="Arial" w:cs="Arial"/>
          <w:i/>
          <w:sz w:val="22"/>
          <w:szCs w:val="22"/>
        </w:rPr>
        <w:t>.</w:t>
      </w:r>
    </w:p>
    <w:p w:rsidR="009177C0" w:rsidRPr="009177C0" w:rsidRDefault="009177C0" w:rsidP="0041078B">
      <w:pPr>
        <w:pStyle w:val="Mjstyl3"/>
        <w:numPr>
          <w:ilvl w:val="1"/>
          <w:numId w:val="44"/>
        </w:numPr>
        <w:spacing w:before="240" w:after="240"/>
      </w:pPr>
      <w:r w:rsidRPr="009177C0">
        <w:lastRenderedPageBreak/>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Pr="009177C0">
        <w:t>.</w:t>
      </w:r>
    </w:p>
    <w:p w:rsidR="009177C0" w:rsidRPr="009177C0" w:rsidRDefault="009177C0" w:rsidP="008D7E78">
      <w:pPr>
        <w:pStyle w:val="Mjstyl3"/>
        <w:numPr>
          <w:ilvl w:val="1"/>
          <w:numId w:val="44"/>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rsidR="009177C0" w:rsidRPr="009177C0" w:rsidRDefault="00586ADA" w:rsidP="0041078B">
      <w:pPr>
        <w:pStyle w:val="Mjstyl3"/>
        <w:numPr>
          <w:ilvl w:val="1"/>
          <w:numId w:val="44"/>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 příloha č. 2 PŽP).</w:t>
      </w:r>
    </w:p>
    <w:p w:rsidR="009177C0" w:rsidRPr="009177C0" w:rsidRDefault="00586ADA" w:rsidP="00C23D45">
      <w:pPr>
        <w:pStyle w:val="Mjstyl3"/>
        <w:numPr>
          <w:ilvl w:val="1"/>
          <w:numId w:val="44"/>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p>
    <w:p w:rsidR="009177C0" w:rsidRPr="009177C0" w:rsidRDefault="009177C0" w:rsidP="00E15D56">
      <w:pPr>
        <w:pStyle w:val="Mjstyl3"/>
        <w:numPr>
          <w:ilvl w:val="1"/>
          <w:numId w:val="44"/>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bodu B.1</w:t>
      </w:r>
      <w:r w:rsidR="00BD2784">
        <w:t>9</w:t>
      </w:r>
      <w:r w:rsidRPr="009177C0">
        <w:t>., B.</w:t>
      </w:r>
      <w:r w:rsidR="00BD2784">
        <w:t>21</w:t>
      </w:r>
      <w:r w:rsidRPr="009177C0">
        <w:t>., B.</w:t>
      </w:r>
      <w:r w:rsidR="00B56B1D">
        <w:t>23</w:t>
      </w:r>
      <w:r w:rsidRPr="009177C0">
        <w:t>.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rsidP="00E15D56">
      <w:pPr>
        <w:pStyle w:val="Mjstyl3"/>
        <w:numPr>
          <w:ilvl w:val="1"/>
          <w:numId w:val="44"/>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 vloží příjemce veškerou dokumentaci k výběrovému řízení do MS14+ k danému projektu a výběrovému řízení a informuje o tom formou interní depeše v MS2014+ příslušného projektového manažera a specialisty na veřejné zakázky. Pokud ve výběrovém řízení došlo ke změně (např. byl uzavřen dodatek), je příjemce navíc povinen předložit dokumentaci k této změně k posouzení.</w:t>
      </w:r>
    </w:p>
    <w:p w:rsidR="00162F3B" w:rsidRDefault="00162F3B" w:rsidP="00E15D56">
      <w:pPr>
        <w:pStyle w:val="Mjstyl3"/>
        <w:numPr>
          <w:ilvl w:val="1"/>
          <w:numId w:val="44"/>
        </w:numPr>
        <w:spacing w:before="240" w:after="240"/>
      </w:pPr>
      <w:r>
        <w:t xml:space="preserve">V případě administrativního ověření </w:t>
      </w:r>
      <w:r w:rsidRPr="002A0595">
        <w:rPr>
          <w:b/>
        </w:rPr>
        <w:t>interim</w:t>
      </w:r>
      <w:r>
        <w:t xml:space="preserve"> příjemce předkládá podklady k výběrovému řízení v příloze interní depeše v MS2014+ adresované specialistům na veřejné zakázky, v kopii příslušnému projektovému manažerovi.</w:t>
      </w:r>
      <w:r w:rsidR="000900F3" w:rsidRPr="000900F3">
        <w:t xml:space="preserve"> </w:t>
      </w:r>
      <w:r w:rsidR="003E5635" w:rsidRPr="003E5635">
        <w:t xml:space="preserve">Do textu interní depeše příjemce vždy uvede název a registrační číslo projektu a název </w:t>
      </w:r>
      <w:r w:rsidR="003E5635">
        <w:t>a číslo zakázky uvedené v MS14+</w:t>
      </w:r>
      <w:r w:rsidR="000900F3" w:rsidRPr="000900F3">
        <w:t>.</w:t>
      </w:r>
      <w:r w:rsidR="003E5635">
        <w:t xml:space="preserve"> </w:t>
      </w:r>
      <w:r>
        <w:t xml:space="preserve">V průběhu ověřování předložené dokumentace (zasílání připomínek ze strany ŘO a jejich následné vypořádání) bude veškerá komunikace probíhat prostřednictvím interních depeší a upravená dokumentace bude zasílána v příloze těchto depeší. </w:t>
      </w:r>
    </w:p>
    <w:p w:rsidR="00162F3B" w:rsidRDefault="00162F3B" w:rsidP="002A0595">
      <w:pPr>
        <w:pStyle w:val="Mjstyl3"/>
        <w:numPr>
          <w:ilvl w:val="0"/>
          <w:numId w:val="0"/>
        </w:numPr>
        <w:spacing w:before="240" w:after="240"/>
        <w:ind w:left="576"/>
      </w:pPr>
      <w:r>
        <w:t>Po vydání finálního stanoviska z</w:t>
      </w:r>
      <w:r w:rsidR="002536B2">
        <w:t xml:space="preserve"> dané fáze administrativního </w:t>
      </w:r>
      <w:r>
        <w:t>ověření zakázky (tj. po schválení finální verze dokumentace k</w:t>
      </w:r>
      <w:r w:rsidR="002536B2">
        <w:t> dané fázi administrativního ověření</w:t>
      </w:r>
      <w:r>
        <w:t xml:space="preserve">), příjemce </w:t>
      </w:r>
      <w:r w:rsidR="000900F3">
        <w:t xml:space="preserve">neprodleně </w:t>
      </w:r>
      <w:r>
        <w:t xml:space="preserve">vloží </w:t>
      </w:r>
      <w:r w:rsidR="002536B2">
        <w:t xml:space="preserve">takto schválenou </w:t>
      </w:r>
      <w:r>
        <w:t xml:space="preserve">finální verzi podkladů k výběrovému řízení do MS2014+ k danému projektu a </w:t>
      </w:r>
      <w:r w:rsidR="002536B2">
        <w:t>výběrovému řízení</w:t>
      </w:r>
      <w:r w:rsidR="00C23D45">
        <w:t>, a to</w:t>
      </w:r>
      <w:r w:rsidR="008B1B1B">
        <w:t xml:space="preserve"> buď </w:t>
      </w:r>
      <w:r w:rsidR="002536B2">
        <w:t xml:space="preserve">formou „Oznámení o změně“ </w:t>
      </w:r>
      <w:r>
        <w:t>nebo prostřednictvím</w:t>
      </w:r>
      <w:r w:rsidR="00C23D45">
        <w:t xml:space="preserve"> nejbližší</w:t>
      </w:r>
      <w:r>
        <w:t xml:space="preserve"> „Zprávy o </w:t>
      </w:r>
      <w:r w:rsidRPr="00351BF3">
        <w:t>realizaci</w:t>
      </w:r>
      <w:r w:rsidR="002536B2" w:rsidRPr="00351BF3">
        <w:t>“</w:t>
      </w:r>
      <w:r w:rsidR="00C23D45">
        <w:t xml:space="preserve"> nebo „Žádosti o platbu“</w:t>
      </w:r>
      <w:r w:rsidRPr="00351BF3">
        <w:t>.</w:t>
      </w:r>
      <w:r w:rsidR="000900F3">
        <w:t xml:space="preserve"> </w:t>
      </w:r>
    </w:p>
    <w:p w:rsidR="00196154" w:rsidRDefault="00162F3B" w:rsidP="00C23D45">
      <w:pPr>
        <w:pStyle w:val="Mjstyl3"/>
        <w:numPr>
          <w:ilvl w:val="1"/>
          <w:numId w:val="44"/>
        </w:numPr>
        <w:spacing w:before="240" w:after="240"/>
      </w:pPr>
      <w:r>
        <w:t xml:space="preserve">V případě administrativního ověření </w:t>
      </w:r>
      <w:r w:rsidRPr="002A0595">
        <w:rPr>
          <w:b/>
        </w:rPr>
        <w:t>ex-ante</w:t>
      </w:r>
      <w:r>
        <w:t xml:space="preserve"> p</w:t>
      </w:r>
      <w:r w:rsidR="00196154" w:rsidRPr="00196154">
        <w:t>říjemce předkládá podklady k</w:t>
      </w:r>
      <w:r w:rsidR="00FC7755">
        <w:t> </w:t>
      </w:r>
      <w:r w:rsidR="00196154">
        <w:t>výběrovému</w:t>
      </w:r>
      <w:r w:rsidR="00196154" w:rsidRPr="00196154">
        <w:t xml:space="preserve"> řízení</w:t>
      </w:r>
      <w:r w:rsidR="00FC7755">
        <w:t xml:space="preserve"> v příloze interní depeše v MS2014+ adresované specialistům na </w:t>
      </w:r>
      <w:r w:rsidR="00FC7755">
        <w:lastRenderedPageBreak/>
        <w:t>veřejné zakázky, v kopii příslušnému projektovému manažerovi</w:t>
      </w:r>
      <w:r w:rsidR="003E5635">
        <w:t>. Do</w:t>
      </w:r>
      <w:r w:rsidR="003E5635" w:rsidRPr="000900F3">
        <w:t xml:space="preserve"> textu interní depeše </w:t>
      </w:r>
      <w:r w:rsidR="003E5635">
        <w:t xml:space="preserve">příjemce vždy </w:t>
      </w:r>
      <w:r w:rsidR="003E5635" w:rsidRPr="000900F3">
        <w:t>uvede název a registrační číslo projektu a název a číslo zakázky uvedené v MS14+.</w:t>
      </w:r>
      <w:r w:rsidR="00FC7755">
        <w:t xml:space="preserve"> </w:t>
      </w:r>
      <w:r w:rsidR="003E5635">
        <w:t>V</w:t>
      </w:r>
      <w:r w:rsidR="00FC7755">
        <w:t xml:space="preserve">eškerou dokumentaci k výběrovému řízení </w:t>
      </w:r>
      <w:r w:rsidR="003E5635">
        <w:t xml:space="preserve">příjemce rovněž vloží </w:t>
      </w:r>
      <w:r w:rsidR="00FC7755">
        <w:t xml:space="preserve">do MS2014+ k danému projektu a výběrovému řízení. </w:t>
      </w:r>
    </w:p>
    <w:p w:rsidR="00162F3B" w:rsidRPr="00351BF3" w:rsidRDefault="00162F3B" w:rsidP="00E15D56">
      <w:pPr>
        <w:pStyle w:val="Mjstyl3"/>
        <w:numPr>
          <w:ilvl w:val="1"/>
          <w:numId w:val="44"/>
        </w:numPr>
        <w:spacing w:before="240" w:after="240"/>
      </w:pPr>
      <w:r>
        <w:t>Příjemce při podání projektu zašle příslušnému projektovému manažerovi informaci, zda výběrová řízení, která mají být v rámci daného projektu financována, byla již ŘO OPTP dříve ověřována a u již ověřených výběrových řízení uvede název a registrační číslo projektu, v rámci kterého byly ověřovány.</w:t>
      </w:r>
    </w:p>
    <w:p w:rsidR="00921416" w:rsidRDefault="009177C0" w:rsidP="00E15D56">
      <w:pPr>
        <w:pStyle w:val="Mjstyl3"/>
        <w:numPr>
          <w:ilvl w:val="1"/>
          <w:numId w:val="44"/>
        </w:numPr>
        <w:spacing w:before="240" w:after="240"/>
      </w:pPr>
      <w:r w:rsidRPr="0028752E">
        <w:t>V případě porušení ustanovení</w:t>
      </w:r>
      <w:r w:rsidRPr="009177C0">
        <w:t xml:space="preserve"> </w:t>
      </w:r>
      <w:r w:rsidR="00CE7652">
        <w:t xml:space="preserve">PŽP a </w:t>
      </w:r>
      <w:r w:rsidR="0086367F">
        <w:t>Metodického</w:t>
      </w:r>
      <w:r w:rsidR="0086367F" w:rsidRPr="008D19CA">
        <w:t xml:space="preserve"> pokyn</w:t>
      </w:r>
      <w:r w:rsidR="0086367F">
        <w:t>u</w:t>
      </w:r>
      <w:r w:rsidR="0086367F" w:rsidRPr="008D19CA">
        <w:t xml:space="preserve"> pro oblast zadávání zakázek pro programové období 2014-2020</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Metodického</w:t>
      </w:r>
      <w:r w:rsidR="0086367F" w:rsidRPr="008D19CA">
        <w:t xml:space="preserve"> pokyn</w:t>
      </w:r>
      <w:r w:rsidR="0086367F">
        <w:t>u</w:t>
      </w:r>
      <w:r w:rsidR="0086367F" w:rsidRPr="008D19CA">
        <w:t xml:space="preserve"> pro oblast zadávání zakázek pro programové období 2014-2020</w:t>
      </w:r>
      <w:r w:rsidR="0086367F" w:rsidRPr="009177C0">
        <w:t xml:space="preserve"> pro stanovení finančních oprav</w:t>
      </w:r>
      <w:r w:rsidRPr="00690B7F">
        <w:t xml:space="preserve">.  </w:t>
      </w:r>
    </w:p>
    <w:p w:rsidR="0022757A" w:rsidRPr="008D7E78" w:rsidRDefault="006D7058" w:rsidP="00E15D56">
      <w:pPr>
        <w:pStyle w:val="Mjstyl3"/>
        <w:numPr>
          <w:ilvl w:val="1"/>
          <w:numId w:val="44"/>
        </w:numPr>
        <w:spacing w:before="240" w:after="240"/>
      </w:pPr>
      <w:r w:rsidRPr="009177C0">
        <w:rPr>
          <w:b/>
        </w:rPr>
        <w:t>V případě zakáz</w:t>
      </w:r>
      <w:r w:rsidR="00097E1C">
        <w:rPr>
          <w:b/>
        </w:rPr>
        <w:t>ek</w:t>
      </w:r>
      <w:r w:rsidRPr="009177C0">
        <w:rPr>
          <w:b/>
        </w:rPr>
        <w:t xml:space="preserve"> malé hodnoty I. kategorie je příjemce povinen</w:t>
      </w:r>
      <w:r w:rsidR="00085409">
        <w:rPr>
          <w:b/>
        </w:rPr>
        <w:t xml:space="preserve"> postupovat dle Přílohy č. 11 PŽP</w:t>
      </w:r>
      <w:r w:rsidR="00982452">
        <w:rPr>
          <w:b/>
        </w:rPr>
        <w:t xml:space="preserve"> (bod 2.3. a 2.4.)</w:t>
      </w:r>
      <w:r w:rsidR="00085409">
        <w:rPr>
          <w:b/>
        </w:rPr>
        <w:t>.</w:t>
      </w:r>
      <w:r w:rsidRPr="009177C0" w:rsidDel="003A19FC">
        <w:rPr>
          <w:b/>
        </w:rPr>
        <w:t xml:space="preserve"> </w:t>
      </w:r>
    </w:p>
    <w:p w:rsidR="0022757A" w:rsidRDefault="0022757A" w:rsidP="008D7E78">
      <w:pPr>
        <w:pStyle w:val="Mjstyl3"/>
        <w:numPr>
          <w:ilvl w:val="0"/>
          <w:numId w:val="0"/>
        </w:numPr>
        <w:spacing w:before="240" w:after="240"/>
      </w:pPr>
    </w:p>
    <w:p w:rsidR="00940246" w:rsidRDefault="00940246">
      <w:pPr>
        <w:rPr>
          <w:rFonts w:ascii="Arial" w:hAnsi="Arial" w:cs="Arial"/>
          <w:sz w:val="22"/>
          <w:szCs w:val="22"/>
        </w:rPr>
      </w:pPr>
      <w:r>
        <w:br w:type="page"/>
      </w:r>
    </w:p>
    <w:p w:rsidR="006D7058" w:rsidRPr="008D7E78" w:rsidRDefault="006D7058" w:rsidP="008D7E78">
      <w:pPr>
        <w:pStyle w:val="Mjstyl3"/>
        <w:numPr>
          <w:ilvl w:val="0"/>
          <w:numId w:val="0"/>
        </w:numPr>
        <w:ind w:left="432"/>
        <w:rPr>
          <w:sz w:val="24"/>
        </w:rPr>
      </w:pPr>
    </w:p>
    <w:p w:rsidR="00694FF9" w:rsidRPr="008D7E78" w:rsidRDefault="00FA5E07" w:rsidP="00687B62">
      <w:pPr>
        <w:tabs>
          <w:tab w:val="left" w:pos="5387"/>
        </w:tabs>
        <w:rPr>
          <w:rFonts w:ascii="Arial" w:hAnsi="Arial" w:cs="Arial"/>
          <w:b/>
          <w:sz w:val="24"/>
          <w:szCs w:val="22"/>
        </w:rPr>
      </w:pPr>
      <w:r w:rsidRPr="008D7E78">
        <w:rPr>
          <w:rFonts w:ascii="Arial" w:hAnsi="Arial" w:cs="Arial"/>
          <w:b/>
          <w:sz w:val="24"/>
          <w:szCs w:val="22"/>
        </w:rPr>
        <w:t>Přehled změn</w:t>
      </w:r>
    </w:p>
    <w:p w:rsidR="00FA5E07" w:rsidRDefault="00FA5E07" w:rsidP="00687B62">
      <w:pPr>
        <w:tabs>
          <w:tab w:val="left" w:pos="5387"/>
        </w:tabs>
        <w:rPr>
          <w:rFonts w:ascii="Arial" w:hAnsi="Arial" w:cs="Arial"/>
          <w:b/>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FA5E07" w:rsidRPr="00FE76D8" w:rsidTr="008D7E78">
        <w:trPr>
          <w:tblHeader/>
        </w:trPr>
        <w:tc>
          <w:tcPr>
            <w:tcW w:w="2660" w:type="dxa"/>
            <w:shd w:val="clear" w:color="auto" w:fill="99CCFF"/>
          </w:tcPr>
          <w:p w:rsidR="00FA5E07" w:rsidRPr="00FA5E07" w:rsidRDefault="00940246" w:rsidP="008D7E78">
            <w:pPr>
              <w:spacing w:before="120" w:after="120"/>
              <w:jc w:val="center"/>
              <w:rPr>
                <w:rFonts w:ascii="Arial" w:hAnsi="Arial" w:cs="Arial"/>
                <w:b/>
                <w:sz w:val="22"/>
                <w:szCs w:val="22"/>
              </w:rPr>
            </w:pPr>
            <w:r>
              <w:rPr>
                <w:rFonts w:ascii="Arial" w:hAnsi="Arial" w:cs="Arial"/>
                <w:b/>
                <w:sz w:val="22"/>
                <w:szCs w:val="22"/>
              </w:rPr>
              <w:t>Verze</w:t>
            </w:r>
          </w:p>
        </w:tc>
        <w:tc>
          <w:tcPr>
            <w:tcW w:w="7055" w:type="dxa"/>
            <w:shd w:val="clear" w:color="auto" w:fill="99CCFF"/>
            <w:vAlign w:val="center"/>
          </w:tcPr>
          <w:p w:rsidR="00FA5E07" w:rsidRPr="004E4F94" w:rsidRDefault="00FA5E07" w:rsidP="008D7E78">
            <w:pPr>
              <w:jc w:val="center"/>
              <w:rPr>
                <w:rFonts w:ascii="Arial" w:hAnsi="Arial" w:cs="Arial"/>
                <w:b/>
                <w:sz w:val="22"/>
                <w:szCs w:val="22"/>
              </w:rPr>
            </w:pPr>
            <w:r w:rsidRPr="004E4F94">
              <w:rPr>
                <w:rFonts w:ascii="Arial" w:hAnsi="Arial" w:cs="Arial"/>
                <w:b/>
                <w:sz w:val="22"/>
                <w:szCs w:val="22"/>
              </w:rPr>
              <w:t>Popis změn</w:t>
            </w:r>
          </w:p>
        </w:tc>
      </w:tr>
      <w:tr w:rsidR="00940246" w:rsidRPr="00FE76D8" w:rsidTr="006E79F3">
        <w:trPr>
          <w:tblHeader/>
        </w:trPr>
        <w:tc>
          <w:tcPr>
            <w:tcW w:w="2660" w:type="dxa"/>
            <w:vMerge w:val="restart"/>
            <w:shd w:val="clear" w:color="auto" w:fill="99CCFF"/>
            <w:vAlign w:val="center"/>
          </w:tcPr>
          <w:p w:rsidR="00940246" w:rsidRPr="00FA5E07" w:rsidRDefault="00940246" w:rsidP="00940246">
            <w:pPr>
              <w:jc w:val="center"/>
              <w:rPr>
                <w:rFonts w:ascii="Arial" w:hAnsi="Arial" w:cs="Arial"/>
              </w:rPr>
            </w:pPr>
            <w:r w:rsidRPr="00FA5E07">
              <w:rPr>
                <w:rFonts w:ascii="Arial" w:hAnsi="Arial" w:cs="Arial"/>
              </w:rPr>
              <w:t>vydání 2/0</w:t>
            </w:r>
          </w:p>
        </w:tc>
        <w:tc>
          <w:tcPr>
            <w:tcW w:w="7055" w:type="dxa"/>
            <w:shd w:val="clear" w:color="auto" w:fill="99CCFF"/>
            <w:vAlign w:val="center"/>
          </w:tcPr>
          <w:p w:rsidR="00940246" w:rsidRPr="00FA5E07" w:rsidRDefault="00940246" w:rsidP="00711B70">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940246" w:rsidRPr="00FE76D8" w:rsidTr="006D0A9C">
        <w:trPr>
          <w:tblHeader/>
        </w:trPr>
        <w:tc>
          <w:tcPr>
            <w:tcW w:w="2660" w:type="dxa"/>
            <w:vMerge/>
            <w:shd w:val="clear" w:color="auto" w:fill="99CCFF"/>
          </w:tcPr>
          <w:p w:rsidR="00940246" w:rsidRPr="00FA5E07" w:rsidRDefault="00940246" w:rsidP="006D0A9C">
            <w:pPr>
              <w:jc w:val="both"/>
              <w:rPr>
                <w:rFonts w:ascii="Arial" w:hAnsi="Arial" w:cs="Arial"/>
              </w:rPr>
            </w:pPr>
          </w:p>
        </w:tc>
        <w:tc>
          <w:tcPr>
            <w:tcW w:w="7055" w:type="dxa"/>
            <w:shd w:val="clear" w:color="auto" w:fill="99CCFF"/>
            <w:vAlign w:val="center"/>
          </w:tcPr>
          <w:p w:rsidR="00940246" w:rsidRPr="00FA5E07" w:rsidRDefault="00940246" w:rsidP="00711B70">
            <w:pPr>
              <w:spacing w:before="120" w:after="120"/>
              <w:jc w:val="both"/>
              <w:rPr>
                <w:rFonts w:ascii="Arial" w:hAnsi="Arial" w:cs="Arial"/>
              </w:rPr>
            </w:pPr>
            <w:r>
              <w:rPr>
                <w:rFonts w:ascii="Arial" w:hAnsi="Arial" w:cs="Arial"/>
              </w:rPr>
              <w:t xml:space="preserve">Přidáno </w:t>
            </w:r>
            <w:r w:rsidRPr="00FA5E07">
              <w:rPr>
                <w:rFonts w:ascii="Arial" w:hAnsi="Arial" w:cs="Arial"/>
              </w:rPr>
              <w:t xml:space="preserve"> 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940246" w:rsidRPr="00FE76D8" w:rsidTr="006D0A9C">
        <w:trPr>
          <w:tblHeader/>
        </w:trPr>
        <w:tc>
          <w:tcPr>
            <w:tcW w:w="2660" w:type="dxa"/>
            <w:vMerge/>
            <w:shd w:val="clear" w:color="auto" w:fill="99CCFF"/>
          </w:tcPr>
          <w:p w:rsidR="00940246" w:rsidRPr="00FA5E07" w:rsidRDefault="00940246" w:rsidP="006D0A9C">
            <w:pPr>
              <w:jc w:val="both"/>
              <w:rPr>
                <w:rFonts w:ascii="Arial" w:hAnsi="Arial" w:cs="Arial"/>
              </w:rPr>
            </w:pPr>
          </w:p>
        </w:tc>
        <w:tc>
          <w:tcPr>
            <w:tcW w:w="7055" w:type="dxa"/>
            <w:shd w:val="clear" w:color="auto" w:fill="99CCFF"/>
            <w:vAlign w:val="center"/>
          </w:tcPr>
          <w:p w:rsidR="00940246" w:rsidRPr="00FA5E07" w:rsidRDefault="00940246" w:rsidP="00711B70">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940246" w:rsidRPr="00FE76D8" w:rsidTr="006D0A9C">
        <w:trPr>
          <w:tblHeader/>
        </w:trPr>
        <w:tc>
          <w:tcPr>
            <w:tcW w:w="2660" w:type="dxa"/>
            <w:vMerge/>
            <w:shd w:val="clear" w:color="auto" w:fill="99CCFF"/>
          </w:tcPr>
          <w:p w:rsidR="00940246" w:rsidRPr="00FA5E07" w:rsidRDefault="00940246" w:rsidP="006D0A9C">
            <w:pPr>
              <w:jc w:val="both"/>
              <w:rPr>
                <w:rFonts w:ascii="Arial" w:hAnsi="Arial" w:cs="Arial"/>
              </w:rPr>
            </w:pPr>
          </w:p>
        </w:tc>
        <w:tc>
          <w:tcPr>
            <w:tcW w:w="7055" w:type="dxa"/>
            <w:shd w:val="clear" w:color="auto" w:fill="99CCFF"/>
            <w:vAlign w:val="center"/>
          </w:tcPr>
          <w:p w:rsidR="00940246" w:rsidRPr="00FA5E07" w:rsidRDefault="00940246" w:rsidP="00442F13">
            <w:pPr>
              <w:spacing w:before="120" w:after="120"/>
              <w:jc w:val="both"/>
              <w:rPr>
                <w:rFonts w:ascii="Arial" w:hAnsi="Arial" w:cs="Arial"/>
              </w:rPr>
            </w:pPr>
            <w:r w:rsidRPr="00FA5E07">
              <w:rPr>
                <w:rFonts w:ascii="Arial" w:hAnsi="Arial" w:cs="Arial"/>
              </w:rPr>
              <w:t xml:space="preserve">Upravena část: A.3., nově doplněna část A.4. V návaznosti na to bylo upraveno číslování dalších částí. Upravena lhůta z 10 p. d. na 15 p. d. v části A.1., A.3.,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940246" w:rsidRPr="00FE76D8" w:rsidTr="006D0A9C">
        <w:trPr>
          <w:tblHeader/>
        </w:trPr>
        <w:tc>
          <w:tcPr>
            <w:tcW w:w="2660" w:type="dxa"/>
            <w:vMerge/>
            <w:shd w:val="clear" w:color="auto" w:fill="99CCFF"/>
          </w:tcPr>
          <w:p w:rsidR="00940246" w:rsidRPr="00736962" w:rsidRDefault="00940246" w:rsidP="006D0A9C">
            <w:pPr>
              <w:jc w:val="both"/>
              <w:rPr>
                <w:rFonts w:ascii="Arial" w:hAnsi="Arial" w:cs="Arial"/>
                <w:sz w:val="22"/>
                <w:szCs w:val="24"/>
              </w:rPr>
            </w:pPr>
          </w:p>
        </w:tc>
        <w:tc>
          <w:tcPr>
            <w:tcW w:w="7055" w:type="dxa"/>
            <w:shd w:val="clear" w:color="auto" w:fill="99CCFF"/>
            <w:vAlign w:val="center"/>
          </w:tcPr>
          <w:p w:rsidR="00940246" w:rsidRPr="00736962" w:rsidRDefault="00940246" w:rsidP="008D7E78">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bl>
    <w:p w:rsidR="00FA5E07" w:rsidRPr="009177C0" w:rsidRDefault="00FA5E07"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0900F3" w:rsidRPr="009177C0" w:rsidRDefault="000900F3" w:rsidP="006B1984">
      <w:pPr>
        <w:tabs>
          <w:tab w:val="left" w:pos="5387"/>
        </w:tabs>
        <w:rPr>
          <w:rFonts w:ascii="Arial" w:hAnsi="Arial" w:cs="Arial"/>
          <w:sz w:val="22"/>
          <w:szCs w:val="22"/>
        </w:rPr>
      </w:pPr>
    </w:p>
    <w:sectPr w:rsidR="000900F3" w:rsidRPr="009177C0" w:rsidSect="0028752E">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55" w:rsidRDefault="00FA7D55">
      <w:r>
        <w:separator/>
      </w:r>
    </w:p>
  </w:endnote>
  <w:endnote w:type="continuationSeparator" w:id="0">
    <w:p w:rsidR="00FA7D55" w:rsidRDefault="00FA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EE"/>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1284"/>
      <w:docPartObj>
        <w:docPartGallery w:val="Page Numbers (Bottom of Page)"/>
        <w:docPartUnique/>
      </w:docPartObj>
    </w:sdtPr>
    <w:sdtEndPr>
      <w:rPr>
        <w:rStyle w:val="slostrnky"/>
        <w:noProof/>
      </w:rPr>
    </w:sdtEndPr>
    <w:sdtContent>
      <w:p w:rsidR="00FA7D55" w:rsidRPr="0028752E" w:rsidRDefault="00FA7D55" w:rsidP="0028752E">
        <w:pPr>
          <w:pStyle w:val="Zpat"/>
          <w:rPr>
            <w:noProof/>
          </w:rPr>
        </w:pPr>
        <w:r w:rsidRPr="0028752E">
          <w:rPr>
            <w:rStyle w:val="slostrnky"/>
            <w:noProof/>
          </w:rPr>
          <w:fldChar w:fldCharType="begin"/>
        </w:r>
        <w:r w:rsidRPr="0028752E">
          <w:rPr>
            <w:rStyle w:val="slostrnky"/>
            <w:noProof/>
          </w:rPr>
          <w:instrText>PAGE   \* MERGEFORMAT</w:instrText>
        </w:r>
        <w:r w:rsidRPr="0028752E">
          <w:rPr>
            <w:rStyle w:val="slostrnky"/>
            <w:noProof/>
          </w:rPr>
          <w:fldChar w:fldCharType="separate"/>
        </w:r>
        <w:r w:rsidR="008D7E78">
          <w:rPr>
            <w:rStyle w:val="slostrnky"/>
            <w:noProof/>
          </w:rPr>
          <w:t>4</w:t>
        </w:r>
        <w:r w:rsidRPr="0028752E">
          <w:rPr>
            <w:rStyle w:val="slostrnky"/>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55" w:rsidRDefault="00FA7D55"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D7E78">
      <w:rPr>
        <w:rStyle w:val="slostrnky"/>
        <w:noProof/>
      </w:rPr>
      <w:t>3</w:t>
    </w:r>
    <w:r>
      <w:rPr>
        <w:rStyle w:val="slostrnky"/>
      </w:rPr>
      <w:fldChar w:fldCharType="end"/>
    </w:r>
  </w:p>
  <w:p w:rsidR="00FA7D55" w:rsidRDefault="00FA7D5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55" w:rsidRDefault="00FA7D55">
      <w:r>
        <w:separator/>
      </w:r>
    </w:p>
  </w:footnote>
  <w:footnote w:type="continuationSeparator" w:id="0">
    <w:p w:rsidR="00FA7D55" w:rsidRDefault="00FA7D55">
      <w:r>
        <w:continuationSeparator/>
      </w:r>
    </w:p>
  </w:footnote>
  <w:footnote w:id="1">
    <w:p w:rsidR="00FA7D55" w:rsidRDefault="00FA7D55" w:rsidP="009177C0">
      <w:pPr>
        <w:pStyle w:val="Textpoznpodarou"/>
      </w:pPr>
      <w:r w:rsidRPr="00913CF4">
        <w:rPr>
          <w:rStyle w:val="Znakapoznpodarou"/>
          <w:rFonts w:ascii="Arial" w:hAnsi="Arial" w:cs="Arial"/>
          <w:szCs w:val="16"/>
        </w:rPr>
        <w:footnoteRef/>
      </w:r>
      <w:r>
        <w:t xml:space="preserve"> </w:t>
      </w:r>
      <w:r w:rsidRPr="0038167D">
        <w:rPr>
          <w:color w:val="000000"/>
          <w:sz w:val="16"/>
          <w:szCs w:val="16"/>
        </w:rPr>
        <w:t xml:space="preserve">viz </w:t>
      </w:r>
      <w:r>
        <w:rPr>
          <w:color w:val="000000"/>
          <w:sz w:val="16"/>
          <w:szCs w:val="16"/>
        </w:rPr>
        <w:t xml:space="preserve">PŽP </w:t>
      </w:r>
      <w:r w:rsidRPr="0038167D">
        <w:rPr>
          <w:color w:val="000000"/>
          <w:sz w:val="16"/>
          <w:szCs w:val="16"/>
        </w:rPr>
        <w:t>kapitola 2.2 P</w:t>
      </w:r>
      <w:r>
        <w:rPr>
          <w:color w:val="000000"/>
          <w:sz w:val="16"/>
          <w:szCs w:val="16"/>
        </w:rPr>
        <w:t>ublicita</w:t>
      </w:r>
    </w:p>
  </w:footnote>
  <w:footnote w:id="2">
    <w:p w:rsidR="00FA7D55" w:rsidRPr="0038167D" w:rsidRDefault="00FA7D55" w:rsidP="009177C0">
      <w:pPr>
        <w:pStyle w:val="Textpoznpodarou"/>
        <w:rPr>
          <w:sz w:val="16"/>
          <w:szCs w:val="16"/>
        </w:rPr>
      </w:pPr>
      <w:r w:rsidRPr="00A920B0">
        <w:rPr>
          <w:rStyle w:val="Znakapoznpodarou"/>
          <w:rFonts w:ascii="Arial" w:hAnsi="Arial" w:cs="Arial"/>
          <w:szCs w:val="16"/>
        </w:rPr>
        <w:footnoteRef/>
      </w:r>
      <w:r w:rsidRPr="00A920B0">
        <w:rPr>
          <w:rFonts w:cs="Arial"/>
          <w:sz w:val="16"/>
          <w:szCs w:val="16"/>
        </w:rPr>
        <w:t xml:space="preserve"> </w:t>
      </w:r>
      <w:r w:rsidRPr="00A920B0">
        <w:rPr>
          <w:rFonts w:cs="Arial"/>
          <w:color w:val="000000"/>
          <w:sz w:val="16"/>
          <w:szCs w:val="16"/>
        </w:rPr>
        <w:t>D</w:t>
      </w:r>
      <w:r w:rsidRPr="0038167D">
        <w:rPr>
          <w:color w:val="000000"/>
          <w:sz w:val="16"/>
          <w:szCs w:val="16"/>
        </w:rPr>
        <w:t xml:space="preserve">efinována v bodě 3.2. </w:t>
      </w:r>
      <w:r>
        <w:rPr>
          <w:color w:val="000000"/>
          <w:sz w:val="16"/>
          <w:szCs w:val="16"/>
        </w:rPr>
        <w:t xml:space="preserve">Přílohy č. 14 </w:t>
      </w:r>
      <w:r w:rsidRPr="0038167D">
        <w:rPr>
          <w:color w:val="000000"/>
          <w:sz w:val="16"/>
          <w:szCs w:val="16"/>
        </w:rPr>
        <w:t>PŽP</w:t>
      </w:r>
    </w:p>
  </w:footnote>
  <w:footnote w:id="3">
    <w:p w:rsidR="00FA7D55" w:rsidRPr="00671E60" w:rsidRDefault="00FA7D55" w:rsidP="0028752E">
      <w:pPr>
        <w:pStyle w:val="Textpoznpodarou"/>
        <w:ind w:left="170" w:hanging="170"/>
        <w:rPr>
          <w:rFonts w:cs="Arial"/>
        </w:rPr>
      </w:pPr>
      <w:r w:rsidRPr="00A920B0">
        <w:rPr>
          <w:rStyle w:val="Znakapoznpodarou"/>
          <w:rFonts w:ascii="Arial" w:hAnsi="Arial" w:cs="Arial"/>
        </w:rPr>
        <w:footnoteRef/>
      </w:r>
      <w:r w:rsidRPr="00A920B0">
        <w:rPr>
          <w:rFonts w:cs="Arial"/>
        </w:rPr>
        <w:t xml:space="preserve"> </w:t>
      </w:r>
      <w:r w:rsidRPr="00A920B0">
        <w:rPr>
          <w:rFonts w:cs="Arial"/>
          <w:sz w:val="16"/>
          <w:szCs w:val="16"/>
        </w:rPr>
        <w:t xml:space="preserve">Identifikačními údaji se rozumí obchodní firma nebo název, sídlo, identifikační číslo, bylo-li přiděleno, pokud jde o právnickou </w:t>
      </w:r>
      <w:r w:rsidRPr="00671E60">
        <w:rPr>
          <w:rFonts w:cs="Arial"/>
          <w:sz w:val="16"/>
          <w:szCs w:val="16"/>
        </w:rPr>
        <w:t>osobu, a obchodní firma nebo jméno a příjmení, místo podnikání, popřípadě místo trvalého pobytu, identifikační číslo, bylo-li přiděleno, pokud jde o fyzickou osobu.</w:t>
      </w:r>
    </w:p>
  </w:footnote>
  <w:footnote w:id="4">
    <w:p w:rsidR="00FA7D55" w:rsidRDefault="00FA7D55" w:rsidP="0028752E">
      <w:pPr>
        <w:pStyle w:val="Textpoznpodarou"/>
        <w:ind w:left="170" w:hanging="170"/>
      </w:pPr>
      <w:r w:rsidRPr="0028752E">
        <w:rPr>
          <w:rStyle w:val="Znakapoznpodarou"/>
          <w:rFonts w:ascii="Arial" w:hAnsi="Arial" w:cs="Arial"/>
          <w:szCs w:val="16"/>
        </w:rPr>
        <w:footnoteRef/>
      </w:r>
      <w:r w:rsidRPr="00671E60">
        <w:rPr>
          <w:rFonts w:cs="Arial"/>
        </w:rPr>
        <w:t xml:space="preserve"> </w:t>
      </w:r>
      <w:r>
        <w:rPr>
          <w:color w:val="000000"/>
          <w:sz w:val="16"/>
          <w:szCs w:val="16"/>
        </w:rPr>
        <w:t>Pro</w:t>
      </w:r>
      <w:r w:rsidRPr="001A49CD">
        <w:rPr>
          <w:color w:val="000000"/>
          <w:sz w:val="16"/>
          <w:szCs w:val="16"/>
        </w:rPr>
        <w:t xml:space="preserve"> zajištění transparentnosti </w:t>
      </w:r>
      <w:r>
        <w:rPr>
          <w:color w:val="000000"/>
          <w:sz w:val="16"/>
          <w:szCs w:val="16"/>
        </w:rPr>
        <w:t>výběrové</w:t>
      </w:r>
      <w:r w:rsidRPr="001A49CD">
        <w:rPr>
          <w:color w:val="000000"/>
          <w:sz w:val="16"/>
          <w:szCs w:val="16"/>
        </w:rPr>
        <w:t xml:space="preserve">ho řízení </w:t>
      </w:r>
      <w:r>
        <w:rPr>
          <w:color w:val="000000"/>
          <w:sz w:val="16"/>
          <w:szCs w:val="16"/>
        </w:rPr>
        <w:t xml:space="preserve">je </w:t>
      </w:r>
      <w:r w:rsidRPr="001A49CD">
        <w:rPr>
          <w:color w:val="000000"/>
          <w:sz w:val="16"/>
          <w:szCs w:val="16"/>
        </w:rPr>
        <w:t>nezbytné stanovit, jaké údaje či parametry z nabídek budou předmětem hodnocení a jakým způsobem bude hodnocení provedeno</w:t>
      </w:r>
      <w:r>
        <w:rPr>
          <w:color w:val="000000"/>
          <w:sz w:val="16"/>
          <w:szCs w:val="16"/>
        </w:rPr>
        <w:t>.</w:t>
      </w:r>
    </w:p>
  </w:footnote>
  <w:footnote w:id="5">
    <w:p w:rsidR="00FA7D55" w:rsidRPr="0028752E" w:rsidRDefault="00FA7D55" w:rsidP="009177C0">
      <w:pPr>
        <w:pStyle w:val="Textpoznpodarou"/>
        <w:rPr>
          <w:rFonts w:cs="Arial"/>
          <w:sz w:val="16"/>
          <w:szCs w:val="16"/>
        </w:rPr>
      </w:pPr>
      <w:r w:rsidRPr="00BB6358">
        <w:rPr>
          <w:rStyle w:val="Znakapoznpodarou"/>
          <w:rFonts w:ascii="Arial" w:hAnsi="Arial" w:cs="Arial"/>
          <w:szCs w:val="16"/>
        </w:rPr>
        <w:footnoteRef/>
      </w:r>
      <w:r w:rsidRPr="0028752E">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55" w:rsidRDefault="00FA7D55">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55" w:rsidRDefault="00FA7D55">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0FE4C3F"/>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
    <w:nsid w:val="01345130"/>
    <w:multiLevelType w:val="hybridMultilevel"/>
    <w:tmpl w:val="725A691E"/>
    <w:lvl w:ilvl="0" w:tplc="D6C28288">
      <w:start w:val="3"/>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nsid w:val="05A41C3F"/>
    <w:multiLevelType w:val="multilevel"/>
    <w:tmpl w:val="9A9A8C2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6592A2A"/>
    <w:multiLevelType w:val="multilevel"/>
    <w:tmpl w:val="4BF6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0A576BB2"/>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B172BA5"/>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2">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3">
    <w:nsid w:val="0E017AB9"/>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4">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5">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8">
    <w:nsid w:val="157970FE"/>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9">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21">
    <w:nsid w:val="1C7A3D6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2">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FED7EC7"/>
    <w:multiLevelType w:val="multilevel"/>
    <w:tmpl w:val="4BF6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3830473"/>
    <w:multiLevelType w:val="multilevel"/>
    <w:tmpl w:val="4BF6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6">
    <w:nsid w:val="24B20BCB"/>
    <w:multiLevelType w:val="hybridMultilevel"/>
    <w:tmpl w:val="7C4E58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9">
    <w:nsid w:val="25932767"/>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AAF471D"/>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2">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4">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5D02B0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7">
    <w:nsid w:val="365C37EE"/>
    <w:multiLevelType w:val="hybridMultilevel"/>
    <w:tmpl w:val="E6F83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6AB08FD"/>
    <w:multiLevelType w:val="multilevel"/>
    <w:tmpl w:val="5FF4869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40FE08B1"/>
    <w:multiLevelType w:val="multilevel"/>
    <w:tmpl w:val="9B6E39D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42725574"/>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3">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4">
    <w:nsid w:val="44813CD1"/>
    <w:multiLevelType w:val="hybridMultilevel"/>
    <w:tmpl w:val="B3FA164E"/>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5">
    <w:nsid w:val="4B1F2D7B"/>
    <w:multiLevelType w:val="multilevel"/>
    <w:tmpl w:val="5FF4869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1">
    <w:nsid w:val="55CC49C6"/>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2">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D414451"/>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4">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7">
    <w:nsid w:val="62812CB3"/>
    <w:multiLevelType w:val="hybridMultilevel"/>
    <w:tmpl w:val="B5F892B6"/>
    <w:lvl w:ilvl="0" w:tplc="C862DD4A">
      <w:start w:val="1"/>
      <w:numFmt w:val="lowerLetter"/>
      <w:lvlText w:val="%1)"/>
      <w:lvlJc w:val="left"/>
      <w:pPr>
        <w:tabs>
          <w:tab w:val="num" w:pos="720"/>
        </w:tabs>
        <w:ind w:left="720"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5C57586"/>
    <w:multiLevelType w:val="multilevel"/>
    <w:tmpl w:val="4BF6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A0C2AF8"/>
    <w:multiLevelType w:val="multilevel"/>
    <w:tmpl w:val="4BF6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1">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E563602"/>
    <w:multiLevelType w:val="hybridMultilevel"/>
    <w:tmpl w:val="DC32077A"/>
    <w:lvl w:ilvl="0" w:tplc="9E12820E">
      <w:start w:val="1"/>
      <w:numFmt w:val="upperRoman"/>
      <w:lvlText w:val="%1."/>
      <w:lvlJc w:val="left"/>
      <w:pPr>
        <w:ind w:left="2124" w:hanging="720"/>
      </w:pPr>
      <w:rPr>
        <w:rFonts w:hint="default"/>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63">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4">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5">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6">
    <w:nsid w:val="79CC485A"/>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67">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8">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28"/>
  </w:num>
  <w:num w:numId="2">
    <w:abstractNumId w:val="39"/>
  </w:num>
  <w:num w:numId="3">
    <w:abstractNumId w:val="34"/>
  </w:num>
  <w:num w:numId="4">
    <w:abstractNumId w:val="25"/>
  </w:num>
  <w:num w:numId="5">
    <w:abstractNumId w:val="20"/>
  </w:num>
  <w:num w:numId="6">
    <w:abstractNumId w:val="49"/>
  </w:num>
  <w:num w:numId="7">
    <w:abstractNumId w:val="68"/>
  </w:num>
  <w:num w:numId="8">
    <w:abstractNumId w:val="1"/>
  </w:num>
  <w:num w:numId="9">
    <w:abstractNumId w:val="60"/>
  </w:num>
  <w:num w:numId="10">
    <w:abstractNumId w:val="67"/>
  </w:num>
  <w:num w:numId="11">
    <w:abstractNumId w:val="0"/>
  </w:num>
  <w:num w:numId="12">
    <w:abstractNumId w:val="40"/>
  </w:num>
  <w:num w:numId="13">
    <w:abstractNumId w:val="4"/>
  </w:num>
  <w:num w:numId="14">
    <w:abstractNumId w:val="10"/>
  </w:num>
  <w:num w:numId="15">
    <w:abstractNumId w:val="35"/>
  </w:num>
  <w:num w:numId="16">
    <w:abstractNumId w:val="30"/>
  </w:num>
  <w:num w:numId="17">
    <w:abstractNumId w:val="12"/>
  </w:num>
  <w:num w:numId="18">
    <w:abstractNumId w:val="63"/>
  </w:num>
  <w:num w:numId="19">
    <w:abstractNumId w:val="19"/>
  </w:num>
  <w:num w:numId="20">
    <w:abstractNumId w:val="16"/>
  </w:num>
  <w:num w:numId="21">
    <w:abstractNumId w:val="17"/>
  </w:num>
  <w:num w:numId="22">
    <w:abstractNumId w:val="52"/>
  </w:num>
  <w:num w:numId="23">
    <w:abstractNumId w:val="46"/>
  </w:num>
  <w:num w:numId="24">
    <w:abstractNumId w:val="55"/>
  </w:num>
  <w:num w:numId="25">
    <w:abstractNumId w:val="54"/>
  </w:num>
  <w:num w:numId="26">
    <w:abstractNumId w:val="15"/>
  </w:num>
  <w:num w:numId="27">
    <w:abstractNumId w:val="14"/>
  </w:num>
  <w:num w:numId="28">
    <w:abstractNumId w:val="7"/>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4"/>
  </w:num>
  <w:num w:numId="30">
    <w:abstractNumId w:val="32"/>
  </w:num>
  <w:num w:numId="31">
    <w:abstractNumId w:val="50"/>
  </w:num>
  <w:num w:numId="32">
    <w:abstractNumId w:val="48"/>
  </w:num>
  <w:num w:numId="33">
    <w:abstractNumId w:val="3"/>
  </w:num>
  <w:num w:numId="34">
    <w:abstractNumId w:val="43"/>
  </w:num>
  <w:num w:numId="35">
    <w:abstractNumId w:val="65"/>
  </w:num>
  <w:num w:numId="36">
    <w:abstractNumId w:val="27"/>
  </w:num>
  <w:num w:numId="37">
    <w:abstractNumId w:val="33"/>
  </w:num>
  <w:num w:numId="38">
    <w:abstractNumId w:val="44"/>
  </w:num>
  <w:num w:numId="39">
    <w:abstractNumId w:val="61"/>
  </w:num>
  <w:num w:numId="40">
    <w:abstractNumId w:val="62"/>
  </w:num>
  <w:num w:numId="41">
    <w:abstractNumId w:val="22"/>
  </w:num>
  <w:num w:numId="42">
    <w:abstractNumId w:val="47"/>
  </w:num>
  <w:num w:numId="43">
    <w:abstractNumId w:val="41"/>
  </w:num>
  <w:num w:numId="44">
    <w:abstractNumId w:val="5"/>
  </w:num>
  <w:num w:numId="45">
    <w:abstractNumId w:val="66"/>
  </w:num>
  <w:num w:numId="46">
    <w:abstractNumId w:val="36"/>
  </w:num>
  <w:num w:numId="47">
    <w:abstractNumId w:val="53"/>
  </w:num>
  <w:num w:numId="48">
    <w:abstractNumId w:val="31"/>
  </w:num>
  <w:num w:numId="49">
    <w:abstractNumId w:val="29"/>
  </w:num>
  <w:num w:numId="50">
    <w:abstractNumId w:val="42"/>
  </w:num>
  <w:num w:numId="51">
    <w:abstractNumId w:val="21"/>
  </w:num>
  <w:num w:numId="52">
    <w:abstractNumId w:val="9"/>
  </w:num>
  <w:num w:numId="53">
    <w:abstractNumId w:val="18"/>
  </w:num>
  <w:num w:numId="54">
    <w:abstractNumId w:val="13"/>
  </w:num>
  <w:num w:numId="55">
    <w:abstractNumId w:val="11"/>
  </w:num>
  <w:num w:numId="56">
    <w:abstractNumId w:val="51"/>
  </w:num>
  <w:num w:numId="57">
    <w:abstractNumId w:val="37"/>
  </w:num>
  <w:num w:numId="58">
    <w:abstractNumId w:val="26"/>
  </w:num>
  <w:num w:numId="59">
    <w:abstractNumId w:val="47"/>
  </w:num>
  <w:num w:numId="60">
    <w:abstractNumId w:val="69"/>
  </w:num>
  <w:num w:numId="61">
    <w:abstractNumId w:val="47"/>
  </w:num>
  <w:num w:numId="62">
    <w:abstractNumId w:val="47"/>
  </w:num>
  <w:num w:numId="63">
    <w:abstractNumId w:val="47"/>
  </w:num>
  <w:num w:numId="64">
    <w:abstractNumId w:val="57"/>
  </w:num>
  <w:num w:numId="65">
    <w:abstractNumId w:val="47"/>
  </w:num>
  <w:num w:numId="66">
    <w:abstractNumId w:val="47"/>
  </w:num>
  <w:num w:numId="67">
    <w:abstractNumId w:val="47"/>
  </w:num>
  <w:num w:numId="68">
    <w:abstractNumId w:val="47"/>
  </w:num>
  <w:num w:numId="69">
    <w:abstractNumId w:val="47"/>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47"/>
  </w:num>
  <w:num w:numId="79">
    <w:abstractNumId w:val="47"/>
  </w:num>
  <w:num w:numId="80">
    <w:abstractNumId w:val="47"/>
  </w:num>
  <w:num w:numId="81">
    <w:abstractNumId w:val="38"/>
  </w:num>
  <w:num w:numId="82">
    <w:abstractNumId w:val="47"/>
  </w:num>
  <w:num w:numId="83">
    <w:abstractNumId w:val="47"/>
  </w:num>
  <w:num w:numId="84">
    <w:abstractNumId w:val="47"/>
  </w:num>
  <w:num w:numId="85">
    <w:abstractNumId w:val="47"/>
  </w:num>
  <w:num w:numId="86">
    <w:abstractNumId w:val="47"/>
  </w:num>
  <w:num w:numId="87">
    <w:abstractNumId w:val="45"/>
  </w:num>
  <w:num w:numId="88">
    <w:abstractNumId w:val="47"/>
  </w:num>
  <w:num w:numId="89">
    <w:abstractNumId w:val="47"/>
  </w:num>
  <w:num w:numId="90">
    <w:abstractNumId w:val="47"/>
  </w:num>
  <w:num w:numId="91">
    <w:abstractNumId w:val="23"/>
  </w:num>
  <w:num w:numId="92">
    <w:abstractNumId w:val="47"/>
  </w:num>
  <w:num w:numId="93">
    <w:abstractNumId w:val="47"/>
  </w:num>
  <w:num w:numId="94">
    <w:abstractNumId w:val="47"/>
  </w:num>
  <w:num w:numId="95">
    <w:abstractNumId w:val="47"/>
  </w:num>
  <w:num w:numId="96">
    <w:abstractNumId w:val="24"/>
  </w:num>
  <w:num w:numId="97">
    <w:abstractNumId w:val="47"/>
  </w:num>
  <w:num w:numId="98">
    <w:abstractNumId w:val="6"/>
  </w:num>
  <w:num w:numId="99">
    <w:abstractNumId w:val="47"/>
  </w:num>
  <w:num w:numId="100">
    <w:abstractNumId w:val="59"/>
  </w:num>
  <w:num w:numId="101">
    <w:abstractNumId w:val="47"/>
  </w:num>
  <w:num w:numId="102">
    <w:abstractNumId w:val="47"/>
  </w:num>
  <w:num w:numId="103">
    <w:abstractNumId w:val="47"/>
  </w:num>
  <w:num w:numId="104">
    <w:abstractNumId w:val="47"/>
  </w:num>
  <w:num w:numId="105">
    <w:abstractNumId w:val="47"/>
  </w:num>
  <w:num w:numId="106">
    <w:abstractNumId w:val="47"/>
  </w:num>
  <w:num w:numId="107">
    <w:abstractNumId w:val="47"/>
  </w:num>
  <w:num w:numId="108">
    <w:abstractNumId w:val="47"/>
  </w:num>
  <w:num w:numId="109">
    <w:abstractNumId w:val="58"/>
  </w:num>
  <w:num w:numId="110">
    <w:abstractNumId w:val="47"/>
  </w:num>
  <w:num w:numId="111">
    <w:abstractNumId w:val="47"/>
  </w:num>
  <w:num w:numId="112">
    <w:abstractNumId w:val="47"/>
  </w:num>
  <w:num w:numId="113">
    <w:abstractNumId w:val="47"/>
  </w:num>
  <w:num w:numId="114">
    <w:abstractNumId w:val="47"/>
  </w:num>
  <w:num w:numId="115">
    <w:abstractNumId w:val="47"/>
  </w:num>
  <w:num w:numId="116">
    <w:abstractNumId w:val="2"/>
  </w:num>
  <w:num w:numId="117">
    <w:abstractNumId w:val="47"/>
  </w:num>
  <w:num w:numId="118">
    <w:abstractNumId w:val="47"/>
  </w:num>
  <w:num w:numId="119">
    <w:abstractNumId w:val="47"/>
  </w:num>
  <w:num w:numId="120">
    <w:abstractNumId w:val="47"/>
  </w:num>
  <w:num w:numId="121">
    <w:abstractNumId w:val="47"/>
  </w:num>
  <w:num w:numId="122">
    <w:abstractNumId w:val="47"/>
  </w:num>
  <w:num w:numId="123">
    <w:abstractNumId w:val="47"/>
  </w:num>
  <w:num w:numId="124">
    <w:abstractNumId w:val="47"/>
  </w:num>
  <w:num w:numId="125">
    <w:abstractNumId w:val="47"/>
  </w:num>
  <w:num w:numId="126">
    <w:abstractNumId w:val="47"/>
  </w:num>
  <w:num w:numId="127">
    <w:abstractNumId w:val="47"/>
  </w:num>
  <w:num w:numId="128">
    <w:abstractNumId w:val="47"/>
  </w:num>
  <w:num w:numId="129">
    <w:abstractNumId w:val="47"/>
  </w:num>
  <w:num w:numId="130">
    <w:abstractNumId w:val="47"/>
  </w:num>
  <w:num w:numId="131">
    <w:abstractNumId w:val="47"/>
  </w:num>
  <w:num w:numId="132">
    <w:abstractNumId w:val="47"/>
  </w:num>
  <w:num w:numId="133">
    <w:abstractNumId w:val="47"/>
  </w:num>
  <w:num w:numId="134">
    <w:abstractNumId w:val="47"/>
  </w:num>
  <w:num w:numId="135">
    <w:abstractNumId w:val="47"/>
  </w:num>
  <w:num w:numId="136">
    <w:abstractNumId w:val="47"/>
  </w:num>
  <w:num w:numId="137">
    <w:abstractNumId w:val="47"/>
  </w:num>
  <w:num w:numId="138">
    <w:abstractNumId w:val="47"/>
  </w:num>
  <w:num w:numId="139">
    <w:abstractNumId w:val="47"/>
  </w:num>
  <w:num w:numId="140">
    <w:abstractNumId w:val="47"/>
  </w:num>
  <w:num w:numId="141">
    <w:abstractNumId w:val="47"/>
  </w:num>
  <w:num w:numId="142">
    <w:abstractNumId w:val="47"/>
  </w:num>
  <w:num w:numId="143">
    <w:abstractNumId w:val="47"/>
  </w:num>
  <w:num w:numId="144">
    <w:abstractNumId w:val="47"/>
  </w:num>
  <w:num w:numId="145">
    <w:abstractNumId w:val="47"/>
  </w:num>
  <w:num w:numId="146">
    <w:abstractNumId w:val="47"/>
  </w:num>
  <w:num w:numId="147">
    <w:abstractNumId w:val="47"/>
  </w:num>
  <w:num w:numId="148">
    <w:abstractNumId w:val="47"/>
  </w:num>
  <w:num w:numId="149">
    <w:abstractNumId w:val="47"/>
  </w:num>
  <w:num w:numId="150">
    <w:abstractNumId w:val="47"/>
  </w:num>
  <w:num w:numId="151">
    <w:abstractNumId w:val="47"/>
  </w:num>
  <w:num w:numId="152">
    <w:abstractNumId w:val="47"/>
  </w:num>
  <w:num w:numId="153">
    <w:abstractNumId w:val="47"/>
  </w:num>
  <w:num w:numId="154">
    <w:abstractNumId w:val="47"/>
  </w:num>
  <w:num w:numId="155">
    <w:abstractNumId w:val="47"/>
  </w:num>
  <w:num w:numId="156">
    <w:abstractNumId w:val="47"/>
  </w:num>
  <w:num w:numId="157">
    <w:abstractNumId w:val="47"/>
  </w:num>
  <w:num w:numId="158">
    <w:abstractNumId w:val="47"/>
  </w:num>
  <w:num w:numId="159">
    <w:abstractNumId w:val="47"/>
  </w:num>
  <w:num w:numId="160">
    <w:abstractNumId w:val="47"/>
  </w:num>
  <w:num w:numId="161">
    <w:abstractNumId w:val="47"/>
  </w:num>
  <w:num w:numId="162">
    <w:abstractNumId w:val="47"/>
  </w:num>
  <w:num w:numId="163">
    <w:abstractNumId w:val="47"/>
  </w:num>
  <w:num w:numId="164">
    <w:abstractNumId w:val="47"/>
  </w:num>
  <w:num w:numId="165">
    <w:abstractNumId w:val="47"/>
  </w:num>
  <w:num w:numId="166">
    <w:abstractNumId w:val="47"/>
  </w:num>
  <w:num w:numId="167">
    <w:abstractNumId w:val="47"/>
  </w:num>
  <w:num w:numId="168">
    <w:abstractNumId w:val="47"/>
  </w:num>
  <w:num w:numId="169">
    <w:abstractNumId w:val="47"/>
  </w:num>
  <w:num w:numId="170">
    <w:abstractNumId w:val="47"/>
  </w:num>
  <w:num w:numId="171">
    <w:abstractNumId w:val="47"/>
  </w:num>
  <w:num w:numId="172">
    <w:abstractNumId w:val="47"/>
  </w:num>
  <w:num w:numId="173">
    <w:abstractNumId w:val="47"/>
  </w:num>
  <w:num w:numId="174">
    <w:abstractNumId w:val="47"/>
  </w:num>
  <w:num w:numId="175">
    <w:abstractNumId w:val="47"/>
  </w:num>
  <w:num w:numId="176">
    <w:abstractNumId w:val="47"/>
  </w:num>
  <w:num w:numId="177">
    <w:abstractNumId w:val="47"/>
  </w:num>
  <w:num w:numId="178">
    <w:abstractNumId w:val="47"/>
  </w:num>
  <w:num w:numId="179">
    <w:abstractNumId w:val="47"/>
  </w:num>
  <w:num w:numId="180">
    <w:abstractNumId w:val="47"/>
  </w:num>
  <w:num w:numId="181">
    <w:abstractNumId w:val="47"/>
  </w:num>
  <w:num w:numId="182">
    <w:abstractNumId w:val="56"/>
  </w:num>
  <w:num w:numId="183">
    <w:abstractNumId w:val="47"/>
  </w:num>
  <w:num w:numId="184">
    <w:abstractNumId w:val="8"/>
  </w:num>
  <w:num w:numId="185">
    <w:abstractNumId w:val="4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CF"/>
    <w:rsid w:val="0000796E"/>
    <w:rsid w:val="000112DB"/>
    <w:rsid w:val="0001519B"/>
    <w:rsid w:val="00020A81"/>
    <w:rsid w:val="0002409B"/>
    <w:rsid w:val="000252E9"/>
    <w:rsid w:val="00027CE3"/>
    <w:rsid w:val="00030EEE"/>
    <w:rsid w:val="00032CA2"/>
    <w:rsid w:val="00043CC0"/>
    <w:rsid w:val="00047780"/>
    <w:rsid w:val="000559B1"/>
    <w:rsid w:val="00061222"/>
    <w:rsid w:val="0006434D"/>
    <w:rsid w:val="00070C1A"/>
    <w:rsid w:val="0007195E"/>
    <w:rsid w:val="00076E93"/>
    <w:rsid w:val="0008165A"/>
    <w:rsid w:val="00082832"/>
    <w:rsid w:val="00085409"/>
    <w:rsid w:val="000900F3"/>
    <w:rsid w:val="00090363"/>
    <w:rsid w:val="00097E1C"/>
    <w:rsid w:val="000A3A00"/>
    <w:rsid w:val="000A5969"/>
    <w:rsid w:val="000A6733"/>
    <w:rsid w:val="000C3E96"/>
    <w:rsid w:val="000C45A5"/>
    <w:rsid w:val="000C62AC"/>
    <w:rsid w:val="000D4C75"/>
    <w:rsid w:val="000D52F3"/>
    <w:rsid w:val="000D6709"/>
    <w:rsid w:val="000D7060"/>
    <w:rsid w:val="000E099C"/>
    <w:rsid w:val="000F089F"/>
    <w:rsid w:val="000F104D"/>
    <w:rsid w:val="000F3375"/>
    <w:rsid w:val="000F7CB4"/>
    <w:rsid w:val="00100094"/>
    <w:rsid w:val="00100C0F"/>
    <w:rsid w:val="00102F54"/>
    <w:rsid w:val="00113215"/>
    <w:rsid w:val="00116B47"/>
    <w:rsid w:val="00120332"/>
    <w:rsid w:val="00121094"/>
    <w:rsid w:val="00121C0F"/>
    <w:rsid w:val="001224F7"/>
    <w:rsid w:val="00132880"/>
    <w:rsid w:val="00132D5A"/>
    <w:rsid w:val="00146F13"/>
    <w:rsid w:val="00151975"/>
    <w:rsid w:val="00152BB1"/>
    <w:rsid w:val="001621F7"/>
    <w:rsid w:val="00162F3B"/>
    <w:rsid w:val="001638F1"/>
    <w:rsid w:val="001747D2"/>
    <w:rsid w:val="0018198F"/>
    <w:rsid w:val="001842A6"/>
    <w:rsid w:val="00194925"/>
    <w:rsid w:val="00196154"/>
    <w:rsid w:val="00196555"/>
    <w:rsid w:val="001979A9"/>
    <w:rsid w:val="001A48D6"/>
    <w:rsid w:val="001A48DF"/>
    <w:rsid w:val="001B5132"/>
    <w:rsid w:val="001C12B9"/>
    <w:rsid w:val="001C25FC"/>
    <w:rsid w:val="001C762B"/>
    <w:rsid w:val="001D3DF3"/>
    <w:rsid w:val="001E3661"/>
    <w:rsid w:val="001E49AD"/>
    <w:rsid w:val="001E6147"/>
    <w:rsid w:val="001E752A"/>
    <w:rsid w:val="001F182A"/>
    <w:rsid w:val="001F2963"/>
    <w:rsid w:val="001F48A5"/>
    <w:rsid w:val="001F6680"/>
    <w:rsid w:val="00202417"/>
    <w:rsid w:val="00204E26"/>
    <w:rsid w:val="00205BD5"/>
    <w:rsid w:val="002109F0"/>
    <w:rsid w:val="00212819"/>
    <w:rsid w:val="0022234A"/>
    <w:rsid w:val="00225BCD"/>
    <w:rsid w:val="0022757A"/>
    <w:rsid w:val="0023038F"/>
    <w:rsid w:val="00230A57"/>
    <w:rsid w:val="00230C1A"/>
    <w:rsid w:val="002473F5"/>
    <w:rsid w:val="002526C3"/>
    <w:rsid w:val="002536B2"/>
    <w:rsid w:val="002655E5"/>
    <w:rsid w:val="00274489"/>
    <w:rsid w:val="00281DA1"/>
    <w:rsid w:val="00282954"/>
    <w:rsid w:val="00283CF0"/>
    <w:rsid w:val="00283EBB"/>
    <w:rsid w:val="0028752E"/>
    <w:rsid w:val="00290738"/>
    <w:rsid w:val="002921C5"/>
    <w:rsid w:val="00295B77"/>
    <w:rsid w:val="0029750E"/>
    <w:rsid w:val="002A0595"/>
    <w:rsid w:val="002A4081"/>
    <w:rsid w:val="002A462C"/>
    <w:rsid w:val="002A4839"/>
    <w:rsid w:val="002A728B"/>
    <w:rsid w:val="002A7EB5"/>
    <w:rsid w:val="002B092B"/>
    <w:rsid w:val="002B1D25"/>
    <w:rsid w:val="002C0F50"/>
    <w:rsid w:val="002C22C3"/>
    <w:rsid w:val="002C4BAF"/>
    <w:rsid w:val="002C5ADD"/>
    <w:rsid w:val="002C6B2D"/>
    <w:rsid w:val="002D0B09"/>
    <w:rsid w:val="002E0064"/>
    <w:rsid w:val="002E06BC"/>
    <w:rsid w:val="002E1675"/>
    <w:rsid w:val="002E2DF2"/>
    <w:rsid w:val="002E4758"/>
    <w:rsid w:val="002E7924"/>
    <w:rsid w:val="002F14EA"/>
    <w:rsid w:val="002F3448"/>
    <w:rsid w:val="002F4B76"/>
    <w:rsid w:val="002F70E2"/>
    <w:rsid w:val="002F7408"/>
    <w:rsid w:val="002F7C32"/>
    <w:rsid w:val="00312C25"/>
    <w:rsid w:val="00315ABF"/>
    <w:rsid w:val="003165C8"/>
    <w:rsid w:val="0032070E"/>
    <w:rsid w:val="00321C78"/>
    <w:rsid w:val="00321F62"/>
    <w:rsid w:val="0032211F"/>
    <w:rsid w:val="00324BDD"/>
    <w:rsid w:val="0032529C"/>
    <w:rsid w:val="00327514"/>
    <w:rsid w:val="0033377E"/>
    <w:rsid w:val="00335400"/>
    <w:rsid w:val="003354C8"/>
    <w:rsid w:val="00341323"/>
    <w:rsid w:val="003432C1"/>
    <w:rsid w:val="00343403"/>
    <w:rsid w:val="00351BF3"/>
    <w:rsid w:val="00353A42"/>
    <w:rsid w:val="0037050F"/>
    <w:rsid w:val="00371886"/>
    <w:rsid w:val="00384BEC"/>
    <w:rsid w:val="00384D1E"/>
    <w:rsid w:val="003865D0"/>
    <w:rsid w:val="0039661E"/>
    <w:rsid w:val="00397E00"/>
    <w:rsid w:val="003A19FC"/>
    <w:rsid w:val="003A40F0"/>
    <w:rsid w:val="003A4671"/>
    <w:rsid w:val="003B1B10"/>
    <w:rsid w:val="003B7446"/>
    <w:rsid w:val="003B75BD"/>
    <w:rsid w:val="003B781D"/>
    <w:rsid w:val="003C0EC1"/>
    <w:rsid w:val="003C29F7"/>
    <w:rsid w:val="003C6814"/>
    <w:rsid w:val="003D3A95"/>
    <w:rsid w:val="003D68A0"/>
    <w:rsid w:val="003D68FD"/>
    <w:rsid w:val="003E3819"/>
    <w:rsid w:val="003E5635"/>
    <w:rsid w:val="003E7274"/>
    <w:rsid w:val="003F0B6F"/>
    <w:rsid w:val="003F249F"/>
    <w:rsid w:val="003F29D4"/>
    <w:rsid w:val="003F3580"/>
    <w:rsid w:val="003F5FD2"/>
    <w:rsid w:val="004064AD"/>
    <w:rsid w:val="0041078B"/>
    <w:rsid w:val="00411444"/>
    <w:rsid w:val="00417783"/>
    <w:rsid w:val="00424708"/>
    <w:rsid w:val="00434B45"/>
    <w:rsid w:val="00435D0D"/>
    <w:rsid w:val="00437679"/>
    <w:rsid w:val="00442F13"/>
    <w:rsid w:val="00451186"/>
    <w:rsid w:val="00452B4E"/>
    <w:rsid w:val="00454231"/>
    <w:rsid w:val="0045744B"/>
    <w:rsid w:val="004612A8"/>
    <w:rsid w:val="00461D6F"/>
    <w:rsid w:val="00464AE9"/>
    <w:rsid w:val="004702EB"/>
    <w:rsid w:val="0047169A"/>
    <w:rsid w:val="004737C1"/>
    <w:rsid w:val="00475431"/>
    <w:rsid w:val="004756EF"/>
    <w:rsid w:val="0048101C"/>
    <w:rsid w:val="00487A77"/>
    <w:rsid w:val="00492950"/>
    <w:rsid w:val="004B06C9"/>
    <w:rsid w:val="004B07A1"/>
    <w:rsid w:val="004B3097"/>
    <w:rsid w:val="004B41E3"/>
    <w:rsid w:val="004C4AF5"/>
    <w:rsid w:val="004C7E9E"/>
    <w:rsid w:val="004D123D"/>
    <w:rsid w:val="004E14DF"/>
    <w:rsid w:val="004E4F94"/>
    <w:rsid w:val="004E5AF7"/>
    <w:rsid w:val="005107FE"/>
    <w:rsid w:val="00516781"/>
    <w:rsid w:val="00520DE7"/>
    <w:rsid w:val="005222BA"/>
    <w:rsid w:val="00523653"/>
    <w:rsid w:val="005260CE"/>
    <w:rsid w:val="00526540"/>
    <w:rsid w:val="00531316"/>
    <w:rsid w:val="005325AD"/>
    <w:rsid w:val="005339A9"/>
    <w:rsid w:val="005364EE"/>
    <w:rsid w:val="00540622"/>
    <w:rsid w:val="00551997"/>
    <w:rsid w:val="0055251C"/>
    <w:rsid w:val="0056005F"/>
    <w:rsid w:val="00561EE0"/>
    <w:rsid w:val="005657D5"/>
    <w:rsid w:val="00566C6F"/>
    <w:rsid w:val="00567916"/>
    <w:rsid w:val="0057177D"/>
    <w:rsid w:val="005805AA"/>
    <w:rsid w:val="005806F3"/>
    <w:rsid w:val="005815D8"/>
    <w:rsid w:val="00586ADA"/>
    <w:rsid w:val="00591511"/>
    <w:rsid w:val="00591E0F"/>
    <w:rsid w:val="005A2CFC"/>
    <w:rsid w:val="005A5570"/>
    <w:rsid w:val="005A611D"/>
    <w:rsid w:val="005A652D"/>
    <w:rsid w:val="005B0AEE"/>
    <w:rsid w:val="005B2B7C"/>
    <w:rsid w:val="005B648F"/>
    <w:rsid w:val="005B7F53"/>
    <w:rsid w:val="005C450D"/>
    <w:rsid w:val="005C5C73"/>
    <w:rsid w:val="005C616D"/>
    <w:rsid w:val="005D5F7B"/>
    <w:rsid w:val="005E2BCC"/>
    <w:rsid w:val="005E3D25"/>
    <w:rsid w:val="005E6FF1"/>
    <w:rsid w:val="005F66E6"/>
    <w:rsid w:val="00603756"/>
    <w:rsid w:val="00603F7A"/>
    <w:rsid w:val="00604B77"/>
    <w:rsid w:val="00606452"/>
    <w:rsid w:val="006169B7"/>
    <w:rsid w:val="00616AC4"/>
    <w:rsid w:val="00620EB6"/>
    <w:rsid w:val="00621FDD"/>
    <w:rsid w:val="0062279C"/>
    <w:rsid w:val="00630C5D"/>
    <w:rsid w:val="00633639"/>
    <w:rsid w:val="00633CD6"/>
    <w:rsid w:val="00635A40"/>
    <w:rsid w:val="00637FF0"/>
    <w:rsid w:val="00642E80"/>
    <w:rsid w:val="006433B2"/>
    <w:rsid w:val="006468C8"/>
    <w:rsid w:val="00650730"/>
    <w:rsid w:val="006529E2"/>
    <w:rsid w:val="006626EF"/>
    <w:rsid w:val="00671E60"/>
    <w:rsid w:val="00672AD5"/>
    <w:rsid w:val="00687B62"/>
    <w:rsid w:val="00690B7F"/>
    <w:rsid w:val="00691897"/>
    <w:rsid w:val="0069199A"/>
    <w:rsid w:val="0069476E"/>
    <w:rsid w:val="00694FF9"/>
    <w:rsid w:val="006A4CF6"/>
    <w:rsid w:val="006A6E05"/>
    <w:rsid w:val="006B0144"/>
    <w:rsid w:val="006B15FB"/>
    <w:rsid w:val="006B1984"/>
    <w:rsid w:val="006B2CF1"/>
    <w:rsid w:val="006C3597"/>
    <w:rsid w:val="006C6A2E"/>
    <w:rsid w:val="006C758F"/>
    <w:rsid w:val="006D0A9C"/>
    <w:rsid w:val="006D0CB5"/>
    <w:rsid w:val="006D492D"/>
    <w:rsid w:val="006D4F21"/>
    <w:rsid w:val="006D7058"/>
    <w:rsid w:val="006D7C45"/>
    <w:rsid w:val="006D7E9C"/>
    <w:rsid w:val="006E22EC"/>
    <w:rsid w:val="006E4AD9"/>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3212"/>
    <w:rsid w:val="007301AE"/>
    <w:rsid w:val="00734692"/>
    <w:rsid w:val="00735551"/>
    <w:rsid w:val="00742183"/>
    <w:rsid w:val="007426E3"/>
    <w:rsid w:val="00742DD9"/>
    <w:rsid w:val="00745AB9"/>
    <w:rsid w:val="00746126"/>
    <w:rsid w:val="00752978"/>
    <w:rsid w:val="007535CE"/>
    <w:rsid w:val="00760D93"/>
    <w:rsid w:val="00761F37"/>
    <w:rsid w:val="007642B1"/>
    <w:rsid w:val="00767342"/>
    <w:rsid w:val="007705E7"/>
    <w:rsid w:val="00771EA2"/>
    <w:rsid w:val="007751C9"/>
    <w:rsid w:val="00776764"/>
    <w:rsid w:val="00777903"/>
    <w:rsid w:val="00786ED3"/>
    <w:rsid w:val="00793A44"/>
    <w:rsid w:val="007954F9"/>
    <w:rsid w:val="00795CF6"/>
    <w:rsid w:val="007962C5"/>
    <w:rsid w:val="007A2683"/>
    <w:rsid w:val="007A2817"/>
    <w:rsid w:val="007A7DD1"/>
    <w:rsid w:val="007B03C1"/>
    <w:rsid w:val="007B30AA"/>
    <w:rsid w:val="007B377E"/>
    <w:rsid w:val="007B3B84"/>
    <w:rsid w:val="007B6314"/>
    <w:rsid w:val="007C17BB"/>
    <w:rsid w:val="007C2BBC"/>
    <w:rsid w:val="007D3003"/>
    <w:rsid w:val="007D5A5E"/>
    <w:rsid w:val="007E1EF9"/>
    <w:rsid w:val="007E3DF7"/>
    <w:rsid w:val="007E561B"/>
    <w:rsid w:val="007E756F"/>
    <w:rsid w:val="007F1157"/>
    <w:rsid w:val="007F1423"/>
    <w:rsid w:val="007F5265"/>
    <w:rsid w:val="00800192"/>
    <w:rsid w:val="0080373B"/>
    <w:rsid w:val="008046A3"/>
    <w:rsid w:val="008078D5"/>
    <w:rsid w:val="00807DDA"/>
    <w:rsid w:val="0081121C"/>
    <w:rsid w:val="00811C95"/>
    <w:rsid w:val="0081202B"/>
    <w:rsid w:val="0081396E"/>
    <w:rsid w:val="00814C84"/>
    <w:rsid w:val="00821123"/>
    <w:rsid w:val="00822B49"/>
    <w:rsid w:val="00826F6F"/>
    <w:rsid w:val="00832BB5"/>
    <w:rsid w:val="00833334"/>
    <w:rsid w:val="00842D6C"/>
    <w:rsid w:val="00846AE4"/>
    <w:rsid w:val="008551EB"/>
    <w:rsid w:val="0086367F"/>
    <w:rsid w:val="00863A37"/>
    <w:rsid w:val="0086689A"/>
    <w:rsid w:val="00867C7E"/>
    <w:rsid w:val="00870A78"/>
    <w:rsid w:val="00871823"/>
    <w:rsid w:val="00871C67"/>
    <w:rsid w:val="008737D2"/>
    <w:rsid w:val="008817F9"/>
    <w:rsid w:val="0088251C"/>
    <w:rsid w:val="00883F5F"/>
    <w:rsid w:val="00885423"/>
    <w:rsid w:val="008874A2"/>
    <w:rsid w:val="008927AD"/>
    <w:rsid w:val="00894F28"/>
    <w:rsid w:val="008A0952"/>
    <w:rsid w:val="008A1C8C"/>
    <w:rsid w:val="008A28A5"/>
    <w:rsid w:val="008A3268"/>
    <w:rsid w:val="008B01E3"/>
    <w:rsid w:val="008B18EC"/>
    <w:rsid w:val="008B1B1B"/>
    <w:rsid w:val="008B7ACF"/>
    <w:rsid w:val="008C139A"/>
    <w:rsid w:val="008C1AAB"/>
    <w:rsid w:val="008C1E2C"/>
    <w:rsid w:val="008D19CA"/>
    <w:rsid w:val="008D27E9"/>
    <w:rsid w:val="008D52BA"/>
    <w:rsid w:val="008D7E78"/>
    <w:rsid w:val="008F0012"/>
    <w:rsid w:val="00902092"/>
    <w:rsid w:val="00906AFA"/>
    <w:rsid w:val="00913A90"/>
    <w:rsid w:val="00913CF4"/>
    <w:rsid w:val="009177C0"/>
    <w:rsid w:val="009209E5"/>
    <w:rsid w:val="00921416"/>
    <w:rsid w:val="00925347"/>
    <w:rsid w:val="0093252D"/>
    <w:rsid w:val="00934D7A"/>
    <w:rsid w:val="00935E30"/>
    <w:rsid w:val="009371B7"/>
    <w:rsid w:val="00940246"/>
    <w:rsid w:val="009426D9"/>
    <w:rsid w:val="00942E91"/>
    <w:rsid w:val="00945FF5"/>
    <w:rsid w:val="00952D9A"/>
    <w:rsid w:val="00952DB3"/>
    <w:rsid w:val="00962F84"/>
    <w:rsid w:val="00970D81"/>
    <w:rsid w:val="00975054"/>
    <w:rsid w:val="009753BD"/>
    <w:rsid w:val="00981718"/>
    <w:rsid w:val="00982452"/>
    <w:rsid w:val="00982C62"/>
    <w:rsid w:val="00982D54"/>
    <w:rsid w:val="00984F7A"/>
    <w:rsid w:val="009904AF"/>
    <w:rsid w:val="009935F3"/>
    <w:rsid w:val="009936A0"/>
    <w:rsid w:val="00994C05"/>
    <w:rsid w:val="00994CF3"/>
    <w:rsid w:val="009A1A68"/>
    <w:rsid w:val="009A2EF2"/>
    <w:rsid w:val="009B6C61"/>
    <w:rsid w:val="009B7716"/>
    <w:rsid w:val="009C2303"/>
    <w:rsid w:val="009C5548"/>
    <w:rsid w:val="009D1BAC"/>
    <w:rsid w:val="009D445C"/>
    <w:rsid w:val="009F06AE"/>
    <w:rsid w:val="009F2EFB"/>
    <w:rsid w:val="00A036DA"/>
    <w:rsid w:val="00A04060"/>
    <w:rsid w:val="00A07ABE"/>
    <w:rsid w:val="00A12928"/>
    <w:rsid w:val="00A17904"/>
    <w:rsid w:val="00A179D9"/>
    <w:rsid w:val="00A23ED3"/>
    <w:rsid w:val="00A23F3A"/>
    <w:rsid w:val="00A31C8E"/>
    <w:rsid w:val="00A37983"/>
    <w:rsid w:val="00A51A0D"/>
    <w:rsid w:val="00A5453B"/>
    <w:rsid w:val="00A602A9"/>
    <w:rsid w:val="00A607F5"/>
    <w:rsid w:val="00A6092B"/>
    <w:rsid w:val="00A61A39"/>
    <w:rsid w:val="00A6258D"/>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C8E"/>
    <w:rsid w:val="00A954C2"/>
    <w:rsid w:val="00A9552C"/>
    <w:rsid w:val="00A95894"/>
    <w:rsid w:val="00AB0D2A"/>
    <w:rsid w:val="00AB3573"/>
    <w:rsid w:val="00AC1DAA"/>
    <w:rsid w:val="00AC5AC3"/>
    <w:rsid w:val="00AD5F8E"/>
    <w:rsid w:val="00AD7B2D"/>
    <w:rsid w:val="00AE1BEA"/>
    <w:rsid w:val="00AE1D0A"/>
    <w:rsid w:val="00AE1D13"/>
    <w:rsid w:val="00AE42C3"/>
    <w:rsid w:val="00AE6390"/>
    <w:rsid w:val="00AE692A"/>
    <w:rsid w:val="00AF1C0F"/>
    <w:rsid w:val="00AF281A"/>
    <w:rsid w:val="00AF3E58"/>
    <w:rsid w:val="00B02671"/>
    <w:rsid w:val="00B02F6F"/>
    <w:rsid w:val="00B104CB"/>
    <w:rsid w:val="00B164E7"/>
    <w:rsid w:val="00B20DD4"/>
    <w:rsid w:val="00B2657C"/>
    <w:rsid w:val="00B31785"/>
    <w:rsid w:val="00B33550"/>
    <w:rsid w:val="00B37779"/>
    <w:rsid w:val="00B40291"/>
    <w:rsid w:val="00B4425F"/>
    <w:rsid w:val="00B51817"/>
    <w:rsid w:val="00B530C8"/>
    <w:rsid w:val="00B5496E"/>
    <w:rsid w:val="00B56B1D"/>
    <w:rsid w:val="00B60318"/>
    <w:rsid w:val="00B64282"/>
    <w:rsid w:val="00B6697E"/>
    <w:rsid w:val="00B70D39"/>
    <w:rsid w:val="00B7175F"/>
    <w:rsid w:val="00B721A0"/>
    <w:rsid w:val="00B7277F"/>
    <w:rsid w:val="00B816D7"/>
    <w:rsid w:val="00B8662C"/>
    <w:rsid w:val="00B90890"/>
    <w:rsid w:val="00B9134B"/>
    <w:rsid w:val="00BB6358"/>
    <w:rsid w:val="00BC056D"/>
    <w:rsid w:val="00BC32CE"/>
    <w:rsid w:val="00BC681A"/>
    <w:rsid w:val="00BD2784"/>
    <w:rsid w:val="00BD4D43"/>
    <w:rsid w:val="00BD7986"/>
    <w:rsid w:val="00BE38CA"/>
    <w:rsid w:val="00BE3965"/>
    <w:rsid w:val="00BE4395"/>
    <w:rsid w:val="00BE58D0"/>
    <w:rsid w:val="00BF02FE"/>
    <w:rsid w:val="00BF09F9"/>
    <w:rsid w:val="00BF312E"/>
    <w:rsid w:val="00BF57C4"/>
    <w:rsid w:val="00C008A4"/>
    <w:rsid w:val="00C00A10"/>
    <w:rsid w:val="00C0458F"/>
    <w:rsid w:val="00C12353"/>
    <w:rsid w:val="00C14465"/>
    <w:rsid w:val="00C150CD"/>
    <w:rsid w:val="00C165E4"/>
    <w:rsid w:val="00C23D45"/>
    <w:rsid w:val="00C25938"/>
    <w:rsid w:val="00C50FA2"/>
    <w:rsid w:val="00C51836"/>
    <w:rsid w:val="00C53727"/>
    <w:rsid w:val="00C57912"/>
    <w:rsid w:val="00C61AAE"/>
    <w:rsid w:val="00C62935"/>
    <w:rsid w:val="00C65338"/>
    <w:rsid w:val="00C70EAB"/>
    <w:rsid w:val="00C71899"/>
    <w:rsid w:val="00C72CFD"/>
    <w:rsid w:val="00C73DF2"/>
    <w:rsid w:val="00C96BEB"/>
    <w:rsid w:val="00CA166A"/>
    <w:rsid w:val="00CA1B6E"/>
    <w:rsid w:val="00CA34EA"/>
    <w:rsid w:val="00CA39C5"/>
    <w:rsid w:val="00CA5A0A"/>
    <w:rsid w:val="00CA7EEB"/>
    <w:rsid w:val="00CB0FEC"/>
    <w:rsid w:val="00CB5B2E"/>
    <w:rsid w:val="00CC1BDF"/>
    <w:rsid w:val="00CC2CAD"/>
    <w:rsid w:val="00CC728B"/>
    <w:rsid w:val="00CD2711"/>
    <w:rsid w:val="00CD40A5"/>
    <w:rsid w:val="00CD7CA1"/>
    <w:rsid w:val="00CE74F0"/>
    <w:rsid w:val="00CE7652"/>
    <w:rsid w:val="00CF25A1"/>
    <w:rsid w:val="00CF4522"/>
    <w:rsid w:val="00CF522C"/>
    <w:rsid w:val="00D17601"/>
    <w:rsid w:val="00D23CEB"/>
    <w:rsid w:val="00D2464E"/>
    <w:rsid w:val="00D2550B"/>
    <w:rsid w:val="00D33C83"/>
    <w:rsid w:val="00D37086"/>
    <w:rsid w:val="00D417B7"/>
    <w:rsid w:val="00D55A3E"/>
    <w:rsid w:val="00D55A88"/>
    <w:rsid w:val="00D567BD"/>
    <w:rsid w:val="00D603C1"/>
    <w:rsid w:val="00D614D4"/>
    <w:rsid w:val="00D649BC"/>
    <w:rsid w:val="00D70D1A"/>
    <w:rsid w:val="00D72393"/>
    <w:rsid w:val="00D73CB0"/>
    <w:rsid w:val="00D81695"/>
    <w:rsid w:val="00D83761"/>
    <w:rsid w:val="00D84B50"/>
    <w:rsid w:val="00D862FF"/>
    <w:rsid w:val="00D86A09"/>
    <w:rsid w:val="00D87E40"/>
    <w:rsid w:val="00D95F17"/>
    <w:rsid w:val="00DA4397"/>
    <w:rsid w:val="00DA5E34"/>
    <w:rsid w:val="00DA6156"/>
    <w:rsid w:val="00DA76B4"/>
    <w:rsid w:val="00DB26A9"/>
    <w:rsid w:val="00DC55D3"/>
    <w:rsid w:val="00DC63D3"/>
    <w:rsid w:val="00DD4C26"/>
    <w:rsid w:val="00DD5336"/>
    <w:rsid w:val="00DE09AD"/>
    <w:rsid w:val="00DE0B4E"/>
    <w:rsid w:val="00DE19BC"/>
    <w:rsid w:val="00DE38DB"/>
    <w:rsid w:val="00DF1A24"/>
    <w:rsid w:val="00DF429F"/>
    <w:rsid w:val="00DF5105"/>
    <w:rsid w:val="00E02E36"/>
    <w:rsid w:val="00E04282"/>
    <w:rsid w:val="00E06E2F"/>
    <w:rsid w:val="00E074B8"/>
    <w:rsid w:val="00E13DD0"/>
    <w:rsid w:val="00E14427"/>
    <w:rsid w:val="00E14F2C"/>
    <w:rsid w:val="00E15D56"/>
    <w:rsid w:val="00E23C5A"/>
    <w:rsid w:val="00E23F08"/>
    <w:rsid w:val="00E2798F"/>
    <w:rsid w:val="00E27EC4"/>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82E99"/>
    <w:rsid w:val="00E8561A"/>
    <w:rsid w:val="00E85BC9"/>
    <w:rsid w:val="00E94A40"/>
    <w:rsid w:val="00EA6869"/>
    <w:rsid w:val="00EB1B95"/>
    <w:rsid w:val="00EB7883"/>
    <w:rsid w:val="00EC1E07"/>
    <w:rsid w:val="00EC34DE"/>
    <w:rsid w:val="00EC66F5"/>
    <w:rsid w:val="00ED0ACC"/>
    <w:rsid w:val="00ED1478"/>
    <w:rsid w:val="00ED252C"/>
    <w:rsid w:val="00ED6566"/>
    <w:rsid w:val="00EE1735"/>
    <w:rsid w:val="00EE21AE"/>
    <w:rsid w:val="00EE2D55"/>
    <w:rsid w:val="00EE5D57"/>
    <w:rsid w:val="00EF28F4"/>
    <w:rsid w:val="00F110BD"/>
    <w:rsid w:val="00F12F4D"/>
    <w:rsid w:val="00F16315"/>
    <w:rsid w:val="00F177D1"/>
    <w:rsid w:val="00F20001"/>
    <w:rsid w:val="00F22910"/>
    <w:rsid w:val="00F23115"/>
    <w:rsid w:val="00F30B08"/>
    <w:rsid w:val="00F30EC3"/>
    <w:rsid w:val="00F32496"/>
    <w:rsid w:val="00F372EC"/>
    <w:rsid w:val="00F37C00"/>
    <w:rsid w:val="00F40AA3"/>
    <w:rsid w:val="00F47485"/>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A0884"/>
    <w:rsid w:val="00FA0B90"/>
    <w:rsid w:val="00FA136A"/>
    <w:rsid w:val="00FA2EC7"/>
    <w:rsid w:val="00FA3F82"/>
    <w:rsid w:val="00FA4524"/>
    <w:rsid w:val="00FA5E07"/>
    <w:rsid w:val="00FA7D55"/>
    <w:rsid w:val="00FC3EAD"/>
    <w:rsid w:val="00FC66EA"/>
    <w:rsid w:val="00FC7755"/>
    <w:rsid w:val="00FD3A96"/>
    <w:rsid w:val="00FD65D3"/>
    <w:rsid w:val="00FE1017"/>
    <w:rsid w:val="00FE1D94"/>
    <w:rsid w:val="00FE1DAD"/>
    <w:rsid w:val="00FE6545"/>
    <w:rsid w:val="00FE74F9"/>
    <w:rsid w:val="00FF360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rukturalni-fondy.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CBEA-81C9-44C6-9521-F1705680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23</Pages>
  <Words>7888</Words>
  <Characters>47533</Characters>
  <Application>Microsoft Office Word</Application>
  <DocSecurity>0</DocSecurity>
  <Lines>396</Lines>
  <Paragraphs>110</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55311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459</cp:revision>
  <cp:lastPrinted>2016-06-07T08:45:00Z</cp:lastPrinted>
  <dcterms:created xsi:type="dcterms:W3CDTF">2016-02-02T17:51:00Z</dcterms:created>
  <dcterms:modified xsi:type="dcterms:W3CDTF">2017-02-21T12:17:00Z</dcterms:modified>
</cp:coreProperties>
</file>