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DC63D3">
        <w:rPr>
          <w:b/>
          <w:sz w:val="28"/>
          <w:szCs w:val="28"/>
        </w:rPr>
        <w:t xml:space="preserve">Vydání </w:t>
      </w:r>
      <w:r w:rsidR="00DC63D3" w:rsidRPr="008D7E78">
        <w:rPr>
          <w:b/>
          <w:sz w:val="28"/>
          <w:szCs w:val="28"/>
        </w:rPr>
        <w:t>2</w:t>
      </w:r>
      <w:r w:rsidRPr="00DC63D3">
        <w:rPr>
          <w:b/>
          <w:sz w:val="28"/>
          <w:szCs w:val="28"/>
        </w:rPr>
        <w:t>/</w:t>
      </w:r>
      <w:r w:rsidR="00683EE7">
        <w:rPr>
          <w:b/>
          <w:sz w:val="28"/>
          <w:szCs w:val="28"/>
        </w:rPr>
        <w:t>2</w:t>
      </w:r>
      <w:r w:rsidRPr="00DC63D3">
        <w:rPr>
          <w:b/>
          <w:sz w:val="28"/>
          <w:szCs w:val="28"/>
        </w:rPr>
        <w:t>, platnost</w:t>
      </w:r>
      <w:r w:rsidR="00703A01" w:rsidRPr="00DC63D3">
        <w:rPr>
          <w:b/>
          <w:sz w:val="28"/>
          <w:szCs w:val="28"/>
        </w:rPr>
        <w:t xml:space="preserve"> od </w:t>
      </w:r>
      <w:r w:rsidR="00DC63D3" w:rsidRPr="008D7E78">
        <w:rPr>
          <w:b/>
          <w:sz w:val="28"/>
          <w:szCs w:val="28"/>
        </w:rPr>
        <w:t>2</w:t>
      </w:r>
      <w:r w:rsidR="00683EE7">
        <w:rPr>
          <w:b/>
          <w:sz w:val="28"/>
          <w:szCs w:val="28"/>
        </w:rPr>
        <w:t>6</w:t>
      </w:r>
      <w:r w:rsidR="00703A01" w:rsidRPr="00DC63D3">
        <w:rPr>
          <w:b/>
          <w:sz w:val="28"/>
          <w:szCs w:val="28"/>
        </w:rPr>
        <w:t xml:space="preserve">. </w:t>
      </w:r>
      <w:r w:rsidR="00DC63D3" w:rsidRPr="008D7E78">
        <w:rPr>
          <w:b/>
          <w:sz w:val="28"/>
          <w:szCs w:val="28"/>
        </w:rPr>
        <w:t>0</w:t>
      </w:r>
      <w:r w:rsidR="00683EE7">
        <w:rPr>
          <w:b/>
          <w:sz w:val="28"/>
          <w:szCs w:val="28"/>
        </w:rPr>
        <w:t>6</w:t>
      </w:r>
      <w:r w:rsidR="00703A01" w:rsidRPr="00DC63D3">
        <w:rPr>
          <w:b/>
          <w:sz w:val="28"/>
          <w:szCs w:val="28"/>
        </w:rPr>
        <w:t>. 201</w:t>
      </w:r>
      <w:r w:rsidR="00DC63D3" w:rsidRPr="008D7E78">
        <w:rPr>
          <w:b/>
          <w:sz w:val="28"/>
          <w:szCs w:val="28"/>
        </w:rPr>
        <w:t>7</w:t>
      </w:r>
      <w:r w:rsidRPr="00DC63D3">
        <w:rPr>
          <w:b/>
          <w:sz w:val="28"/>
          <w:szCs w:val="28"/>
        </w:rPr>
        <w:t xml:space="preserve"> a účinnost od </w:t>
      </w:r>
      <w:r w:rsidR="00DC63D3" w:rsidRPr="008D7E78">
        <w:rPr>
          <w:b/>
          <w:sz w:val="28"/>
          <w:szCs w:val="28"/>
        </w:rPr>
        <w:t>0</w:t>
      </w:r>
      <w:r w:rsidR="00703A01" w:rsidRPr="00DC63D3">
        <w:rPr>
          <w:b/>
          <w:sz w:val="28"/>
          <w:szCs w:val="28"/>
        </w:rPr>
        <w:t>1</w:t>
      </w:r>
      <w:r w:rsidRPr="00DC63D3">
        <w:rPr>
          <w:b/>
          <w:sz w:val="28"/>
          <w:szCs w:val="28"/>
        </w:rPr>
        <w:t xml:space="preserve">. </w:t>
      </w:r>
      <w:r w:rsidR="00DC63D3" w:rsidRPr="008D7E78">
        <w:rPr>
          <w:b/>
          <w:sz w:val="28"/>
          <w:szCs w:val="28"/>
        </w:rPr>
        <w:t>0</w:t>
      </w:r>
      <w:r w:rsidR="00683EE7">
        <w:rPr>
          <w:b/>
          <w:sz w:val="28"/>
          <w:szCs w:val="28"/>
        </w:rPr>
        <w:t>7</w:t>
      </w:r>
      <w:r w:rsidRPr="00DC63D3">
        <w:rPr>
          <w:b/>
          <w:sz w:val="28"/>
          <w:szCs w:val="28"/>
        </w:rPr>
        <w:t>. 201</w:t>
      </w:r>
      <w:r w:rsidR="00DC63D3" w:rsidRPr="00DC63D3">
        <w:rPr>
          <w:b/>
          <w:sz w:val="28"/>
          <w:szCs w:val="28"/>
        </w:rPr>
        <w:t>7</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18198F" w:rsidRPr="0018198F" w:rsidRDefault="0018198F" w:rsidP="000112DB">
      <w:pPr>
        <w:autoSpaceDE w:val="0"/>
        <w:autoSpaceDN w:val="0"/>
        <w:adjustRightInd w:val="0"/>
        <w:spacing w:before="240" w:after="240"/>
        <w:jc w:val="both"/>
        <w:rPr>
          <w:rFonts w:ascii="Arial" w:hAnsi="Arial" w:cs="Arial"/>
          <w:bCs/>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p>
    <w:p w:rsidR="00CC728B" w:rsidRPr="005A2458" w:rsidRDefault="00CC728B" w:rsidP="005A2458">
      <w:pPr>
        <w:rPr>
          <w:b/>
        </w:rPr>
      </w:pPr>
    </w:p>
    <w:bookmarkEnd w:id="3"/>
    <w:bookmarkEnd w:id="4"/>
    <w:bookmarkEnd w:id="5"/>
    <w:bookmarkEnd w:id="6"/>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předložit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rsidR="0002409B" w:rsidRDefault="0002409B" w:rsidP="008D7E78">
      <w:pPr>
        <w:spacing w:line="240" w:lineRule="atLeast"/>
        <w:ind w:left="567"/>
        <w:rPr>
          <w:rFonts w:ascii="Arial" w:hAnsi="Arial" w:cs="Arial"/>
          <w:sz w:val="22"/>
          <w:szCs w:val="22"/>
        </w:rPr>
      </w:pPr>
    </w:p>
    <w:p w:rsidR="009177C0" w:rsidRPr="009177C0" w:rsidRDefault="009177C0" w:rsidP="008D7E78">
      <w:pPr>
        <w:spacing w:line="240" w:lineRule="atLeast"/>
        <w:ind w:left="567"/>
        <w:rPr>
          <w:rFonts w:ascii="Arial" w:hAnsi="Arial" w:cs="Arial"/>
          <w:sz w:val="22"/>
          <w:szCs w:val="22"/>
        </w:rPr>
      </w:pPr>
      <w:r w:rsidRPr="009177C0">
        <w:rPr>
          <w:rFonts w:ascii="Arial" w:hAnsi="Arial" w:cs="Arial"/>
          <w:sz w:val="22"/>
          <w:szCs w:val="22"/>
        </w:rPr>
        <w:t>Předmětem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sz w:val="22"/>
          <w:szCs w:val="22"/>
        </w:rPr>
        <w:t>Zaslat ŘO OPTP pozvánku</w:t>
      </w:r>
      <w:r w:rsidR="00312C25">
        <w:rPr>
          <w:rFonts w:ascii="Arial" w:hAnsi="Arial" w:cs="Arial"/>
          <w:sz w:val="22"/>
          <w:szCs w:val="22"/>
        </w:rPr>
        <w:t xml:space="preserve"> na otevírání nabídek</w:t>
      </w:r>
      <w:r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Pr="009177C0">
        <w:rPr>
          <w:rFonts w:ascii="Arial" w:hAnsi="Arial" w:cs="Arial"/>
          <w:sz w:val="22"/>
          <w:szCs w:val="22"/>
        </w:rPr>
        <w:t xml:space="preserv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rsidR="009177C0" w:rsidRPr="009177C0" w:rsidRDefault="009177C0" w:rsidP="009177C0">
      <w:pPr>
        <w:spacing w:line="240" w:lineRule="atLeast"/>
        <w:rPr>
          <w:rFonts w:ascii="Arial" w:hAnsi="Arial" w:cs="Arial"/>
          <w:sz w:val="22"/>
          <w:szCs w:val="22"/>
        </w:rPr>
      </w:pPr>
    </w:p>
    <w:p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předložit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rsidR="009177C0" w:rsidRPr="00D417B7" w:rsidRDefault="009177C0" w:rsidP="009177C0">
      <w:pPr>
        <w:spacing w:line="240" w:lineRule="atLeast"/>
        <w:rPr>
          <w:rFonts w:ascii="Arial" w:hAnsi="Arial" w:cs="Arial"/>
          <w:sz w:val="22"/>
          <w:szCs w:val="22"/>
        </w:rPr>
      </w:pPr>
    </w:p>
    <w:p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009177C0" w:rsidRPr="00D417B7" w:rsidRDefault="009177C0" w:rsidP="009177C0">
      <w:pPr>
        <w:spacing w:line="240" w:lineRule="atLeast"/>
        <w:ind w:left="1276" w:hanging="283"/>
        <w:rPr>
          <w:rFonts w:ascii="Arial" w:hAnsi="Arial" w:cs="Arial"/>
          <w:sz w:val="22"/>
          <w:szCs w:val="22"/>
        </w:rPr>
      </w:pP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Výzva o zahájení zadávacího řízení, zadávací a příp. kvalifikační dokumentace (je-li zadavatelem vyhotovena) včetně uveřejnění/prokázání oslovení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A.3. písm. f) musí zahrnovat:</w:t>
      </w:r>
    </w:p>
    <w:p w:rsidR="006D7E9C" w:rsidRDefault="006D7E9C" w:rsidP="008D7E78">
      <w:pPr>
        <w:pStyle w:val="Odstavecseseznamem"/>
        <w:spacing w:line="240" w:lineRule="atLeast"/>
        <w:ind w:left="567"/>
        <w:jc w:val="both"/>
        <w:rPr>
          <w:rFonts w:ascii="Arial" w:hAnsi="Arial" w:cs="Arial"/>
          <w:sz w:val="22"/>
          <w:szCs w:val="22"/>
        </w:rPr>
      </w:pPr>
    </w:p>
    <w:p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6D7E9C" w:rsidRDefault="006D7E9C" w:rsidP="008D7E78">
      <w:pPr>
        <w:pStyle w:val="Odstavecseseznamem"/>
        <w:spacing w:line="240" w:lineRule="atLeast"/>
        <w:ind w:left="851"/>
        <w:jc w:val="both"/>
        <w:rPr>
          <w:rFonts w:ascii="Arial" w:hAnsi="Arial" w:cs="Arial"/>
          <w:sz w:val="22"/>
          <w:szCs w:val="22"/>
        </w:rPr>
      </w:pPr>
    </w:p>
    <w:p w:rsidR="006D7E9C"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00F900B3" w:rsidRPr="008D7E78" w:rsidRDefault="00F900B3" w:rsidP="008D7E78">
      <w:pPr>
        <w:spacing w:line="240" w:lineRule="atLeast"/>
        <w:ind w:left="567"/>
        <w:jc w:val="both"/>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lastRenderedPageBreak/>
        <w:t xml:space="preserve">Po uzavření smlouvy </w:t>
      </w:r>
      <w:r w:rsidRPr="009177C0">
        <w:rPr>
          <w:rFonts w:ascii="Arial" w:hAnsi="Arial" w:cs="Arial"/>
          <w:sz w:val="22"/>
          <w:szCs w:val="22"/>
        </w:rPr>
        <w:t xml:space="preserve">na plnění veřejné zakázky </w:t>
      </w:r>
      <w:r w:rsidR="00321F62">
        <w:rPr>
          <w:rFonts w:ascii="Arial" w:hAnsi="Arial" w:cs="Arial"/>
          <w:sz w:val="22"/>
          <w:szCs w:val="22"/>
        </w:rPr>
        <w:t xml:space="preserve">předložit </w:t>
      </w:r>
      <w:r w:rsidRPr="009177C0">
        <w:rPr>
          <w:rFonts w:ascii="Arial" w:hAnsi="Arial" w:cs="Arial"/>
          <w:sz w:val="22"/>
          <w:szCs w:val="22"/>
        </w:rPr>
        <w:t xml:space="preserve">do 20 pracovních dnů ode dne následujícího po jejím podpisu ŘO OPTP </w:t>
      </w:r>
      <w:r w:rsidR="00321F62">
        <w:rPr>
          <w:rFonts w:ascii="Arial" w:hAnsi="Arial" w:cs="Arial"/>
          <w:sz w:val="22"/>
          <w:szCs w:val="22"/>
        </w:rPr>
        <w:t xml:space="preserve">k posouzení </w:t>
      </w:r>
      <w:r w:rsidRPr="009177C0">
        <w:rPr>
          <w:rFonts w:ascii="Arial" w:hAnsi="Arial" w:cs="Arial"/>
          <w:sz w:val="22"/>
          <w:szCs w:val="22"/>
        </w:rPr>
        <w:t xml:space="preserve">dokumentaci z ukončení zadávacího řízení. ŘO OPTP poskytne vyjádření nejpozději do ověření </w:t>
      </w:r>
      <w:r w:rsidR="003F249F">
        <w:rPr>
          <w:rFonts w:ascii="Arial" w:hAnsi="Arial" w:cs="Arial"/>
          <w:sz w:val="22"/>
          <w:szCs w:val="22"/>
        </w:rPr>
        <w:t xml:space="preserve">žádosti o </w:t>
      </w:r>
      <w:r w:rsidR="00CD7CA1">
        <w:rPr>
          <w:rFonts w:ascii="Arial" w:hAnsi="Arial" w:cs="Arial"/>
          <w:sz w:val="22"/>
          <w:szCs w:val="22"/>
        </w:rPr>
        <w:t>platbu</w:t>
      </w:r>
      <w:r w:rsidRPr="009177C0">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p>
    <w:p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rsidR="009177C0" w:rsidRP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w:t>
      </w:r>
      <w:hyperlink r:id="rId9" w:history="1"/>
      <w:r w:rsidR="00FA3F82">
        <w:rPr>
          <w:rFonts w:ascii="Arial" w:hAnsi="Arial" w:cs="Arial"/>
          <w:i/>
          <w:sz w:val="22"/>
          <w:szCs w:val="22"/>
        </w:rPr>
        <w:t xml:space="preserve"> a </w:t>
      </w:r>
      <w:r w:rsidRPr="009177C0">
        <w:rPr>
          <w:rFonts w:ascii="Arial" w:hAnsi="Arial" w:cs="Arial"/>
          <w:i/>
          <w:sz w:val="22"/>
          <w:szCs w:val="22"/>
        </w:rPr>
        <w:t xml:space="preserve">Věstníku veřejných zakázek </w:t>
      </w:r>
      <w:r w:rsidR="003E1EE1">
        <w:rPr>
          <w:rFonts w:ascii="Arial" w:hAnsi="Arial" w:cs="Arial"/>
          <w:i/>
          <w:sz w:val="22"/>
          <w:szCs w:val="22"/>
        </w:rPr>
        <w:t xml:space="preserve">a </w:t>
      </w:r>
      <w:r w:rsidR="00F05C9D">
        <w:rPr>
          <w:rFonts w:ascii="Arial" w:hAnsi="Arial" w:cs="Arial"/>
          <w:i/>
          <w:sz w:val="22"/>
          <w:szCs w:val="22"/>
        </w:rPr>
        <w:t xml:space="preserve">v </w:t>
      </w:r>
      <w:r w:rsidR="00F11048">
        <w:rPr>
          <w:rFonts w:ascii="Arial" w:hAnsi="Arial" w:cs="Arial"/>
          <w:i/>
          <w:sz w:val="22"/>
          <w:szCs w:val="22"/>
        </w:rPr>
        <w:t>R</w:t>
      </w:r>
      <w:r w:rsidR="00F05C9D" w:rsidRPr="00F05C9D">
        <w:rPr>
          <w:rFonts w:ascii="Arial" w:hAnsi="Arial" w:cs="Arial"/>
          <w:i/>
          <w:sz w:val="22"/>
          <w:szCs w:val="22"/>
        </w:rPr>
        <w:t xml:space="preserve">egistru smluv </w:t>
      </w:r>
      <w:r w:rsidRPr="009177C0">
        <w:rPr>
          <w:rFonts w:ascii="Arial" w:hAnsi="Arial" w:cs="Arial"/>
          <w:i/>
          <w:sz w:val="22"/>
          <w:szCs w:val="22"/>
        </w:rPr>
        <w:t>není třeba ŘO OPTP předkládat, zadavatel je však povinen sdělit ŘO OPTP hypertextový odkaz, na kterém se dokumenty nachází</w:t>
      </w:r>
      <w:r w:rsidR="00F05C9D">
        <w:rPr>
          <w:rFonts w:ascii="Arial" w:hAnsi="Arial" w:cs="Arial"/>
          <w:i/>
          <w:sz w:val="22"/>
          <w:szCs w:val="22"/>
        </w:rPr>
        <w:t xml:space="preserve">, </w:t>
      </w:r>
      <w:r w:rsidR="00F05C9D" w:rsidRPr="00F05C9D">
        <w:rPr>
          <w:rFonts w:ascii="Arial" w:hAnsi="Arial" w:cs="Arial"/>
          <w:i/>
          <w:sz w:val="22"/>
          <w:szCs w:val="22"/>
        </w:rPr>
        <w:t>případně jiný údaj umožňující dohledání daného dokumentu.</w:t>
      </w:r>
    </w:p>
    <w:p w:rsidR="009177C0" w:rsidRPr="009177C0" w:rsidRDefault="009177C0" w:rsidP="009177C0">
      <w:pPr>
        <w:pStyle w:val="Odstavecseseznamem"/>
        <w:spacing w:line="240" w:lineRule="atLeast"/>
        <w:ind w:left="567"/>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lastRenderedPageBreak/>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který bude obsahovat povinná ustanovení dle A.</w:t>
      </w:r>
      <w:r w:rsidR="002F2389">
        <w:rPr>
          <w:rFonts w:ascii="Arial" w:hAnsi="Arial" w:cs="Arial"/>
          <w:sz w:val="22"/>
          <w:szCs w:val="22"/>
        </w:rPr>
        <w:t>6</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předložit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 xml:space="preserve">na základě rámcové </w:t>
      </w:r>
      <w:r w:rsidR="00B2657C">
        <w:rPr>
          <w:rFonts w:ascii="Arial" w:hAnsi="Arial" w:cs="Arial"/>
          <w:b/>
          <w:sz w:val="22"/>
          <w:szCs w:val="22"/>
        </w:rPr>
        <w:t>dohody</w:t>
      </w:r>
      <w:r w:rsidR="00B2657C" w:rsidRPr="009177C0">
        <w:rPr>
          <w:rFonts w:ascii="Arial" w:hAnsi="Arial" w:cs="Arial"/>
          <w:sz w:val="22"/>
          <w:szCs w:val="22"/>
        </w:rPr>
        <w:t xml:space="preserve"> </w:t>
      </w:r>
      <w:r w:rsidRPr="009177C0">
        <w:rPr>
          <w:rFonts w:ascii="Arial" w:hAnsi="Arial" w:cs="Arial"/>
          <w:b/>
          <w:sz w:val="22"/>
          <w:szCs w:val="22"/>
        </w:rPr>
        <w:t xml:space="preserve">uzavřené s více </w:t>
      </w:r>
      <w:r w:rsidR="00FF665D">
        <w:rPr>
          <w:rFonts w:ascii="Arial" w:hAnsi="Arial" w:cs="Arial"/>
          <w:b/>
          <w:sz w:val="22"/>
          <w:szCs w:val="22"/>
        </w:rPr>
        <w:t>dodavateli</w:t>
      </w:r>
      <w:r w:rsidR="00E2798F">
        <w:rPr>
          <w:rFonts w:ascii="Arial" w:hAnsi="Arial" w:cs="Arial"/>
          <w:b/>
          <w:sz w:val="22"/>
          <w:szCs w:val="22"/>
        </w:rPr>
        <w:t xml:space="preserve"> </w:t>
      </w:r>
      <w:r w:rsidRPr="009177C0">
        <w:rPr>
          <w:rFonts w:ascii="Arial" w:hAnsi="Arial" w:cs="Arial"/>
          <w:sz w:val="22"/>
          <w:szCs w:val="22"/>
        </w:rPr>
        <w:t>(tzv. </w:t>
      </w:r>
      <w:proofErr w:type="spellStart"/>
      <w:r w:rsidRPr="009177C0">
        <w:rPr>
          <w:rFonts w:ascii="Arial" w:hAnsi="Arial" w:cs="Arial"/>
          <w:sz w:val="22"/>
          <w:szCs w:val="22"/>
        </w:rPr>
        <w:t>minitendr</w:t>
      </w:r>
      <w:proofErr w:type="spellEnd"/>
      <w:r w:rsidRPr="009177C0">
        <w:rPr>
          <w:rFonts w:ascii="Arial" w:hAnsi="Arial" w:cs="Arial"/>
          <w:sz w:val="22"/>
          <w:szCs w:val="22"/>
        </w:rPr>
        <w:t>) předložit postupem uvedeným v bodech A.1., A.3., A.</w:t>
      </w:r>
      <w:r w:rsidR="002F2389">
        <w:rPr>
          <w:rFonts w:ascii="Arial" w:hAnsi="Arial" w:cs="Arial"/>
          <w:sz w:val="22"/>
          <w:szCs w:val="22"/>
        </w:rPr>
        <w:t>5</w:t>
      </w:r>
      <w:r w:rsidRPr="009177C0">
        <w:rPr>
          <w:rFonts w:ascii="Arial" w:hAnsi="Arial" w:cs="Arial"/>
          <w:sz w:val="22"/>
          <w:szCs w:val="22"/>
        </w:rPr>
        <w:t>. ŘO</w:t>
      </w:r>
      <w:r w:rsidR="008737D2">
        <w:rPr>
          <w:rFonts w:ascii="Arial" w:hAnsi="Arial" w:cs="Arial"/>
          <w:sz w:val="22"/>
          <w:szCs w:val="22"/>
        </w:rPr>
        <w:t> </w:t>
      </w:r>
      <w:r w:rsidRPr="009177C0">
        <w:rPr>
          <w:rFonts w:ascii="Arial" w:hAnsi="Arial" w:cs="Arial"/>
          <w:sz w:val="22"/>
          <w:szCs w:val="22"/>
        </w:rPr>
        <w:t>OPTP podklady k posouzení včetně zaslání pozvánky dle bodu A.2.</w:t>
      </w:r>
    </w:p>
    <w:p w:rsidR="009177C0" w:rsidRPr="009177C0" w:rsidRDefault="009177C0" w:rsidP="009177C0">
      <w:pPr>
        <w:widowControl w:val="0"/>
        <w:adjustRightInd w:val="0"/>
        <w:spacing w:line="240" w:lineRule="atLeast"/>
        <w:contextualSpacing/>
        <w:textAlignment w:val="baseline"/>
        <w:rPr>
          <w:rFonts w:ascii="Arial" w:hAnsi="Arial" w:cs="Arial"/>
          <w:sz w:val="22"/>
          <w:szCs w:val="22"/>
        </w:rPr>
      </w:pPr>
    </w:p>
    <w:p w:rsidR="009177C0" w:rsidRPr="00A51A0D" w:rsidRDefault="009177C0" w:rsidP="00D95F17">
      <w:pPr>
        <w:pStyle w:val="Odstavecseseznamem"/>
        <w:widowControl w:val="0"/>
        <w:adjustRightInd w:val="0"/>
        <w:spacing w:line="240" w:lineRule="atLeast"/>
        <w:ind w:left="567"/>
        <w:jc w:val="both"/>
        <w:textAlignment w:val="baseline"/>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posouzení. V opačném případě je příjemce povinen postupovat analogicky od</w:t>
      </w:r>
      <w:r w:rsidR="002A7EB5">
        <w:rPr>
          <w:rFonts w:ascii="Arial" w:hAnsi="Arial" w:cs="Arial"/>
          <w:i/>
          <w:sz w:val="22"/>
          <w:szCs w:val="22"/>
        </w:rPr>
        <w:t> </w:t>
      </w:r>
      <w:r w:rsidRPr="009177C0">
        <w:rPr>
          <w:rFonts w:ascii="Arial" w:hAnsi="Arial" w:cs="Arial"/>
          <w:i/>
          <w:sz w:val="22"/>
          <w:szCs w:val="22"/>
        </w:rPr>
        <w:t>bodu A.1.</w:t>
      </w:r>
    </w:p>
    <w:p w:rsidR="001E49AD" w:rsidRPr="009177C0" w:rsidRDefault="001E49AD" w:rsidP="00D95F17">
      <w:pPr>
        <w:widowControl w:val="0"/>
        <w:adjustRightInd w:val="0"/>
        <w:spacing w:line="240" w:lineRule="atLeast"/>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Zadavatel je povinen </w:t>
      </w:r>
      <w:r w:rsidRPr="009177C0">
        <w:rPr>
          <w:rFonts w:ascii="Arial" w:hAnsi="Arial" w:cs="Arial"/>
          <w:b/>
          <w:sz w:val="22"/>
          <w:szCs w:val="22"/>
        </w:rPr>
        <w:t>uchovávat dokumentaci</w:t>
      </w:r>
      <w:r w:rsidRPr="009177C0">
        <w:rPr>
          <w:rFonts w:ascii="Arial" w:hAnsi="Arial" w:cs="Arial"/>
          <w:sz w:val="22"/>
          <w:szCs w:val="22"/>
        </w:rPr>
        <w:t xml:space="preserve"> o veřejné zakázce a záznamy o</w:t>
      </w:r>
      <w:r w:rsidR="002A7EB5">
        <w:rPr>
          <w:rFonts w:ascii="Arial" w:hAnsi="Arial" w:cs="Arial"/>
          <w:sz w:val="22"/>
          <w:szCs w:val="22"/>
        </w:rPr>
        <w:t> </w:t>
      </w:r>
      <w:r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žadatel povinen postupem analogicky k bodu A.1., A.3., </w:t>
      </w:r>
      <w:r w:rsidR="0028752E" w:rsidRPr="0028752E">
        <w:rPr>
          <w:rFonts w:ascii="Arial" w:hAnsi="Arial" w:cs="Arial"/>
          <w:sz w:val="22"/>
          <w:szCs w:val="22"/>
        </w:rPr>
        <w:t>A.</w:t>
      </w:r>
      <w:r w:rsidR="008A6543">
        <w:rPr>
          <w:rFonts w:ascii="Arial" w:hAnsi="Arial" w:cs="Arial"/>
          <w:sz w:val="22"/>
          <w:szCs w:val="22"/>
        </w:rPr>
        <w:t>5</w:t>
      </w:r>
      <w:r w:rsidR="0028752E" w:rsidRPr="0028752E">
        <w:rPr>
          <w:rFonts w:ascii="Arial" w:hAnsi="Arial" w:cs="Arial"/>
          <w:sz w:val="22"/>
          <w:szCs w:val="22"/>
        </w:rPr>
        <w:t>.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D87E40" w:rsidRPr="00D95F17" w:rsidRDefault="009177C0" w:rsidP="00D95F1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lastRenderedPageBreak/>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D87E40" w:rsidRPr="00D95F17">
        <w:rPr>
          <w:rFonts w:ascii="Arial" w:hAnsi="Arial" w:cs="Arial"/>
          <w:sz w:val="22"/>
          <w:szCs w:val="22"/>
        </w:rPr>
        <w:t>vloží příjemce veškerou dokumentaci k zadávacímu řízení do MS14+</w:t>
      </w:r>
      <w:r w:rsidR="00D87E40">
        <w:rPr>
          <w:rFonts w:ascii="Arial" w:hAnsi="Arial" w:cs="Arial"/>
          <w:sz w:val="22"/>
          <w:szCs w:val="22"/>
        </w:rPr>
        <w:t xml:space="preserve"> k </w:t>
      </w:r>
      <w:r w:rsidR="00D87E40" w:rsidRPr="00BF312E">
        <w:rPr>
          <w:rFonts w:ascii="Arial" w:hAnsi="Arial" w:cs="Arial"/>
          <w:sz w:val="22"/>
          <w:szCs w:val="22"/>
        </w:rPr>
        <w:t>danému projektu a zadávacímu řízení</w:t>
      </w:r>
      <w:r w:rsidR="00D87E40">
        <w:rPr>
          <w:rFonts w:ascii="Arial" w:hAnsi="Arial" w:cs="Arial"/>
          <w:sz w:val="22"/>
          <w:szCs w:val="22"/>
        </w:rPr>
        <w:t xml:space="preserve"> a informuje o tom formou interní </w:t>
      </w:r>
      <w:r w:rsidR="00D87E40" w:rsidRPr="00BF312E">
        <w:rPr>
          <w:rFonts w:ascii="Arial" w:hAnsi="Arial" w:cs="Arial"/>
          <w:sz w:val="22"/>
          <w:szCs w:val="22"/>
        </w:rPr>
        <w:t xml:space="preserve">depeše v MS2014+ </w:t>
      </w:r>
      <w:r w:rsidR="007E561B">
        <w:rPr>
          <w:rFonts w:ascii="Arial" w:hAnsi="Arial" w:cs="Arial"/>
          <w:sz w:val="22"/>
          <w:szCs w:val="22"/>
        </w:rPr>
        <w:t>příslušného projektového manažera a specialisty</w:t>
      </w:r>
      <w:r w:rsidR="00D87E40" w:rsidRPr="00BF312E">
        <w:rPr>
          <w:rFonts w:ascii="Arial" w:hAnsi="Arial" w:cs="Arial"/>
          <w:sz w:val="22"/>
          <w:szCs w:val="22"/>
        </w:rPr>
        <w:t xml:space="preserve"> na veřejné zakázky</w:t>
      </w:r>
      <w:r w:rsidR="007E561B">
        <w:rPr>
          <w:rFonts w:ascii="Arial" w:hAnsi="Arial" w:cs="Arial"/>
          <w:sz w:val="22"/>
          <w:szCs w:val="22"/>
        </w:rPr>
        <w:t>. Pokud v zadávacím řízení došlo ke změně (např. byl uzavřen dodatek)</w:t>
      </w:r>
      <w:r w:rsidR="0080373B">
        <w:rPr>
          <w:rFonts w:ascii="Arial" w:hAnsi="Arial" w:cs="Arial"/>
          <w:sz w:val="22"/>
          <w:szCs w:val="22"/>
        </w:rPr>
        <w:t>,</w:t>
      </w:r>
      <w:r w:rsidR="007E561B">
        <w:rPr>
          <w:rFonts w:ascii="Arial" w:hAnsi="Arial" w:cs="Arial"/>
          <w:sz w:val="22"/>
          <w:szCs w:val="22"/>
        </w:rPr>
        <w:t xml:space="preserve"> </w:t>
      </w:r>
      <w:r w:rsidR="0080373B">
        <w:rPr>
          <w:rFonts w:ascii="Arial" w:hAnsi="Arial" w:cs="Arial"/>
          <w:sz w:val="22"/>
          <w:szCs w:val="22"/>
        </w:rPr>
        <w:t xml:space="preserve">je příjemce navíc </w:t>
      </w:r>
      <w:r w:rsidR="007E561B" w:rsidRPr="0079696E">
        <w:rPr>
          <w:rFonts w:ascii="Arial" w:hAnsi="Arial" w:cs="Arial"/>
          <w:sz w:val="22"/>
          <w:szCs w:val="22"/>
        </w:rPr>
        <w:t xml:space="preserve">povinen </w:t>
      </w:r>
      <w:r w:rsidR="0080373B">
        <w:rPr>
          <w:rFonts w:ascii="Arial" w:hAnsi="Arial" w:cs="Arial"/>
          <w:sz w:val="22"/>
          <w:szCs w:val="22"/>
        </w:rPr>
        <w:t>předložit dokumentaci k této změně</w:t>
      </w:r>
      <w:r w:rsidR="007E561B" w:rsidRPr="0079696E">
        <w:rPr>
          <w:rFonts w:ascii="Arial" w:hAnsi="Arial" w:cs="Arial"/>
          <w:sz w:val="22"/>
          <w:szCs w:val="22"/>
        </w:rPr>
        <w:t xml:space="preserve"> k</w:t>
      </w:r>
      <w:r w:rsidR="0080373B">
        <w:rPr>
          <w:rFonts w:ascii="Arial" w:hAnsi="Arial" w:cs="Arial"/>
          <w:sz w:val="22"/>
          <w:szCs w:val="22"/>
        </w:rPr>
        <w:t> </w:t>
      </w:r>
      <w:r w:rsidR="007E561B" w:rsidRPr="0079696E">
        <w:rPr>
          <w:rFonts w:ascii="Arial" w:hAnsi="Arial" w:cs="Arial"/>
          <w:sz w:val="22"/>
          <w:szCs w:val="22"/>
        </w:rPr>
        <w:t>posouzení</w:t>
      </w:r>
      <w:r w:rsidR="0080373B">
        <w:rPr>
          <w:rFonts w:ascii="Arial" w:hAnsi="Arial" w:cs="Arial"/>
          <w:sz w:val="22"/>
          <w:szCs w:val="22"/>
        </w:rPr>
        <w:t>.</w:t>
      </w:r>
    </w:p>
    <w:p w:rsidR="009177C0" w:rsidRPr="009177C0" w:rsidRDefault="009177C0" w:rsidP="00D95F17"/>
    <w:p w:rsidR="00BF312E" w:rsidRPr="00D95F17" w:rsidRDefault="00BF312E"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 xml:space="preserve">V případě administrativního ověření </w:t>
      </w:r>
      <w:r w:rsidRPr="00A51A0D">
        <w:rPr>
          <w:rFonts w:ascii="Arial" w:hAnsi="Arial" w:cs="Arial"/>
          <w:b/>
          <w:sz w:val="22"/>
          <w:szCs w:val="22"/>
        </w:rPr>
        <w:t>interim</w:t>
      </w:r>
      <w:r w:rsidRPr="00D95F17">
        <w:rPr>
          <w:rFonts w:ascii="Arial" w:hAnsi="Arial" w:cs="Arial"/>
          <w:sz w:val="22"/>
          <w:szCs w:val="22"/>
        </w:rPr>
        <w:t xml:space="preserve"> </w:t>
      </w:r>
      <w:r w:rsidRPr="00BF312E">
        <w:rPr>
          <w:rFonts w:ascii="Arial" w:hAnsi="Arial" w:cs="Arial"/>
          <w:sz w:val="22"/>
          <w:szCs w:val="22"/>
        </w:rPr>
        <w:t>příjemce předkládá podklady k</w:t>
      </w:r>
      <w:r w:rsidR="00981718">
        <w:rPr>
          <w:rFonts w:ascii="Arial" w:hAnsi="Arial" w:cs="Arial"/>
          <w:sz w:val="22"/>
          <w:szCs w:val="22"/>
        </w:rPr>
        <w:t> </w:t>
      </w:r>
      <w:r w:rsidRPr="00BF312E">
        <w:rPr>
          <w:rFonts w:ascii="Arial" w:hAnsi="Arial" w:cs="Arial"/>
          <w:sz w:val="22"/>
          <w:szCs w:val="22"/>
        </w:rPr>
        <w:t>zadávacímu řízení v příloze interní depeše v MS2014+ adresované specialistům na veřejné zakázky, v kopii příslušnému projektovému manažerovi</w:t>
      </w:r>
      <w:r w:rsidR="00E15D56" w:rsidRPr="00E15D56">
        <w:rPr>
          <w:rFonts w:ascii="Arial" w:hAnsi="Arial" w:cs="Arial"/>
          <w:sz w:val="22"/>
          <w:szCs w:val="22"/>
        </w:rPr>
        <w:t xml:space="preserve">. Do textu interní depeše příjemce vždy uvede název a registrační číslo projektu a název a číslo </w:t>
      </w:r>
      <w:r w:rsidR="00E15D56">
        <w:rPr>
          <w:rFonts w:ascii="Arial" w:hAnsi="Arial" w:cs="Arial"/>
          <w:sz w:val="22"/>
          <w:szCs w:val="22"/>
        </w:rPr>
        <w:t xml:space="preserve">veřejné </w:t>
      </w:r>
      <w:r w:rsidR="00E15D56" w:rsidRPr="00E15D56">
        <w:rPr>
          <w:rFonts w:ascii="Arial" w:hAnsi="Arial" w:cs="Arial"/>
          <w:sz w:val="22"/>
          <w:szCs w:val="22"/>
        </w:rPr>
        <w:t>zakázky uvedené v</w:t>
      </w:r>
      <w:r w:rsidR="00F54FCF">
        <w:rPr>
          <w:rFonts w:ascii="Arial" w:hAnsi="Arial" w:cs="Arial"/>
          <w:sz w:val="22"/>
          <w:szCs w:val="22"/>
        </w:rPr>
        <w:t> </w:t>
      </w:r>
      <w:r w:rsidR="00E15D56" w:rsidRPr="00E15D56">
        <w:rPr>
          <w:rFonts w:ascii="Arial" w:hAnsi="Arial" w:cs="Arial"/>
          <w:sz w:val="22"/>
          <w:szCs w:val="22"/>
        </w:rPr>
        <w:t>MS</w:t>
      </w:r>
      <w:r w:rsidR="00F54FCF">
        <w:rPr>
          <w:rFonts w:ascii="Arial" w:hAnsi="Arial" w:cs="Arial"/>
          <w:sz w:val="22"/>
          <w:szCs w:val="22"/>
        </w:rPr>
        <w:t>20</w:t>
      </w:r>
      <w:r w:rsidR="00E15D56" w:rsidRPr="00E15D56">
        <w:rPr>
          <w:rFonts w:ascii="Arial" w:hAnsi="Arial" w:cs="Arial"/>
          <w:sz w:val="22"/>
          <w:szCs w:val="22"/>
        </w:rPr>
        <w:t>14+</w:t>
      </w:r>
      <w:r w:rsidRPr="00BF312E">
        <w:rPr>
          <w:rFonts w:ascii="Arial" w:hAnsi="Arial" w:cs="Arial"/>
          <w:sz w:val="22"/>
          <w:szCs w:val="22"/>
        </w:rPr>
        <w:t>. V průběhu ověřování předložené dokumentace (zasílání připomínek ze strany ŘO a jejich následné vypořádání</w:t>
      </w:r>
      <w:r w:rsidR="008A6543">
        <w:rPr>
          <w:rFonts w:ascii="Arial" w:hAnsi="Arial" w:cs="Arial"/>
          <w:sz w:val="22"/>
          <w:szCs w:val="22"/>
        </w:rPr>
        <w:t xml:space="preserve"> ze strany příjemce</w:t>
      </w:r>
      <w:r w:rsidRPr="00BF312E">
        <w:rPr>
          <w:rFonts w:ascii="Arial" w:hAnsi="Arial" w:cs="Arial"/>
          <w:sz w:val="22"/>
          <w:szCs w:val="22"/>
        </w:rPr>
        <w:t>) bude veškerá komunikace probíhat prostřednictvím interních depeší a uprav</w:t>
      </w:r>
      <w:r w:rsidR="008A6543">
        <w:rPr>
          <w:rFonts w:ascii="Arial" w:hAnsi="Arial" w:cs="Arial"/>
          <w:sz w:val="22"/>
          <w:szCs w:val="22"/>
        </w:rPr>
        <w:t>ova</w:t>
      </w:r>
      <w:r w:rsidRPr="00BF312E">
        <w:rPr>
          <w:rFonts w:ascii="Arial" w:hAnsi="Arial" w:cs="Arial"/>
          <w:sz w:val="22"/>
          <w:szCs w:val="22"/>
        </w:rPr>
        <w:t xml:space="preserve">ná dokumentace bude zasílána v příloze těchto depeší. </w:t>
      </w:r>
    </w:p>
    <w:p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rsidR="00BF312E" w:rsidRPr="00D95F17" w:rsidRDefault="00BF312E"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Po vydání finálního stanoviska z dané fáze administrativního ověření veřejné zakázky (tj. po schválení finální verze dokumentace k dané fázi administrativního ověření</w:t>
      </w:r>
      <w:r w:rsidR="008A6543">
        <w:rPr>
          <w:rFonts w:ascii="Arial" w:hAnsi="Arial" w:cs="Arial"/>
          <w:sz w:val="22"/>
          <w:szCs w:val="22"/>
        </w:rPr>
        <w:t xml:space="preserve"> ze strany ŘO OPTP</w:t>
      </w:r>
      <w:r w:rsidRPr="00BF312E">
        <w:rPr>
          <w:rFonts w:ascii="Arial" w:hAnsi="Arial" w:cs="Arial"/>
          <w:sz w:val="22"/>
          <w:szCs w:val="22"/>
        </w:rPr>
        <w:t>), příjemce</w:t>
      </w:r>
      <w:r w:rsidR="00E15D56">
        <w:rPr>
          <w:rFonts w:ascii="Arial" w:hAnsi="Arial" w:cs="Arial"/>
          <w:sz w:val="22"/>
          <w:szCs w:val="22"/>
        </w:rPr>
        <w:t xml:space="preserve"> neprodleně</w:t>
      </w:r>
      <w:r w:rsidRPr="00BF312E">
        <w:rPr>
          <w:rFonts w:ascii="Arial" w:hAnsi="Arial" w:cs="Arial"/>
          <w:sz w:val="22"/>
          <w:szCs w:val="22"/>
        </w:rPr>
        <w:t xml:space="preserve"> vloží takto schválenou finální verzi podkladů k zadávacímu řízení do MS2014+ k danému projektu a zadávacímu řízení</w:t>
      </w:r>
      <w:r w:rsidR="00E15D56">
        <w:rPr>
          <w:rFonts w:ascii="Arial" w:hAnsi="Arial" w:cs="Arial"/>
          <w:sz w:val="22"/>
          <w:szCs w:val="22"/>
        </w:rPr>
        <w:t>, a to</w:t>
      </w:r>
      <w:r w:rsidRPr="00BF312E">
        <w:rPr>
          <w:rFonts w:ascii="Arial" w:hAnsi="Arial" w:cs="Arial"/>
          <w:sz w:val="22"/>
          <w:szCs w:val="22"/>
        </w:rPr>
        <w:t xml:space="preserve"> buď formou „Oznámení o změně“ nebo prostřednictvím</w:t>
      </w:r>
      <w:r w:rsidR="00E15D56">
        <w:rPr>
          <w:rFonts w:ascii="Arial" w:hAnsi="Arial" w:cs="Arial"/>
          <w:sz w:val="22"/>
          <w:szCs w:val="22"/>
        </w:rPr>
        <w:t xml:space="preserve"> nejbližší</w:t>
      </w:r>
      <w:r w:rsidRPr="00BF312E">
        <w:rPr>
          <w:rFonts w:ascii="Arial" w:hAnsi="Arial" w:cs="Arial"/>
          <w:sz w:val="22"/>
          <w:szCs w:val="22"/>
        </w:rPr>
        <w:t xml:space="preserve"> „Zprávy o realizaci“</w:t>
      </w:r>
      <w:r w:rsidR="00E15D56" w:rsidRPr="008D7E78">
        <w:rPr>
          <w:rFonts w:ascii="Arial" w:hAnsi="Arial" w:cs="Arial"/>
          <w:sz w:val="22"/>
          <w:szCs w:val="22"/>
        </w:rPr>
        <w:t xml:space="preserve"> </w:t>
      </w:r>
      <w:r w:rsidR="00E15D56" w:rsidRPr="00E15D56">
        <w:rPr>
          <w:rFonts w:ascii="Arial" w:hAnsi="Arial" w:cs="Arial"/>
          <w:sz w:val="22"/>
          <w:szCs w:val="22"/>
        </w:rPr>
        <w:t>“ nebo „Žádosti o platbu“</w:t>
      </w:r>
      <w:r w:rsidRPr="00BF312E">
        <w:rPr>
          <w:rFonts w:ascii="Arial" w:hAnsi="Arial" w:cs="Arial"/>
          <w:sz w:val="22"/>
          <w:szCs w:val="22"/>
        </w:rPr>
        <w:t>.</w:t>
      </w:r>
    </w:p>
    <w:p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BF312E"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 xml:space="preserve">V případě </w:t>
      </w:r>
      <w:r w:rsidRPr="005A2458">
        <w:rPr>
          <w:rFonts w:ascii="Arial" w:hAnsi="Arial" w:cs="Arial"/>
          <w:b/>
          <w:sz w:val="22"/>
          <w:szCs w:val="22"/>
        </w:rPr>
        <w:t>administrativního ověření ex-ante</w:t>
      </w:r>
      <w:r w:rsidRPr="00BF312E">
        <w:rPr>
          <w:rFonts w:ascii="Arial" w:hAnsi="Arial" w:cs="Arial"/>
          <w:sz w:val="22"/>
          <w:szCs w:val="22"/>
        </w:rPr>
        <w:t xml:space="preserve"> příjemce předkládá podklady k</w:t>
      </w:r>
      <w:r w:rsidR="002D0B09">
        <w:rPr>
          <w:rFonts w:ascii="Arial" w:hAnsi="Arial" w:cs="Arial"/>
          <w:sz w:val="22"/>
          <w:szCs w:val="22"/>
        </w:rPr>
        <w:t> </w:t>
      </w:r>
      <w:r w:rsidRPr="00BF312E">
        <w:rPr>
          <w:rFonts w:ascii="Arial" w:hAnsi="Arial" w:cs="Arial"/>
          <w:sz w:val="22"/>
          <w:szCs w:val="22"/>
        </w:rPr>
        <w:t xml:space="preserve">zadávacímu řízení </w:t>
      </w:r>
      <w:r w:rsidR="002D0B09" w:rsidRPr="00BF312E">
        <w:rPr>
          <w:rFonts w:ascii="Arial" w:hAnsi="Arial" w:cs="Arial"/>
          <w:sz w:val="22"/>
          <w:szCs w:val="22"/>
        </w:rPr>
        <w:t>v příloze interní depeše v MS2014+ adresované specialistům na veřejné zakázky, v kopii příslušnému projektovému manažerovi</w:t>
      </w:r>
      <w:r w:rsidR="00E15D56" w:rsidRPr="00E15D56">
        <w:rPr>
          <w:rFonts w:ascii="Arial" w:hAnsi="Arial" w:cs="Arial"/>
          <w:sz w:val="22"/>
          <w:szCs w:val="22"/>
        </w:rPr>
        <w:t>. Do textu interní depeše příjemce vždy uvede název a registrační číslo projektu a název a číslo zakázky uvedené v</w:t>
      </w:r>
      <w:r w:rsidR="00F54FCF">
        <w:rPr>
          <w:rFonts w:ascii="Arial" w:hAnsi="Arial" w:cs="Arial"/>
          <w:sz w:val="22"/>
          <w:szCs w:val="22"/>
        </w:rPr>
        <w:t> </w:t>
      </w:r>
      <w:r w:rsidR="00E15D56" w:rsidRPr="00E15D56">
        <w:rPr>
          <w:rFonts w:ascii="Arial" w:hAnsi="Arial" w:cs="Arial"/>
          <w:sz w:val="22"/>
          <w:szCs w:val="22"/>
        </w:rPr>
        <w:t>MS</w:t>
      </w:r>
      <w:r w:rsidR="00F54FCF">
        <w:rPr>
          <w:rFonts w:ascii="Arial" w:hAnsi="Arial" w:cs="Arial"/>
          <w:sz w:val="22"/>
          <w:szCs w:val="22"/>
        </w:rPr>
        <w:t>20</w:t>
      </w:r>
      <w:r w:rsidR="00E15D56" w:rsidRPr="00E15D56">
        <w:rPr>
          <w:rFonts w:ascii="Arial" w:hAnsi="Arial" w:cs="Arial"/>
          <w:sz w:val="22"/>
          <w:szCs w:val="22"/>
        </w:rPr>
        <w:t>14+</w:t>
      </w:r>
      <w:r w:rsidR="00CD7CA1">
        <w:rPr>
          <w:rFonts w:ascii="Arial" w:hAnsi="Arial" w:cs="Arial"/>
          <w:sz w:val="22"/>
          <w:szCs w:val="22"/>
        </w:rPr>
        <w:t>. V</w:t>
      </w:r>
      <w:r w:rsidR="002D0B09" w:rsidRPr="00BF312E">
        <w:rPr>
          <w:rFonts w:ascii="Arial" w:hAnsi="Arial" w:cs="Arial"/>
          <w:sz w:val="22"/>
          <w:szCs w:val="22"/>
        </w:rPr>
        <w:t>eškerou dokumentaci k zadávacímu řízení</w:t>
      </w:r>
      <w:r w:rsidR="002D0B09">
        <w:rPr>
          <w:rFonts w:ascii="Arial" w:hAnsi="Arial" w:cs="Arial"/>
          <w:sz w:val="22"/>
          <w:szCs w:val="22"/>
        </w:rPr>
        <w:t xml:space="preserve"> </w:t>
      </w:r>
      <w:r w:rsidR="00CD7CA1">
        <w:rPr>
          <w:rFonts w:ascii="Arial" w:hAnsi="Arial" w:cs="Arial"/>
          <w:sz w:val="22"/>
          <w:szCs w:val="22"/>
        </w:rPr>
        <w:t>příjemce rovněž v</w:t>
      </w:r>
      <w:r w:rsidR="00CD7CA1" w:rsidRPr="00BF312E">
        <w:rPr>
          <w:rFonts w:ascii="Arial" w:hAnsi="Arial" w:cs="Arial"/>
          <w:sz w:val="22"/>
          <w:szCs w:val="22"/>
        </w:rPr>
        <w:t xml:space="preserve">loží </w:t>
      </w:r>
      <w:r w:rsidR="005A2CFC">
        <w:rPr>
          <w:rFonts w:ascii="Arial" w:hAnsi="Arial" w:cs="Arial"/>
          <w:sz w:val="22"/>
          <w:szCs w:val="22"/>
        </w:rPr>
        <w:t>do</w:t>
      </w:r>
      <w:r w:rsidR="005A2CFC" w:rsidRPr="00BF312E">
        <w:rPr>
          <w:rFonts w:ascii="Arial" w:hAnsi="Arial" w:cs="Arial"/>
          <w:sz w:val="22"/>
          <w:szCs w:val="22"/>
        </w:rPr>
        <w:t xml:space="preserve"> </w:t>
      </w:r>
      <w:r w:rsidRPr="00BF312E">
        <w:rPr>
          <w:rFonts w:ascii="Arial" w:hAnsi="Arial" w:cs="Arial"/>
          <w:sz w:val="22"/>
          <w:szCs w:val="22"/>
        </w:rPr>
        <w:t>MS2014+ k danému projektu a</w:t>
      </w:r>
      <w:r w:rsidR="005A2CFC">
        <w:rPr>
          <w:rFonts w:ascii="Arial" w:hAnsi="Arial" w:cs="Arial"/>
          <w:sz w:val="22"/>
          <w:szCs w:val="22"/>
        </w:rPr>
        <w:t> </w:t>
      </w:r>
      <w:r w:rsidRPr="00BF312E">
        <w:rPr>
          <w:rFonts w:ascii="Arial" w:hAnsi="Arial" w:cs="Arial"/>
          <w:sz w:val="22"/>
          <w:szCs w:val="22"/>
        </w:rPr>
        <w:t xml:space="preserve">zadávacímu řízení. </w:t>
      </w:r>
    </w:p>
    <w:p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rámci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210C50" w:rsidRDefault="00210C50">
      <w:pPr>
        <w:rPr>
          <w:rFonts w:ascii="Arial" w:hAnsi="Arial" w:cs="Arial"/>
          <w:sz w:val="22"/>
          <w:szCs w:val="22"/>
        </w:rPr>
      </w:pPr>
      <w:r>
        <w:rPr>
          <w:rFonts w:ascii="Arial" w:hAnsi="Arial" w:cs="Arial"/>
          <w:sz w:val="22"/>
          <w:szCs w:val="22"/>
        </w:rPr>
        <w:br w:type="page"/>
      </w:r>
    </w:p>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10"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Default="009177C0" w:rsidP="0028752E">
      <w:pPr>
        <w:spacing w:line="240" w:lineRule="atLeast"/>
        <w:jc w:val="both"/>
        <w:rPr>
          <w:rFonts w:ascii="Arial" w:hAnsi="Arial" w:cs="Arial"/>
          <w:sz w:val="22"/>
          <w:szCs w:val="22"/>
        </w:rPr>
      </w:pPr>
    </w:p>
    <w:p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rsidR="00807B7D" w:rsidRPr="009177C0" w:rsidRDefault="00807B7D" w:rsidP="0028752E">
      <w:pPr>
        <w:spacing w:line="240" w:lineRule="atLeast"/>
        <w:jc w:val="both"/>
        <w:rPr>
          <w:rFonts w:ascii="Arial" w:hAnsi="Arial" w:cs="Arial"/>
          <w:sz w:val="22"/>
          <w:szCs w:val="22"/>
        </w:rPr>
      </w:pPr>
    </w:p>
    <w:p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807B7D" w:rsidRDefault="00807B7D" w:rsidP="0028752E">
      <w:pPr>
        <w:spacing w:line="240" w:lineRule="atLeast"/>
        <w:jc w:val="both"/>
        <w:rPr>
          <w:rFonts w:ascii="Arial" w:hAnsi="Arial" w:cs="Arial"/>
          <w:sz w:val="22"/>
          <w:szCs w:val="22"/>
        </w:rPr>
      </w:pPr>
    </w:p>
    <w:p w:rsidR="009177C0" w:rsidRPr="008D7E78" w:rsidRDefault="009177C0" w:rsidP="005A2458">
      <w:pPr>
        <w:rPr>
          <w:sz w:val="28"/>
          <w:szCs w:val="28"/>
        </w:rPr>
      </w:pPr>
    </w:p>
    <w:p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rsidR="005A2458" w:rsidRPr="005A2458" w:rsidRDefault="005A2458" w:rsidP="005A2458">
      <w:pPr>
        <w:jc w:val="both"/>
      </w:pPr>
    </w:p>
    <w:p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 xml:space="preserve">nižší než 400 000,- Kč bez DPH. </w:t>
      </w:r>
    </w:p>
    <w:p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rsidR="00952D9A" w:rsidRPr="008D7E78" w:rsidRDefault="00952D9A" w:rsidP="00B36345">
      <w:pPr>
        <w:pStyle w:val="Mjstyl3"/>
        <w:numPr>
          <w:ilvl w:val="1"/>
          <w:numId w:val="40"/>
        </w:numPr>
        <w:spacing w:before="240" w:after="240"/>
        <w:rPr>
          <w:b/>
        </w:rPr>
      </w:pPr>
      <w:r w:rsidRPr="008D7E78">
        <w:rPr>
          <w:b/>
        </w:rPr>
        <w:t>Zásady postupu zadavatele</w:t>
      </w:r>
    </w:p>
    <w:p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rsidR="00A15644" w:rsidRPr="005A2458" w:rsidRDefault="00A15644" w:rsidP="00B36345">
      <w:pPr>
        <w:pStyle w:val="Mjstyl3"/>
        <w:numPr>
          <w:ilvl w:val="1"/>
          <w:numId w:val="40"/>
        </w:numPr>
        <w:spacing w:before="240" w:after="240"/>
        <w:rPr>
          <w:b/>
        </w:rPr>
      </w:pPr>
      <w:r w:rsidRPr="005A2458">
        <w:rPr>
          <w:b/>
        </w:rPr>
        <w:t xml:space="preserve">Zakázka </w:t>
      </w:r>
    </w:p>
    <w:p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rsidR="00A15644" w:rsidRDefault="00A15644" w:rsidP="00B36345">
      <w:pPr>
        <w:pStyle w:val="Mjstyl3"/>
        <w:numPr>
          <w:ilvl w:val="3"/>
          <w:numId w:val="40"/>
        </w:numPr>
        <w:spacing w:before="240" w:after="240"/>
      </w:pPr>
      <w:r>
        <w:t xml:space="preserve">Zakázkou na stavební práce je zakázka, jejímž předmětem je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rsidR="00A15644" w:rsidRPr="005A2458" w:rsidRDefault="00A15644" w:rsidP="00B36345">
      <w:pPr>
        <w:pStyle w:val="Mjstyl3"/>
        <w:numPr>
          <w:ilvl w:val="1"/>
          <w:numId w:val="40"/>
        </w:numPr>
        <w:spacing w:before="240" w:after="240"/>
        <w:rPr>
          <w:b/>
        </w:rPr>
      </w:pPr>
      <w:r w:rsidRPr="005A2458">
        <w:rPr>
          <w:b/>
        </w:rPr>
        <w:t>Stanovení předpokládané hodnoty zakázky</w:t>
      </w:r>
    </w:p>
    <w:p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rsidR="00A15644" w:rsidRDefault="00A15644" w:rsidP="00B36345">
      <w:pPr>
        <w:pStyle w:val="Mjstyl3"/>
        <w:numPr>
          <w:ilvl w:val="3"/>
          <w:numId w:val="40"/>
        </w:numPr>
        <w:spacing w:before="240" w:after="240"/>
      </w:pPr>
      <w:r>
        <w:t xml:space="preserve">Do předpokládané hodnoty musí zadavatel také zahrnout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rsidR="00A15644" w:rsidRPr="005A2458" w:rsidRDefault="00A15644" w:rsidP="00B36345">
      <w:pPr>
        <w:pStyle w:val="Mjstyl3"/>
        <w:numPr>
          <w:ilvl w:val="1"/>
          <w:numId w:val="40"/>
        </w:numPr>
        <w:spacing w:before="240" w:after="240"/>
        <w:rPr>
          <w:b/>
        </w:rPr>
      </w:pPr>
      <w:r w:rsidRPr="005A2458">
        <w:rPr>
          <w:b/>
        </w:rPr>
        <w:t>Střet zájmů</w:t>
      </w:r>
    </w:p>
    <w:p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rsidR="00A15644" w:rsidRDefault="00A15644" w:rsidP="00B36345">
      <w:pPr>
        <w:pStyle w:val="Mjstyl3"/>
        <w:numPr>
          <w:ilvl w:val="3"/>
          <w:numId w:val="40"/>
        </w:numPr>
        <w:spacing w:before="240" w:after="240"/>
      </w:pPr>
      <w:r>
        <w:t xml:space="preserve">Za střet zájmů se považuje situace, kdy zájmy osob, které: </w:t>
      </w:r>
    </w:p>
    <w:p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rsidR="00811742" w:rsidRDefault="00811742" w:rsidP="005A2458">
      <w:pPr>
        <w:spacing w:line="240" w:lineRule="atLeast"/>
        <w:ind w:left="567"/>
        <w:jc w:val="both"/>
      </w:pPr>
    </w:p>
    <w:p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rsidR="009177C0" w:rsidRPr="009177C0" w:rsidRDefault="009177C0" w:rsidP="00B36345">
      <w:pPr>
        <w:pStyle w:val="Mjstyl3"/>
        <w:numPr>
          <w:ilvl w:val="1"/>
          <w:numId w:val="40"/>
        </w:numPr>
        <w:spacing w:before="240" w:after="240"/>
        <w:rPr>
          <w:b/>
        </w:rPr>
      </w:pPr>
      <w:r w:rsidRPr="009177C0">
        <w:rPr>
          <w:b/>
        </w:rPr>
        <w:t>Druh výběrového řízení</w:t>
      </w:r>
    </w:p>
    <w:p w:rsidR="00A15644" w:rsidRPr="00EC1C3A" w:rsidRDefault="00A15644" w:rsidP="00B36345">
      <w:pPr>
        <w:pStyle w:val="Mjstyl3"/>
        <w:numPr>
          <w:ilvl w:val="3"/>
          <w:numId w:val="40"/>
        </w:numPr>
        <w:spacing w:before="240" w:after="240"/>
      </w:pPr>
      <w:r w:rsidRPr="00EC1C3A">
        <w:t>Zadavatel může zadat zakázku:</w:t>
      </w:r>
    </w:p>
    <w:p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rsidR="007D0FAB" w:rsidRDefault="007D0FAB" w:rsidP="005A2458">
      <w:pPr>
        <w:spacing w:line="240" w:lineRule="atLeast"/>
        <w:ind w:left="567"/>
        <w:jc w:val="both"/>
        <w:rPr>
          <w:rFonts w:ascii="Arial" w:hAnsi="Arial" w:cs="Arial"/>
          <w:sz w:val="22"/>
          <w:szCs w:val="22"/>
        </w:rPr>
      </w:pPr>
    </w:p>
    <w:p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rsidR="00A15644" w:rsidRPr="002C3481" w:rsidRDefault="00A15644" w:rsidP="00B36345">
      <w:pPr>
        <w:pStyle w:val="Mjstyl3"/>
        <w:numPr>
          <w:ilvl w:val="3"/>
          <w:numId w:val="40"/>
        </w:numPr>
        <w:spacing w:before="240" w:after="240"/>
      </w:pPr>
      <w:r w:rsidRPr="00A301F6">
        <w:lastRenderedPageBreak/>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rsidR="00A15644" w:rsidRPr="002010CA" w:rsidRDefault="00A15644" w:rsidP="00B36345">
      <w:pPr>
        <w:pStyle w:val="Mjstyl3"/>
        <w:numPr>
          <w:ilvl w:val="1"/>
          <w:numId w:val="40"/>
        </w:numPr>
        <w:spacing w:before="240" w:after="240"/>
        <w:rPr>
          <w:b/>
        </w:rPr>
      </w:pPr>
      <w:r w:rsidRPr="002010CA">
        <w:rPr>
          <w:b/>
        </w:rPr>
        <w:t>Zadávací podmínky</w:t>
      </w:r>
    </w:p>
    <w:p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Pr="000258AE">
        <w:rPr>
          <w:rFonts w:ascii="Arial" w:hAnsi="Arial" w:cs="Arial"/>
          <w:sz w:val="22"/>
          <w:szCs w:val="22"/>
        </w:rPr>
        <w:t>.</w:t>
      </w:r>
    </w:p>
    <w:p w:rsidR="00A15644" w:rsidRPr="008025F1" w:rsidRDefault="00A15644" w:rsidP="00B36345">
      <w:pPr>
        <w:pStyle w:val="Mjstyl3"/>
        <w:numPr>
          <w:ilvl w:val="3"/>
          <w:numId w:val="40"/>
        </w:numPr>
        <w:spacing w:before="240" w:after="240"/>
      </w:pPr>
      <w:r w:rsidRPr="008025F1">
        <w:t>Zadávací podmínky mohou dále obsahovat zejména:</w:t>
      </w:r>
    </w:p>
    <w:p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w:t>
      </w:r>
      <w:proofErr w:type="spellStart"/>
      <w:r w:rsidRPr="000258AE">
        <w:rPr>
          <w:rFonts w:ascii="Arial" w:hAnsi="Arial" w:cs="Arial"/>
          <w:sz w:val="22"/>
          <w:szCs w:val="22"/>
        </w:rPr>
        <w:t>ust</w:t>
      </w:r>
      <w:proofErr w:type="spellEnd"/>
      <w:r w:rsidRPr="000258AE">
        <w:rPr>
          <w:rFonts w:ascii="Arial" w:hAnsi="Arial" w:cs="Arial"/>
          <w:sz w:val="22"/>
          <w:szCs w:val="22"/>
        </w:rPr>
        <w:t>. § 53 od</w:t>
      </w:r>
      <w:r w:rsidRPr="00922356">
        <w:rPr>
          <w:rFonts w:ascii="Arial" w:hAnsi="Arial" w:cs="Arial"/>
          <w:sz w:val="22"/>
          <w:szCs w:val="22"/>
        </w:rPr>
        <w:t>st. 4 ZZVZ;</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rsidR="00A15644" w:rsidRPr="00EC1C3A" w:rsidRDefault="00A15644" w:rsidP="00B36345">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rsidR="00FB34DC" w:rsidRDefault="00FB34DC" w:rsidP="005A2458"/>
    <w:p w:rsidR="00FB34DC" w:rsidRDefault="00FB34DC" w:rsidP="005A2458"/>
    <w:p w:rsidR="00FB34DC" w:rsidRDefault="00FB34DC" w:rsidP="005A2458"/>
    <w:p w:rsidR="00FB34DC" w:rsidRDefault="00FB34DC" w:rsidP="005A2458"/>
    <w:p w:rsidR="00FB34DC" w:rsidRPr="005A2458" w:rsidRDefault="00FB34DC" w:rsidP="005A2458"/>
    <w:p w:rsidR="00A15644" w:rsidRPr="002010CA" w:rsidRDefault="00A15644" w:rsidP="00B36345">
      <w:pPr>
        <w:pStyle w:val="Mjstyl3"/>
        <w:numPr>
          <w:ilvl w:val="1"/>
          <w:numId w:val="40"/>
        </w:numPr>
        <w:spacing w:before="240" w:after="240"/>
        <w:rPr>
          <w:b/>
        </w:rPr>
      </w:pPr>
      <w:r w:rsidRPr="002010CA">
        <w:rPr>
          <w:b/>
        </w:rPr>
        <w:lastRenderedPageBreak/>
        <w:t>Jednání o nabídkách</w:t>
      </w:r>
    </w:p>
    <w:p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rsidR="00A15644" w:rsidRPr="002010CA" w:rsidRDefault="00A15644" w:rsidP="00B36345">
      <w:pPr>
        <w:pStyle w:val="Mjstyl3"/>
        <w:numPr>
          <w:ilvl w:val="1"/>
          <w:numId w:val="40"/>
        </w:numPr>
        <w:spacing w:before="240" w:after="240"/>
        <w:rPr>
          <w:b/>
        </w:rPr>
      </w:pPr>
      <w:r w:rsidRPr="002010CA">
        <w:rPr>
          <w:b/>
        </w:rPr>
        <w:lastRenderedPageBreak/>
        <w:t>Otevírání, posouzení a hodnocení nabídek</w:t>
      </w:r>
    </w:p>
    <w:p w:rsidR="00A15644" w:rsidRPr="002010CA" w:rsidRDefault="00A15644" w:rsidP="00B36345">
      <w:pPr>
        <w:pStyle w:val="Mjstyl3"/>
        <w:numPr>
          <w:ilvl w:val="3"/>
          <w:numId w:val="40"/>
        </w:numPr>
        <w:spacing w:before="240" w:after="240"/>
      </w:pPr>
      <w:r w:rsidRPr="002010CA">
        <w:t>Otevírání, posouzení a hodnocení nabídek provádí:</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rsidR="00A15644" w:rsidRPr="00EC1C3A" w:rsidRDefault="00A15644" w:rsidP="00B36345">
      <w:pPr>
        <w:pStyle w:val="Mjstyl3"/>
        <w:numPr>
          <w:ilvl w:val="3"/>
          <w:numId w:val="40"/>
        </w:numPr>
        <w:spacing w:before="240" w:after="240"/>
      </w:pPr>
      <w:r w:rsidRPr="00EC1C3A">
        <w:lastRenderedPageBreak/>
        <w:t>Zadavatel může vyloučit účastníka pro nezpůsobilost, pokud prokáže, že</w:t>
      </w:r>
    </w:p>
    <w:p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rsidR="00A15644" w:rsidRPr="003F1DF3" w:rsidRDefault="00A15644" w:rsidP="00B36345">
      <w:pPr>
        <w:pStyle w:val="Mjstyl3"/>
        <w:numPr>
          <w:ilvl w:val="3"/>
          <w:numId w:val="40"/>
        </w:numPr>
        <w:spacing w:before="240" w:after="240"/>
      </w:pPr>
      <w:r w:rsidRPr="003F1DF3">
        <w:t xml:space="preserve">Pro hodnocení ekonomické výhodnosti nabídky podle kvality je zadavatel povinen stanovit kritéria, která vyjadřují kvalitativní, environmentální nebo sociální hlediska </w:t>
      </w:r>
      <w:r w:rsidRPr="003F1DF3">
        <w:lastRenderedPageBreak/>
        <w:t>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rsidR="00A15644" w:rsidRPr="003F1DF3" w:rsidRDefault="00A15644" w:rsidP="00B36345">
      <w:pPr>
        <w:pStyle w:val="Mjstyl3"/>
        <w:numPr>
          <w:ilvl w:val="3"/>
          <w:numId w:val="40"/>
        </w:numPr>
        <w:spacing w:before="240" w:after="240"/>
      </w:pPr>
      <w:r w:rsidRPr="003F1DF3">
        <w:t xml:space="preserve">Kritériem kvality mohou být zejména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rsidR="00A15644" w:rsidRPr="002010CA" w:rsidRDefault="00A15644" w:rsidP="00B36345">
      <w:pPr>
        <w:pStyle w:val="Mjstyl3"/>
        <w:numPr>
          <w:ilvl w:val="1"/>
          <w:numId w:val="40"/>
        </w:numPr>
        <w:spacing w:before="240" w:after="240"/>
        <w:rPr>
          <w:b/>
        </w:rPr>
      </w:pPr>
      <w:r w:rsidRPr="002010CA">
        <w:rPr>
          <w:b/>
        </w:rPr>
        <w:t>Uzavření smlouvy s dodavatelem</w:t>
      </w:r>
    </w:p>
    <w:p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označení smluvních stran vč. IČO a DIČ pokud jsou přiděleny;</w:t>
      </w:r>
    </w:p>
    <w:p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 zda dodavatel je či není plátcem DPH, platební podmínky;</w:t>
      </w:r>
    </w:p>
    <w:p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rsidR="00A15644" w:rsidRPr="00783CBE" w:rsidRDefault="00A15644" w:rsidP="00A15644">
      <w:pPr>
        <w:pStyle w:val="Zkladntext"/>
        <w:tabs>
          <w:tab w:val="left" w:pos="426"/>
        </w:tabs>
        <w:ind w:left="1276"/>
        <w:rPr>
          <w:rFonts w:ascii="Arial" w:hAnsi="Arial" w:cs="Arial"/>
          <w:sz w:val="22"/>
        </w:rPr>
      </w:pPr>
    </w:p>
    <w:p w:rsidR="00A15644" w:rsidRPr="002010CA" w:rsidRDefault="00A15644" w:rsidP="00B36345">
      <w:pPr>
        <w:pStyle w:val="Mjstyl3"/>
        <w:numPr>
          <w:ilvl w:val="1"/>
          <w:numId w:val="40"/>
        </w:numPr>
        <w:spacing w:before="240" w:after="240"/>
        <w:rPr>
          <w:b/>
        </w:rPr>
      </w:pPr>
      <w:r w:rsidRPr="002010CA">
        <w:rPr>
          <w:b/>
        </w:rPr>
        <w:t xml:space="preserve">Změna smlouvy </w:t>
      </w:r>
    </w:p>
    <w:p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lastRenderedPageBreak/>
        <w:t>umožnila účast jiných dodavatelů nebo by mohla ovlivnit výběr dodavatele v původním výběrovém řízení, pokud by zadávací podmínky původního výběrového řízení odpovídaly této změně,</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rsidR="003C5908" w:rsidRPr="005A2458" w:rsidRDefault="003C5908" w:rsidP="005A2458">
      <w:pPr>
        <w:pStyle w:val="Odstavecseseznamem"/>
        <w:spacing w:line="240" w:lineRule="atLeast"/>
        <w:ind w:left="851"/>
        <w:jc w:val="both"/>
        <w:rPr>
          <w:rFonts w:cs="Arial"/>
          <w:szCs w:val="22"/>
        </w:rPr>
      </w:pPr>
    </w:p>
    <w:p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stavebních prací, služeb nebo dodávek, které nebyly s ohledem na tyto změny realizovány, nepřesáhne 30 % původní hodnoty závazku. </w:t>
      </w:r>
    </w:p>
    <w:p w:rsidR="00A15644" w:rsidRPr="00EC1C3A" w:rsidRDefault="00A15644" w:rsidP="00B36345">
      <w:pPr>
        <w:pStyle w:val="Mjstyl3"/>
        <w:numPr>
          <w:ilvl w:val="1"/>
          <w:numId w:val="40"/>
        </w:numPr>
        <w:spacing w:before="240" w:after="240"/>
        <w:rPr>
          <w:b/>
        </w:rPr>
      </w:pPr>
      <w:r w:rsidRPr="002010CA">
        <w:rPr>
          <w:b/>
        </w:rPr>
        <w:t>Zrušení výběrového řízení</w:t>
      </w:r>
    </w:p>
    <w:p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rsidR="00A15644" w:rsidRPr="002010CA" w:rsidRDefault="00A15644" w:rsidP="00A15644">
      <w:pPr>
        <w:pStyle w:val="Mjstyl4"/>
        <w:numPr>
          <w:ilvl w:val="0"/>
          <w:numId w:val="0"/>
        </w:numPr>
        <w:rPr>
          <w:rStyle w:val="StyleArial11pt"/>
        </w:rPr>
      </w:pPr>
    </w:p>
    <w:p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rsidR="00DB26A9" w:rsidRDefault="00DB26A9" w:rsidP="009177C0">
      <w:pPr>
        <w:spacing w:line="240" w:lineRule="atLeast"/>
        <w:rPr>
          <w:rFonts w:ascii="Arial" w:hAnsi="Arial" w:cs="Arial"/>
          <w:b/>
          <w:sz w:val="22"/>
          <w:szCs w:val="22"/>
        </w:rPr>
      </w:pPr>
    </w:p>
    <w:p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předložit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9177C0">
      <w:pPr>
        <w:spacing w:line="240" w:lineRule="atLeast"/>
        <w:ind w:left="851"/>
        <w:rPr>
          <w:rFonts w:ascii="Arial" w:hAnsi="Arial" w:cs="Arial"/>
          <w:sz w:val="22"/>
          <w:szCs w:val="22"/>
        </w:rPr>
      </w:pPr>
    </w:p>
    <w:p w:rsidR="009177C0" w:rsidRPr="0041078B" w:rsidRDefault="009177C0" w:rsidP="0028752E">
      <w:pPr>
        <w:ind w:left="567"/>
        <w:jc w:val="both"/>
        <w:rPr>
          <w:rFonts w:ascii="Arial" w:hAnsi="Arial" w:cs="Arial"/>
          <w:sz w:val="22"/>
          <w:szCs w:val="22"/>
          <w:highlight w:val="yellow"/>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9177C0" w:rsidRPr="00E15D56" w:rsidRDefault="009177C0" w:rsidP="00B36345">
      <w:pPr>
        <w:pStyle w:val="Mjstyl3"/>
        <w:numPr>
          <w:ilvl w:val="1"/>
          <w:numId w:val="40"/>
        </w:numPr>
        <w:spacing w:before="240" w:after="240"/>
        <w:rPr>
          <w:i/>
        </w:rPr>
      </w:pPr>
      <w:r w:rsidRPr="00C23D45">
        <w:t>Zaslat ŘO OPTP pozvánku nejpozději 5 prac</w:t>
      </w:r>
      <w:r w:rsidRPr="00146F13">
        <w:t xml:space="preserve">ovních dnů před termínem konání </w:t>
      </w:r>
      <w:r w:rsidR="00B7277F" w:rsidRPr="00146F13">
        <w:t>prvního</w:t>
      </w:r>
      <w:r w:rsidRPr="00E15D56">
        <w:t xml:space="preserve"> jednání hodnoticí komise. </w:t>
      </w:r>
    </w:p>
    <w:p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předložit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lastRenderedPageBreak/>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B.20.</w:t>
      </w:r>
    </w:p>
    <w:p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rsidR="009177C0" w:rsidRPr="009177C0" w:rsidRDefault="009177C0" w:rsidP="009177C0">
      <w:pPr>
        <w:pStyle w:val="Odstavecseseznamem"/>
        <w:spacing w:line="240" w:lineRule="atLeast"/>
        <w:ind w:left="1560"/>
        <w:rPr>
          <w:rFonts w:ascii="Arial" w:hAnsi="Arial" w:cs="Arial"/>
          <w:sz w:val="22"/>
          <w:szCs w:val="22"/>
        </w:rPr>
      </w:pPr>
    </w:p>
    <w:p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B.21. písm. d</w:t>
      </w:r>
      <w:r>
        <w:t>) musí zahrnovat:</w:t>
      </w:r>
    </w:p>
    <w:p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CD40A5" w:rsidRDefault="00CD40A5" w:rsidP="00CD40A5">
      <w:pPr>
        <w:pStyle w:val="Odstavecseseznamem"/>
        <w:spacing w:line="240" w:lineRule="atLeast"/>
        <w:ind w:left="851"/>
        <w:jc w:val="both"/>
        <w:rPr>
          <w:rFonts w:ascii="Arial" w:hAnsi="Arial" w:cs="Arial"/>
          <w:sz w:val="22"/>
          <w:szCs w:val="22"/>
        </w:rPr>
      </w:pPr>
    </w:p>
    <w:p w:rsidR="00CD40A5" w:rsidRPr="008D7E78"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009177C0" w:rsidRPr="009177C0" w:rsidRDefault="009177C0" w:rsidP="00B36345">
      <w:pPr>
        <w:pStyle w:val="Mjstyl3"/>
        <w:numPr>
          <w:ilvl w:val="1"/>
          <w:numId w:val="40"/>
        </w:numPr>
        <w:spacing w:before="240" w:after="240"/>
      </w:pPr>
      <w:r w:rsidRPr="009177C0">
        <w:rPr>
          <w:b/>
        </w:rPr>
        <w:lastRenderedPageBreak/>
        <w:t>Po uzavření smlouvy</w:t>
      </w:r>
      <w:r w:rsidRPr="009177C0">
        <w:t xml:space="preserve"> na plnění zakázky </w:t>
      </w:r>
      <w:r w:rsidR="0081396E">
        <w:t xml:space="preserve">předložit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p>
    <w:p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r w:rsidR="002C130D">
        <w:rPr>
          <w:rFonts w:ascii="Arial" w:hAnsi="Arial" w:cs="Arial"/>
          <w:i/>
          <w:sz w:val="22"/>
          <w:szCs w:val="22"/>
        </w:rPr>
        <w:t xml:space="preserve">, </w:t>
      </w:r>
      <w:r w:rsidR="002C130D" w:rsidRPr="002C130D">
        <w:rPr>
          <w:rFonts w:ascii="Arial" w:hAnsi="Arial" w:cs="Arial"/>
          <w:i/>
          <w:sz w:val="22"/>
          <w:szCs w:val="22"/>
        </w:rPr>
        <w:t>případně jiný údaj umožňující dohledání daného dokumentu</w:t>
      </w:r>
      <w:r w:rsidRPr="009177C0">
        <w:rPr>
          <w:rFonts w:ascii="Arial" w:hAnsi="Arial" w:cs="Arial"/>
          <w:i/>
          <w:sz w:val="22"/>
          <w:szCs w:val="22"/>
        </w:rPr>
        <w:t>.</w:t>
      </w:r>
    </w:p>
    <w:p w:rsidR="009177C0" w:rsidRPr="00B41818" w:rsidRDefault="009177C0" w:rsidP="00B36345">
      <w:pPr>
        <w:pStyle w:val="Mjstyl3"/>
        <w:numPr>
          <w:ilvl w:val="1"/>
          <w:numId w:val="40"/>
        </w:numPr>
        <w:spacing w:before="240" w:after="240"/>
      </w:pPr>
      <w:r w:rsidRPr="00BD4F31">
        <w:t xml:space="preserve">Do všech smluv </w:t>
      </w:r>
      <w:r w:rsidR="00AF281A" w:rsidRPr="00BD4F31">
        <w:t xml:space="preserve">s dodavateli </w:t>
      </w:r>
      <w:r w:rsidR="00AF281A" w:rsidRPr="00BD4F31">
        <w:rPr>
          <w:b/>
        </w:rPr>
        <w:t>je</w:t>
      </w:r>
      <w:r w:rsidR="00AF281A" w:rsidRPr="00B41818">
        <w:t xml:space="preserve"> příjemce </w:t>
      </w:r>
      <w:r w:rsidR="00AF281A" w:rsidRPr="00B41818">
        <w:rPr>
          <w:b/>
        </w:rPr>
        <w:t>povinen</w:t>
      </w:r>
      <w:r w:rsidR="00AF281A" w:rsidRPr="00B41818">
        <w:t xml:space="preserve"> zapracovat ustanovení:</w:t>
      </w:r>
    </w:p>
    <w:p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rsidR="00506DA7" w:rsidRPr="00506DA7" w:rsidRDefault="00506DA7" w:rsidP="00506DA7">
      <w:pPr>
        <w:pStyle w:val="Odstavecseseznamem"/>
        <w:spacing w:line="240" w:lineRule="atLeast"/>
        <w:ind w:left="567"/>
        <w:jc w:val="both"/>
        <w:rPr>
          <w:rFonts w:ascii="Arial" w:hAnsi="Arial" w:cs="Arial"/>
          <w:sz w:val="22"/>
          <w:szCs w:val="22"/>
        </w:rPr>
      </w:pPr>
    </w:p>
    <w:p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w:t>
      </w:r>
      <w:r w:rsidRPr="00BD4F31">
        <w:rPr>
          <w:rFonts w:ascii="Arial" w:hAnsi="Arial" w:cs="Arial"/>
          <w:snapToGrid w:val="0"/>
          <w:sz w:val="22"/>
          <w:szCs w:val="22"/>
        </w:rPr>
        <w:lastRenderedPageBreak/>
        <w:t>obsahovat informaci, že se jedná o projekt „OPTP 2014-2020“ a registrační číslo projektu.</w:t>
      </w:r>
    </w:p>
    <w:p w:rsidR="00DB26A9" w:rsidRPr="00BD4F31" w:rsidRDefault="00DB26A9" w:rsidP="009177C0">
      <w:pPr>
        <w:spacing w:line="240" w:lineRule="atLeast"/>
        <w:ind w:left="851" w:hanging="284"/>
        <w:rPr>
          <w:rFonts w:ascii="Arial" w:hAnsi="Arial" w:cs="Arial"/>
          <w:sz w:val="22"/>
          <w:szCs w:val="22"/>
        </w:rPr>
      </w:pPr>
    </w:p>
    <w:p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t>B.</w:t>
      </w:r>
      <w:r w:rsidR="00B56B1D">
        <w:t>2</w:t>
      </w:r>
      <w:r w:rsidR="00F13A27">
        <w:t>2</w:t>
      </w:r>
      <w:r w:rsidRPr="00E0434B">
        <w:t>. Neuzavření dodatku ke smlouvě nebude ze strany ŘO OPTP sankcionováno.</w:t>
      </w:r>
    </w:p>
    <w:p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předložit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podkladů.</w:t>
      </w:r>
    </w:p>
    <w:p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w:t>
      </w:r>
      <w:proofErr w:type="spellStart"/>
      <w:r w:rsidRPr="009177C0">
        <w:t>minitendr</w:t>
      </w:r>
      <w:proofErr w:type="spellEnd"/>
      <w:r w:rsidRPr="009177C0">
        <w:t>) předložit postupem uvedeným v bodech B.</w:t>
      </w:r>
      <w:r w:rsidR="00284F87">
        <w:t>17</w:t>
      </w:r>
      <w:r w:rsidRPr="009177C0">
        <w:t>., B.</w:t>
      </w:r>
      <w:r w:rsidR="00284F87">
        <w:t>19</w:t>
      </w:r>
      <w:r w:rsidRPr="009177C0">
        <w:t>., B.</w:t>
      </w:r>
      <w:r w:rsidR="00B56B1D">
        <w:t>2</w:t>
      </w:r>
      <w:r w:rsidR="00284F87">
        <w:t>1</w:t>
      </w:r>
      <w:r w:rsidRPr="009177C0">
        <w:t>. ŘO OPTP podklady k posouzení včetně zaslání pozvánky dle bodu B.</w:t>
      </w:r>
      <w:r w:rsidR="00B4425F">
        <w:t>2</w:t>
      </w:r>
      <w:r w:rsidR="00284F87">
        <w:t>8</w:t>
      </w:r>
      <w:r w:rsidRPr="009177C0">
        <w:t>.</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posouzení. V opačném případě je příjemce povinen postupovat analogicky od bodu B.</w:t>
      </w:r>
      <w:r w:rsidR="00BD2784">
        <w:rPr>
          <w:rFonts w:ascii="Arial" w:hAnsi="Arial" w:cs="Arial"/>
          <w:i/>
          <w:sz w:val="22"/>
          <w:szCs w:val="22"/>
        </w:rPr>
        <w:t>1</w:t>
      </w:r>
      <w:r w:rsidR="00922356">
        <w:rPr>
          <w:rFonts w:ascii="Arial" w:hAnsi="Arial" w:cs="Arial"/>
          <w:i/>
          <w:sz w:val="22"/>
          <w:szCs w:val="22"/>
        </w:rPr>
        <w:t>7</w:t>
      </w:r>
      <w:r w:rsidRPr="009177C0">
        <w:rPr>
          <w:rFonts w:ascii="Arial" w:hAnsi="Arial" w:cs="Arial"/>
          <w:i/>
          <w:sz w:val="22"/>
          <w:szCs w:val="22"/>
        </w:rPr>
        <w:t>.</w:t>
      </w:r>
    </w:p>
    <w:p w:rsidR="009177C0" w:rsidRPr="009177C0" w:rsidRDefault="009177C0" w:rsidP="00B36345">
      <w:pPr>
        <w:pStyle w:val="Mjstyl3"/>
        <w:numPr>
          <w:ilvl w:val="1"/>
          <w:numId w:val="40"/>
        </w:numPr>
        <w:spacing w:before="240" w:after="240"/>
      </w:pPr>
      <w:r w:rsidRPr="009177C0">
        <w:t>Zadavatel je povinen</w:t>
      </w:r>
      <w:r w:rsidRPr="009177C0">
        <w:rPr>
          <w:b/>
        </w:rPr>
        <w:t xml:space="preserve"> uchovávat dokumentaci</w:t>
      </w:r>
      <w:r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Pr="009177C0">
        <w:t>.</w:t>
      </w:r>
    </w:p>
    <w:p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rsidR="009177C0" w:rsidRPr="009177C0" w:rsidRDefault="009177C0" w:rsidP="00B36345">
      <w:pPr>
        <w:pStyle w:val="Mjstyl3"/>
        <w:numPr>
          <w:ilvl w:val="1"/>
          <w:numId w:val="40"/>
        </w:numPr>
        <w:spacing w:before="240" w:after="240"/>
      </w:pPr>
      <w:r w:rsidRPr="009177C0">
        <w:t xml:space="preserve">U projektů, v nichž výběrové řízení bylo zahájeno či ukončeno </w:t>
      </w:r>
      <w:r w:rsidRPr="009177C0">
        <w:rPr>
          <w:b/>
        </w:rPr>
        <w:t>před vydáním Rozhodnutí/Stanovení výdajů/Dopisu</w:t>
      </w:r>
      <w:r w:rsidRPr="009177C0">
        <w:t>, je žadatel povinen postupem analogicky k bodu B.1</w:t>
      </w:r>
      <w:r w:rsidR="003C6459">
        <w:t>7</w:t>
      </w:r>
      <w:r w:rsidRPr="009177C0">
        <w:t>., B.</w:t>
      </w:r>
      <w:r w:rsidR="003C6459">
        <w:t>19</w:t>
      </w:r>
      <w:r w:rsidRPr="009177C0">
        <w:t>., B.</w:t>
      </w:r>
      <w:r w:rsidR="00B56B1D">
        <w:t>2</w:t>
      </w:r>
      <w:r w:rsidR="003C6459">
        <w:t>1</w:t>
      </w:r>
      <w:r w:rsidRPr="009177C0">
        <w:t>.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w:t>
      </w:r>
      <w:r w:rsidR="00AC5AC3">
        <w:lastRenderedPageBreak/>
        <w:t xml:space="preserve">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4756EF" w:rsidRPr="004756EF" w:rsidRDefault="009177C0" w:rsidP="00B36345">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 vloží příjemce veškerou dokumentaci k výběrovému řízení do MS14+ k danému projektu a výběrovému řízení a informuje o tom formou interní depeše v MS2014+ příslušného projektového manažera a specialisty na veřejné zakázky. Pokud ve výběrovém řízení došlo ke změně (např. byl uzavřen dodatek), je příjemce navíc povinen předložit dokumentaci k této změně k posouzení.</w:t>
      </w:r>
    </w:p>
    <w:p w:rsidR="00162F3B" w:rsidRDefault="00162F3B" w:rsidP="00B36345">
      <w:pPr>
        <w:pStyle w:val="Mjstyl3"/>
        <w:numPr>
          <w:ilvl w:val="1"/>
          <w:numId w:val="40"/>
        </w:numPr>
        <w:spacing w:before="240" w:after="240"/>
      </w:pPr>
      <w:r>
        <w:t xml:space="preserve">V případě administrativního ověření </w:t>
      </w:r>
      <w:r w:rsidRPr="002A0595">
        <w:rPr>
          <w:b/>
        </w:rPr>
        <w:t>interim</w:t>
      </w:r>
      <w:r>
        <w:t xml:space="preserve"> příjemce předkládá podklady k výběrovému řízení v příloze interní depeše v MS2014+ adresované specialistům na veřejné zakázky, v kopii příslušnému projektovému manažerovi.</w:t>
      </w:r>
      <w:r w:rsidR="000900F3" w:rsidRPr="000900F3">
        <w:t xml:space="preserve"> </w:t>
      </w:r>
      <w:r w:rsidR="003E5635" w:rsidRPr="003E5635">
        <w:t xml:space="preserve">Do textu interní depeše příjemce vždy uvede název a registrační číslo projektu a název </w:t>
      </w:r>
      <w:r w:rsidR="003E5635">
        <w:t>a číslo zakázky uvedené v MS14+</w:t>
      </w:r>
      <w:r w:rsidR="000900F3" w:rsidRPr="000900F3">
        <w:t>.</w:t>
      </w:r>
      <w:r w:rsidR="003E5635">
        <w:t xml:space="preserve"> </w:t>
      </w:r>
      <w:r>
        <w:t>V průběhu ověřování předložené dokumentace (zasílání připomínek ze strany ŘO a jejich následné vypořádání</w:t>
      </w:r>
      <w:r w:rsidR="005F3AA1">
        <w:t xml:space="preserve"> ze strany příjemce</w:t>
      </w:r>
      <w:r>
        <w:t>) bude veškerá komunikace probíhat prostřednictvím interních depeší a uprav</w:t>
      </w:r>
      <w:r w:rsidR="005F3AA1">
        <w:t>ova</w:t>
      </w:r>
      <w:r>
        <w:t xml:space="preserve">ná dokumentace bude zasílána v příloze těchto depeší. </w:t>
      </w:r>
    </w:p>
    <w:p w:rsidR="00162F3B" w:rsidRDefault="00162F3B" w:rsidP="002A0595">
      <w:pPr>
        <w:pStyle w:val="Mjstyl3"/>
        <w:numPr>
          <w:ilvl w:val="0"/>
          <w:numId w:val="0"/>
        </w:numPr>
        <w:spacing w:before="240" w:after="240"/>
        <w:ind w:left="576"/>
      </w:pPr>
      <w:r>
        <w:t>Po vydání finálního stanoviska z</w:t>
      </w:r>
      <w:r w:rsidR="002536B2">
        <w:t xml:space="preserve"> dané fáze administrativního </w:t>
      </w:r>
      <w:r>
        <w:t>ověření zakázky (tj. po schválení finální verze dokumentace k</w:t>
      </w:r>
      <w:r w:rsidR="002536B2">
        <w:t> dané fázi administrativního ověření</w:t>
      </w:r>
      <w:r w:rsidR="005F3AA1">
        <w:t xml:space="preserve"> ze strany ŘO OPTP</w:t>
      </w:r>
      <w:r>
        <w:t xml:space="preserve">), příjemce </w:t>
      </w:r>
      <w:r w:rsidR="000900F3">
        <w:t xml:space="preserve">neprodleně </w:t>
      </w:r>
      <w:r>
        <w:t xml:space="preserve">vloží </w:t>
      </w:r>
      <w:r w:rsidR="002536B2">
        <w:t xml:space="preserve">takto schválenou </w:t>
      </w:r>
      <w:r>
        <w:t xml:space="preserve">finální verzi podkladů k výběrovému řízení do MS2014+ k danému projektu a </w:t>
      </w:r>
      <w:r w:rsidR="002536B2">
        <w:t>výběrovému řízení</w:t>
      </w:r>
      <w:r w:rsidR="00C23D45">
        <w:t>, a to</w:t>
      </w:r>
      <w:r w:rsidR="008B1B1B">
        <w:t xml:space="preserve"> buď </w:t>
      </w:r>
      <w:r w:rsidR="002536B2">
        <w:t xml:space="preserve">formou „Oznámení o změně“ </w:t>
      </w:r>
      <w:r>
        <w:t>nebo prostřednictvím</w:t>
      </w:r>
      <w:r w:rsidR="00C23D45">
        <w:t xml:space="preserve"> nejbližší</w:t>
      </w:r>
      <w:r>
        <w:t xml:space="preserve"> „Zprávy o </w:t>
      </w:r>
      <w:r w:rsidRPr="00351BF3">
        <w:t>realizaci</w:t>
      </w:r>
      <w:r w:rsidR="002536B2" w:rsidRPr="00351BF3">
        <w:t>“</w:t>
      </w:r>
      <w:r w:rsidR="00C23D45">
        <w:t xml:space="preserve"> nebo „Žádosti o platbu“</w:t>
      </w:r>
      <w:r w:rsidRPr="00351BF3">
        <w:t>.</w:t>
      </w:r>
      <w:r w:rsidR="000900F3">
        <w:t xml:space="preserve"> </w:t>
      </w:r>
    </w:p>
    <w:p w:rsidR="00196154" w:rsidRDefault="00162F3B" w:rsidP="00B36345">
      <w:pPr>
        <w:pStyle w:val="Mjstyl3"/>
        <w:numPr>
          <w:ilvl w:val="1"/>
          <w:numId w:val="40"/>
        </w:numPr>
        <w:spacing w:before="240" w:after="240"/>
      </w:pPr>
      <w:r>
        <w:t xml:space="preserve">V případě administrativního ověření </w:t>
      </w:r>
      <w:r w:rsidRPr="002A0595">
        <w:rPr>
          <w:b/>
        </w:rPr>
        <w:t>ex-ante</w:t>
      </w:r>
      <w:r>
        <w:t xml:space="preserve"> p</w:t>
      </w:r>
      <w:r w:rsidR="00196154" w:rsidRPr="00196154">
        <w:t>říjemce předkládá podklady k</w:t>
      </w:r>
      <w:r w:rsidR="00FC7755">
        <w:t> </w:t>
      </w:r>
      <w:r w:rsidR="00196154">
        <w:t>výběrovému</w:t>
      </w:r>
      <w:r w:rsidR="00196154" w:rsidRPr="00196154">
        <w:t xml:space="preserve"> řízení</w:t>
      </w:r>
      <w:r w:rsidR="00FC7755">
        <w:t xml:space="preserve"> v příloze interní depeše v MS2014+ adresované specialistům na veřejné zakázky, v kopii příslušnému projektovému manažerovi</w:t>
      </w:r>
      <w:r w:rsidR="003E5635">
        <w:t>. Do</w:t>
      </w:r>
      <w:r w:rsidR="003E5635" w:rsidRPr="000900F3">
        <w:t xml:space="preserve"> textu interní depeše </w:t>
      </w:r>
      <w:r w:rsidR="003E5635">
        <w:t xml:space="preserve">příjemce vždy </w:t>
      </w:r>
      <w:r w:rsidR="003E5635" w:rsidRPr="000900F3">
        <w:t>uvede název a registrační číslo projektu a název a číslo zakázky uvedené v MS14+.</w:t>
      </w:r>
      <w:r w:rsidR="00FC7755">
        <w:t xml:space="preserve"> </w:t>
      </w:r>
      <w:r w:rsidR="003E5635">
        <w:t>V</w:t>
      </w:r>
      <w:r w:rsidR="00FC7755">
        <w:t xml:space="preserve">eškerou dokumentaci k výběrovému řízení </w:t>
      </w:r>
      <w:r w:rsidR="003E5635">
        <w:t xml:space="preserve">příjemce rovněž vloží </w:t>
      </w:r>
      <w:r w:rsidR="00FC7755">
        <w:t xml:space="preserve">do MS2014+ k danému projektu a výběrovému řízení. </w:t>
      </w:r>
    </w:p>
    <w:p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ů a název a číslo zakázek, v rámci kterých byly ověřovány.</w:t>
      </w:r>
    </w:p>
    <w:p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w:t>
      </w:r>
      <w:r w:rsidR="005939B9">
        <w:t>MP zakázky</w:t>
      </w:r>
      <w:r w:rsidR="0086367F" w:rsidRPr="009177C0">
        <w:t xml:space="preserve"> pro stanovení finančních oprav</w:t>
      </w:r>
      <w:r w:rsidRPr="00690B7F">
        <w:t xml:space="preserve">.  </w:t>
      </w:r>
    </w:p>
    <w:p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 xml:space="preserve">malého rozsahu, jejichž předpokládaná hodnota je nižší než 400 000,- Kč bez DPH.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rsidR="0022757A" w:rsidRDefault="0022757A" w:rsidP="008D7E78">
      <w:pPr>
        <w:pStyle w:val="Mjstyl3"/>
        <w:numPr>
          <w:ilvl w:val="0"/>
          <w:numId w:val="0"/>
        </w:numPr>
        <w:spacing w:before="240" w:after="240"/>
      </w:pPr>
    </w:p>
    <w:p w:rsidR="00940246" w:rsidRDefault="00940246">
      <w:pPr>
        <w:rPr>
          <w:rFonts w:ascii="Arial" w:hAnsi="Arial" w:cs="Arial"/>
          <w:sz w:val="22"/>
          <w:szCs w:val="22"/>
        </w:rPr>
      </w:pPr>
      <w:r>
        <w:br w:type="page"/>
      </w:r>
    </w:p>
    <w:p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rsidR="00A920C8" w:rsidRDefault="00A920C8" w:rsidP="00687B62">
      <w:pPr>
        <w:tabs>
          <w:tab w:val="left" w:pos="5387"/>
        </w:tabs>
        <w:rPr>
          <w:rFonts w:ascii="Arial" w:hAnsi="Arial" w:cs="Arial"/>
          <w:b/>
          <w:sz w:val="24"/>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A920C8" w:rsidRPr="00FE76D8" w:rsidTr="00177437">
        <w:trPr>
          <w:tblHeader/>
        </w:trPr>
        <w:tc>
          <w:tcPr>
            <w:tcW w:w="2660" w:type="dxa"/>
            <w:shd w:val="clear" w:color="auto" w:fill="99CCFF"/>
          </w:tcPr>
          <w:p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7055" w:type="dxa"/>
            <w:shd w:val="clear" w:color="auto" w:fill="99CCFF"/>
            <w:vAlign w:val="center"/>
          </w:tcPr>
          <w:p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rsidTr="00177437">
        <w:trPr>
          <w:tblHeader/>
        </w:trPr>
        <w:tc>
          <w:tcPr>
            <w:tcW w:w="2660" w:type="dxa"/>
            <w:vMerge w:val="restart"/>
            <w:shd w:val="clear" w:color="auto" w:fill="99CCFF"/>
            <w:vAlign w:val="center"/>
          </w:tcPr>
          <w:p w:rsidR="00A920C8" w:rsidRPr="00FA5E07" w:rsidRDefault="00A920C8" w:rsidP="00177437">
            <w:pPr>
              <w:jc w:val="center"/>
              <w:rPr>
                <w:rFonts w:ascii="Arial" w:hAnsi="Arial" w:cs="Arial"/>
              </w:rPr>
            </w:pPr>
            <w:r w:rsidRPr="00FA5E07">
              <w:rPr>
                <w:rFonts w:ascii="Arial" w:hAnsi="Arial" w:cs="Arial"/>
              </w:rPr>
              <w:t>vydání 2/0</w:t>
            </w: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Úprava definic:  Profil zadavatele, Výběrové řízení, Zadávací řízení v části Definice požadovaných pojmů nad rámec pojmů uvedených v PŽP.</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nově doplněna část A.4. V návaznosti na to bylo upraveno číslování dalších částí. Upravena lhůta z 10 p. d. na 15 p. d. v části A.1., A.3.</w:t>
            </w:r>
            <w:r>
              <w:rPr>
                <w:rFonts w:ascii="Arial" w:hAnsi="Arial" w:cs="Arial"/>
              </w:rPr>
              <w:t xml:space="preserve">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rsidTr="00177437">
        <w:trPr>
          <w:tblHeader/>
        </w:trPr>
        <w:tc>
          <w:tcPr>
            <w:tcW w:w="2660" w:type="dxa"/>
            <w:vMerge/>
            <w:shd w:val="clear" w:color="auto" w:fill="99CCFF"/>
          </w:tcPr>
          <w:p w:rsidR="00A920C8" w:rsidRPr="00736962" w:rsidRDefault="00A920C8" w:rsidP="00177437">
            <w:pPr>
              <w:jc w:val="both"/>
              <w:rPr>
                <w:rFonts w:ascii="Arial" w:hAnsi="Arial" w:cs="Arial"/>
                <w:sz w:val="22"/>
                <w:szCs w:val="24"/>
              </w:rPr>
            </w:pPr>
          </w:p>
        </w:tc>
        <w:tc>
          <w:tcPr>
            <w:tcW w:w="7055" w:type="dxa"/>
            <w:shd w:val="clear" w:color="auto" w:fill="99CCFF"/>
            <w:vAlign w:val="center"/>
          </w:tcPr>
          <w:p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Kapitola 1 -7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r w:rsidR="00A920C8" w:rsidRPr="00FE76D8" w:rsidTr="005A2458">
        <w:trPr>
          <w:trHeight w:val="1280"/>
          <w:tblHeader/>
        </w:trPr>
        <w:tc>
          <w:tcPr>
            <w:tcW w:w="2660" w:type="dxa"/>
            <w:shd w:val="clear" w:color="auto" w:fill="99CCFF"/>
            <w:vAlign w:val="center"/>
          </w:tcPr>
          <w:p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7055" w:type="dxa"/>
            <w:shd w:val="clear" w:color="auto" w:fill="99CCFF"/>
            <w:vAlign w:val="center"/>
          </w:tcPr>
          <w:p w:rsidR="00A920C8" w:rsidRPr="008D7E78" w:rsidRDefault="00A920C8" w:rsidP="00177437">
            <w:pPr>
              <w:spacing w:before="120" w:after="120"/>
              <w:jc w:val="both"/>
              <w:rPr>
                <w:rFonts w:ascii="Arial" w:hAnsi="Arial" w:cs="Arial"/>
              </w:rPr>
            </w:pPr>
            <w:r w:rsidRPr="00FA5E07">
              <w:rPr>
                <w:rFonts w:ascii="Arial" w:hAnsi="Arial" w:cs="Arial"/>
              </w:rPr>
              <w:t xml:space="preserve">Úprava definic:  </w:t>
            </w:r>
            <w:r>
              <w:rPr>
                <w:rFonts w:ascii="Arial" w:hAnsi="Arial" w:cs="Arial"/>
              </w:rPr>
              <w:t xml:space="preserve">Písemně,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r w:rsidR="00683EE7" w:rsidRPr="00FE76D8" w:rsidTr="005A2458">
        <w:trPr>
          <w:trHeight w:val="1280"/>
          <w:tblHeader/>
        </w:trPr>
        <w:tc>
          <w:tcPr>
            <w:tcW w:w="2660" w:type="dxa"/>
            <w:shd w:val="clear" w:color="auto" w:fill="99CCFF"/>
            <w:vAlign w:val="center"/>
          </w:tcPr>
          <w:p w:rsidR="00683EE7" w:rsidRPr="00B7598F" w:rsidRDefault="00683EE7" w:rsidP="005A2458">
            <w:pPr>
              <w:jc w:val="center"/>
              <w:rPr>
                <w:rFonts w:ascii="Arial" w:hAnsi="Arial" w:cs="Arial"/>
              </w:rPr>
            </w:pPr>
            <w:r>
              <w:rPr>
                <w:rFonts w:ascii="Arial" w:hAnsi="Arial" w:cs="Arial"/>
              </w:rPr>
              <w:t>vydání 2/2</w:t>
            </w:r>
          </w:p>
        </w:tc>
        <w:tc>
          <w:tcPr>
            <w:tcW w:w="7055" w:type="dxa"/>
            <w:shd w:val="clear" w:color="auto" w:fill="99CCFF"/>
            <w:vAlign w:val="center"/>
          </w:tcPr>
          <w:p w:rsidR="00683EE7" w:rsidRPr="00FA5E07" w:rsidRDefault="00080B10" w:rsidP="00080B10">
            <w:pPr>
              <w:spacing w:before="120" w:after="120"/>
              <w:jc w:val="both"/>
              <w:rPr>
                <w:rFonts w:ascii="Arial" w:hAnsi="Arial" w:cs="Arial"/>
              </w:rPr>
            </w:pPr>
            <w:r>
              <w:rPr>
                <w:rFonts w:ascii="Arial" w:hAnsi="Arial" w:cs="Arial"/>
              </w:rPr>
              <w:t>Doplnění informace o Registru smluv do bodu A5 a B21. Doplněno doporučené ustanovení do smluv v bodě A7 a B23.</w:t>
            </w:r>
          </w:p>
        </w:tc>
      </w:tr>
    </w:tbl>
    <w:p w:rsidR="00A920C8" w:rsidRPr="008D7E78" w:rsidRDefault="00A920C8" w:rsidP="00687B62">
      <w:pPr>
        <w:tabs>
          <w:tab w:val="left" w:pos="5387"/>
        </w:tabs>
        <w:rPr>
          <w:rFonts w:ascii="Arial" w:hAnsi="Arial" w:cs="Arial"/>
          <w:b/>
          <w:sz w:val="24"/>
          <w:szCs w:val="22"/>
        </w:rPr>
      </w:pPr>
    </w:p>
    <w:p w:rsidR="00FA5E07" w:rsidRDefault="00FA5E07" w:rsidP="00687B62">
      <w:pPr>
        <w:tabs>
          <w:tab w:val="left" w:pos="5387"/>
        </w:tabs>
        <w:rPr>
          <w:rFonts w:ascii="Arial" w:hAnsi="Arial" w:cs="Arial"/>
          <w:b/>
          <w:sz w:val="22"/>
          <w:szCs w:val="22"/>
        </w:rPr>
      </w:pPr>
    </w:p>
    <w:p w:rsidR="00FA5E07" w:rsidRPr="009177C0" w:rsidRDefault="00FA5E07"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0900F3" w:rsidRPr="009177C0" w:rsidRDefault="000900F3" w:rsidP="006B1984">
      <w:pPr>
        <w:tabs>
          <w:tab w:val="left" w:pos="5387"/>
        </w:tabs>
        <w:rPr>
          <w:rFonts w:ascii="Arial" w:hAnsi="Arial" w:cs="Arial"/>
          <w:sz w:val="22"/>
          <w:szCs w:val="22"/>
        </w:rPr>
      </w:pPr>
    </w:p>
    <w:sectPr w:rsidR="000900F3" w:rsidRPr="009177C0" w:rsidSect="0028752E">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58" w:rsidRDefault="005A2458">
      <w:r>
        <w:separator/>
      </w:r>
    </w:p>
  </w:endnote>
  <w:endnote w:type="continuationSeparator" w:id="0">
    <w:p w:rsidR="005A2458" w:rsidRDefault="005A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13250"/>
      <w:docPartObj>
        <w:docPartGallery w:val="Page Numbers (Bottom of Page)"/>
        <w:docPartUnique/>
      </w:docPartObj>
    </w:sdtPr>
    <w:sdtEndPr/>
    <w:sdtContent>
      <w:p w:rsidR="005A2458" w:rsidRDefault="005A2458">
        <w:pPr>
          <w:pStyle w:val="Zpat"/>
          <w:jc w:val="right"/>
        </w:pPr>
        <w:r>
          <w:fldChar w:fldCharType="begin"/>
        </w:r>
        <w:r>
          <w:instrText>PAGE   \* MERGEFORMAT</w:instrText>
        </w:r>
        <w:r>
          <w:fldChar w:fldCharType="separate"/>
        </w:r>
        <w:r w:rsidR="00BD5FB3">
          <w:rPr>
            <w:noProof/>
          </w:rPr>
          <w:t>24</w:t>
        </w:r>
        <w:r>
          <w:fldChar w:fldCharType="end"/>
        </w:r>
      </w:p>
    </w:sdtContent>
  </w:sdt>
  <w:p w:rsidR="005A2458" w:rsidRPr="0028752E" w:rsidRDefault="005A2458" w:rsidP="0028752E">
    <w:pPr>
      <w:pStyle w:val="Zpa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58" w:rsidRDefault="005A2458"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D5FB3">
      <w:rPr>
        <w:rStyle w:val="slostrnky"/>
        <w:noProof/>
      </w:rPr>
      <w:t>23</w:t>
    </w:r>
    <w:r>
      <w:rPr>
        <w:rStyle w:val="slostrnky"/>
      </w:rPr>
      <w:fldChar w:fldCharType="end"/>
    </w:r>
  </w:p>
  <w:p w:rsidR="005A2458" w:rsidRDefault="005A2458"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58" w:rsidRDefault="005A2458">
      <w:r>
        <w:separator/>
      </w:r>
    </w:p>
  </w:footnote>
  <w:footnote w:type="continuationSeparator" w:id="0">
    <w:p w:rsidR="005A2458" w:rsidRDefault="005A2458">
      <w:r>
        <w:continuationSeparator/>
      </w:r>
    </w:p>
  </w:footnote>
  <w:footnote w:id="1">
    <w:p w:rsidR="005A2458" w:rsidRDefault="005A2458"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rsidR="005A2458" w:rsidRPr="003F1DF3" w:rsidRDefault="005A2458"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sidR="00C105F5">
        <w:rPr>
          <w:sz w:val="16"/>
          <w:szCs w:val="16"/>
        </w:rPr>
        <w:t xml:space="preserve">í, </w:t>
      </w:r>
      <w:r>
        <w:rPr>
          <w:sz w:val="16"/>
          <w:szCs w:val="16"/>
        </w:rPr>
        <w:t xml:space="preserve">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rsidR="005A2458" w:rsidRPr="00CE589D" w:rsidRDefault="005A2458" w:rsidP="005A2458">
      <w:pPr>
        <w:pStyle w:val="Textpoznpodarou"/>
        <w:ind w:left="113" w:hanging="113"/>
        <w:rPr>
          <w:sz w:val="16"/>
          <w:szCs w:val="16"/>
        </w:rPr>
      </w:pPr>
      <w:r w:rsidRPr="005A2458">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rsidR="005A2458" w:rsidRPr="0028752E" w:rsidRDefault="005A2458"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58" w:rsidRDefault="005A2458">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58" w:rsidRDefault="005A2458">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
    <w:nsid w:val="05A41C3F"/>
    <w:multiLevelType w:val="multilevel"/>
    <w:tmpl w:val="0E16A8D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i w:val="0"/>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9">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3">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2">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8">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9">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1">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3">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7">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9">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5">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7">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8">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9">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1">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62">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5">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1"/>
  </w:num>
  <w:num w:numId="2">
    <w:abstractNumId w:val="36"/>
  </w:num>
  <w:num w:numId="3">
    <w:abstractNumId w:val="29"/>
  </w:num>
  <w:num w:numId="4">
    <w:abstractNumId w:val="19"/>
  </w:num>
  <w:num w:numId="5">
    <w:abstractNumId w:val="17"/>
  </w:num>
  <w:num w:numId="6">
    <w:abstractNumId w:val="46"/>
  </w:num>
  <w:num w:numId="7">
    <w:abstractNumId w:val="63"/>
  </w:num>
  <w:num w:numId="8">
    <w:abstractNumId w:val="1"/>
  </w:num>
  <w:num w:numId="9">
    <w:abstractNumId w:val="54"/>
  </w:num>
  <w:num w:numId="10">
    <w:abstractNumId w:val="61"/>
  </w:num>
  <w:num w:numId="11">
    <w:abstractNumId w:val="0"/>
  </w:num>
  <w:num w:numId="12">
    <w:abstractNumId w:val="37"/>
  </w:num>
  <w:num w:numId="13">
    <w:abstractNumId w:val="2"/>
  </w:num>
  <w:num w:numId="14">
    <w:abstractNumId w:val="7"/>
  </w:num>
  <w:num w:numId="15">
    <w:abstractNumId w:val="30"/>
  </w:num>
  <w:num w:numId="16">
    <w:abstractNumId w:val="22"/>
  </w:num>
  <w:num w:numId="17">
    <w:abstractNumId w:val="8"/>
  </w:num>
  <w:num w:numId="18">
    <w:abstractNumId w:val="56"/>
  </w:num>
  <w:num w:numId="19">
    <w:abstractNumId w:val="16"/>
  </w:num>
  <w:num w:numId="20">
    <w:abstractNumId w:val="14"/>
  </w:num>
  <w:num w:numId="21">
    <w:abstractNumId w:val="15"/>
  </w:num>
  <w:num w:numId="22">
    <w:abstractNumId w:val="49"/>
  </w:num>
  <w:num w:numId="23">
    <w:abstractNumId w:val="42"/>
  </w:num>
  <w:num w:numId="24">
    <w:abstractNumId w:val="51"/>
  </w:num>
  <w:num w:numId="25">
    <w:abstractNumId w:val="50"/>
  </w:num>
  <w:num w:numId="26">
    <w:abstractNumId w:val="13"/>
  </w:num>
  <w:num w:numId="27">
    <w:abstractNumId w:val="12"/>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8"/>
  </w:num>
  <w:num w:numId="30">
    <w:abstractNumId w:val="24"/>
  </w:num>
  <w:num w:numId="31">
    <w:abstractNumId w:val="48"/>
  </w:num>
  <w:num w:numId="32">
    <w:abstractNumId w:val="38"/>
  </w:num>
  <w:num w:numId="33">
    <w:abstractNumId w:val="60"/>
  </w:num>
  <w:num w:numId="34">
    <w:abstractNumId w:val="20"/>
  </w:num>
  <w:num w:numId="35">
    <w:abstractNumId w:val="27"/>
  </w:num>
  <w:num w:numId="36">
    <w:abstractNumId w:val="39"/>
  </w:num>
  <w:num w:numId="37">
    <w:abstractNumId w:val="55"/>
  </w:num>
  <w:num w:numId="38">
    <w:abstractNumId w:val="18"/>
  </w:num>
  <w:num w:numId="39">
    <w:abstractNumId w:val="44"/>
  </w:num>
  <w:num w:numId="40">
    <w:abstractNumId w:val="3"/>
  </w:num>
  <w:num w:numId="41">
    <w:abstractNumId w:val="64"/>
  </w:num>
  <w:num w:numId="42">
    <w:abstractNumId w:val="53"/>
  </w:num>
  <w:num w:numId="43">
    <w:abstractNumId w:val="52"/>
  </w:num>
  <w:num w:numId="44">
    <w:abstractNumId w:val="6"/>
  </w:num>
  <w:num w:numId="45">
    <w:abstractNumId w:val="40"/>
  </w:num>
  <w:num w:numId="46">
    <w:abstractNumId w:val="47"/>
  </w:num>
  <w:num w:numId="47">
    <w:abstractNumId w:val="45"/>
  </w:num>
  <w:num w:numId="48">
    <w:abstractNumId w:val="62"/>
  </w:num>
  <w:num w:numId="49">
    <w:abstractNumId w:val="26"/>
  </w:num>
  <w:num w:numId="50">
    <w:abstractNumId w:val="4"/>
  </w:num>
  <w:num w:numId="51">
    <w:abstractNumId w:val="43"/>
  </w:num>
  <w:num w:numId="52">
    <w:abstractNumId w:val="35"/>
  </w:num>
  <w:num w:numId="53">
    <w:abstractNumId w:val="11"/>
  </w:num>
  <w:num w:numId="54">
    <w:abstractNumId w:val="41"/>
  </w:num>
  <w:num w:numId="55">
    <w:abstractNumId w:val="10"/>
  </w:num>
  <w:num w:numId="56">
    <w:abstractNumId w:val="32"/>
  </w:num>
  <w:num w:numId="57">
    <w:abstractNumId w:val="23"/>
  </w:num>
  <w:num w:numId="58">
    <w:abstractNumId w:val="59"/>
  </w:num>
  <w:num w:numId="59">
    <w:abstractNumId w:val="65"/>
  </w:num>
  <w:num w:numId="60">
    <w:abstractNumId w:val="28"/>
  </w:num>
  <w:num w:numId="61">
    <w:abstractNumId w:val="9"/>
  </w:num>
  <w:num w:numId="62">
    <w:abstractNumId w:val="25"/>
  </w:num>
  <w:num w:numId="63">
    <w:abstractNumId w:val="34"/>
  </w:num>
  <w:num w:numId="64">
    <w:abstractNumId w:val="31"/>
  </w:num>
  <w:num w:numId="65">
    <w:abstractNumId w:val="57"/>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8F"/>
    <w:rsid w:val="000048CF"/>
    <w:rsid w:val="0000796E"/>
    <w:rsid w:val="000112DB"/>
    <w:rsid w:val="00014A29"/>
    <w:rsid w:val="0001519B"/>
    <w:rsid w:val="00020A81"/>
    <w:rsid w:val="0002409B"/>
    <w:rsid w:val="000252E9"/>
    <w:rsid w:val="000258AE"/>
    <w:rsid w:val="00027CE3"/>
    <w:rsid w:val="00030EEE"/>
    <w:rsid w:val="00032CA2"/>
    <w:rsid w:val="00043CC0"/>
    <w:rsid w:val="00047780"/>
    <w:rsid w:val="00050CB7"/>
    <w:rsid w:val="000559B1"/>
    <w:rsid w:val="00061222"/>
    <w:rsid w:val="0006434D"/>
    <w:rsid w:val="00064C7B"/>
    <w:rsid w:val="00070C1A"/>
    <w:rsid w:val="0007195E"/>
    <w:rsid w:val="00076E93"/>
    <w:rsid w:val="00080B10"/>
    <w:rsid w:val="0008165A"/>
    <w:rsid w:val="00082832"/>
    <w:rsid w:val="00085409"/>
    <w:rsid w:val="000900F3"/>
    <w:rsid w:val="00090363"/>
    <w:rsid w:val="00097E1C"/>
    <w:rsid w:val="000A28C3"/>
    <w:rsid w:val="000A3A00"/>
    <w:rsid w:val="000A5969"/>
    <w:rsid w:val="000A6733"/>
    <w:rsid w:val="000C3E96"/>
    <w:rsid w:val="000C45A5"/>
    <w:rsid w:val="000C62AC"/>
    <w:rsid w:val="000D4C75"/>
    <w:rsid w:val="000D52C8"/>
    <w:rsid w:val="000D52F3"/>
    <w:rsid w:val="000D6709"/>
    <w:rsid w:val="000D7060"/>
    <w:rsid w:val="000E099C"/>
    <w:rsid w:val="000E21D7"/>
    <w:rsid w:val="000F089F"/>
    <w:rsid w:val="000F104D"/>
    <w:rsid w:val="000F3375"/>
    <w:rsid w:val="000F7CB4"/>
    <w:rsid w:val="00100094"/>
    <w:rsid w:val="00100C0F"/>
    <w:rsid w:val="00102F54"/>
    <w:rsid w:val="001071DA"/>
    <w:rsid w:val="00113215"/>
    <w:rsid w:val="00116B47"/>
    <w:rsid w:val="00120332"/>
    <w:rsid w:val="00121094"/>
    <w:rsid w:val="00121C0F"/>
    <w:rsid w:val="001224F7"/>
    <w:rsid w:val="00123634"/>
    <w:rsid w:val="0013199A"/>
    <w:rsid w:val="00132880"/>
    <w:rsid w:val="00132D5A"/>
    <w:rsid w:val="00146F13"/>
    <w:rsid w:val="00151975"/>
    <w:rsid w:val="00152BB1"/>
    <w:rsid w:val="001621F7"/>
    <w:rsid w:val="00162F3B"/>
    <w:rsid w:val="001638F1"/>
    <w:rsid w:val="001705D1"/>
    <w:rsid w:val="001747D2"/>
    <w:rsid w:val="00175A84"/>
    <w:rsid w:val="00177437"/>
    <w:rsid w:val="0018198F"/>
    <w:rsid w:val="00182A00"/>
    <w:rsid w:val="001842A6"/>
    <w:rsid w:val="00194925"/>
    <w:rsid w:val="00196154"/>
    <w:rsid w:val="00196555"/>
    <w:rsid w:val="001979A9"/>
    <w:rsid w:val="001A48D6"/>
    <w:rsid w:val="001A48DF"/>
    <w:rsid w:val="001B5132"/>
    <w:rsid w:val="001C1182"/>
    <w:rsid w:val="001C12B9"/>
    <w:rsid w:val="001C25FC"/>
    <w:rsid w:val="001C762B"/>
    <w:rsid w:val="001D3DF3"/>
    <w:rsid w:val="001E3661"/>
    <w:rsid w:val="001E49AD"/>
    <w:rsid w:val="001E6147"/>
    <w:rsid w:val="001E752A"/>
    <w:rsid w:val="001F182A"/>
    <w:rsid w:val="001F2963"/>
    <w:rsid w:val="001F48A5"/>
    <w:rsid w:val="001F6680"/>
    <w:rsid w:val="00202417"/>
    <w:rsid w:val="00204492"/>
    <w:rsid w:val="00204E26"/>
    <w:rsid w:val="00205BD5"/>
    <w:rsid w:val="002078C6"/>
    <w:rsid w:val="002106A2"/>
    <w:rsid w:val="002109F0"/>
    <w:rsid w:val="00210C50"/>
    <w:rsid w:val="00212819"/>
    <w:rsid w:val="0022234A"/>
    <w:rsid w:val="00225BCD"/>
    <w:rsid w:val="0022757A"/>
    <w:rsid w:val="0023038F"/>
    <w:rsid w:val="00230A57"/>
    <w:rsid w:val="00230C1A"/>
    <w:rsid w:val="00241F71"/>
    <w:rsid w:val="002473F5"/>
    <w:rsid w:val="002526C3"/>
    <w:rsid w:val="002536B2"/>
    <w:rsid w:val="00260D1D"/>
    <w:rsid w:val="002655E5"/>
    <w:rsid w:val="00274489"/>
    <w:rsid w:val="00280D66"/>
    <w:rsid w:val="00281DA1"/>
    <w:rsid w:val="00282954"/>
    <w:rsid w:val="00283CF0"/>
    <w:rsid w:val="00283EBB"/>
    <w:rsid w:val="002841AF"/>
    <w:rsid w:val="00284F87"/>
    <w:rsid w:val="0028752E"/>
    <w:rsid w:val="00290738"/>
    <w:rsid w:val="002921C5"/>
    <w:rsid w:val="00295B77"/>
    <w:rsid w:val="0029750E"/>
    <w:rsid w:val="002A0595"/>
    <w:rsid w:val="002A4081"/>
    <w:rsid w:val="002A462C"/>
    <w:rsid w:val="002A4839"/>
    <w:rsid w:val="002A728B"/>
    <w:rsid w:val="002A7EB5"/>
    <w:rsid w:val="002B092B"/>
    <w:rsid w:val="002B1D25"/>
    <w:rsid w:val="002C0F50"/>
    <w:rsid w:val="002C130D"/>
    <w:rsid w:val="002C22C3"/>
    <w:rsid w:val="002C361A"/>
    <w:rsid w:val="002C4BAF"/>
    <w:rsid w:val="002C5ADD"/>
    <w:rsid w:val="002C6B2D"/>
    <w:rsid w:val="002D0B09"/>
    <w:rsid w:val="002E0064"/>
    <w:rsid w:val="002E06BC"/>
    <w:rsid w:val="002E1675"/>
    <w:rsid w:val="002E2DF2"/>
    <w:rsid w:val="002E4758"/>
    <w:rsid w:val="002E7924"/>
    <w:rsid w:val="002F14EA"/>
    <w:rsid w:val="002F2389"/>
    <w:rsid w:val="002F3448"/>
    <w:rsid w:val="002F4B76"/>
    <w:rsid w:val="002F70E2"/>
    <w:rsid w:val="002F7408"/>
    <w:rsid w:val="002F7C32"/>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32C1"/>
    <w:rsid w:val="00343403"/>
    <w:rsid w:val="00351BF3"/>
    <w:rsid w:val="00353A42"/>
    <w:rsid w:val="0037050F"/>
    <w:rsid w:val="00371886"/>
    <w:rsid w:val="00380066"/>
    <w:rsid w:val="0038149C"/>
    <w:rsid w:val="00384BEC"/>
    <w:rsid w:val="00384D1E"/>
    <w:rsid w:val="00386219"/>
    <w:rsid w:val="003865D0"/>
    <w:rsid w:val="0039661E"/>
    <w:rsid w:val="00397E00"/>
    <w:rsid w:val="003A1959"/>
    <w:rsid w:val="003A19FC"/>
    <w:rsid w:val="003A40F0"/>
    <w:rsid w:val="003A4671"/>
    <w:rsid w:val="003B1B10"/>
    <w:rsid w:val="003B7446"/>
    <w:rsid w:val="003B75BD"/>
    <w:rsid w:val="003B781D"/>
    <w:rsid w:val="003C0EC1"/>
    <w:rsid w:val="003C29F7"/>
    <w:rsid w:val="003C5908"/>
    <w:rsid w:val="003C6459"/>
    <w:rsid w:val="003C6814"/>
    <w:rsid w:val="003D1FFB"/>
    <w:rsid w:val="003D3A95"/>
    <w:rsid w:val="003D68A0"/>
    <w:rsid w:val="003D68FD"/>
    <w:rsid w:val="003E1EE1"/>
    <w:rsid w:val="003E3819"/>
    <w:rsid w:val="003E5635"/>
    <w:rsid w:val="003E7274"/>
    <w:rsid w:val="003F0B6F"/>
    <w:rsid w:val="003F249F"/>
    <w:rsid w:val="003F29D4"/>
    <w:rsid w:val="003F3580"/>
    <w:rsid w:val="003F5FD2"/>
    <w:rsid w:val="00403C68"/>
    <w:rsid w:val="004064AD"/>
    <w:rsid w:val="0041078B"/>
    <w:rsid w:val="00411444"/>
    <w:rsid w:val="00414F8B"/>
    <w:rsid w:val="00417783"/>
    <w:rsid w:val="00424708"/>
    <w:rsid w:val="004308E9"/>
    <w:rsid w:val="00434B45"/>
    <w:rsid w:val="00435D0D"/>
    <w:rsid w:val="00437679"/>
    <w:rsid w:val="00442F13"/>
    <w:rsid w:val="00446D74"/>
    <w:rsid w:val="004477EE"/>
    <w:rsid w:val="00451186"/>
    <w:rsid w:val="00452B4E"/>
    <w:rsid w:val="00454231"/>
    <w:rsid w:val="0045744B"/>
    <w:rsid w:val="004612A8"/>
    <w:rsid w:val="00461D6F"/>
    <w:rsid w:val="00464AE9"/>
    <w:rsid w:val="004702EB"/>
    <w:rsid w:val="0047169A"/>
    <w:rsid w:val="004737C1"/>
    <w:rsid w:val="00475431"/>
    <w:rsid w:val="004756EF"/>
    <w:rsid w:val="0048101C"/>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5342"/>
    <w:rsid w:val="00506DA7"/>
    <w:rsid w:val="005107FE"/>
    <w:rsid w:val="00516781"/>
    <w:rsid w:val="00520DE7"/>
    <w:rsid w:val="00520E49"/>
    <w:rsid w:val="005222BA"/>
    <w:rsid w:val="00523653"/>
    <w:rsid w:val="005260CE"/>
    <w:rsid w:val="00526540"/>
    <w:rsid w:val="00530DF6"/>
    <w:rsid w:val="00531316"/>
    <w:rsid w:val="005325AD"/>
    <w:rsid w:val="005339A9"/>
    <w:rsid w:val="005364EE"/>
    <w:rsid w:val="00540622"/>
    <w:rsid w:val="00544D8F"/>
    <w:rsid w:val="00551997"/>
    <w:rsid w:val="0055251C"/>
    <w:rsid w:val="0056005F"/>
    <w:rsid w:val="00561EE0"/>
    <w:rsid w:val="005657D5"/>
    <w:rsid w:val="00566C6F"/>
    <w:rsid w:val="00567916"/>
    <w:rsid w:val="0057177D"/>
    <w:rsid w:val="005805AA"/>
    <w:rsid w:val="005806F3"/>
    <w:rsid w:val="005815D8"/>
    <w:rsid w:val="00586ADA"/>
    <w:rsid w:val="00591511"/>
    <w:rsid w:val="00591E0F"/>
    <w:rsid w:val="005939B9"/>
    <w:rsid w:val="005949FE"/>
    <w:rsid w:val="005958F2"/>
    <w:rsid w:val="005A2458"/>
    <w:rsid w:val="005A2CFC"/>
    <w:rsid w:val="005A5570"/>
    <w:rsid w:val="005A611D"/>
    <w:rsid w:val="005A652D"/>
    <w:rsid w:val="005B0AEE"/>
    <w:rsid w:val="005B2B7C"/>
    <w:rsid w:val="005B648F"/>
    <w:rsid w:val="005B7F53"/>
    <w:rsid w:val="005C450D"/>
    <w:rsid w:val="005C5C73"/>
    <w:rsid w:val="005C616D"/>
    <w:rsid w:val="005D3DFC"/>
    <w:rsid w:val="005D5F7B"/>
    <w:rsid w:val="005E2BCC"/>
    <w:rsid w:val="005E375C"/>
    <w:rsid w:val="005E3D25"/>
    <w:rsid w:val="005E619E"/>
    <w:rsid w:val="005E6FF1"/>
    <w:rsid w:val="005F1607"/>
    <w:rsid w:val="005F3AA1"/>
    <w:rsid w:val="005F66E6"/>
    <w:rsid w:val="00603756"/>
    <w:rsid w:val="00603EEF"/>
    <w:rsid w:val="00603F7A"/>
    <w:rsid w:val="00604B77"/>
    <w:rsid w:val="00606452"/>
    <w:rsid w:val="006169B7"/>
    <w:rsid w:val="00616AC4"/>
    <w:rsid w:val="00620EB6"/>
    <w:rsid w:val="00621FDD"/>
    <w:rsid w:val="0062279C"/>
    <w:rsid w:val="00630C5D"/>
    <w:rsid w:val="00633639"/>
    <w:rsid w:val="00633CD6"/>
    <w:rsid w:val="00635A40"/>
    <w:rsid w:val="00637FF0"/>
    <w:rsid w:val="00642E80"/>
    <w:rsid w:val="006433B2"/>
    <w:rsid w:val="006444A6"/>
    <w:rsid w:val="006468C8"/>
    <w:rsid w:val="00646BC9"/>
    <w:rsid w:val="0065022B"/>
    <w:rsid w:val="00650730"/>
    <w:rsid w:val="006519EB"/>
    <w:rsid w:val="00652377"/>
    <w:rsid w:val="006529E2"/>
    <w:rsid w:val="006626EF"/>
    <w:rsid w:val="00671E60"/>
    <w:rsid w:val="00672AD5"/>
    <w:rsid w:val="00673143"/>
    <w:rsid w:val="00683EE7"/>
    <w:rsid w:val="00687B62"/>
    <w:rsid w:val="00690B7F"/>
    <w:rsid w:val="00691897"/>
    <w:rsid w:val="0069199A"/>
    <w:rsid w:val="0069476E"/>
    <w:rsid w:val="00694FF9"/>
    <w:rsid w:val="006A4CF6"/>
    <w:rsid w:val="006A6E05"/>
    <w:rsid w:val="006B0144"/>
    <w:rsid w:val="006B15FB"/>
    <w:rsid w:val="006B1984"/>
    <w:rsid w:val="006B2CF1"/>
    <w:rsid w:val="006B582D"/>
    <w:rsid w:val="006C3597"/>
    <w:rsid w:val="006C6649"/>
    <w:rsid w:val="006C6A2E"/>
    <w:rsid w:val="006C758F"/>
    <w:rsid w:val="006D0A9C"/>
    <w:rsid w:val="006D0CB5"/>
    <w:rsid w:val="006D492D"/>
    <w:rsid w:val="006D4F21"/>
    <w:rsid w:val="006D7058"/>
    <w:rsid w:val="006D7C45"/>
    <w:rsid w:val="006D7E9C"/>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3212"/>
    <w:rsid w:val="007301AE"/>
    <w:rsid w:val="00734692"/>
    <w:rsid w:val="00735551"/>
    <w:rsid w:val="00740B54"/>
    <w:rsid w:val="00742183"/>
    <w:rsid w:val="007426E3"/>
    <w:rsid w:val="00742DD9"/>
    <w:rsid w:val="00745AB9"/>
    <w:rsid w:val="00746126"/>
    <w:rsid w:val="00752978"/>
    <w:rsid w:val="007535CE"/>
    <w:rsid w:val="00760D93"/>
    <w:rsid w:val="00761F37"/>
    <w:rsid w:val="007642B1"/>
    <w:rsid w:val="00767342"/>
    <w:rsid w:val="007705E7"/>
    <w:rsid w:val="00771EA2"/>
    <w:rsid w:val="007751C9"/>
    <w:rsid w:val="00776764"/>
    <w:rsid w:val="00777903"/>
    <w:rsid w:val="00786ED3"/>
    <w:rsid w:val="00793A44"/>
    <w:rsid w:val="007954F9"/>
    <w:rsid w:val="00795CF6"/>
    <w:rsid w:val="007962C5"/>
    <w:rsid w:val="007A2683"/>
    <w:rsid w:val="007A2817"/>
    <w:rsid w:val="007A7DD1"/>
    <w:rsid w:val="007B03C1"/>
    <w:rsid w:val="007B30A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32BB5"/>
    <w:rsid w:val="00833334"/>
    <w:rsid w:val="00842D6C"/>
    <w:rsid w:val="00846AE4"/>
    <w:rsid w:val="008551EB"/>
    <w:rsid w:val="00861A57"/>
    <w:rsid w:val="0086367F"/>
    <w:rsid w:val="00863A37"/>
    <w:rsid w:val="0086689A"/>
    <w:rsid w:val="00867C7E"/>
    <w:rsid w:val="00870A78"/>
    <w:rsid w:val="00871823"/>
    <w:rsid w:val="00871C67"/>
    <w:rsid w:val="008737D2"/>
    <w:rsid w:val="008817F9"/>
    <w:rsid w:val="0088251C"/>
    <w:rsid w:val="00883F5F"/>
    <w:rsid w:val="00885423"/>
    <w:rsid w:val="008874A2"/>
    <w:rsid w:val="00887A10"/>
    <w:rsid w:val="008927AD"/>
    <w:rsid w:val="00894F28"/>
    <w:rsid w:val="008A0952"/>
    <w:rsid w:val="008A0EB2"/>
    <w:rsid w:val="008A1C8C"/>
    <w:rsid w:val="008A28A5"/>
    <w:rsid w:val="008A2FC2"/>
    <w:rsid w:val="008A3268"/>
    <w:rsid w:val="008A6543"/>
    <w:rsid w:val="008B01E3"/>
    <w:rsid w:val="008B18EC"/>
    <w:rsid w:val="008B1B1B"/>
    <w:rsid w:val="008B3BC1"/>
    <w:rsid w:val="008B7ACF"/>
    <w:rsid w:val="008C139A"/>
    <w:rsid w:val="008C1AAB"/>
    <w:rsid w:val="008C1E2C"/>
    <w:rsid w:val="008C7C6E"/>
    <w:rsid w:val="008D1753"/>
    <w:rsid w:val="008D19CA"/>
    <w:rsid w:val="008D27E9"/>
    <w:rsid w:val="008D52BA"/>
    <w:rsid w:val="008D7E78"/>
    <w:rsid w:val="008E42BB"/>
    <w:rsid w:val="008F0012"/>
    <w:rsid w:val="00902092"/>
    <w:rsid w:val="00906AFA"/>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5FF5"/>
    <w:rsid w:val="00952D9A"/>
    <w:rsid w:val="00952DB3"/>
    <w:rsid w:val="00953089"/>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EB8"/>
    <w:rsid w:val="009C5548"/>
    <w:rsid w:val="009D1BAC"/>
    <w:rsid w:val="009D445C"/>
    <w:rsid w:val="009F06AE"/>
    <w:rsid w:val="009F2EFB"/>
    <w:rsid w:val="00A0170C"/>
    <w:rsid w:val="00A036DA"/>
    <w:rsid w:val="00A04060"/>
    <w:rsid w:val="00A07ABE"/>
    <w:rsid w:val="00A11EDB"/>
    <w:rsid w:val="00A12928"/>
    <w:rsid w:val="00A15644"/>
    <w:rsid w:val="00A17904"/>
    <w:rsid w:val="00A179D9"/>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54C2"/>
    <w:rsid w:val="00A9552C"/>
    <w:rsid w:val="00A95894"/>
    <w:rsid w:val="00AB0D2A"/>
    <w:rsid w:val="00AB3573"/>
    <w:rsid w:val="00AC1DAA"/>
    <w:rsid w:val="00AC56F5"/>
    <w:rsid w:val="00AC5AC3"/>
    <w:rsid w:val="00AD5F8E"/>
    <w:rsid w:val="00AD7B2D"/>
    <w:rsid w:val="00AE1BEA"/>
    <w:rsid w:val="00AE1D0A"/>
    <w:rsid w:val="00AE1D13"/>
    <w:rsid w:val="00AE42C3"/>
    <w:rsid w:val="00AE6390"/>
    <w:rsid w:val="00AE692A"/>
    <w:rsid w:val="00AF1C0F"/>
    <w:rsid w:val="00AF281A"/>
    <w:rsid w:val="00AF3E58"/>
    <w:rsid w:val="00B02671"/>
    <w:rsid w:val="00B02F6F"/>
    <w:rsid w:val="00B104CB"/>
    <w:rsid w:val="00B164E7"/>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3464"/>
    <w:rsid w:val="00B64282"/>
    <w:rsid w:val="00B6697E"/>
    <w:rsid w:val="00B67A2B"/>
    <w:rsid w:val="00B70D39"/>
    <w:rsid w:val="00B7175F"/>
    <w:rsid w:val="00B721A0"/>
    <w:rsid w:val="00B7277F"/>
    <w:rsid w:val="00B7665B"/>
    <w:rsid w:val="00B816D7"/>
    <w:rsid w:val="00B8662C"/>
    <w:rsid w:val="00B90305"/>
    <w:rsid w:val="00B90890"/>
    <w:rsid w:val="00B9134B"/>
    <w:rsid w:val="00B96E5F"/>
    <w:rsid w:val="00BB3C35"/>
    <w:rsid w:val="00BB6358"/>
    <w:rsid w:val="00BC056D"/>
    <w:rsid w:val="00BC32CE"/>
    <w:rsid w:val="00BC681A"/>
    <w:rsid w:val="00BD2784"/>
    <w:rsid w:val="00BD4D43"/>
    <w:rsid w:val="00BD4F31"/>
    <w:rsid w:val="00BD5FB3"/>
    <w:rsid w:val="00BD7986"/>
    <w:rsid w:val="00BE0A1F"/>
    <w:rsid w:val="00BE38CA"/>
    <w:rsid w:val="00BE3965"/>
    <w:rsid w:val="00BE4395"/>
    <w:rsid w:val="00BE58D0"/>
    <w:rsid w:val="00BF02FE"/>
    <w:rsid w:val="00BF09F9"/>
    <w:rsid w:val="00BF312E"/>
    <w:rsid w:val="00BF57C4"/>
    <w:rsid w:val="00C008A4"/>
    <w:rsid w:val="00C00A10"/>
    <w:rsid w:val="00C0458F"/>
    <w:rsid w:val="00C105F5"/>
    <w:rsid w:val="00C12353"/>
    <w:rsid w:val="00C14465"/>
    <w:rsid w:val="00C150CD"/>
    <w:rsid w:val="00C165E4"/>
    <w:rsid w:val="00C23D45"/>
    <w:rsid w:val="00C25938"/>
    <w:rsid w:val="00C25B3A"/>
    <w:rsid w:val="00C47065"/>
    <w:rsid w:val="00C50FA2"/>
    <w:rsid w:val="00C51836"/>
    <w:rsid w:val="00C53727"/>
    <w:rsid w:val="00C57442"/>
    <w:rsid w:val="00C57912"/>
    <w:rsid w:val="00C61AAE"/>
    <w:rsid w:val="00C62935"/>
    <w:rsid w:val="00C65338"/>
    <w:rsid w:val="00C70EAB"/>
    <w:rsid w:val="00C71899"/>
    <w:rsid w:val="00C72CFD"/>
    <w:rsid w:val="00C73613"/>
    <w:rsid w:val="00C73DF2"/>
    <w:rsid w:val="00C81042"/>
    <w:rsid w:val="00C84793"/>
    <w:rsid w:val="00C9290B"/>
    <w:rsid w:val="00C96BEB"/>
    <w:rsid w:val="00CA166A"/>
    <w:rsid w:val="00CA1B6E"/>
    <w:rsid w:val="00CA34EA"/>
    <w:rsid w:val="00CA39C5"/>
    <w:rsid w:val="00CA5A0A"/>
    <w:rsid w:val="00CA7EEB"/>
    <w:rsid w:val="00CB0A8F"/>
    <w:rsid w:val="00CB0FEC"/>
    <w:rsid w:val="00CB5B2E"/>
    <w:rsid w:val="00CC1BDF"/>
    <w:rsid w:val="00CC2CAD"/>
    <w:rsid w:val="00CC6B5A"/>
    <w:rsid w:val="00CC728B"/>
    <w:rsid w:val="00CD2711"/>
    <w:rsid w:val="00CD40A5"/>
    <w:rsid w:val="00CD7CA1"/>
    <w:rsid w:val="00CE6094"/>
    <w:rsid w:val="00CE74F0"/>
    <w:rsid w:val="00CE7652"/>
    <w:rsid w:val="00CF25A1"/>
    <w:rsid w:val="00CF4522"/>
    <w:rsid w:val="00CF522C"/>
    <w:rsid w:val="00D17601"/>
    <w:rsid w:val="00D23CEB"/>
    <w:rsid w:val="00D2464E"/>
    <w:rsid w:val="00D2550B"/>
    <w:rsid w:val="00D33C83"/>
    <w:rsid w:val="00D37086"/>
    <w:rsid w:val="00D417B7"/>
    <w:rsid w:val="00D44D89"/>
    <w:rsid w:val="00D55A3E"/>
    <w:rsid w:val="00D55A88"/>
    <w:rsid w:val="00D567BD"/>
    <w:rsid w:val="00D603C1"/>
    <w:rsid w:val="00D614D4"/>
    <w:rsid w:val="00D649BC"/>
    <w:rsid w:val="00D673C8"/>
    <w:rsid w:val="00D70D1A"/>
    <w:rsid w:val="00D72393"/>
    <w:rsid w:val="00D73CB0"/>
    <w:rsid w:val="00D81695"/>
    <w:rsid w:val="00D83761"/>
    <w:rsid w:val="00D84B50"/>
    <w:rsid w:val="00D862FF"/>
    <w:rsid w:val="00D86A09"/>
    <w:rsid w:val="00D87E40"/>
    <w:rsid w:val="00D95F17"/>
    <w:rsid w:val="00DA4397"/>
    <w:rsid w:val="00DA5E34"/>
    <w:rsid w:val="00DA6156"/>
    <w:rsid w:val="00DA76B4"/>
    <w:rsid w:val="00DB26A9"/>
    <w:rsid w:val="00DC55D3"/>
    <w:rsid w:val="00DC63D3"/>
    <w:rsid w:val="00DD4C26"/>
    <w:rsid w:val="00DD5336"/>
    <w:rsid w:val="00DE09AD"/>
    <w:rsid w:val="00DE0B4E"/>
    <w:rsid w:val="00DE19BC"/>
    <w:rsid w:val="00DE38DB"/>
    <w:rsid w:val="00DF1A24"/>
    <w:rsid w:val="00DF429F"/>
    <w:rsid w:val="00DF5105"/>
    <w:rsid w:val="00E02E36"/>
    <w:rsid w:val="00E03C40"/>
    <w:rsid w:val="00E04282"/>
    <w:rsid w:val="00E06E2F"/>
    <w:rsid w:val="00E074B8"/>
    <w:rsid w:val="00E13DD0"/>
    <w:rsid w:val="00E14427"/>
    <w:rsid w:val="00E14F2C"/>
    <w:rsid w:val="00E15D56"/>
    <w:rsid w:val="00E23C5A"/>
    <w:rsid w:val="00E23F08"/>
    <w:rsid w:val="00E2798F"/>
    <w:rsid w:val="00E27EC4"/>
    <w:rsid w:val="00E27F78"/>
    <w:rsid w:val="00E301DD"/>
    <w:rsid w:val="00E347F2"/>
    <w:rsid w:val="00E373CA"/>
    <w:rsid w:val="00E418EC"/>
    <w:rsid w:val="00E41CAF"/>
    <w:rsid w:val="00E41DE2"/>
    <w:rsid w:val="00E50CD9"/>
    <w:rsid w:val="00E517E7"/>
    <w:rsid w:val="00E52D18"/>
    <w:rsid w:val="00E56AB0"/>
    <w:rsid w:val="00E67A84"/>
    <w:rsid w:val="00E716FD"/>
    <w:rsid w:val="00E74D9F"/>
    <w:rsid w:val="00E755BA"/>
    <w:rsid w:val="00E77072"/>
    <w:rsid w:val="00E777AD"/>
    <w:rsid w:val="00E77B2C"/>
    <w:rsid w:val="00E82E99"/>
    <w:rsid w:val="00E837C6"/>
    <w:rsid w:val="00E8561A"/>
    <w:rsid w:val="00E85BC9"/>
    <w:rsid w:val="00E94A40"/>
    <w:rsid w:val="00EA6869"/>
    <w:rsid w:val="00EB1B95"/>
    <w:rsid w:val="00EB7883"/>
    <w:rsid w:val="00EC1E07"/>
    <w:rsid w:val="00EC34DE"/>
    <w:rsid w:val="00EC66F5"/>
    <w:rsid w:val="00EC7935"/>
    <w:rsid w:val="00ED0ACC"/>
    <w:rsid w:val="00ED1478"/>
    <w:rsid w:val="00ED252C"/>
    <w:rsid w:val="00ED3D71"/>
    <w:rsid w:val="00ED6566"/>
    <w:rsid w:val="00EE1735"/>
    <w:rsid w:val="00EE21AE"/>
    <w:rsid w:val="00EE2D55"/>
    <w:rsid w:val="00EE5D57"/>
    <w:rsid w:val="00EF28F4"/>
    <w:rsid w:val="00F05C9D"/>
    <w:rsid w:val="00F11048"/>
    <w:rsid w:val="00F110BD"/>
    <w:rsid w:val="00F12F4D"/>
    <w:rsid w:val="00F13A27"/>
    <w:rsid w:val="00F16315"/>
    <w:rsid w:val="00F177D1"/>
    <w:rsid w:val="00F20001"/>
    <w:rsid w:val="00F22910"/>
    <w:rsid w:val="00F23115"/>
    <w:rsid w:val="00F30A38"/>
    <w:rsid w:val="00F30B08"/>
    <w:rsid w:val="00F30EC3"/>
    <w:rsid w:val="00F32496"/>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A0884"/>
    <w:rsid w:val="00FA0B90"/>
    <w:rsid w:val="00FA136A"/>
    <w:rsid w:val="00FA2EC7"/>
    <w:rsid w:val="00FA3F2A"/>
    <w:rsid w:val="00FA3F82"/>
    <w:rsid w:val="00FA4524"/>
    <w:rsid w:val="00FA5E07"/>
    <w:rsid w:val="00FA7D55"/>
    <w:rsid w:val="00FB34DC"/>
    <w:rsid w:val="00FC3EAD"/>
    <w:rsid w:val="00FC560D"/>
    <w:rsid w:val="00FC66EA"/>
    <w:rsid w:val="00FC7755"/>
    <w:rsid w:val="00FD016D"/>
    <w:rsid w:val="00FD3A96"/>
    <w:rsid w:val="00FD6367"/>
    <w:rsid w:val="00FD65D3"/>
    <w:rsid w:val="00FE1017"/>
    <w:rsid w:val="00FE1D94"/>
    <w:rsid w:val="00FE1DAD"/>
    <w:rsid w:val="00FE6545"/>
    <w:rsid w:val="00FE74F9"/>
    <w:rsid w:val="00FE7F36"/>
    <w:rsid w:val="00FF360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taceEU.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C4A4-5622-4F60-B321-2996504B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24</Pages>
  <Words>8505</Words>
  <Characters>51234</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59620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952</cp:revision>
  <cp:lastPrinted>2016-06-07T08:45:00Z</cp:lastPrinted>
  <dcterms:created xsi:type="dcterms:W3CDTF">2016-02-02T17:51:00Z</dcterms:created>
  <dcterms:modified xsi:type="dcterms:W3CDTF">2017-06-26T08:09:00Z</dcterms:modified>
</cp:coreProperties>
</file>