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charts/chart1.xml" ContentType="application/vnd.openxmlformats-officedocument.drawingml.chart+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959" w:rsidRPr="00F454B6" w:rsidRDefault="00AB7959" w:rsidP="00AB7959">
      <w:pPr>
        <w:tabs>
          <w:tab w:val="right" w:pos="8280"/>
        </w:tabs>
        <w:ind w:right="-22"/>
        <w:jc w:val="left"/>
        <w:rPr>
          <w:caps/>
        </w:rPr>
      </w:pPr>
      <w:bookmarkStart w:id="0" w:name="_GoBack"/>
      <w:bookmarkEnd w:id="0"/>
    </w:p>
    <w:p w:rsidR="00AB7959" w:rsidRPr="00F454B6" w:rsidRDefault="00AB7959" w:rsidP="00AB7959">
      <w:pPr>
        <w:tabs>
          <w:tab w:val="right" w:pos="8280"/>
        </w:tabs>
        <w:ind w:right="-22"/>
        <w:jc w:val="left"/>
        <w:rPr>
          <w:caps/>
        </w:rPr>
      </w:pPr>
    </w:p>
    <w:p w:rsidR="00AB7959" w:rsidRPr="00F454B6" w:rsidRDefault="00AB7959" w:rsidP="00AB7959">
      <w:pPr>
        <w:tabs>
          <w:tab w:val="right" w:pos="8280"/>
        </w:tabs>
        <w:ind w:right="-22"/>
        <w:jc w:val="left"/>
        <w:rPr>
          <w:caps/>
        </w:rPr>
      </w:pPr>
    </w:p>
    <w:p w:rsidR="00AB7959" w:rsidRPr="00F454B6" w:rsidRDefault="00AB7959" w:rsidP="00AB7959">
      <w:pPr>
        <w:tabs>
          <w:tab w:val="right" w:pos="8280"/>
        </w:tabs>
        <w:ind w:right="-22"/>
        <w:jc w:val="left"/>
        <w:rPr>
          <w:caps/>
        </w:rPr>
      </w:pPr>
    </w:p>
    <w:p w:rsidR="00AB7959" w:rsidRPr="00F454B6" w:rsidRDefault="00AB7959" w:rsidP="00AB7959">
      <w:pPr>
        <w:pStyle w:val="Header"/>
        <w:tabs>
          <w:tab w:val="left" w:pos="3420"/>
          <w:tab w:val="right" w:pos="9000"/>
        </w:tabs>
        <w:jc w:val="left"/>
        <w:rPr>
          <w:color w:val="333333"/>
        </w:rPr>
      </w:pPr>
    </w:p>
    <w:p w:rsidR="00AB7959" w:rsidRPr="00F454B6" w:rsidRDefault="00AB7959" w:rsidP="00AB7959">
      <w:pPr>
        <w:pStyle w:val="Header"/>
        <w:tabs>
          <w:tab w:val="left" w:pos="3420"/>
          <w:tab w:val="right" w:pos="9000"/>
        </w:tabs>
        <w:jc w:val="left"/>
        <w:rPr>
          <w:color w:val="333333"/>
        </w:rPr>
      </w:pPr>
    </w:p>
    <w:p w:rsidR="00AB7959" w:rsidRPr="00F454B6" w:rsidRDefault="00A338A2" w:rsidP="00AB7959">
      <w:pPr>
        <w:pStyle w:val="DocumentTitle"/>
        <w:spacing w:after="120"/>
        <w:rPr>
          <w:szCs w:val="52"/>
          <w:lang w:val="en-GB"/>
        </w:rPr>
      </w:pPr>
      <w:r w:rsidRPr="00F454B6">
        <w:rPr>
          <w:szCs w:val="52"/>
          <w:lang w:val="en-GB"/>
        </w:rPr>
        <w:t>Support of ESI Funds to the implementation of the Country Specific Recommendations and to structural reforms in Member States</w:t>
      </w:r>
    </w:p>
    <w:p w:rsidR="00AB7959" w:rsidRPr="00F454B6" w:rsidRDefault="00AB7959" w:rsidP="00AB7959">
      <w:pPr>
        <w:pStyle w:val="DocumentSubtitle"/>
      </w:pPr>
    </w:p>
    <w:p w:rsidR="00AB7959" w:rsidRDefault="00080FFA" w:rsidP="00AB7959">
      <w:pPr>
        <w:pStyle w:val="DocumentSubtitle"/>
        <w:tabs>
          <w:tab w:val="left" w:pos="4536"/>
        </w:tabs>
      </w:pPr>
      <w:r w:rsidRPr="00AE55E4">
        <w:rPr>
          <w:highlight w:val="yellow"/>
        </w:rPr>
        <w:t xml:space="preserve">First Interim </w:t>
      </w:r>
      <w:r w:rsidR="00A338A2" w:rsidRPr="00AE55E4">
        <w:rPr>
          <w:highlight w:val="yellow"/>
        </w:rPr>
        <w:t>Report</w:t>
      </w:r>
    </w:p>
    <w:p w:rsidR="00E76314" w:rsidRPr="00F454B6" w:rsidRDefault="00E76314" w:rsidP="00AB7959">
      <w:pPr>
        <w:pStyle w:val="DocumentSubtitle"/>
        <w:tabs>
          <w:tab w:val="left" w:pos="4536"/>
        </w:tabs>
      </w:pPr>
      <w:r>
        <w:t xml:space="preserve">Version: </w:t>
      </w:r>
      <w:r w:rsidR="008E1B99">
        <w:t>final</w:t>
      </w:r>
    </w:p>
    <w:p w:rsidR="00AB7959" w:rsidRPr="00F454B6" w:rsidRDefault="00AB7959" w:rsidP="00AB7959">
      <w:pPr>
        <w:pStyle w:val="DocumentSubtitle"/>
        <w:tabs>
          <w:tab w:val="left" w:pos="4536"/>
        </w:tabs>
      </w:pPr>
    </w:p>
    <w:p w:rsidR="00AB7959" w:rsidRPr="00F454B6" w:rsidRDefault="00AB7959" w:rsidP="00AB7959">
      <w:pPr>
        <w:pStyle w:val="DocumentSubtitle"/>
        <w:tabs>
          <w:tab w:val="left" w:pos="4536"/>
        </w:tabs>
        <w:jc w:val="left"/>
      </w:pPr>
    </w:p>
    <w:p w:rsidR="00AB7959" w:rsidRPr="00F454B6" w:rsidRDefault="00AB7959" w:rsidP="00AB7959">
      <w:pPr>
        <w:pStyle w:val="DocumentSubtitle"/>
        <w:tabs>
          <w:tab w:val="left" w:pos="4536"/>
        </w:tabs>
        <w:jc w:val="left"/>
      </w:pPr>
    </w:p>
    <w:p w:rsidR="00AB7959" w:rsidRPr="00F454B6" w:rsidRDefault="00AB7959" w:rsidP="00AB7959">
      <w:pPr>
        <w:pStyle w:val="DocumentSubtitle"/>
        <w:tabs>
          <w:tab w:val="left" w:pos="4536"/>
        </w:tabs>
        <w:jc w:val="left"/>
      </w:pPr>
    </w:p>
    <w:p w:rsidR="00AB7959" w:rsidRPr="00F454B6" w:rsidRDefault="00AB7959" w:rsidP="00AB7959">
      <w:pPr>
        <w:pStyle w:val="DocumentSubtitle"/>
        <w:tabs>
          <w:tab w:val="left" w:pos="4536"/>
        </w:tabs>
        <w:jc w:val="left"/>
      </w:pPr>
      <w:r w:rsidRPr="00F454B6">
        <w:rPr>
          <w:noProof/>
          <w:lang w:eastAsia="en-GB"/>
        </w:rPr>
        <w:drawing>
          <wp:anchor distT="0" distB="0" distL="114300" distR="114300" simplePos="0" relativeHeight="251661312" behindDoc="1" locked="0" layoutInCell="1" allowOverlap="1" wp14:anchorId="7154B3A5" wp14:editId="597CAAF7">
            <wp:simplePos x="0" y="0"/>
            <wp:positionH relativeFrom="column">
              <wp:posOffset>4337685</wp:posOffset>
            </wp:positionH>
            <wp:positionV relativeFrom="margin">
              <wp:posOffset>7136130</wp:posOffset>
            </wp:positionV>
            <wp:extent cx="1768475" cy="688340"/>
            <wp:effectExtent l="0" t="0" r="0" b="0"/>
            <wp:wrapTight wrapText="bothSides">
              <wp:wrapPolygon edited="0">
                <wp:start x="0" y="0"/>
                <wp:lineTo x="0" y="20923"/>
                <wp:lineTo x="11634" y="20923"/>
                <wp:lineTo x="11634" y="19129"/>
                <wp:lineTo x="21406" y="13749"/>
                <wp:lineTo x="21406" y="2391"/>
                <wp:lineTo x="11634" y="0"/>
                <wp:lineTo x="0" y="0"/>
              </wp:wrapPolygon>
            </wp:wrapTight>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8475" cy="688340"/>
                    </a:xfrm>
                    <a:prstGeom prst="rect">
                      <a:avLst/>
                    </a:prstGeom>
                  </pic:spPr>
                </pic:pic>
              </a:graphicData>
            </a:graphic>
          </wp:anchor>
        </w:drawing>
      </w:r>
    </w:p>
    <w:p w:rsidR="00AB7959" w:rsidRPr="00F454B6" w:rsidRDefault="00AB7959" w:rsidP="00AB7959">
      <w:pPr>
        <w:pStyle w:val="DocumentSubtitle"/>
        <w:tabs>
          <w:tab w:val="left" w:pos="4536"/>
        </w:tabs>
        <w:jc w:val="left"/>
        <w:rPr>
          <w:b/>
          <w:i/>
          <w:sz w:val="24"/>
          <w:szCs w:val="24"/>
        </w:rPr>
        <w:sectPr w:rsidR="00AB7959" w:rsidRPr="00F454B6" w:rsidSect="00BD2D83">
          <w:headerReference w:type="even" r:id="rId10"/>
          <w:headerReference w:type="default" r:id="rId11"/>
          <w:footerReference w:type="even" r:id="rId12"/>
          <w:footerReference w:type="default" r:id="rId13"/>
          <w:headerReference w:type="first" r:id="rId14"/>
          <w:footerReference w:type="first" r:id="rId15"/>
          <w:pgSz w:w="11907" w:h="16839" w:code="9"/>
          <w:pgMar w:top="851" w:right="1418" w:bottom="851" w:left="1418" w:header="567" w:footer="947" w:gutter="0"/>
          <w:cols w:space="720"/>
          <w:titlePg/>
          <w:docGrid w:linePitch="326"/>
        </w:sectPr>
      </w:pPr>
    </w:p>
    <w:p w:rsidR="00AB7959" w:rsidRPr="00F454B6" w:rsidRDefault="00AB7959" w:rsidP="00AB7959"/>
    <w:p w:rsidR="00AB7959" w:rsidRPr="00F454B6" w:rsidRDefault="00AB7959" w:rsidP="00AB7959"/>
    <w:p w:rsidR="00AB7959" w:rsidRPr="00F454B6" w:rsidRDefault="00AB7959" w:rsidP="00AB7959"/>
    <w:p w:rsidR="00AB7959" w:rsidRPr="00F454B6" w:rsidRDefault="00AB7959" w:rsidP="00AB7959"/>
    <w:p w:rsidR="00AB7959" w:rsidRPr="00F454B6" w:rsidRDefault="00AB7959" w:rsidP="00AB7959"/>
    <w:p w:rsidR="00AB7959" w:rsidRPr="00F454B6" w:rsidRDefault="00AB7959" w:rsidP="00AB7959"/>
    <w:p w:rsidR="00AB7959" w:rsidRPr="00F454B6" w:rsidRDefault="00AB7959" w:rsidP="00AB7959"/>
    <w:p w:rsidR="00AB7959" w:rsidRPr="00F454B6" w:rsidRDefault="00AB7959" w:rsidP="00AB7959"/>
    <w:p w:rsidR="00AB7959" w:rsidRPr="00F454B6" w:rsidRDefault="00AB7959" w:rsidP="00AB7959"/>
    <w:p w:rsidR="00AB7959" w:rsidRPr="00F454B6" w:rsidRDefault="00AB7959" w:rsidP="00AB7959"/>
    <w:p w:rsidR="00AB7959" w:rsidRPr="00F454B6" w:rsidRDefault="00AB7959" w:rsidP="00AB7959"/>
    <w:p w:rsidR="00AB7959" w:rsidRPr="00F454B6" w:rsidRDefault="00AB7959" w:rsidP="00AB7959"/>
    <w:p w:rsidR="00AB7959" w:rsidRPr="00F454B6" w:rsidRDefault="00AB7959" w:rsidP="00AB7959"/>
    <w:p w:rsidR="00AB7959" w:rsidRPr="00F454B6" w:rsidRDefault="00AB7959" w:rsidP="00AB7959"/>
    <w:p w:rsidR="00AB7959" w:rsidRPr="00F454B6" w:rsidRDefault="00AB7959" w:rsidP="00AB7959"/>
    <w:p w:rsidR="00AB7959" w:rsidRPr="00F454B6" w:rsidRDefault="00AB7959" w:rsidP="00AB7959"/>
    <w:p w:rsidR="00AB7959" w:rsidRPr="00F454B6" w:rsidRDefault="00AB7959" w:rsidP="00AB7959"/>
    <w:p w:rsidR="00AB7959" w:rsidRPr="00F454B6" w:rsidRDefault="00AB7959" w:rsidP="00AB7959"/>
    <w:p w:rsidR="00AB7959" w:rsidRPr="00F454B6" w:rsidRDefault="00AB7959" w:rsidP="00AB7959"/>
    <w:p w:rsidR="00AB7959" w:rsidRPr="00F454B6" w:rsidRDefault="00AB7959" w:rsidP="00AB7959"/>
    <w:p w:rsidR="00AB7959" w:rsidRPr="00F454B6" w:rsidRDefault="00AB7959" w:rsidP="00AB7959"/>
    <w:p w:rsidR="00AB7959" w:rsidRPr="00F454B6" w:rsidRDefault="00AB7959" w:rsidP="00AB7959">
      <w:pPr>
        <w:pStyle w:val="HeadingBody"/>
        <w:rPr>
          <w:sz w:val="18"/>
        </w:rPr>
      </w:pPr>
    </w:p>
    <w:p w:rsidR="00AB7959" w:rsidRPr="00F454B6" w:rsidRDefault="00AB7959" w:rsidP="00AB7959">
      <w:pPr>
        <w:pStyle w:val="HeadingBody"/>
        <w:rPr>
          <w:sz w:val="18"/>
        </w:rPr>
      </w:pPr>
    </w:p>
    <w:p w:rsidR="00AB7959" w:rsidRPr="00F454B6" w:rsidRDefault="00AB7959" w:rsidP="00AB7959">
      <w:pPr>
        <w:pStyle w:val="HeadingBody"/>
        <w:rPr>
          <w:sz w:val="18"/>
        </w:rPr>
      </w:pPr>
      <w:r w:rsidRPr="00F454B6">
        <w:rPr>
          <w:sz w:val="18"/>
        </w:rPr>
        <w:t>EUROPEAN COMMISSION</w:t>
      </w:r>
    </w:p>
    <w:p w:rsidR="00AB7959" w:rsidRPr="00F454B6" w:rsidRDefault="00AB7959" w:rsidP="00AB7959">
      <w:pPr>
        <w:spacing w:after="0"/>
        <w:jc w:val="left"/>
        <w:rPr>
          <w:sz w:val="16"/>
          <w:szCs w:val="16"/>
        </w:rPr>
      </w:pPr>
      <w:r w:rsidRPr="00F454B6">
        <w:rPr>
          <w:sz w:val="16"/>
          <w:szCs w:val="16"/>
        </w:rPr>
        <w:t>Directorate-General for Employment, Social Affairs and Inclusion</w:t>
      </w:r>
    </w:p>
    <w:p w:rsidR="00AB7959" w:rsidRPr="00F454B6" w:rsidRDefault="00AB7959" w:rsidP="00AB7959">
      <w:pPr>
        <w:spacing w:after="0"/>
        <w:jc w:val="left"/>
        <w:rPr>
          <w:sz w:val="16"/>
          <w:szCs w:val="16"/>
        </w:rPr>
      </w:pPr>
      <w:r w:rsidRPr="00F454B6">
        <w:rPr>
          <w:sz w:val="16"/>
          <w:szCs w:val="16"/>
        </w:rPr>
        <w:t xml:space="preserve">Directorate </w:t>
      </w:r>
      <w:r w:rsidR="00254B12">
        <w:rPr>
          <w:sz w:val="16"/>
          <w:szCs w:val="16"/>
        </w:rPr>
        <w:t xml:space="preserve">F </w:t>
      </w:r>
      <w:r w:rsidRPr="00F454B6">
        <w:rPr>
          <w:sz w:val="16"/>
          <w:szCs w:val="16"/>
        </w:rPr>
        <w:t xml:space="preserve">— </w:t>
      </w:r>
      <w:r w:rsidR="00254B12">
        <w:rPr>
          <w:sz w:val="16"/>
          <w:szCs w:val="16"/>
        </w:rPr>
        <w:t>Investment</w:t>
      </w:r>
    </w:p>
    <w:p w:rsidR="00AB7959" w:rsidRPr="00F454B6" w:rsidRDefault="00AB7959" w:rsidP="00AB7959">
      <w:pPr>
        <w:spacing w:after="120"/>
        <w:jc w:val="left"/>
        <w:rPr>
          <w:i/>
          <w:color w:val="FF0000"/>
          <w:sz w:val="16"/>
          <w:szCs w:val="16"/>
        </w:rPr>
      </w:pPr>
      <w:r w:rsidRPr="00F454B6">
        <w:rPr>
          <w:sz w:val="16"/>
          <w:szCs w:val="16"/>
        </w:rPr>
        <w:t xml:space="preserve">Unit </w:t>
      </w:r>
      <w:r w:rsidR="00254B12" w:rsidRPr="00254B12">
        <w:rPr>
          <w:sz w:val="16"/>
          <w:szCs w:val="16"/>
        </w:rPr>
        <w:t>F1</w:t>
      </w:r>
      <w:r w:rsidR="00254B12">
        <w:rPr>
          <w:sz w:val="16"/>
          <w:szCs w:val="16"/>
        </w:rPr>
        <w:t xml:space="preserve"> </w:t>
      </w:r>
      <w:r w:rsidR="00254B12" w:rsidRPr="00F454B6">
        <w:rPr>
          <w:sz w:val="16"/>
          <w:szCs w:val="16"/>
        </w:rPr>
        <w:t>—</w:t>
      </w:r>
      <w:r w:rsidR="00254B12">
        <w:rPr>
          <w:sz w:val="16"/>
          <w:szCs w:val="16"/>
        </w:rPr>
        <w:t xml:space="preserve"> </w:t>
      </w:r>
      <w:r w:rsidR="00254B12" w:rsidRPr="00254B12">
        <w:rPr>
          <w:sz w:val="16"/>
          <w:szCs w:val="16"/>
        </w:rPr>
        <w:t>ESF</w:t>
      </w:r>
      <w:r w:rsidR="00254B12">
        <w:rPr>
          <w:sz w:val="16"/>
          <w:szCs w:val="16"/>
        </w:rPr>
        <w:t xml:space="preserve"> </w:t>
      </w:r>
      <w:r w:rsidR="00254B12" w:rsidRPr="00254B12">
        <w:rPr>
          <w:sz w:val="16"/>
          <w:szCs w:val="16"/>
        </w:rPr>
        <w:t xml:space="preserve">and FEAD Policy and Legislation </w:t>
      </w:r>
    </w:p>
    <w:p w:rsidR="00AB7959" w:rsidRPr="00F454B6" w:rsidRDefault="00AB7959" w:rsidP="00AB7959">
      <w:pPr>
        <w:spacing w:after="120"/>
        <w:jc w:val="left"/>
        <w:rPr>
          <w:i/>
          <w:sz w:val="16"/>
          <w:szCs w:val="16"/>
        </w:rPr>
      </w:pPr>
      <w:r w:rsidRPr="00F454B6">
        <w:rPr>
          <w:i/>
          <w:sz w:val="16"/>
          <w:szCs w:val="16"/>
        </w:rPr>
        <w:t>Contact:</w:t>
      </w:r>
      <w:r w:rsidRPr="00F454B6">
        <w:rPr>
          <w:sz w:val="16"/>
          <w:szCs w:val="16"/>
        </w:rPr>
        <w:t xml:space="preserve"> </w:t>
      </w:r>
      <w:r w:rsidRPr="00F454B6">
        <w:rPr>
          <w:color w:val="FF0000"/>
          <w:sz w:val="16"/>
          <w:szCs w:val="16"/>
        </w:rPr>
        <w:t>[First name Last name]</w:t>
      </w:r>
    </w:p>
    <w:p w:rsidR="00AB7959" w:rsidRPr="00F454B6" w:rsidRDefault="00AB7959" w:rsidP="00AB7959">
      <w:pPr>
        <w:tabs>
          <w:tab w:val="left" w:pos="709"/>
        </w:tabs>
        <w:spacing w:after="120"/>
        <w:ind w:left="709" w:hanging="709"/>
        <w:jc w:val="left"/>
        <w:rPr>
          <w:sz w:val="16"/>
          <w:szCs w:val="16"/>
        </w:rPr>
      </w:pPr>
      <w:r w:rsidRPr="00F454B6">
        <w:rPr>
          <w:i/>
          <w:sz w:val="16"/>
          <w:szCs w:val="16"/>
        </w:rPr>
        <w:t>E-mail:</w:t>
      </w:r>
      <w:r w:rsidRPr="00F454B6">
        <w:rPr>
          <w:i/>
          <w:sz w:val="16"/>
          <w:szCs w:val="16"/>
        </w:rPr>
        <w:tab/>
      </w:r>
      <w:r w:rsidRPr="00F454B6">
        <w:rPr>
          <w:color w:val="FF0000"/>
          <w:sz w:val="16"/>
          <w:szCs w:val="16"/>
        </w:rPr>
        <w:t>[…]</w:t>
      </w:r>
      <w:r w:rsidRPr="00F454B6">
        <w:rPr>
          <w:i/>
          <w:sz w:val="16"/>
          <w:szCs w:val="16"/>
        </w:rPr>
        <w:t>@ec.europa.eu</w:t>
      </w:r>
      <w:r w:rsidRPr="00F454B6">
        <w:rPr>
          <w:sz w:val="16"/>
          <w:szCs w:val="16"/>
        </w:rPr>
        <w:t xml:space="preserve"> </w:t>
      </w:r>
      <w:r w:rsidRPr="00F454B6">
        <w:rPr>
          <w:i/>
          <w:color w:val="FF0000"/>
          <w:sz w:val="16"/>
          <w:szCs w:val="16"/>
        </w:rPr>
        <w:t>(functional e-mail if existing, or)</w:t>
      </w:r>
      <w:r w:rsidRPr="00F454B6">
        <w:rPr>
          <w:color w:val="FF0000"/>
          <w:sz w:val="16"/>
          <w:szCs w:val="16"/>
        </w:rPr>
        <w:t xml:space="preserve"> </w:t>
      </w:r>
      <w:r w:rsidRPr="00F454B6">
        <w:rPr>
          <w:color w:val="FF0000"/>
          <w:sz w:val="16"/>
          <w:szCs w:val="16"/>
        </w:rPr>
        <w:br/>
        <w:t xml:space="preserve">[First </w:t>
      </w:r>
      <w:proofErr w:type="spellStart"/>
      <w:r w:rsidRPr="00F454B6">
        <w:rPr>
          <w:color w:val="FF0000"/>
          <w:sz w:val="16"/>
          <w:szCs w:val="16"/>
        </w:rPr>
        <w:t>name.Last</w:t>
      </w:r>
      <w:proofErr w:type="spellEnd"/>
      <w:r w:rsidRPr="00F454B6">
        <w:rPr>
          <w:color w:val="FF0000"/>
          <w:sz w:val="16"/>
          <w:szCs w:val="16"/>
        </w:rPr>
        <w:t xml:space="preserve"> name]</w:t>
      </w:r>
      <w:r w:rsidRPr="00F454B6">
        <w:rPr>
          <w:sz w:val="16"/>
          <w:szCs w:val="16"/>
        </w:rPr>
        <w:t>@</w:t>
      </w:r>
      <w:r w:rsidRPr="00F454B6">
        <w:rPr>
          <w:i/>
          <w:sz w:val="16"/>
          <w:szCs w:val="16"/>
        </w:rPr>
        <w:t>ec.europa.eu</w:t>
      </w:r>
      <w:r w:rsidRPr="00F454B6">
        <w:rPr>
          <w:i/>
          <w:sz w:val="16"/>
          <w:szCs w:val="16"/>
        </w:rPr>
        <w:br/>
      </w:r>
    </w:p>
    <w:p w:rsidR="00AB7959" w:rsidRPr="00F454B6" w:rsidRDefault="00AB7959" w:rsidP="00AB7959">
      <w:pPr>
        <w:spacing w:after="0"/>
        <w:jc w:val="left"/>
        <w:rPr>
          <w:rStyle w:val="BodyChar"/>
          <w:rFonts w:eastAsiaTheme="minorHAnsi"/>
          <w:sz w:val="16"/>
          <w:szCs w:val="16"/>
          <w:lang w:val="en-GB"/>
        </w:rPr>
      </w:pPr>
      <w:r w:rsidRPr="00F454B6">
        <w:rPr>
          <w:i/>
          <w:sz w:val="16"/>
          <w:szCs w:val="16"/>
        </w:rPr>
        <w:t>European Commission</w:t>
      </w:r>
      <w:r w:rsidRPr="00F454B6">
        <w:rPr>
          <w:i/>
          <w:sz w:val="16"/>
          <w:szCs w:val="16"/>
        </w:rPr>
        <w:br/>
        <w:t>B-1049 Brussels</w:t>
      </w:r>
    </w:p>
    <w:p w:rsidR="00AB7959" w:rsidRPr="00393F10" w:rsidRDefault="00AB7959" w:rsidP="00800160">
      <w:pPr>
        <w:pStyle w:val="Heading"/>
        <w:rPr>
          <w:lang w:val="en-GB"/>
        </w:rPr>
        <w:sectPr w:rsidR="00AB7959" w:rsidRPr="00393F10" w:rsidSect="00BD2D83">
          <w:headerReference w:type="first" r:id="rId16"/>
          <w:footerReference w:type="first" r:id="rId17"/>
          <w:pgSz w:w="11907" w:h="16839" w:code="9"/>
          <w:pgMar w:top="1418" w:right="1418" w:bottom="851" w:left="1701" w:header="567" w:footer="493" w:gutter="0"/>
          <w:cols w:space="720"/>
          <w:titlePg/>
          <w:docGrid w:linePitch="326"/>
        </w:sectPr>
      </w:pPr>
    </w:p>
    <w:p w:rsidR="00AB7959" w:rsidRPr="00F454B6" w:rsidRDefault="00AB7959" w:rsidP="00AB7959">
      <w:pPr>
        <w:jc w:val="center"/>
        <w:rPr>
          <w:sz w:val="18"/>
        </w:rPr>
      </w:pPr>
    </w:p>
    <w:p w:rsidR="00AB7959" w:rsidRPr="00F454B6" w:rsidRDefault="00AB7959" w:rsidP="00AB7959">
      <w:pPr>
        <w:jc w:val="center"/>
        <w:rPr>
          <w:sz w:val="18"/>
        </w:rPr>
      </w:pPr>
    </w:p>
    <w:p w:rsidR="00AB7959" w:rsidRPr="00F454B6" w:rsidRDefault="00AB7959" w:rsidP="00AB7959">
      <w:pPr>
        <w:jc w:val="center"/>
        <w:rPr>
          <w:sz w:val="18"/>
        </w:rPr>
      </w:pPr>
    </w:p>
    <w:p w:rsidR="00AB7959" w:rsidRPr="00F454B6" w:rsidRDefault="00AB7959" w:rsidP="00AB7959">
      <w:pPr>
        <w:jc w:val="center"/>
      </w:pPr>
    </w:p>
    <w:p w:rsidR="00AB7959" w:rsidRPr="00F454B6" w:rsidRDefault="00AB7959" w:rsidP="00AB7959">
      <w:pPr>
        <w:jc w:val="center"/>
      </w:pPr>
    </w:p>
    <w:p w:rsidR="00AB7959" w:rsidRPr="00F454B6" w:rsidRDefault="00AB7959" w:rsidP="00AB7959">
      <w:pPr>
        <w:jc w:val="center"/>
      </w:pPr>
    </w:p>
    <w:p w:rsidR="00AB7959" w:rsidRPr="00F454B6" w:rsidRDefault="00AB7959" w:rsidP="00AB7959">
      <w:pPr>
        <w:jc w:val="center"/>
      </w:pPr>
    </w:p>
    <w:p w:rsidR="00AB7959" w:rsidRPr="00F454B6" w:rsidRDefault="00AB7959" w:rsidP="00AB7959">
      <w:pPr>
        <w:jc w:val="center"/>
      </w:pPr>
    </w:p>
    <w:p w:rsidR="00AB7959" w:rsidRPr="00F454B6" w:rsidRDefault="00AB7959" w:rsidP="00AB7959">
      <w:pPr>
        <w:jc w:val="center"/>
      </w:pPr>
    </w:p>
    <w:p w:rsidR="00AB7959" w:rsidRPr="00F454B6" w:rsidRDefault="00932B99" w:rsidP="00AB7959">
      <w:pPr>
        <w:pStyle w:val="Titlepublication"/>
        <w:rPr>
          <w:color w:val="auto"/>
        </w:rPr>
      </w:pPr>
      <w:r w:rsidRPr="00F454B6">
        <w:rPr>
          <w:color w:val="auto"/>
        </w:rPr>
        <w:t>Support of ESI Funds to the implementation of the Country Specific Recommendations and to structural reforms in Member States</w:t>
      </w:r>
    </w:p>
    <w:p w:rsidR="00AB7959" w:rsidRPr="00C34469" w:rsidRDefault="002D58AB" w:rsidP="00AB7959">
      <w:pPr>
        <w:jc w:val="center"/>
        <w:rPr>
          <w:lang w:val="it-IT"/>
        </w:rPr>
      </w:pPr>
      <w:r w:rsidRPr="00C34469">
        <w:rPr>
          <w:rFonts w:eastAsia="Times New Roman" w:cs="Times New Roman"/>
          <w:sz w:val="32"/>
          <w:szCs w:val="20"/>
          <w:lang w:val="it-IT"/>
        </w:rPr>
        <w:t>First Interim Report</w:t>
      </w:r>
    </w:p>
    <w:p w:rsidR="00AB7959" w:rsidRPr="00C34469" w:rsidRDefault="00AB7959" w:rsidP="00AB7959">
      <w:pPr>
        <w:jc w:val="center"/>
        <w:rPr>
          <w:lang w:val="it-IT"/>
        </w:rPr>
      </w:pPr>
    </w:p>
    <w:p w:rsidR="00AB7959" w:rsidRPr="00C34469" w:rsidRDefault="00C34469" w:rsidP="00AB7959">
      <w:pPr>
        <w:jc w:val="center"/>
        <w:rPr>
          <w:lang w:val="it-IT"/>
        </w:rPr>
      </w:pPr>
      <w:r w:rsidRPr="00C34469">
        <w:rPr>
          <w:lang w:val="it-IT"/>
        </w:rPr>
        <w:t xml:space="preserve">Andrea </w:t>
      </w:r>
      <w:proofErr w:type="spellStart"/>
      <w:r w:rsidRPr="00C34469">
        <w:rPr>
          <w:lang w:val="it-IT"/>
        </w:rPr>
        <w:t>Ciffolilli</w:t>
      </w:r>
      <w:proofErr w:type="spellEnd"/>
      <w:r w:rsidRPr="00C34469">
        <w:rPr>
          <w:lang w:val="it-IT"/>
        </w:rPr>
        <w:t xml:space="preserve"> </w:t>
      </w:r>
      <w:proofErr w:type="spellStart"/>
      <w:r w:rsidRPr="00C34469">
        <w:rPr>
          <w:lang w:val="it-IT"/>
        </w:rPr>
        <w:t>assisted</w:t>
      </w:r>
      <w:proofErr w:type="spellEnd"/>
      <w:r w:rsidRPr="00C34469">
        <w:rPr>
          <w:lang w:val="it-IT"/>
        </w:rPr>
        <w:t xml:space="preserve"> by Stefano Condello, Andrea Naldini, Carlo Della Libera, </w:t>
      </w:r>
      <w:proofErr w:type="spellStart"/>
      <w:r w:rsidRPr="00C34469">
        <w:rPr>
          <w:lang w:val="it-IT"/>
        </w:rPr>
        <w:t>Elene</w:t>
      </w:r>
      <w:proofErr w:type="spellEnd"/>
      <w:r w:rsidRPr="00C34469">
        <w:rPr>
          <w:lang w:val="it-IT"/>
        </w:rPr>
        <w:t xml:space="preserve"> di Palma, Marco Pompili, Eleonora </w:t>
      </w:r>
      <w:proofErr w:type="spellStart"/>
      <w:r w:rsidRPr="00C34469">
        <w:rPr>
          <w:lang w:val="it-IT"/>
        </w:rPr>
        <w:t>Peruccacci</w:t>
      </w:r>
      <w:proofErr w:type="spellEnd"/>
      <w:r w:rsidRPr="00C34469">
        <w:rPr>
          <w:lang w:val="it-IT"/>
        </w:rPr>
        <w:t xml:space="preserve"> (</w:t>
      </w:r>
      <w:proofErr w:type="spellStart"/>
      <w:r w:rsidRPr="00C34469">
        <w:rPr>
          <w:lang w:val="it-IT"/>
        </w:rPr>
        <w:t>Ismeri</w:t>
      </w:r>
      <w:proofErr w:type="spellEnd"/>
      <w:r w:rsidRPr="00C34469">
        <w:rPr>
          <w:lang w:val="it-IT"/>
        </w:rPr>
        <w:t xml:space="preserve"> Europa)</w:t>
      </w:r>
      <w:r>
        <w:rPr>
          <w:lang w:val="it-IT"/>
        </w:rPr>
        <w:t>.</w:t>
      </w:r>
      <w:r w:rsidRPr="00C34469">
        <w:rPr>
          <w:lang w:val="it-IT"/>
        </w:rPr>
        <w:t xml:space="preserve">* </w:t>
      </w:r>
    </w:p>
    <w:p w:rsidR="00AB7959" w:rsidRPr="00C34469" w:rsidRDefault="009222F4" w:rsidP="00E87AA8">
      <w:r>
        <w:t>*</w:t>
      </w:r>
      <w:r w:rsidR="00C34469" w:rsidRPr="00C34469">
        <w:t xml:space="preserve">The authors wish to acknowledge the valuable support and assistance provided by members of the </w:t>
      </w:r>
      <w:r w:rsidR="00E87AA8" w:rsidRPr="00E87AA8">
        <w:t>Unit F1: ESF and FEAD Policy and Legislation</w:t>
      </w:r>
      <w:r w:rsidR="00E87AA8">
        <w:t xml:space="preserve"> </w:t>
      </w:r>
      <w:r w:rsidR="00C34469" w:rsidRPr="00C34469">
        <w:t>of DG</w:t>
      </w:r>
      <w:r w:rsidR="00E87AA8">
        <w:t xml:space="preserve"> </w:t>
      </w:r>
      <w:proofErr w:type="spellStart"/>
      <w:r w:rsidR="00E87AA8" w:rsidRPr="00E87AA8">
        <w:t>DG</w:t>
      </w:r>
      <w:proofErr w:type="spellEnd"/>
      <w:r w:rsidR="00E87AA8" w:rsidRPr="00E87AA8">
        <w:t xml:space="preserve"> Employment, Social Affairs and Inclusion</w:t>
      </w:r>
      <w:r w:rsidR="00C34469" w:rsidRPr="00C34469">
        <w:t xml:space="preserve"> in producing this report, in particular, </w:t>
      </w:r>
      <w:proofErr w:type="spellStart"/>
      <w:r w:rsidR="00C34469">
        <w:t>Resa</w:t>
      </w:r>
      <w:proofErr w:type="spellEnd"/>
      <w:r w:rsidR="00C34469">
        <w:t xml:space="preserve"> </w:t>
      </w:r>
      <w:proofErr w:type="spellStart"/>
      <w:r w:rsidR="00C34469">
        <w:t>Koleva-Demonty</w:t>
      </w:r>
      <w:proofErr w:type="spellEnd"/>
      <w:r w:rsidR="00C34469">
        <w:t xml:space="preserve"> </w:t>
      </w:r>
      <w:r w:rsidR="00E87AA8">
        <w:t xml:space="preserve">and Vitor Nogueira. The authors also wish to thank Loris Di </w:t>
      </w:r>
      <w:proofErr w:type="spellStart"/>
      <w:r w:rsidR="00E87AA8">
        <w:t>Pietrantonio</w:t>
      </w:r>
      <w:proofErr w:type="spellEnd"/>
      <w:r w:rsidR="00E87AA8">
        <w:t xml:space="preserve">, the Head of Unit, the members of the Steering Group and the geographical desks of DG Employment and DG </w:t>
      </w:r>
      <w:proofErr w:type="spellStart"/>
      <w:r w:rsidR="00E87AA8">
        <w:t>Regio</w:t>
      </w:r>
      <w:proofErr w:type="spellEnd"/>
      <w:r w:rsidR="00E87AA8">
        <w:t xml:space="preserve">. </w:t>
      </w:r>
    </w:p>
    <w:p w:rsidR="009222F4" w:rsidRDefault="009222F4" w:rsidP="009222F4">
      <w:pPr>
        <w:jc w:val="left"/>
        <w:rPr>
          <w:i/>
        </w:rPr>
      </w:pPr>
    </w:p>
    <w:p w:rsidR="00AB7959" w:rsidRPr="009222F4" w:rsidRDefault="009222F4" w:rsidP="009222F4">
      <w:pPr>
        <w:rPr>
          <w:i/>
        </w:rPr>
      </w:pPr>
      <w:r w:rsidRPr="009222F4">
        <w:rPr>
          <w:i/>
        </w:rPr>
        <w:t xml:space="preserve">The information and views set out in this </w:t>
      </w:r>
      <w:r>
        <w:rPr>
          <w:i/>
        </w:rPr>
        <w:t xml:space="preserve">report </w:t>
      </w:r>
      <w:r w:rsidRPr="009222F4">
        <w:rPr>
          <w:i/>
        </w:rPr>
        <w:t>are those of the authors and do not necessarily reflect the official opinion of the Commission. The Commission does not guarantee the accuracy of the data included in this study. Neither the Commission nor any person acting on the Commission’s behalf may be held responsible for the use which may be made of the information contained therein.</w:t>
      </w:r>
    </w:p>
    <w:p w:rsidR="00AB7959" w:rsidRPr="00C34469" w:rsidRDefault="00AB7959" w:rsidP="00AB7959">
      <w:pPr>
        <w:jc w:val="center"/>
      </w:pPr>
    </w:p>
    <w:p w:rsidR="00AB7959" w:rsidRPr="00C34469" w:rsidRDefault="00AB7959" w:rsidP="00AB7959">
      <w:pPr>
        <w:jc w:val="center"/>
      </w:pPr>
    </w:p>
    <w:p w:rsidR="00AB7959" w:rsidRPr="00C34469" w:rsidRDefault="00AB7959" w:rsidP="00AB7959">
      <w:pPr>
        <w:jc w:val="center"/>
      </w:pPr>
    </w:p>
    <w:p w:rsidR="00AB7959" w:rsidRPr="00C34469" w:rsidRDefault="00AB7959" w:rsidP="00AB7959">
      <w:pPr>
        <w:jc w:val="center"/>
      </w:pPr>
    </w:p>
    <w:p w:rsidR="00AB7959" w:rsidRPr="00C34469" w:rsidRDefault="00AB7959" w:rsidP="00AB7959">
      <w:pPr>
        <w:jc w:val="center"/>
      </w:pPr>
    </w:p>
    <w:p w:rsidR="00AB7959" w:rsidRPr="00C34469" w:rsidRDefault="00AB7959" w:rsidP="00AB7959">
      <w:pPr>
        <w:jc w:val="center"/>
      </w:pPr>
    </w:p>
    <w:p w:rsidR="00AB7959" w:rsidRPr="00C34469" w:rsidRDefault="00AB7959" w:rsidP="00AB7959">
      <w:pPr>
        <w:jc w:val="center"/>
      </w:pPr>
    </w:p>
    <w:p w:rsidR="00AB7959" w:rsidRPr="00C34469" w:rsidRDefault="00AB7959" w:rsidP="00AB7959">
      <w:pPr>
        <w:jc w:val="center"/>
      </w:pPr>
    </w:p>
    <w:p w:rsidR="00AB7959" w:rsidRPr="00C34469" w:rsidRDefault="00AB7959" w:rsidP="00AB7959">
      <w:pPr>
        <w:rPr>
          <w:sz w:val="18"/>
        </w:rPr>
        <w:sectPr w:rsidR="00AB7959" w:rsidRPr="00C34469" w:rsidSect="00BD2D83">
          <w:headerReference w:type="default" r:id="rId18"/>
          <w:pgSz w:w="11907" w:h="16839" w:code="9"/>
          <w:pgMar w:top="851" w:right="1418" w:bottom="851" w:left="1418" w:header="567" w:footer="567" w:gutter="0"/>
          <w:cols w:space="720"/>
          <w:docGrid w:linePitch="326"/>
        </w:sectPr>
      </w:pPr>
    </w:p>
    <w:p w:rsidR="00AB7959" w:rsidRPr="00C34469" w:rsidRDefault="00AB7959" w:rsidP="00AB7959">
      <w:pPr>
        <w:rPr>
          <w:sz w:val="16"/>
          <w:szCs w:val="16"/>
        </w:rPr>
      </w:pPr>
    </w:p>
    <w:p w:rsidR="00AB7959" w:rsidRPr="00C34469" w:rsidRDefault="00AB7959" w:rsidP="00AB7959">
      <w:pPr>
        <w:rPr>
          <w:sz w:val="16"/>
          <w:szCs w:val="16"/>
        </w:rPr>
      </w:pPr>
    </w:p>
    <w:p w:rsidR="00AB7959" w:rsidRPr="00C34469" w:rsidRDefault="00AB7959" w:rsidP="00AB7959">
      <w:pPr>
        <w:rPr>
          <w:sz w:val="16"/>
          <w:szCs w:val="16"/>
        </w:rPr>
      </w:pPr>
    </w:p>
    <w:p w:rsidR="00AB7959" w:rsidRPr="00C34469" w:rsidRDefault="00AB7959" w:rsidP="00AB7959">
      <w:pPr>
        <w:rPr>
          <w:sz w:val="16"/>
          <w:szCs w:val="16"/>
        </w:rPr>
      </w:pPr>
    </w:p>
    <w:p w:rsidR="00AB7959" w:rsidRPr="00C34469" w:rsidRDefault="00AB7959" w:rsidP="00AB7959">
      <w:pPr>
        <w:rPr>
          <w:sz w:val="16"/>
          <w:szCs w:val="16"/>
        </w:rPr>
      </w:pPr>
    </w:p>
    <w:p w:rsidR="00AB7959" w:rsidRPr="00C34469" w:rsidRDefault="00AB7959" w:rsidP="00AB7959">
      <w:pPr>
        <w:rPr>
          <w:sz w:val="16"/>
          <w:szCs w:val="16"/>
        </w:rPr>
      </w:pPr>
    </w:p>
    <w:p w:rsidR="00AB7959" w:rsidRPr="00C34469" w:rsidRDefault="00AB7959" w:rsidP="00AB7959">
      <w:pPr>
        <w:rPr>
          <w:sz w:val="16"/>
          <w:szCs w:val="16"/>
        </w:rPr>
      </w:pPr>
    </w:p>
    <w:p w:rsidR="00AB7959" w:rsidRPr="00C34469" w:rsidRDefault="00AB7959" w:rsidP="00AB7959">
      <w:pPr>
        <w:rPr>
          <w:sz w:val="16"/>
          <w:szCs w:val="16"/>
        </w:rPr>
      </w:pPr>
    </w:p>
    <w:p w:rsidR="00AB7959" w:rsidRPr="00C34469" w:rsidRDefault="00AB7959" w:rsidP="00AB7959">
      <w:pPr>
        <w:rPr>
          <w:sz w:val="16"/>
          <w:szCs w:val="16"/>
        </w:rPr>
      </w:pPr>
    </w:p>
    <w:p w:rsidR="00AB7959" w:rsidRPr="00C34469" w:rsidRDefault="00AB7959" w:rsidP="00AB7959">
      <w:pPr>
        <w:rPr>
          <w:sz w:val="16"/>
          <w:szCs w:val="16"/>
        </w:rPr>
      </w:pPr>
    </w:p>
    <w:p w:rsidR="00AB7959" w:rsidRPr="00C34469" w:rsidRDefault="00AB7959" w:rsidP="00AB7959">
      <w:pPr>
        <w:rPr>
          <w:sz w:val="16"/>
          <w:szCs w:val="16"/>
        </w:rPr>
      </w:pPr>
    </w:p>
    <w:p w:rsidR="00AB7959" w:rsidRPr="00C34469" w:rsidRDefault="00AB7959" w:rsidP="00AB7959">
      <w:pPr>
        <w:rPr>
          <w:sz w:val="16"/>
          <w:szCs w:val="16"/>
        </w:rPr>
      </w:pPr>
    </w:p>
    <w:p w:rsidR="00AB7959" w:rsidRPr="00C34469" w:rsidRDefault="00AB7959" w:rsidP="00AB7959">
      <w:pPr>
        <w:rPr>
          <w:sz w:val="16"/>
          <w:szCs w:val="16"/>
        </w:rPr>
      </w:pPr>
    </w:p>
    <w:tbl>
      <w:tblPr>
        <w:tblpPr w:leftFromText="180" w:rightFromText="180" w:vertAnchor="text" w:horzAnchor="margin"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6"/>
      </w:tblGrid>
      <w:tr w:rsidR="00AB7959" w:rsidRPr="00F454B6" w:rsidTr="00CE2335">
        <w:trPr>
          <w:trHeight w:val="2263"/>
        </w:trPr>
        <w:tc>
          <w:tcPr>
            <w:tcW w:w="7376" w:type="dxa"/>
            <w:tcMar>
              <w:left w:w="0" w:type="dxa"/>
              <w:right w:w="0" w:type="dxa"/>
            </w:tcMar>
          </w:tcPr>
          <w:p w:rsidR="00AB7959" w:rsidRPr="00F454B6" w:rsidRDefault="00AB7959" w:rsidP="00CE2335">
            <w:pPr>
              <w:spacing w:before="80"/>
              <w:jc w:val="center"/>
              <w:rPr>
                <w:noProof/>
              </w:rPr>
            </w:pPr>
            <w:r w:rsidRPr="00F7741C">
              <w:rPr>
                <w:b/>
                <w:i/>
                <w:noProof/>
              </w:rPr>
              <w:t>Europ</w:t>
            </w:r>
            <w:r w:rsidRPr="00F454B6">
              <w:rPr>
                <w:b/>
                <w:i/>
                <w:noProof/>
              </w:rPr>
              <w:t xml:space="preserve">e Direct is a service to help you find answers </w:t>
            </w:r>
            <w:r w:rsidRPr="00F454B6">
              <w:rPr>
                <w:noProof/>
              </w:rPr>
              <w:br/>
            </w:r>
            <w:r w:rsidRPr="00F454B6">
              <w:rPr>
                <w:b/>
                <w:i/>
                <w:noProof/>
              </w:rPr>
              <w:t>to your questions about the European Union.</w:t>
            </w:r>
          </w:p>
          <w:p w:rsidR="00AB7959" w:rsidRPr="00F454B6" w:rsidRDefault="00AB7959" w:rsidP="00CE2335">
            <w:pPr>
              <w:jc w:val="center"/>
              <w:rPr>
                <w:noProof/>
              </w:rPr>
            </w:pPr>
            <w:r w:rsidRPr="00F454B6">
              <w:rPr>
                <w:b/>
                <w:noProof/>
              </w:rPr>
              <w:t>Freephone number</w:t>
            </w:r>
            <w:r w:rsidRPr="00F454B6">
              <w:rPr>
                <w:noProof/>
              </w:rPr>
              <w:t xml:space="preserve"> (*)</w:t>
            </w:r>
            <w:r w:rsidRPr="00F454B6">
              <w:rPr>
                <w:b/>
                <w:noProof/>
              </w:rPr>
              <w:t>:</w:t>
            </w:r>
          </w:p>
          <w:p w:rsidR="00AB7959" w:rsidRPr="00F454B6" w:rsidRDefault="00AB7959" w:rsidP="00CE2335">
            <w:pPr>
              <w:jc w:val="center"/>
              <w:rPr>
                <w:noProof/>
              </w:rPr>
            </w:pPr>
            <w:r w:rsidRPr="00F454B6">
              <w:rPr>
                <w:b/>
                <w:noProof/>
                <w:sz w:val="28"/>
              </w:rPr>
              <w:t>00 800 6 7 8 9 10 11</w:t>
            </w:r>
          </w:p>
          <w:p w:rsidR="00AB7959" w:rsidRPr="00F454B6" w:rsidRDefault="00631A15" w:rsidP="00CE2335">
            <w:pPr>
              <w:spacing w:before="120" w:after="60"/>
              <w:ind w:left="397" w:right="170" w:hanging="227"/>
              <w:rPr>
                <w:noProof/>
              </w:rPr>
            </w:pPr>
            <w:hyperlink r:id="rId19" w:anchor="note1#note1" w:tooltip="Back to the text" w:history="1">
              <w:r w:rsidR="00AB7959" w:rsidRPr="00F454B6">
                <w:rPr>
                  <w:rFonts w:cs="Arial"/>
                  <w:sz w:val="16"/>
                  <w:szCs w:val="16"/>
                </w:rPr>
                <w:t>(*)</w:t>
              </w:r>
            </w:hyperlink>
            <w:r w:rsidR="00AB7959" w:rsidRPr="00F454B6">
              <w:rPr>
                <w:rFonts w:cs="Arial"/>
                <w:sz w:val="16"/>
                <w:szCs w:val="16"/>
              </w:rPr>
              <w:tab/>
              <w:t>The information given is free, as are most calls (though some operators, phone boxes or hotels may charge you).</w:t>
            </w:r>
          </w:p>
        </w:tc>
      </w:tr>
    </w:tbl>
    <w:p w:rsidR="00AB7959" w:rsidRPr="00F454B6" w:rsidRDefault="00AB7959" w:rsidP="00AB7959">
      <w:pPr>
        <w:rPr>
          <w:sz w:val="16"/>
          <w:szCs w:val="16"/>
        </w:rPr>
      </w:pPr>
    </w:p>
    <w:p w:rsidR="00AB7959" w:rsidRPr="00F454B6" w:rsidRDefault="00AB7959" w:rsidP="00AB7959">
      <w:pPr>
        <w:rPr>
          <w:sz w:val="16"/>
          <w:szCs w:val="16"/>
        </w:rPr>
      </w:pPr>
    </w:p>
    <w:p w:rsidR="00AB7959" w:rsidRPr="00F454B6" w:rsidRDefault="00AB7959" w:rsidP="00AB7959">
      <w:pPr>
        <w:rPr>
          <w:sz w:val="16"/>
          <w:szCs w:val="16"/>
        </w:rPr>
      </w:pPr>
    </w:p>
    <w:p w:rsidR="00AB7959" w:rsidRPr="00F454B6" w:rsidRDefault="00AB7959" w:rsidP="00AB7959">
      <w:pPr>
        <w:rPr>
          <w:sz w:val="16"/>
          <w:szCs w:val="16"/>
        </w:rPr>
      </w:pPr>
    </w:p>
    <w:p w:rsidR="00AB7959" w:rsidRPr="00F454B6" w:rsidRDefault="00AB7959" w:rsidP="00AB7959">
      <w:pPr>
        <w:rPr>
          <w:sz w:val="16"/>
          <w:szCs w:val="16"/>
        </w:rPr>
      </w:pPr>
    </w:p>
    <w:p w:rsidR="00AB7959" w:rsidRPr="00F454B6" w:rsidRDefault="00AB7959" w:rsidP="00AB7959">
      <w:pPr>
        <w:rPr>
          <w:sz w:val="16"/>
          <w:szCs w:val="16"/>
        </w:rPr>
      </w:pPr>
    </w:p>
    <w:p w:rsidR="00AB7959" w:rsidRPr="00F454B6" w:rsidRDefault="00AB7959" w:rsidP="00AB7959">
      <w:pPr>
        <w:spacing w:after="0"/>
        <w:rPr>
          <w:sz w:val="16"/>
          <w:szCs w:val="16"/>
        </w:rPr>
      </w:pPr>
    </w:p>
    <w:p w:rsidR="00AB7959" w:rsidRPr="00F454B6" w:rsidRDefault="00AB7959" w:rsidP="00AB7959">
      <w:pPr>
        <w:spacing w:after="120"/>
        <w:rPr>
          <w:b/>
          <w:sz w:val="18"/>
          <w:szCs w:val="18"/>
        </w:rPr>
      </w:pPr>
    </w:p>
    <w:p w:rsidR="00AB7959" w:rsidRPr="00F454B6" w:rsidRDefault="00AB7959" w:rsidP="00AB7959">
      <w:pPr>
        <w:spacing w:after="120"/>
        <w:rPr>
          <w:b/>
          <w:sz w:val="18"/>
          <w:szCs w:val="18"/>
        </w:rPr>
      </w:pPr>
      <w:r w:rsidRPr="00F454B6">
        <w:rPr>
          <w:b/>
          <w:sz w:val="18"/>
          <w:szCs w:val="18"/>
        </w:rPr>
        <w:t>LEGAL NOTICE</w:t>
      </w:r>
    </w:p>
    <w:p w:rsidR="00AB7959" w:rsidRPr="00F454B6" w:rsidRDefault="00AB7959" w:rsidP="00AB7959">
      <w:pPr>
        <w:jc w:val="left"/>
        <w:rPr>
          <w:sz w:val="16"/>
          <w:szCs w:val="16"/>
        </w:rPr>
      </w:pPr>
      <w:r w:rsidRPr="00F454B6">
        <w:rPr>
          <w:sz w:val="16"/>
          <w:szCs w:val="16"/>
        </w:rPr>
        <w:t>This document has been prepared for the European Commission however it reflects the views only of the authors, and the Commission cannot be held responsible for any use which may be made of the information contained therein.</w:t>
      </w:r>
    </w:p>
    <w:p w:rsidR="00AB7959" w:rsidRPr="00F454B6" w:rsidRDefault="00AB7959" w:rsidP="00AB7959">
      <w:pPr>
        <w:jc w:val="left"/>
        <w:rPr>
          <w:sz w:val="16"/>
          <w:szCs w:val="16"/>
        </w:rPr>
      </w:pPr>
      <w:r w:rsidRPr="00F454B6">
        <w:rPr>
          <w:sz w:val="16"/>
          <w:szCs w:val="16"/>
        </w:rPr>
        <w:t>More information on the European Union is available on the Internet (http://www.europa.eu).</w:t>
      </w:r>
    </w:p>
    <w:p w:rsidR="00AB7959" w:rsidRPr="00F454B6" w:rsidRDefault="00AB7959" w:rsidP="00AB7959">
      <w:pPr>
        <w:jc w:val="left"/>
        <w:rPr>
          <w:sz w:val="16"/>
          <w:szCs w:val="16"/>
        </w:rPr>
      </w:pPr>
      <w:r w:rsidRPr="00F454B6">
        <w:rPr>
          <w:sz w:val="16"/>
          <w:szCs w:val="16"/>
        </w:rPr>
        <w:t>Luxembourg: Publications Office of the European Union, 201</w:t>
      </w:r>
      <w:r w:rsidR="00795921">
        <w:rPr>
          <w:sz w:val="16"/>
          <w:szCs w:val="16"/>
        </w:rPr>
        <w:t>6</w:t>
      </w:r>
    </w:p>
    <w:p w:rsidR="00AB7959" w:rsidRPr="00F454B6" w:rsidRDefault="00AB7959" w:rsidP="00AB7959">
      <w:pPr>
        <w:tabs>
          <w:tab w:val="left" w:pos="567"/>
        </w:tabs>
        <w:spacing w:after="0"/>
        <w:jc w:val="left"/>
        <w:rPr>
          <w:color w:val="FF0000"/>
          <w:sz w:val="16"/>
          <w:szCs w:val="16"/>
        </w:rPr>
      </w:pPr>
      <w:r w:rsidRPr="00F454B6">
        <w:rPr>
          <w:sz w:val="16"/>
          <w:szCs w:val="16"/>
        </w:rPr>
        <w:t xml:space="preserve">ISBN </w:t>
      </w:r>
      <w:r w:rsidRPr="00F454B6">
        <w:rPr>
          <w:color w:val="FF0000"/>
          <w:sz w:val="16"/>
          <w:szCs w:val="16"/>
        </w:rPr>
        <w:t>[number]</w:t>
      </w:r>
    </w:p>
    <w:p w:rsidR="00AB7959" w:rsidRPr="00F454B6" w:rsidRDefault="00AB7959" w:rsidP="00AB7959">
      <w:pPr>
        <w:tabs>
          <w:tab w:val="left" w:pos="567"/>
        </w:tabs>
        <w:jc w:val="left"/>
        <w:rPr>
          <w:sz w:val="16"/>
          <w:szCs w:val="16"/>
        </w:rPr>
      </w:pPr>
      <w:proofErr w:type="spellStart"/>
      <w:r w:rsidRPr="00F454B6">
        <w:rPr>
          <w:sz w:val="16"/>
          <w:szCs w:val="16"/>
        </w:rPr>
        <w:t>doi</w:t>
      </w:r>
      <w:proofErr w:type="spellEnd"/>
      <w:r w:rsidRPr="00F454B6">
        <w:rPr>
          <w:sz w:val="16"/>
          <w:szCs w:val="16"/>
        </w:rPr>
        <w:t>:</w:t>
      </w:r>
      <w:r w:rsidRPr="00F454B6">
        <w:rPr>
          <w:color w:val="FF0000"/>
          <w:sz w:val="16"/>
          <w:szCs w:val="16"/>
        </w:rPr>
        <w:t>[number]</w:t>
      </w:r>
    </w:p>
    <w:p w:rsidR="00AB7959" w:rsidRPr="00F454B6" w:rsidRDefault="00825917" w:rsidP="00AB7959">
      <w:pPr>
        <w:spacing w:after="0"/>
        <w:jc w:val="left"/>
        <w:rPr>
          <w:sz w:val="16"/>
          <w:szCs w:val="16"/>
        </w:rPr>
      </w:pPr>
      <w:r w:rsidRPr="00F454B6">
        <w:rPr>
          <w:sz w:val="16"/>
          <w:szCs w:val="16"/>
        </w:rPr>
        <w:t>© European Union, 201</w:t>
      </w:r>
      <w:r w:rsidR="00795921">
        <w:rPr>
          <w:sz w:val="16"/>
          <w:szCs w:val="16"/>
        </w:rPr>
        <w:t>6</w:t>
      </w:r>
    </w:p>
    <w:p w:rsidR="00AB7959" w:rsidRPr="00F454B6" w:rsidRDefault="00AB7959" w:rsidP="00AB7959">
      <w:pPr>
        <w:jc w:val="left"/>
        <w:rPr>
          <w:sz w:val="16"/>
          <w:szCs w:val="16"/>
        </w:rPr>
      </w:pPr>
      <w:r w:rsidRPr="00F454B6">
        <w:rPr>
          <w:sz w:val="16"/>
          <w:szCs w:val="16"/>
        </w:rPr>
        <w:t>Reproduction is authorised provided the source is acknowledged.</w:t>
      </w:r>
    </w:p>
    <w:p w:rsidR="00AB7959" w:rsidRPr="00F454B6" w:rsidRDefault="00AB7959" w:rsidP="00A338A2">
      <w:pPr>
        <w:spacing w:after="0"/>
        <w:jc w:val="left"/>
        <w:rPr>
          <w:rFonts w:cs="Arial"/>
          <w:smallCaps/>
          <w:sz w:val="16"/>
          <w:szCs w:val="16"/>
          <w:lang w:eastAsia="ko-KR"/>
        </w:rPr>
      </w:pPr>
      <w:r w:rsidRPr="00F454B6">
        <w:rPr>
          <w:rFonts w:cs="Arial"/>
          <w:smallCaps/>
          <w:sz w:val="16"/>
          <w:szCs w:val="16"/>
          <w:lang w:eastAsia="ko-KR"/>
        </w:rPr>
        <w:t>Printed in [Country]</w:t>
      </w:r>
    </w:p>
    <w:p w:rsidR="00AB7959" w:rsidRPr="00F454B6" w:rsidRDefault="00AB7959" w:rsidP="00AB7959">
      <w:pPr>
        <w:spacing w:after="0"/>
        <w:jc w:val="left"/>
        <w:rPr>
          <w:rFonts w:cs="Arial"/>
          <w:smallCaps/>
          <w:sz w:val="16"/>
          <w:szCs w:val="16"/>
          <w:lang w:eastAsia="ko-KR"/>
        </w:rPr>
      </w:pPr>
    </w:p>
    <w:p w:rsidR="00AB7959" w:rsidRPr="00F454B6" w:rsidRDefault="00AB7959" w:rsidP="00AB7959">
      <w:pPr>
        <w:spacing w:after="0"/>
        <w:jc w:val="left"/>
        <w:rPr>
          <w:rFonts w:cs="Arial"/>
          <w:smallCaps/>
          <w:sz w:val="16"/>
          <w:szCs w:val="16"/>
          <w:lang w:eastAsia="ko-KR"/>
        </w:rPr>
      </w:pPr>
      <w:r w:rsidRPr="00F454B6">
        <w:rPr>
          <w:rFonts w:cs="Arial"/>
          <w:smallCaps/>
          <w:sz w:val="16"/>
          <w:szCs w:val="16"/>
          <w:lang w:eastAsia="ko-KR"/>
        </w:rPr>
        <w:t>Printed on elemental chlorine-free bleached paper (</w:t>
      </w:r>
      <w:r w:rsidRPr="00F454B6">
        <w:rPr>
          <w:rFonts w:cs="Arial"/>
          <w:caps/>
          <w:sz w:val="16"/>
          <w:szCs w:val="16"/>
          <w:lang w:eastAsia="ko-KR"/>
        </w:rPr>
        <w:t>ecf</w:t>
      </w:r>
      <w:r w:rsidRPr="00F454B6">
        <w:rPr>
          <w:rFonts w:cs="Arial"/>
          <w:smallCaps/>
          <w:sz w:val="16"/>
          <w:szCs w:val="16"/>
          <w:lang w:eastAsia="ko-KR"/>
        </w:rPr>
        <w:t>)</w:t>
      </w:r>
    </w:p>
    <w:p w:rsidR="00AB7959" w:rsidRPr="00F454B6" w:rsidRDefault="00AB7959" w:rsidP="00AB7959">
      <w:pPr>
        <w:spacing w:after="0"/>
        <w:jc w:val="left"/>
        <w:rPr>
          <w:rFonts w:cs="Arial"/>
          <w:smallCaps/>
          <w:sz w:val="16"/>
          <w:szCs w:val="16"/>
          <w:lang w:eastAsia="ko-KR"/>
        </w:rPr>
      </w:pPr>
    </w:p>
    <w:p w:rsidR="00AB7959" w:rsidRPr="00F454B6" w:rsidRDefault="00AB7959" w:rsidP="00AB7959">
      <w:pPr>
        <w:spacing w:after="0"/>
        <w:jc w:val="left"/>
        <w:rPr>
          <w:rFonts w:cs="Arial"/>
          <w:smallCaps/>
          <w:sz w:val="16"/>
          <w:szCs w:val="16"/>
          <w:lang w:eastAsia="ko-KR"/>
        </w:rPr>
      </w:pPr>
      <w:r w:rsidRPr="00F454B6">
        <w:rPr>
          <w:rFonts w:cs="Arial"/>
          <w:smallCaps/>
          <w:sz w:val="16"/>
          <w:szCs w:val="16"/>
          <w:lang w:eastAsia="ko-KR"/>
        </w:rPr>
        <w:t>Printed on totally chlorine-free bleached paper (</w:t>
      </w:r>
      <w:r w:rsidRPr="00F454B6">
        <w:rPr>
          <w:rFonts w:cs="Arial"/>
          <w:caps/>
          <w:sz w:val="16"/>
          <w:szCs w:val="16"/>
          <w:lang w:eastAsia="ko-KR"/>
        </w:rPr>
        <w:t>tcf</w:t>
      </w:r>
      <w:r w:rsidRPr="00F454B6">
        <w:rPr>
          <w:rFonts w:cs="Arial"/>
          <w:smallCaps/>
          <w:sz w:val="16"/>
          <w:szCs w:val="16"/>
          <w:lang w:eastAsia="ko-KR"/>
        </w:rPr>
        <w:t xml:space="preserve">) </w:t>
      </w:r>
    </w:p>
    <w:p w:rsidR="00AB7959" w:rsidRPr="00F454B6" w:rsidRDefault="00AB7959" w:rsidP="00AB7959">
      <w:pPr>
        <w:spacing w:after="0"/>
        <w:jc w:val="left"/>
        <w:rPr>
          <w:rFonts w:cs="Arial"/>
          <w:smallCaps/>
          <w:sz w:val="16"/>
          <w:szCs w:val="16"/>
          <w:lang w:eastAsia="ko-KR"/>
        </w:rPr>
      </w:pPr>
    </w:p>
    <w:p w:rsidR="00AB7959" w:rsidRPr="00F454B6" w:rsidRDefault="00AB7959" w:rsidP="00AB7959">
      <w:pPr>
        <w:spacing w:after="0"/>
        <w:jc w:val="left"/>
        <w:rPr>
          <w:rFonts w:cs="Arial"/>
          <w:smallCaps/>
          <w:sz w:val="16"/>
          <w:szCs w:val="16"/>
          <w:lang w:eastAsia="ko-KR"/>
        </w:rPr>
      </w:pPr>
      <w:r w:rsidRPr="00F454B6">
        <w:rPr>
          <w:rFonts w:cs="Arial"/>
          <w:smallCaps/>
          <w:sz w:val="16"/>
          <w:szCs w:val="16"/>
          <w:lang w:eastAsia="ko-KR"/>
        </w:rPr>
        <w:t>Printed on recycled paper</w:t>
      </w:r>
    </w:p>
    <w:p w:rsidR="00AB7959" w:rsidRPr="00F454B6" w:rsidRDefault="00AB7959" w:rsidP="00AB7959">
      <w:pPr>
        <w:spacing w:after="0"/>
        <w:jc w:val="left"/>
        <w:rPr>
          <w:rFonts w:cs="Arial"/>
          <w:smallCaps/>
          <w:sz w:val="16"/>
          <w:szCs w:val="16"/>
          <w:lang w:eastAsia="ko-KR"/>
        </w:rPr>
      </w:pPr>
    </w:p>
    <w:p w:rsidR="00AB7959" w:rsidRPr="00F454B6" w:rsidRDefault="00AB7959" w:rsidP="00AB7959">
      <w:pPr>
        <w:spacing w:after="0"/>
        <w:jc w:val="left"/>
        <w:rPr>
          <w:rFonts w:cs="Arial"/>
          <w:smallCaps/>
          <w:sz w:val="16"/>
          <w:szCs w:val="16"/>
          <w:lang w:eastAsia="ko-KR"/>
        </w:rPr>
      </w:pPr>
      <w:r w:rsidRPr="00F454B6">
        <w:rPr>
          <w:rFonts w:cs="Arial"/>
          <w:smallCaps/>
          <w:sz w:val="16"/>
          <w:szCs w:val="16"/>
          <w:lang w:eastAsia="ko-KR"/>
        </w:rPr>
        <w:t>Printed on process chlorine-free recycled paper (</w:t>
      </w:r>
      <w:r w:rsidRPr="00F454B6">
        <w:rPr>
          <w:rFonts w:cs="Arial"/>
          <w:caps/>
          <w:sz w:val="16"/>
          <w:szCs w:val="16"/>
          <w:lang w:eastAsia="ko-KR"/>
        </w:rPr>
        <w:t>pcf</w:t>
      </w:r>
      <w:r w:rsidRPr="00F454B6">
        <w:rPr>
          <w:rFonts w:cs="Arial"/>
          <w:smallCaps/>
          <w:sz w:val="16"/>
          <w:szCs w:val="16"/>
          <w:lang w:eastAsia="ko-KR"/>
        </w:rPr>
        <w:t>)</w:t>
      </w:r>
    </w:p>
    <w:p w:rsidR="00AB7959" w:rsidRPr="00F454B6" w:rsidRDefault="00AB7959" w:rsidP="00AB7959">
      <w:pPr>
        <w:jc w:val="left"/>
        <w:rPr>
          <w:color w:val="FF0000"/>
          <w:sz w:val="16"/>
          <w:szCs w:val="16"/>
        </w:rPr>
      </w:pPr>
    </w:p>
    <w:p w:rsidR="00AB7959" w:rsidRPr="00F454B6" w:rsidRDefault="00AB7959" w:rsidP="00AB7959">
      <w:pPr>
        <w:jc w:val="left"/>
        <w:rPr>
          <w:color w:val="FF0000"/>
          <w:sz w:val="16"/>
          <w:szCs w:val="16"/>
        </w:rPr>
        <w:sectPr w:rsidR="00AB7959" w:rsidRPr="00F454B6" w:rsidSect="00BD2D83">
          <w:pgSz w:w="11907" w:h="16839" w:code="9"/>
          <w:pgMar w:top="851" w:right="1418" w:bottom="851" w:left="1701" w:header="0" w:footer="170" w:gutter="0"/>
          <w:pgNumType w:start="4"/>
          <w:cols w:space="720"/>
          <w:titlePg/>
          <w:docGrid w:linePitch="326"/>
        </w:sectPr>
      </w:pPr>
      <w:r w:rsidRPr="00F454B6">
        <w:rPr>
          <w:color w:val="FF0000"/>
          <w:sz w:val="16"/>
          <w:szCs w:val="16"/>
        </w:rPr>
        <w:t>Image(s) © [artist's name + image #], Year. Source: [Fotolia.com]</w:t>
      </w:r>
      <w:r w:rsidRPr="00F454B6">
        <w:rPr>
          <w:b/>
          <w:bCs/>
          <w:color w:val="FF0000"/>
          <w:sz w:val="16"/>
          <w:szCs w:val="16"/>
        </w:rPr>
        <w:t xml:space="preserve"> </w:t>
      </w:r>
      <w:r w:rsidRPr="00F454B6">
        <w:rPr>
          <w:color w:val="FF0000"/>
          <w:sz w:val="16"/>
          <w:szCs w:val="16"/>
        </w:rPr>
        <w:t>(unless otherwise specified)</w:t>
      </w:r>
    </w:p>
    <w:p w:rsidR="00F42F5C" w:rsidRDefault="00F42F5C" w:rsidP="00F42F5C">
      <w:pPr>
        <w:spacing w:after="240" w:line="240" w:lineRule="auto"/>
        <w:rPr>
          <w:rFonts w:eastAsia="Times New Roman" w:cs="Times New Roman"/>
          <w:b/>
          <w:i/>
          <w:sz w:val="22"/>
        </w:rPr>
      </w:pPr>
      <w:r w:rsidRPr="00F454B6">
        <w:rPr>
          <w:rFonts w:eastAsia="Times New Roman" w:cs="Times New Roman"/>
          <w:b/>
          <w:i/>
          <w:sz w:val="22"/>
        </w:rPr>
        <w:t>Table of Contents</w:t>
      </w:r>
    </w:p>
    <w:p w:rsidR="00CE7E83" w:rsidRPr="00F454B6" w:rsidRDefault="00CE7E83" w:rsidP="00CE7E83"/>
    <w:sdt>
      <w:sdtPr>
        <w:rPr>
          <w:rFonts w:asciiTheme="minorHAnsi" w:hAnsiTheme="minorHAnsi"/>
          <w:bCs/>
        </w:rPr>
        <w:id w:val="502628504"/>
        <w:docPartObj>
          <w:docPartGallery w:val="Table of Contents"/>
          <w:docPartUnique/>
        </w:docPartObj>
      </w:sdtPr>
      <w:sdtEndPr>
        <w:rPr>
          <w:rFonts w:ascii="Verdana" w:hAnsi="Verdana"/>
          <w:bCs w:val="0"/>
        </w:rPr>
      </w:sdtEndPr>
      <w:sdtContent>
        <w:p w:rsidR="00722F1D" w:rsidRDefault="00C52F7F">
          <w:pPr>
            <w:pStyle w:val="TOC1"/>
            <w:rPr>
              <w:rFonts w:asciiTheme="minorHAnsi" w:eastAsiaTheme="minorEastAsia" w:hAnsiTheme="minorHAnsi"/>
              <w:b w:val="0"/>
              <w:noProof/>
              <w:lang w:eastAsia="en-GB"/>
            </w:rPr>
          </w:pPr>
          <w:r>
            <w:fldChar w:fldCharType="begin"/>
          </w:r>
          <w:r w:rsidR="004C41D6">
            <w:instrText xml:space="preserve"> TOC \o "1-3" \h \z \u </w:instrText>
          </w:r>
          <w:r>
            <w:fldChar w:fldCharType="separate"/>
          </w:r>
          <w:hyperlink w:anchor="_Toc466826773" w:history="1">
            <w:r w:rsidR="00722F1D" w:rsidRPr="00757CC3">
              <w:rPr>
                <w:rStyle w:val="Hyperlink"/>
                <w:noProof/>
              </w:rPr>
              <w:t>Introduction: structure of deliverable</w:t>
            </w:r>
            <w:r w:rsidR="00722F1D">
              <w:rPr>
                <w:noProof/>
                <w:webHidden/>
              </w:rPr>
              <w:tab/>
            </w:r>
            <w:r w:rsidR="00722F1D">
              <w:rPr>
                <w:noProof/>
                <w:webHidden/>
              </w:rPr>
              <w:fldChar w:fldCharType="begin"/>
            </w:r>
            <w:r w:rsidR="00722F1D">
              <w:rPr>
                <w:noProof/>
                <w:webHidden/>
              </w:rPr>
              <w:instrText xml:space="preserve"> PAGEREF _Toc466826773 \h </w:instrText>
            </w:r>
            <w:r w:rsidR="00722F1D">
              <w:rPr>
                <w:noProof/>
                <w:webHidden/>
              </w:rPr>
            </w:r>
            <w:r w:rsidR="00722F1D">
              <w:rPr>
                <w:noProof/>
                <w:webHidden/>
              </w:rPr>
              <w:fldChar w:fldCharType="separate"/>
            </w:r>
            <w:r w:rsidR="00722F1D">
              <w:rPr>
                <w:noProof/>
                <w:webHidden/>
              </w:rPr>
              <w:t>7</w:t>
            </w:r>
            <w:r w:rsidR="00722F1D">
              <w:rPr>
                <w:noProof/>
                <w:webHidden/>
              </w:rPr>
              <w:fldChar w:fldCharType="end"/>
            </w:r>
          </w:hyperlink>
        </w:p>
        <w:p w:rsidR="00722F1D" w:rsidRDefault="00631A15">
          <w:pPr>
            <w:pStyle w:val="TOC1"/>
            <w:rPr>
              <w:rFonts w:asciiTheme="minorHAnsi" w:eastAsiaTheme="minorEastAsia" w:hAnsiTheme="minorHAnsi"/>
              <w:b w:val="0"/>
              <w:noProof/>
              <w:lang w:eastAsia="en-GB"/>
            </w:rPr>
          </w:pPr>
          <w:hyperlink w:anchor="_Toc466826774" w:history="1">
            <w:r w:rsidR="00722F1D" w:rsidRPr="00757CC3">
              <w:rPr>
                <w:rStyle w:val="Hyperlink"/>
                <w:noProof/>
              </w:rPr>
              <w:t>1.</w:t>
            </w:r>
            <w:r w:rsidR="00722F1D">
              <w:rPr>
                <w:rFonts w:asciiTheme="minorHAnsi" w:eastAsiaTheme="minorEastAsia" w:hAnsiTheme="minorHAnsi"/>
                <w:b w:val="0"/>
                <w:noProof/>
                <w:lang w:eastAsia="en-GB"/>
              </w:rPr>
              <w:tab/>
            </w:r>
            <w:r w:rsidR="00722F1D" w:rsidRPr="00757CC3">
              <w:rPr>
                <w:rStyle w:val="Hyperlink"/>
                <w:noProof/>
              </w:rPr>
              <w:t>Study Overview</w:t>
            </w:r>
            <w:r w:rsidR="00722F1D">
              <w:rPr>
                <w:noProof/>
                <w:webHidden/>
              </w:rPr>
              <w:tab/>
            </w:r>
            <w:r w:rsidR="00722F1D">
              <w:rPr>
                <w:noProof/>
                <w:webHidden/>
              </w:rPr>
              <w:fldChar w:fldCharType="begin"/>
            </w:r>
            <w:r w:rsidR="00722F1D">
              <w:rPr>
                <w:noProof/>
                <w:webHidden/>
              </w:rPr>
              <w:instrText xml:space="preserve"> PAGEREF _Toc466826774 \h </w:instrText>
            </w:r>
            <w:r w:rsidR="00722F1D">
              <w:rPr>
                <w:noProof/>
                <w:webHidden/>
              </w:rPr>
            </w:r>
            <w:r w:rsidR="00722F1D">
              <w:rPr>
                <w:noProof/>
                <w:webHidden/>
              </w:rPr>
              <w:fldChar w:fldCharType="separate"/>
            </w:r>
            <w:r w:rsidR="00722F1D">
              <w:rPr>
                <w:noProof/>
                <w:webHidden/>
              </w:rPr>
              <w:t>7</w:t>
            </w:r>
            <w:r w:rsidR="00722F1D">
              <w:rPr>
                <w:noProof/>
                <w:webHidden/>
              </w:rPr>
              <w:fldChar w:fldCharType="end"/>
            </w:r>
          </w:hyperlink>
        </w:p>
        <w:p w:rsidR="00722F1D" w:rsidRDefault="00631A15">
          <w:pPr>
            <w:pStyle w:val="TOC2"/>
            <w:rPr>
              <w:rFonts w:asciiTheme="minorHAnsi" w:eastAsiaTheme="minorEastAsia" w:hAnsiTheme="minorHAnsi"/>
              <w:noProof/>
              <w:sz w:val="22"/>
              <w:lang w:eastAsia="en-GB"/>
            </w:rPr>
          </w:pPr>
          <w:hyperlink w:anchor="_Toc466826775" w:history="1">
            <w:r w:rsidR="00722F1D" w:rsidRPr="00757CC3">
              <w:rPr>
                <w:rStyle w:val="Hyperlink"/>
                <w:noProof/>
              </w:rPr>
              <w:t>1.1.</w:t>
            </w:r>
            <w:r w:rsidR="00722F1D">
              <w:rPr>
                <w:rFonts w:asciiTheme="minorHAnsi" w:eastAsiaTheme="minorEastAsia" w:hAnsiTheme="minorHAnsi"/>
                <w:noProof/>
                <w:sz w:val="22"/>
                <w:lang w:eastAsia="en-GB"/>
              </w:rPr>
              <w:tab/>
            </w:r>
            <w:r w:rsidR="00722F1D" w:rsidRPr="00757CC3">
              <w:rPr>
                <w:rStyle w:val="Hyperlink"/>
                <w:noProof/>
              </w:rPr>
              <w:t>Context and purpose of the study</w:t>
            </w:r>
            <w:r w:rsidR="00722F1D">
              <w:rPr>
                <w:noProof/>
                <w:webHidden/>
              </w:rPr>
              <w:tab/>
            </w:r>
            <w:r w:rsidR="00722F1D">
              <w:rPr>
                <w:noProof/>
                <w:webHidden/>
              </w:rPr>
              <w:fldChar w:fldCharType="begin"/>
            </w:r>
            <w:r w:rsidR="00722F1D">
              <w:rPr>
                <w:noProof/>
                <w:webHidden/>
              </w:rPr>
              <w:instrText xml:space="preserve"> PAGEREF _Toc466826775 \h </w:instrText>
            </w:r>
            <w:r w:rsidR="00722F1D">
              <w:rPr>
                <w:noProof/>
                <w:webHidden/>
              </w:rPr>
            </w:r>
            <w:r w:rsidR="00722F1D">
              <w:rPr>
                <w:noProof/>
                <w:webHidden/>
              </w:rPr>
              <w:fldChar w:fldCharType="separate"/>
            </w:r>
            <w:r w:rsidR="00722F1D">
              <w:rPr>
                <w:noProof/>
                <w:webHidden/>
              </w:rPr>
              <w:t>7</w:t>
            </w:r>
            <w:r w:rsidR="00722F1D">
              <w:rPr>
                <w:noProof/>
                <w:webHidden/>
              </w:rPr>
              <w:fldChar w:fldCharType="end"/>
            </w:r>
          </w:hyperlink>
        </w:p>
        <w:p w:rsidR="00722F1D" w:rsidRDefault="00631A15">
          <w:pPr>
            <w:pStyle w:val="TOC2"/>
            <w:rPr>
              <w:rFonts w:asciiTheme="minorHAnsi" w:eastAsiaTheme="minorEastAsia" w:hAnsiTheme="minorHAnsi"/>
              <w:noProof/>
              <w:sz w:val="22"/>
              <w:lang w:eastAsia="en-GB"/>
            </w:rPr>
          </w:pPr>
          <w:hyperlink w:anchor="_Toc466826776" w:history="1">
            <w:r w:rsidR="00722F1D" w:rsidRPr="00757CC3">
              <w:rPr>
                <w:rStyle w:val="Hyperlink"/>
                <w:noProof/>
              </w:rPr>
              <w:t>1.2.</w:t>
            </w:r>
            <w:r w:rsidR="00722F1D">
              <w:rPr>
                <w:rFonts w:asciiTheme="minorHAnsi" w:eastAsiaTheme="minorEastAsia" w:hAnsiTheme="minorHAnsi"/>
                <w:noProof/>
                <w:sz w:val="22"/>
                <w:lang w:eastAsia="en-GB"/>
              </w:rPr>
              <w:tab/>
            </w:r>
            <w:r w:rsidR="00722F1D" w:rsidRPr="00757CC3">
              <w:rPr>
                <w:rStyle w:val="Hyperlink"/>
                <w:noProof/>
              </w:rPr>
              <w:t>Overall methodological approach: a brief recap</w:t>
            </w:r>
            <w:r w:rsidR="00722F1D">
              <w:rPr>
                <w:noProof/>
                <w:webHidden/>
              </w:rPr>
              <w:tab/>
            </w:r>
            <w:r w:rsidR="00722F1D">
              <w:rPr>
                <w:noProof/>
                <w:webHidden/>
              </w:rPr>
              <w:fldChar w:fldCharType="begin"/>
            </w:r>
            <w:r w:rsidR="00722F1D">
              <w:rPr>
                <w:noProof/>
                <w:webHidden/>
              </w:rPr>
              <w:instrText xml:space="preserve"> PAGEREF _Toc466826776 \h </w:instrText>
            </w:r>
            <w:r w:rsidR="00722F1D">
              <w:rPr>
                <w:noProof/>
                <w:webHidden/>
              </w:rPr>
            </w:r>
            <w:r w:rsidR="00722F1D">
              <w:rPr>
                <w:noProof/>
                <w:webHidden/>
              </w:rPr>
              <w:fldChar w:fldCharType="separate"/>
            </w:r>
            <w:r w:rsidR="00722F1D">
              <w:rPr>
                <w:noProof/>
                <w:webHidden/>
              </w:rPr>
              <w:t>10</w:t>
            </w:r>
            <w:r w:rsidR="00722F1D">
              <w:rPr>
                <w:noProof/>
                <w:webHidden/>
              </w:rPr>
              <w:fldChar w:fldCharType="end"/>
            </w:r>
          </w:hyperlink>
        </w:p>
        <w:p w:rsidR="00722F1D" w:rsidRDefault="00631A15">
          <w:pPr>
            <w:pStyle w:val="TOC1"/>
            <w:rPr>
              <w:rFonts w:asciiTheme="minorHAnsi" w:eastAsiaTheme="minorEastAsia" w:hAnsiTheme="minorHAnsi"/>
              <w:b w:val="0"/>
              <w:noProof/>
              <w:lang w:eastAsia="en-GB"/>
            </w:rPr>
          </w:pPr>
          <w:hyperlink w:anchor="_Toc466826777" w:history="1">
            <w:r w:rsidR="00722F1D" w:rsidRPr="00757CC3">
              <w:rPr>
                <w:rStyle w:val="Hyperlink"/>
                <w:noProof/>
              </w:rPr>
              <w:t>2.</w:t>
            </w:r>
            <w:r w:rsidR="00722F1D">
              <w:rPr>
                <w:rFonts w:asciiTheme="minorHAnsi" w:eastAsiaTheme="minorEastAsia" w:hAnsiTheme="minorHAnsi"/>
                <w:b w:val="0"/>
                <w:noProof/>
                <w:lang w:eastAsia="en-GB"/>
              </w:rPr>
              <w:tab/>
            </w:r>
            <w:r w:rsidR="00722F1D" w:rsidRPr="00757CC3">
              <w:rPr>
                <w:rStyle w:val="Hyperlink"/>
                <w:noProof/>
              </w:rPr>
              <w:t>Task 2 – Map structural reform needs in the EU</w:t>
            </w:r>
            <w:r w:rsidR="00722F1D">
              <w:rPr>
                <w:noProof/>
                <w:webHidden/>
              </w:rPr>
              <w:tab/>
            </w:r>
            <w:r w:rsidR="00722F1D">
              <w:rPr>
                <w:noProof/>
                <w:webHidden/>
              </w:rPr>
              <w:fldChar w:fldCharType="begin"/>
            </w:r>
            <w:r w:rsidR="00722F1D">
              <w:rPr>
                <w:noProof/>
                <w:webHidden/>
              </w:rPr>
              <w:instrText xml:space="preserve"> PAGEREF _Toc466826777 \h </w:instrText>
            </w:r>
            <w:r w:rsidR="00722F1D">
              <w:rPr>
                <w:noProof/>
                <w:webHidden/>
              </w:rPr>
            </w:r>
            <w:r w:rsidR="00722F1D">
              <w:rPr>
                <w:noProof/>
                <w:webHidden/>
              </w:rPr>
              <w:fldChar w:fldCharType="separate"/>
            </w:r>
            <w:r w:rsidR="00722F1D">
              <w:rPr>
                <w:noProof/>
                <w:webHidden/>
              </w:rPr>
              <w:t>13</w:t>
            </w:r>
            <w:r w:rsidR="00722F1D">
              <w:rPr>
                <w:noProof/>
                <w:webHidden/>
              </w:rPr>
              <w:fldChar w:fldCharType="end"/>
            </w:r>
          </w:hyperlink>
        </w:p>
        <w:p w:rsidR="00722F1D" w:rsidRDefault="00631A15">
          <w:pPr>
            <w:pStyle w:val="TOC2"/>
            <w:rPr>
              <w:rFonts w:asciiTheme="minorHAnsi" w:eastAsiaTheme="minorEastAsia" w:hAnsiTheme="minorHAnsi"/>
              <w:noProof/>
              <w:sz w:val="22"/>
              <w:lang w:eastAsia="en-GB"/>
            </w:rPr>
          </w:pPr>
          <w:hyperlink w:anchor="_Toc466826778" w:history="1">
            <w:r w:rsidR="00722F1D" w:rsidRPr="00757CC3">
              <w:rPr>
                <w:rStyle w:val="Hyperlink"/>
                <w:noProof/>
              </w:rPr>
              <w:t>2.1.</w:t>
            </w:r>
            <w:r w:rsidR="00722F1D">
              <w:rPr>
                <w:rFonts w:asciiTheme="minorHAnsi" w:eastAsiaTheme="minorEastAsia" w:hAnsiTheme="minorHAnsi"/>
                <w:noProof/>
                <w:sz w:val="22"/>
                <w:lang w:eastAsia="en-GB"/>
              </w:rPr>
              <w:tab/>
            </w:r>
            <w:r w:rsidR="00722F1D" w:rsidRPr="00757CC3">
              <w:rPr>
                <w:rStyle w:val="Hyperlink"/>
                <w:noProof/>
              </w:rPr>
              <w:t>Background: objectives of the task and basis for identifying structural challenges</w:t>
            </w:r>
            <w:r w:rsidR="00722F1D">
              <w:rPr>
                <w:noProof/>
                <w:webHidden/>
              </w:rPr>
              <w:tab/>
            </w:r>
            <w:r w:rsidR="00722F1D">
              <w:rPr>
                <w:noProof/>
                <w:webHidden/>
              </w:rPr>
              <w:fldChar w:fldCharType="begin"/>
            </w:r>
            <w:r w:rsidR="00722F1D">
              <w:rPr>
                <w:noProof/>
                <w:webHidden/>
              </w:rPr>
              <w:instrText xml:space="preserve"> PAGEREF _Toc466826778 \h </w:instrText>
            </w:r>
            <w:r w:rsidR="00722F1D">
              <w:rPr>
                <w:noProof/>
                <w:webHidden/>
              </w:rPr>
            </w:r>
            <w:r w:rsidR="00722F1D">
              <w:rPr>
                <w:noProof/>
                <w:webHidden/>
              </w:rPr>
              <w:fldChar w:fldCharType="separate"/>
            </w:r>
            <w:r w:rsidR="00722F1D">
              <w:rPr>
                <w:noProof/>
                <w:webHidden/>
              </w:rPr>
              <w:t>13</w:t>
            </w:r>
            <w:r w:rsidR="00722F1D">
              <w:rPr>
                <w:noProof/>
                <w:webHidden/>
              </w:rPr>
              <w:fldChar w:fldCharType="end"/>
            </w:r>
          </w:hyperlink>
        </w:p>
        <w:p w:rsidR="00722F1D" w:rsidRDefault="00631A15">
          <w:pPr>
            <w:pStyle w:val="TOC2"/>
            <w:rPr>
              <w:rFonts w:asciiTheme="minorHAnsi" w:eastAsiaTheme="minorEastAsia" w:hAnsiTheme="minorHAnsi"/>
              <w:noProof/>
              <w:sz w:val="22"/>
              <w:lang w:eastAsia="en-GB"/>
            </w:rPr>
          </w:pPr>
          <w:hyperlink w:anchor="_Toc466826779" w:history="1">
            <w:r w:rsidR="00722F1D" w:rsidRPr="00757CC3">
              <w:rPr>
                <w:rStyle w:val="Hyperlink"/>
                <w:noProof/>
                <w:lang w:eastAsia="it-IT"/>
              </w:rPr>
              <w:t>2.2.</w:t>
            </w:r>
            <w:r w:rsidR="00722F1D">
              <w:rPr>
                <w:rFonts w:asciiTheme="minorHAnsi" w:eastAsiaTheme="minorEastAsia" w:hAnsiTheme="minorHAnsi"/>
                <w:noProof/>
                <w:sz w:val="22"/>
                <w:lang w:eastAsia="en-GB"/>
              </w:rPr>
              <w:tab/>
            </w:r>
            <w:r w:rsidR="00722F1D" w:rsidRPr="00757CC3">
              <w:rPr>
                <w:rStyle w:val="Hyperlink"/>
                <w:noProof/>
                <w:lang w:eastAsia="it-IT"/>
              </w:rPr>
              <w:t>Classification of CSR/Country Reports structural challenges by policy area</w:t>
            </w:r>
            <w:r w:rsidR="00722F1D">
              <w:rPr>
                <w:noProof/>
                <w:webHidden/>
              </w:rPr>
              <w:tab/>
            </w:r>
            <w:r w:rsidR="00722F1D">
              <w:rPr>
                <w:noProof/>
                <w:webHidden/>
              </w:rPr>
              <w:fldChar w:fldCharType="begin"/>
            </w:r>
            <w:r w:rsidR="00722F1D">
              <w:rPr>
                <w:noProof/>
                <w:webHidden/>
              </w:rPr>
              <w:instrText xml:space="preserve"> PAGEREF _Toc466826779 \h </w:instrText>
            </w:r>
            <w:r w:rsidR="00722F1D">
              <w:rPr>
                <w:noProof/>
                <w:webHidden/>
              </w:rPr>
            </w:r>
            <w:r w:rsidR="00722F1D">
              <w:rPr>
                <w:noProof/>
                <w:webHidden/>
              </w:rPr>
              <w:fldChar w:fldCharType="separate"/>
            </w:r>
            <w:r w:rsidR="00722F1D">
              <w:rPr>
                <w:noProof/>
                <w:webHidden/>
              </w:rPr>
              <w:t>15</w:t>
            </w:r>
            <w:r w:rsidR="00722F1D">
              <w:rPr>
                <w:noProof/>
                <w:webHidden/>
              </w:rPr>
              <w:fldChar w:fldCharType="end"/>
            </w:r>
          </w:hyperlink>
        </w:p>
        <w:p w:rsidR="00722F1D" w:rsidRDefault="00631A15">
          <w:pPr>
            <w:pStyle w:val="TOC2"/>
            <w:rPr>
              <w:rFonts w:asciiTheme="minorHAnsi" w:eastAsiaTheme="minorEastAsia" w:hAnsiTheme="minorHAnsi"/>
              <w:noProof/>
              <w:sz w:val="22"/>
              <w:lang w:eastAsia="en-GB"/>
            </w:rPr>
          </w:pPr>
          <w:hyperlink w:anchor="_Toc466826780" w:history="1">
            <w:r w:rsidR="00722F1D" w:rsidRPr="00757CC3">
              <w:rPr>
                <w:rStyle w:val="Hyperlink"/>
                <w:noProof/>
              </w:rPr>
              <w:t>2.3.</w:t>
            </w:r>
            <w:r w:rsidR="00722F1D">
              <w:rPr>
                <w:rFonts w:asciiTheme="minorHAnsi" w:eastAsiaTheme="minorEastAsia" w:hAnsiTheme="minorHAnsi"/>
                <w:noProof/>
                <w:sz w:val="22"/>
                <w:lang w:eastAsia="en-GB"/>
              </w:rPr>
              <w:tab/>
            </w:r>
            <w:r w:rsidR="00722F1D" w:rsidRPr="00757CC3">
              <w:rPr>
                <w:rStyle w:val="Hyperlink"/>
                <w:noProof/>
              </w:rPr>
              <w:t>General trends: CSR and structural challenges over time and across policy areas</w:t>
            </w:r>
            <w:r w:rsidR="00722F1D">
              <w:rPr>
                <w:noProof/>
                <w:webHidden/>
              </w:rPr>
              <w:tab/>
            </w:r>
            <w:r w:rsidR="00722F1D">
              <w:rPr>
                <w:noProof/>
                <w:webHidden/>
              </w:rPr>
              <w:fldChar w:fldCharType="begin"/>
            </w:r>
            <w:r w:rsidR="00722F1D">
              <w:rPr>
                <w:noProof/>
                <w:webHidden/>
              </w:rPr>
              <w:instrText xml:space="preserve"> PAGEREF _Toc466826780 \h </w:instrText>
            </w:r>
            <w:r w:rsidR="00722F1D">
              <w:rPr>
                <w:noProof/>
                <w:webHidden/>
              </w:rPr>
            </w:r>
            <w:r w:rsidR="00722F1D">
              <w:rPr>
                <w:noProof/>
                <w:webHidden/>
              </w:rPr>
              <w:fldChar w:fldCharType="separate"/>
            </w:r>
            <w:r w:rsidR="00722F1D">
              <w:rPr>
                <w:noProof/>
                <w:webHidden/>
              </w:rPr>
              <w:t>20</w:t>
            </w:r>
            <w:r w:rsidR="00722F1D">
              <w:rPr>
                <w:noProof/>
                <w:webHidden/>
              </w:rPr>
              <w:fldChar w:fldCharType="end"/>
            </w:r>
          </w:hyperlink>
        </w:p>
        <w:p w:rsidR="00722F1D" w:rsidRDefault="00631A15">
          <w:pPr>
            <w:pStyle w:val="TOC3"/>
            <w:tabs>
              <w:tab w:val="left" w:pos="1320"/>
              <w:tab w:val="right" w:leader="dot" w:pos="8778"/>
            </w:tabs>
            <w:rPr>
              <w:rFonts w:asciiTheme="minorHAnsi" w:eastAsiaTheme="minorEastAsia" w:hAnsiTheme="minorHAnsi"/>
              <w:noProof/>
              <w:sz w:val="22"/>
              <w:lang w:eastAsia="en-GB"/>
            </w:rPr>
          </w:pPr>
          <w:hyperlink w:anchor="_Toc466826781" w:history="1">
            <w:r w:rsidR="00722F1D" w:rsidRPr="00757CC3">
              <w:rPr>
                <w:rStyle w:val="Hyperlink"/>
                <w:noProof/>
              </w:rPr>
              <w:t>2.3.1.</w:t>
            </w:r>
            <w:r w:rsidR="00722F1D">
              <w:rPr>
                <w:rFonts w:asciiTheme="minorHAnsi" w:eastAsiaTheme="minorEastAsia" w:hAnsiTheme="minorHAnsi"/>
                <w:noProof/>
                <w:sz w:val="22"/>
                <w:lang w:eastAsia="en-GB"/>
              </w:rPr>
              <w:tab/>
            </w:r>
            <w:r w:rsidR="00722F1D" w:rsidRPr="00757CC3">
              <w:rPr>
                <w:rStyle w:val="Hyperlink"/>
                <w:noProof/>
              </w:rPr>
              <w:t>Main trends in Country-Specific Recommendations</w:t>
            </w:r>
            <w:r w:rsidR="00722F1D">
              <w:rPr>
                <w:noProof/>
                <w:webHidden/>
              </w:rPr>
              <w:tab/>
            </w:r>
            <w:r w:rsidR="00722F1D">
              <w:rPr>
                <w:noProof/>
                <w:webHidden/>
              </w:rPr>
              <w:fldChar w:fldCharType="begin"/>
            </w:r>
            <w:r w:rsidR="00722F1D">
              <w:rPr>
                <w:noProof/>
                <w:webHidden/>
              </w:rPr>
              <w:instrText xml:space="preserve"> PAGEREF _Toc466826781 \h </w:instrText>
            </w:r>
            <w:r w:rsidR="00722F1D">
              <w:rPr>
                <w:noProof/>
                <w:webHidden/>
              </w:rPr>
            </w:r>
            <w:r w:rsidR="00722F1D">
              <w:rPr>
                <w:noProof/>
                <w:webHidden/>
              </w:rPr>
              <w:fldChar w:fldCharType="separate"/>
            </w:r>
            <w:r w:rsidR="00722F1D">
              <w:rPr>
                <w:noProof/>
                <w:webHidden/>
              </w:rPr>
              <w:t>20</w:t>
            </w:r>
            <w:r w:rsidR="00722F1D">
              <w:rPr>
                <w:noProof/>
                <w:webHidden/>
              </w:rPr>
              <w:fldChar w:fldCharType="end"/>
            </w:r>
          </w:hyperlink>
        </w:p>
        <w:p w:rsidR="00722F1D" w:rsidRDefault="00631A15">
          <w:pPr>
            <w:pStyle w:val="TOC3"/>
            <w:tabs>
              <w:tab w:val="left" w:pos="1320"/>
              <w:tab w:val="right" w:leader="dot" w:pos="8778"/>
            </w:tabs>
            <w:rPr>
              <w:rFonts w:asciiTheme="minorHAnsi" w:eastAsiaTheme="minorEastAsia" w:hAnsiTheme="minorHAnsi"/>
              <w:noProof/>
              <w:sz w:val="22"/>
              <w:lang w:eastAsia="en-GB"/>
            </w:rPr>
          </w:pPr>
          <w:hyperlink w:anchor="_Toc466826782" w:history="1">
            <w:r w:rsidR="00722F1D" w:rsidRPr="00757CC3">
              <w:rPr>
                <w:rStyle w:val="Hyperlink"/>
                <w:noProof/>
              </w:rPr>
              <w:t>2.3.2.</w:t>
            </w:r>
            <w:r w:rsidR="00722F1D">
              <w:rPr>
                <w:rFonts w:asciiTheme="minorHAnsi" w:eastAsiaTheme="minorEastAsia" w:hAnsiTheme="minorHAnsi"/>
                <w:noProof/>
                <w:sz w:val="22"/>
                <w:lang w:eastAsia="en-GB"/>
              </w:rPr>
              <w:tab/>
            </w:r>
            <w:r w:rsidR="00722F1D" w:rsidRPr="00757CC3">
              <w:rPr>
                <w:rStyle w:val="Hyperlink"/>
                <w:noProof/>
              </w:rPr>
              <w:t>Main trends in structural challenges from Country Reports and MoU</w:t>
            </w:r>
            <w:r w:rsidR="00722F1D">
              <w:rPr>
                <w:noProof/>
                <w:webHidden/>
              </w:rPr>
              <w:tab/>
            </w:r>
            <w:r w:rsidR="00722F1D">
              <w:rPr>
                <w:noProof/>
                <w:webHidden/>
              </w:rPr>
              <w:fldChar w:fldCharType="begin"/>
            </w:r>
            <w:r w:rsidR="00722F1D">
              <w:rPr>
                <w:noProof/>
                <w:webHidden/>
              </w:rPr>
              <w:instrText xml:space="preserve"> PAGEREF _Toc466826782 \h </w:instrText>
            </w:r>
            <w:r w:rsidR="00722F1D">
              <w:rPr>
                <w:noProof/>
                <w:webHidden/>
              </w:rPr>
            </w:r>
            <w:r w:rsidR="00722F1D">
              <w:rPr>
                <w:noProof/>
                <w:webHidden/>
              </w:rPr>
              <w:fldChar w:fldCharType="separate"/>
            </w:r>
            <w:r w:rsidR="00722F1D">
              <w:rPr>
                <w:noProof/>
                <w:webHidden/>
              </w:rPr>
              <w:t>21</w:t>
            </w:r>
            <w:r w:rsidR="00722F1D">
              <w:rPr>
                <w:noProof/>
                <w:webHidden/>
              </w:rPr>
              <w:fldChar w:fldCharType="end"/>
            </w:r>
          </w:hyperlink>
        </w:p>
        <w:p w:rsidR="00722F1D" w:rsidRDefault="00631A15">
          <w:pPr>
            <w:pStyle w:val="TOC3"/>
            <w:tabs>
              <w:tab w:val="left" w:pos="1320"/>
              <w:tab w:val="right" w:leader="dot" w:pos="8778"/>
            </w:tabs>
            <w:rPr>
              <w:rFonts w:asciiTheme="minorHAnsi" w:eastAsiaTheme="minorEastAsia" w:hAnsiTheme="minorHAnsi"/>
              <w:noProof/>
              <w:sz w:val="22"/>
              <w:lang w:eastAsia="en-GB"/>
            </w:rPr>
          </w:pPr>
          <w:hyperlink w:anchor="_Toc466826783" w:history="1">
            <w:r w:rsidR="00722F1D" w:rsidRPr="00757CC3">
              <w:rPr>
                <w:rStyle w:val="Hyperlink"/>
                <w:noProof/>
              </w:rPr>
              <w:t>2.3.3.</w:t>
            </w:r>
            <w:r w:rsidR="00722F1D">
              <w:rPr>
                <w:rFonts w:asciiTheme="minorHAnsi" w:eastAsiaTheme="minorEastAsia" w:hAnsiTheme="minorHAnsi"/>
                <w:noProof/>
                <w:sz w:val="22"/>
                <w:lang w:eastAsia="en-GB"/>
              </w:rPr>
              <w:tab/>
            </w:r>
            <w:r w:rsidR="00722F1D" w:rsidRPr="00757CC3">
              <w:rPr>
                <w:rStyle w:val="Hyperlink"/>
                <w:noProof/>
              </w:rPr>
              <w:t>Single policy recommendations (CSR sub-parts) and other structural challenges by nature: investment choices, regulatory changes or mixed</w:t>
            </w:r>
            <w:r w:rsidR="00722F1D">
              <w:rPr>
                <w:noProof/>
                <w:webHidden/>
              </w:rPr>
              <w:tab/>
            </w:r>
            <w:r w:rsidR="00722F1D">
              <w:rPr>
                <w:noProof/>
                <w:webHidden/>
              </w:rPr>
              <w:fldChar w:fldCharType="begin"/>
            </w:r>
            <w:r w:rsidR="00722F1D">
              <w:rPr>
                <w:noProof/>
                <w:webHidden/>
              </w:rPr>
              <w:instrText xml:space="preserve"> PAGEREF _Toc466826783 \h </w:instrText>
            </w:r>
            <w:r w:rsidR="00722F1D">
              <w:rPr>
                <w:noProof/>
                <w:webHidden/>
              </w:rPr>
            </w:r>
            <w:r w:rsidR="00722F1D">
              <w:rPr>
                <w:noProof/>
                <w:webHidden/>
              </w:rPr>
              <w:fldChar w:fldCharType="separate"/>
            </w:r>
            <w:r w:rsidR="00722F1D">
              <w:rPr>
                <w:noProof/>
                <w:webHidden/>
              </w:rPr>
              <w:t>25</w:t>
            </w:r>
            <w:r w:rsidR="00722F1D">
              <w:rPr>
                <w:noProof/>
                <w:webHidden/>
              </w:rPr>
              <w:fldChar w:fldCharType="end"/>
            </w:r>
          </w:hyperlink>
        </w:p>
        <w:p w:rsidR="00722F1D" w:rsidRDefault="00631A15">
          <w:pPr>
            <w:pStyle w:val="TOC3"/>
            <w:tabs>
              <w:tab w:val="left" w:pos="1320"/>
              <w:tab w:val="right" w:leader="dot" w:pos="8778"/>
            </w:tabs>
            <w:rPr>
              <w:rFonts w:asciiTheme="minorHAnsi" w:eastAsiaTheme="minorEastAsia" w:hAnsiTheme="minorHAnsi"/>
              <w:noProof/>
              <w:sz w:val="22"/>
              <w:lang w:eastAsia="en-GB"/>
            </w:rPr>
          </w:pPr>
          <w:hyperlink w:anchor="_Toc466826784" w:history="1">
            <w:r w:rsidR="00722F1D" w:rsidRPr="00757CC3">
              <w:rPr>
                <w:rStyle w:val="Hyperlink"/>
                <w:noProof/>
              </w:rPr>
              <w:t>2.3.4.</w:t>
            </w:r>
            <w:r w:rsidR="00722F1D">
              <w:rPr>
                <w:rFonts w:asciiTheme="minorHAnsi" w:eastAsiaTheme="minorEastAsia" w:hAnsiTheme="minorHAnsi"/>
                <w:noProof/>
                <w:sz w:val="22"/>
                <w:lang w:eastAsia="en-GB"/>
              </w:rPr>
              <w:tab/>
            </w:r>
            <w:r w:rsidR="00722F1D" w:rsidRPr="00757CC3">
              <w:rPr>
                <w:rStyle w:val="Hyperlink"/>
                <w:noProof/>
              </w:rPr>
              <w:t>Single policy recommendations (CSR sub-parts) and other structural challenges by policy area</w:t>
            </w:r>
            <w:r w:rsidR="00722F1D">
              <w:rPr>
                <w:noProof/>
                <w:webHidden/>
              </w:rPr>
              <w:tab/>
            </w:r>
            <w:r w:rsidR="00722F1D">
              <w:rPr>
                <w:noProof/>
                <w:webHidden/>
              </w:rPr>
              <w:fldChar w:fldCharType="begin"/>
            </w:r>
            <w:r w:rsidR="00722F1D">
              <w:rPr>
                <w:noProof/>
                <w:webHidden/>
              </w:rPr>
              <w:instrText xml:space="preserve"> PAGEREF _Toc466826784 \h </w:instrText>
            </w:r>
            <w:r w:rsidR="00722F1D">
              <w:rPr>
                <w:noProof/>
                <w:webHidden/>
              </w:rPr>
            </w:r>
            <w:r w:rsidR="00722F1D">
              <w:rPr>
                <w:noProof/>
                <w:webHidden/>
              </w:rPr>
              <w:fldChar w:fldCharType="separate"/>
            </w:r>
            <w:r w:rsidR="00722F1D">
              <w:rPr>
                <w:noProof/>
                <w:webHidden/>
              </w:rPr>
              <w:t>26</w:t>
            </w:r>
            <w:r w:rsidR="00722F1D">
              <w:rPr>
                <w:noProof/>
                <w:webHidden/>
              </w:rPr>
              <w:fldChar w:fldCharType="end"/>
            </w:r>
          </w:hyperlink>
        </w:p>
        <w:p w:rsidR="00722F1D" w:rsidRDefault="00631A15">
          <w:pPr>
            <w:pStyle w:val="TOC3"/>
            <w:tabs>
              <w:tab w:val="left" w:pos="1320"/>
              <w:tab w:val="right" w:leader="dot" w:pos="8778"/>
            </w:tabs>
            <w:rPr>
              <w:rFonts w:asciiTheme="minorHAnsi" w:eastAsiaTheme="minorEastAsia" w:hAnsiTheme="minorHAnsi"/>
              <w:noProof/>
              <w:sz w:val="22"/>
              <w:lang w:eastAsia="en-GB"/>
            </w:rPr>
          </w:pPr>
          <w:hyperlink w:anchor="_Toc466826785" w:history="1">
            <w:r w:rsidR="00722F1D" w:rsidRPr="00757CC3">
              <w:rPr>
                <w:rStyle w:val="Hyperlink"/>
                <w:noProof/>
              </w:rPr>
              <w:t>2.3.5.</w:t>
            </w:r>
            <w:r w:rsidR="00722F1D">
              <w:rPr>
                <w:rFonts w:asciiTheme="minorHAnsi" w:eastAsiaTheme="minorEastAsia" w:hAnsiTheme="minorHAnsi"/>
                <w:noProof/>
                <w:sz w:val="22"/>
                <w:lang w:eastAsia="en-GB"/>
              </w:rPr>
              <w:tab/>
            </w:r>
            <w:r w:rsidR="00722F1D" w:rsidRPr="00757CC3">
              <w:rPr>
                <w:rStyle w:val="Hyperlink"/>
                <w:noProof/>
              </w:rPr>
              <w:t>Reiteration of policy recommendations and other structural challenges over time</w:t>
            </w:r>
            <w:r w:rsidR="00722F1D">
              <w:rPr>
                <w:noProof/>
                <w:webHidden/>
              </w:rPr>
              <w:tab/>
            </w:r>
            <w:r w:rsidR="00722F1D">
              <w:rPr>
                <w:noProof/>
                <w:webHidden/>
              </w:rPr>
              <w:fldChar w:fldCharType="begin"/>
            </w:r>
            <w:r w:rsidR="00722F1D">
              <w:rPr>
                <w:noProof/>
                <w:webHidden/>
              </w:rPr>
              <w:instrText xml:space="preserve"> PAGEREF _Toc466826785 \h </w:instrText>
            </w:r>
            <w:r w:rsidR="00722F1D">
              <w:rPr>
                <w:noProof/>
                <w:webHidden/>
              </w:rPr>
            </w:r>
            <w:r w:rsidR="00722F1D">
              <w:rPr>
                <w:noProof/>
                <w:webHidden/>
              </w:rPr>
              <w:fldChar w:fldCharType="separate"/>
            </w:r>
            <w:r w:rsidR="00722F1D">
              <w:rPr>
                <w:noProof/>
                <w:webHidden/>
              </w:rPr>
              <w:t>32</w:t>
            </w:r>
            <w:r w:rsidR="00722F1D">
              <w:rPr>
                <w:noProof/>
                <w:webHidden/>
              </w:rPr>
              <w:fldChar w:fldCharType="end"/>
            </w:r>
          </w:hyperlink>
        </w:p>
        <w:p w:rsidR="00722F1D" w:rsidRDefault="00631A15">
          <w:pPr>
            <w:pStyle w:val="TOC3"/>
            <w:tabs>
              <w:tab w:val="left" w:pos="1320"/>
              <w:tab w:val="right" w:leader="dot" w:pos="8778"/>
            </w:tabs>
            <w:rPr>
              <w:rFonts w:asciiTheme="minorHAnsi" w:eastAsiaTheme="minorEastAsia" w:hAnsiTheme="minorHAnsi"/>
              <w:noProof/>
              <w:sz w:val="22"/>
              <w:lang w:eastAsia="en-GB"/>
            </w:rPr>
          </w:pPr>
          <w:hyperlink w:anchor="_Toc466826786" w:history="1">
            <w:r w:rsidR="00722F1D" w:rsidRPr="00757CC3">
              <w:rPr>
                <w:rStyle w:val="Hyperlink"/>
                <w:noProof/>
              </w:rPr>
              <w:t>2.3.6.</w:t>
            </w:r>
            <w:r w:rsidR="00722F1D">
              <w:rPr>
                <w:rFonts w:asciiTheme="minorHAnsi" w:eastAsiaTheme="minorEastAsia" w:hAnsiTheme="minorHAnsi"/>
                <w:noProof/>
                <w:sz w:val="22"/>
                <w:lang w:eastAsia="en-GB"/>
              </w:rPr>
              <w:tab/>
            </w:r>
            <w:r w:rsidR="00722F1D" w:rsidRPr="00757CC3">
              <w:rPr>
                <w:rStyle w:val="Hyperlink"/>
                <w:noProof/>
              </w:rPr>
              <w:t>Distribution of policy recommendations and other challenges by target group</w:t>
            </w:r>
            <w:r w:rsidR="00722F1D">
              <w:rPr>
                <w:noProof/>
                <w:webHidden/>
              </w:rPr>
              <w:tab/>
            </w:r>
            <w:r w:rsidR="00722F1D">
              <w:rPr>
                <w:noProof/>
                <w:webHidden/>
              </w:rPr>
              <w:fldChar w:fldCharType="begin"/>
            </w:r>
            <w:r w:rsidR="00722F1D">
              <w:rPr>
                <w:noProof/>
                <w:webHidden/>
              </w:rPr>
              <w:instrText xml:space="preserve"> PAGEREF _Toc466826786 \h </w:instrText>
            </w:r>
            <w:r w:rsidR="00722F1D">
              <w:rPr>
                <w:noProof/>
                <w:webHidden/>
              </w:rPr>
            </w:r>
            <w:r w:rsidR="00722F1D">
              <w:rPr>
                <w:noProof/>
                <w:webHidden/>
              </w:rPr>
              <w:fldChar w:fldCharType="separate"/>
            </w:r>
            <w:r w:rsidR="00722F1D">
              <w:rPr>
                <w:noProof/>
                <w:webHidden/>
              </w:rPr>
              <w:t>34</w:t>
            </w:r>
            <w:r w:rsidR="00722F1D">
              <w:rPr>
                <w:noProof/>
                <w:webHidden/>
              </w:rPr>
              <w:fldChar w:fldCharType="end"/>
            </w:r>
          </w:hyperlink>
        </w:p>
        <w:p w:rsidR="00722F1D" w:rsidRDefault="00631A15">
          <w:pPr>
            <w:pStyle w:val="TOC1"/>
            <w:rPr>
              <w:rFonts w:asciiTheme="minorHAnsi" w:eastAsiaTheme="minorEastAsia" w:hAnsiTheme="minorHAnsi"/>
              <w:b w:val="0"/>
              <w:noProof/>
              <w:lang w:eastAsia="en-GB"/>
            </w:rPr>
          </w:pPr>
          <w:hyperlink w:anchor="_Toc466826787" w:history="1">
            <w:r w:rsidR="00722F1D" w:rsidRPr="00757CC3">
              <w:rPr>
                <w:rStyle w:val="Hyperlink"/>
                <w:noProof/>
              </w:rPr>
              <w:t>3.</w:t>
            </w:r>
            <w:r w:rsidR="00722F1D">
              <w:rPr>
                <w:rFonts w:asciiTheme="minorHAnsi" w:eastAsiaTheme="minorEastAsia" w:hAnsiTheme="minorHAnsi"/>
                <w:b w:val="0"/>
                <w:noProof/>
                <w:lang w:eastAsia="en-GB"/>
              </w:rPr>
              <w:tab/>
            </w:r>
            <w:r w:rsidR="00722F1D" w:rsidRPr="00757CC3">
              <w:rPr>
                <w:rStyle w:val="Hyperlink"/>
                <w:noProof/>
              </w:rPr>
              <w:t>Task 3 - Set out how the CSR have steered the programming and implementation of ESIF in the Member States</w:t>
            </w:r>
            <w:r w:rsidR="00722F1D">
              <w:rPr>
                <w:noProof/>
                <w:webHidden/>
              </w:rPr>
              <w:tab/>
            </w:r>
            <w:r w:rsidR="00722F1D">
              <w:rPr>
                <w:noProof/>
                <w:webHidden/>
              </w:rPr>
              <w:fldChar w:fldCharType="begin"/>
            </w:r>
            <w:r w:rsidR="00722F1D">
              <w:rPr>
                <w:noProof/>
                <w:webHidden/>
              </w:rPr>
              <w:instrText xml:space="preserve"> PAGEREF _Toc466826787 \h </w:instrText>
            </w:r>
            <w:r w:rsidR="00722F1D">
              <w:rPr>
                <w:noProof/>
                <w:webHidden/>
              </w:rPr>
            </w:r>
            <w:r w:rsidR="00722F1D">
              <w:rPr>
                <w:noProof/>
                <w:webHidden/>
              </w:rPr>
              <w:fldChar w:fldCharType="separate"/>
            </w:r>
            <w:r w:rsidR="00722F1D">
              <w:rPr>
                <w:noProof/>
                <w:webHidden/>
              </w:rPr>
              <w:t>36</w:t>
            </w:r>
            <w:r w:rsidR="00722F1D">
              <w:rPr>
                <w:noProof/>
                <w:webHidden/>
              </w:rPr>
              <w:fldChar w:fldCharType="end"/>
            </w:r>
          </w:hyperlink>
        </w:p>
        <w:p w:rsidR="00722F1D" w:rsidRDefault="00631A15">
          <w:pPr>
            <w:pStyle w:val="TOC2"/>
            <w:rPr>
              <w:rFonts w:asciiTheme="minorHAnsi" w:eastAsiaTheme="minorEastAsia" w:hAnsiTheme="minorHAnsi"/>
              <w:noProof/>
              <w:sz w:val="22"/>
              <w:lang w:eastAsia="en-GB"/>
            </w:rPr>
          </w:pPr>
          <w:hyperlink w:anchor="_Toc466826788" w:history="1">
            <w:r w:rsidR="00722F1D" w:rsidRPr="00757CC3">
              <w:rPr>
                <w:rStyle w:val="Hyperlink"/>
                <w:noProof/>
              </w:rPr>
              <w:t>3.1.</w:t>
            </w:r>
            <w:r w:rsidR="00722F1D">
              <w:rPr>
                <w:rFonts w:asciiTheme="minorHAnsi" w:eastAsiaTheme="minorEastAsia" w:hAnsiTheme="minorHAnsi"/>
                <w:noProof/>
                <w:sz w:val="22"/>
                <w:lang w:eastAsia="en-GB"/>
              </w:rPr>
              <w:tab/>
            </w:r>
            <w:r w:rsidR="00722F1D" w:rsidRPr="00757CC3">
              <w:rPr>
                <w:rStyle w:val="Hyperlink"/>
                <w:noProof/>
              </w:rPr>
              <w:t>Background and objectives of the task</w:t>
            </w:r>
            <w:r w:rsidR="00722F1D">
              <w:rPr>
                <w:noProof/>
                <w:webHidden/>
              </w:rPr>
              <w:tab/>
            </w:r>
            <w:r w:rsidR="00722F1D">
              <w:rPr>
                <w:noProof/>
                <w:webHidden/>
              </w:rPr>
              <w:fldChar w:fldCharType="begin"/>
            </w:r>
            <w:r w:rsidR="00722F1D">
              <w:rPr>
                <w:noProof/>
                <w:webHidden/>
              </w:rPr>
              <w:instrText xml:space="preserve"> PAGEREF _Toc466826788 \h </w:instrText>
            </w:r>
            <w:r w:rsidR="00722F1D">
              <w:rPr>
                <w:noProof/>
                <w:webHidden/>
              </w:rPr>
            </w:r>
            <w:r w:rsidR="00722F1D">
              <w:rPr>
                <w:noProof/>
                <w:webHidden/>
              </w:rPr>
              <w:fldChar w:fldCharType="separate"/>
            </w:r>
            <w:r w:rsidR="00722F1D">
              <w:rPr>
                <w:noProof/>
                <w:webHidden/>
              </w:rPr>
              <w:t>36</w:t>
            </w:r>
            <w:r w:rsidR="00722F1D">
              <w:rPr>
                <w:noProof/>
                <w:webHidden/>
              </w:rPr>
              <w:fldChar w:fldCharType="end"/>
            </w:r>
          </w:hyperlink>
        </w:p>
        <w:p w:rsidR="00722F1D" w:rsidRDefault="00631A15">
          <w:pPr>
            <w:pStyle w:val="TOC2"/>
            <w:rPr>
              <w:rFonts w:asciiTheme="minorHAnsi" w:eastAsiaTheme="minorEastAsia" w:hAnsiTheme="minorHAnsi"/>
              <w:noProof/>
              <w:sz w:val="22"/>
              <w:lang w:eastAsia="en-GB"/>
            </w:rPr>
          </w:pPr>
          <w:hyperlink w:anchor="_Toc466826789" w:history="1">
            <w:r w:rsidR="00722F1D" w:rsidRPr="00757CC3">
              <w:rPr>
                <w:rStyle w:val="Hyperlink"/>
                <w:noProof/>
              </w:rPr>
              <w:t>3.2.</w:t>
            </w:r>
            <w:r w:rsidR="00722F1D">
              <w:rPr>
                <w:rFonts w:asciiTheme="minorHAnsi" w:eastAsiaTheme="minorEastAsia" w:hAnsiTheme="minorHAnsi"/>
                <w:noProof/>
                <w:sz w:val="22"/>
                <w:lang w:eastAsia="en-GB"/>
              </w:rPr>
              <w:tab/>
            </w:r>
            <w:r w:rsidR="00722F1D" w:rsidRPr="00757CC3">
              <w:rPr>
                <w:rStyle w:val="Hyperlink"/>
                <w:noProof/>
              </w:rPr>
              <w:t>Analysis of Position Papers</w:t>
            </w:r>
            <w:r w:rsidR="00722F1D">
              <w:rPr>
                <w:noProof/>
                <w:webHidden/>
              </w:rPr>
              <w:tab/>
            </w:r>
            <w:r w:rsidR="00722F1D">
              <w:rPr>
                <w:noProof/>
                <w:webHidden/>
              </w:rPr>
              <w:fldChar w:fldCharType="begin"/>
            </w:r>
            <w:r w:rsidR="00722F1D">
              <w:rPr>
                <w:noProof/>
                <w:webHidden/>
              </w:rPr>
              <w:instrText xml:space="preserve"> PAGEREF _Toc466826789 \h </w:instrText>
            </w:r>
            <w:r w:rsidR="00722F1D">
              <w:rPr>
                <w:noProof/>
                <w:webHidden/>
              </w:rPr>
            </w:r>
            <w:r w:rsidR="00722F1D">
              <w:rPr>
                <w:noProof/>
                <w:webHidden/>
              </w:rPr>
              <w:fldChar w:fldCharType="separate"/>
            </w:r>
            <w:r w:rsidR="00722F1D">
              <w:rPr>
                <w:noProof/>
                <w:webHidden/>
              </w:rPr>
              <w:t>37</w:t>
            </w:r>
            <w:r w:rsidR="00722F1D">
              <w:rPr>
                <w:noProof/>
                <w:webHidden/>
              </w:rPr>
              <w:fldChar w:fldCharType="end"/>
            </w:r>
          </w:hyperlink>
        </w:p>
        <w:p w:rsidR="00722F1D" w:rsidRDefault="00631A15">
          <w:pPr>
            <w:pStyle w:val="TOC3"/>
            <w:tabs>
              <w:tab w:val="left" w:pos="1320"/>
              <w:tab w:val="right" w:leader="dot" w:pos="8778"/>
            </w:tabs>
            <w:rPr>
              <w:rFonts w:asciiTheme="minorHAnsi" w:eastAsiaTheme="minorEastAsia" w:hAnsiTheme="minorHAnsi"/>
              <w:noProof/>
              <w:sz w:val="22"/>
              <w:lang w:eastAsia="en-GB"/>
            </w:rPr>
          </w:pPr>
          <w:hyperlink w:anchor="_Toc466826790" w:history="1">
            <w:r w:rsidR="00722F1D" w:rsidRPr="00757CC3">
              <w:rPr>
                <w:rStyle w:val="Hyperlink"/>
                <w:noProof/>
              </w:rPr>
              <w:t>3.2.1.</w:t>
            </w:r>
            <w:r w:rsidR="00722F1D">
              <w:rPr>
                <w:rFonts w:asciiTheme="minorHAnsi" w:eastAsiaTheme="minorEastAsia" w:hAnsiTheme="minorHAnsi"/>
                <w:noProof/>
                <w:sz w:val="22"/>
                <w:lang w:eastAsia="en-GB"/>
              </w:rPr>
              <w:tab/>
            </w:r>
            <w:r w:rsidR="00722F1D" w:rsidRPr="00757CC3">
              <w:rPr>
                <w:rStyle w:val="Hyperlink"/>
                <w:noProof/>
              </w:rPr>
              <w:t>Introduction</w:t>
            </w:r>
            <w:r w:rsidR="00722F1D">
              <w:rPr>
                <w:noProof/>
                <w:webHidden/>
              </w:rPr>
              <w:tab/>
            </w:r>
            <w:r w:rsidR="00722F1D">
              <w:rPr>
                <w:noProof/>
                <w:webHidden/>
              </w:rPr>
              <w:fldChar w:fldCharType="begin"/>
            </w:r>
            <w:r w:rsidR="00722F1D">
              <w:rPr>
                <w:noProof/>
                <w:webHidden/>
              </w:rPr>
              <w:instrText xml:space="preserve"> PAGEREF _Toc466826790 \h </w:instrText>
            </w:r>
            <w:r w:rsidR="00722F1D">
              <w:rPr>
                <w:noProof/>
                <w:webHidden/>
              </w:rPr>
            </w:r>
            <w:r w:rsidR="00722F1D">
              <w:rPr>
                <w:noProof/>
                <w:webHidden/>
              </w:rPr>
              <w:fldChar w:fldCharType="separate"/>
            </w:r>
            <w:r w:rsidR="00722F1D">
              <w:rPr>
                <w:noProof/>
                <w:webHidden/>
              </w:rPr>
              <w:t>37</w:t>
            </w:r>
            <w:r w:rsidR="00722F1D">
              <w:rPr>
                <w:noProof/>
                <w:webHidden/>
              </w:rPr>
              <w:fldChar w:fldCharType="end"/>
            </w:r>
          </w:hyperlink>
        </w:p>
        <w:p w:rsidR="00722F1D" w:rsidRDefault="00631A15">
          <w:pPr>
            <w:pStyle w:val="TOC3"/>
            <w:tabs>
              <w:tab w:val="left" w:pos="1320"/>
              <w:tab w:val="right" w:leader="dot" w:pos="8778"/>
            </w:tabs>
            <w:rPr>
              <w:rFonts w:asciiTheme="minorHAnsi" w:eastAsiaTheme="minorEastAsia" w:hAnsiTheme="minorHAnsi"/>
              <w:noProof/>
              <w:sz w:val="22"/>
              <w:lang w:eastAsia="en-GB"/>
            </w:rPr>
          </w:pPr>
          <w:hyperlink w:anchor="_Toc466826791" w:history="1">
            <w:r w:rsidR="00722F1D" w:rsidRPr="00757CC3">
              <w:rPr>
                <w:rStyle w:val="Hyperlink"/>
                <w:noProof/>
              </w:rPr>
              <w:t>3.2.2.</w:t>
            </w:r>
            <w:r w:rsidR="00722F1D">
              <w:rPr>
                <w:rFonts w:asciiTheme="minorHAnsi" w:eastAsiaTheme="minorEastAsia" w:hAnsiTheme="minorHAnsi"/>
                <w:noProof/>
                <w:sz w:val="22"/>
                <w:lang w:eastAsia="en-GB"/>
              </w:rPr>
              <w:tab/>
            </w:r>
            <w:r w:rsidR="00722F1D" w:rsidRPr="00757CC3">
              <w:rPr>
                <w:rStyle w:val="Hyperlink"/>
                <w:noProof/>
              </w:rPr>
              <w:t>Key points emerging from the analysis of Position Papers</w:t>
            </w:r>
            <w:r w:rsidR="00722F1D">
              <w:rPr>
                <w:noProof/>
                <w:webHidden/>
              </w:rPr>
              <w:tab/>
            </w:r>
            <w:r w:rsidR="00722F1D">
              <w:rPr>
                <w:noProof/>
                <w:webHidden/>
              </w:rPr>
              <w:fldChar w:fldCharType="begin"/>
            </w:r>
            <w:r w:rsidR="00722F1D">
              <w:rPr>
                <w:noProof/>
                <w:webHidden/>
              </w:rPr>
              <w:instrText xml:space="preserve"> PAGEREF _Toc466826791 \h </w:instrText>
            </w:r>
            <w:r w:rsidR="00722F1D">
              <w:rPr>
                <w:noProof/>
                <w:webHidden/>
              </w:rPr>
            </w:r>
            <w:r w:rsidR="00722F1D">
              <w:rPr>
                <w:noProof/>
                <w:webHidden/>
              </w:rPr>
              <w:fldChar w:fldCharType="separate"/>
            </w:r>
            <w:r w:rsidR="00722F1D">
              <w:rPr>
                <w:noProof/>
                <w:webHidden/>
              </w:rPr>
              <w:t>38</w:t>
            </w:r>
            <w:r w:rsidR="00722F1D">
              <w:rPr>
                <w:noProof/>
                <w:webHidden/>
              </w:rPr>
              <w:fldChar w:fldCharType="end"/>
            </w:r>
          </w:hyperlink>
        </w:p>
        <w:p w:rsidR="00722F1D" w:rsidRDefault="00631A15">
          <w:pPr>
            <w:pStyle w:val="TOC2"/>
            <w:rPr>
              <w:rFonts w:asciiTheme="minorHAnsi" w:eastAsiaTheme="minorEastAsia" w:hAnsiTheme="minorHAnsi"/>
              <w:noProof/>
              <w:sz w:val="22"/>
              <w:lang w:eastAsia="en-GB"/>
            </w:rPr>
          </w:pPr>
          <w:hyperlink w:anchor="_Toc466826792" w:history="1">
            <w:r w:rsidR="00722F1D" w:rsidRPr="00757CC3">
              <w:rPr>
                <w:rStyle w:val="Hyperlink"/>
                <w:noProof/>
              </w:rPr>
              <w:t>3.3.</w:t>
            </w:r>
            <w:r w:rsidR="00722F1D">
              <w:rPr>
                <w:rFonts w:asciiTheme="minorHAnsi" w:eastAsiaTheme="minorEastAsia" w:hAnsiTheme="minorHAnsi"/>
                <w:noProof/>
                <w:sz w:val="22"/>
                <w:lang w:eastAsia="en-GB"/>
              </w:rPr>
              <w:tab/>
            </w:r>
            <w:r w:rsidR="00722F1D" w:rsidRPr="00757CC3">
              <w:rPr>
                <w:rStyle w:val="Hyperlink"/>
                <w:noProof/>
              </w:rPr>
              <w:t>Analysis of Partnership Agreements</w:t>
            </w:r>
            <w:r w:rsidR="00722F1D">
              <w:rPr>
                <w:noProof/>
                <w:webHidden/>
              </w:rPr>
              <w:tab/>
            </w:r>
            <w:r w:rsidR="00722F1D">
              <w:rPr>
                <w:noProof/>
                <w:webHidden/>
              </w:rPr>
              <w:fldChar w:fldCharType="begin"/>
            </w:r>
            <w:r w:rsidR="00722F1D">
              <w:rPr>
                <w:noProof/>
                <w:webHidden/>
              </w:rPr>
              <w:instrText xml:space="preserve"> PAGEREF _Toc466826792 \h </w:instrText>
            </w:r>
            <w:r w:rsidR="00722F1D">
              <w:rPr>
                <w:noProof/>
                <w:webHidden/>
              </w:rPr>
            </w:r>
            <w:r w:rsidR="00722F1D">
              <w:rPr>
                <w:noProof/>
                <w:webHidden/>
              </w:rPr>
              <w:fldChar w:fldCharType="separate"/>
            </w:r>
            <w:r w:rsidR="00722F1D">
              <w:rPr>
                <w:noProof/>
                <w:webHidden/>
              </w:rPr>
              <w:t>42</w:t>
            </w:r>
            <w:r w:rsidR="00722F1D">
              <w:rPr>
                <w:noProof/>
                <w:webHidden/>
              </w:rPr>
              <w:fldChar w:fldCharType="end"/>
            </w:r>
          </w:hyperlink>
        </w:p>
        <w:p w:rsidR="00722F1D" w:rsidRDefault="00631A15">
          <w:pPr>
            <w:pStyle w:val="TOC3"/>
            <w:tabs>
              <w:tab w:val="left" w:pos="1320"/>
              <w:tab w:val="right" w:leader="dot" w:pos="8778"/>
            </w:tabs>
            <w:rPr>
              <w:rFonts w:asciiTheme="minorHAnsi" w:eastAsiaTheme="minorEastAsia" w:hAnsiTheme="minorHAnsi"/>
              <w:noProof/>
              <w:sz w:val="22"/>
              <w:lang w:eastAsia="en-GB"/>
            </w:rPr>
          </w:pPr>
          <w:hyperlink w:anchor="_Toc466826793" w:history="1">
            <w:r w:rsidR="00722F1D" w:rsidRPr="00757CC3">
              <w:rPr>
                <w:rStyle w:val="Hyperlink"/>
                <w:noProof/>
              </w:rPr>
              <w:t>3.3.1.</w:t>
            </w:r>
            <w:r w:rsidR="00722F1D">
              <w:rPr>
                <w:rFonts w:asciiTheme="minorHAnsi" w:eastAsiaTheme="minorEastAsia" w:hAnsiTheme="minorHAnsi"/>
                <w:noProof/>
                <w:sz w:val="22"/>
                <w:lang w:eastAsia="en-GB"/>
              </w:rPr>
              <w:tab/>
            </w:r>
            <w:r w:rsidR="00722F1D" w:rsidRPr="00757CC3">
              <w:rPr>
                <w:rStyle w:val="Hyperlink"/>
                <w:noProof/>
              </w:rPr>
              <w:t>Introduction</w:t>
            </w:r>
            <w:r w:rsidR="00722F1D">
              <w:rPr>
                <w:noProof/>
                <w:webHidden/>
              </w:rPr>
              <w:tab/>
            </w:r>
            <w:r w:rsidR="00722F1D">
              <w:rPr>
                <w:noProof/>
                <w:webHidden/>
              </w:rPr>
              <w:fldChar w:fldCharType="begin"/>
            </w:r>
            <w:r w:rsidR="00722F1D">
              <w:rPr>
                <w:noProof/>
                <w:webHidden/>
              </w:rPr>
              <w:instrText xml:space="preserve"> PAGEREF _Toc466826793 \h </w:instrText>
            </w:r>
            <w:r w:rsidR="00722F1D">
              <w:rPr>
                <w:noProof/>
                <w:webHidden/>
              </w:rPr>
            </w:r>
            <w:r w:rsidR="00722F1D">
              <w:rPr>
                <w:noProof/>
                <w:webHidden/>
              </w:rPr>
              <w:fldChar w:fldCharType="separate"/>
            </w:r>
            <w:r w:rsidR="00722F1D">
              <w:rPr>
                <w:noProof/>
                <w:webHidden/>
              </w:rPr>
              <w:t>42</w:t>
            </w:r>
            <w:r w:rsidR="00722F1D">
              <w:rPr>
                <w:noProof/>
                <w:webHidden/>
              </w:rPr>
              <w:fldChar w:fldCharType="end"/>
            </w:r>
          </w:hyperlink>
        </w:p>
        <w:p w:rsidR="00722F1D" w:rsidRDefault="00631A15">
          <w:pPr>
            <w:pStyle w:val="TOC3"/>
            <w:tabs>
              <w:tab w:val="left" w:pos="1320"/>
              <w:tab w:val="right" w:leader="dot" w:pos="8778"/>
            </w:tabs>
            <w:rPr>
              <w:rFonts w:asciiTheme="minorHAnsi" w:eastAsiaTheme="minorEastAsia" w:hAnsiTheme="minorHAnsi"/>
              <w:noProof/>
              <w:sz w:val="22"/>
              <w:lang w:eastAsia="en-GB"/>
            </w:rPr>
          </w:pPr>
          <w:hyperlink w:anchor="_Toc466826794" w:history="1">
            <w:r w:rsidR="00722F1D" w:rsidRPr="00757CC3">
              <w:rPr>
                <w:rStyle w:val="Hyperlink"/>
                <w:noProof/>
              </w:rPr>
              <w:t>3.3.2.</w:t>
            </w:r>
            <w:r w:rsidR="00722F1D">
              <w:rPr>
                <w:rFonts w:asciiTheme="minorHAnsi" w:eastAsiaTheme="minorEastAsia" w:hAnsiTheme="minorHAnsi"/>
                <w:noProof/>
                <w:sz w:val="22"/>
                <w:lang w:eastAsia="en-GB"/>
              </w:rPr>
              <w:tab/>
            </w:r>
            <w:r w:rsidR="00722F1D" w:rsidRPr="00757CC3">
              <w:rPr>
                <w:rStyle w:val="Hyperlink"/>
                <w:noProof/>
              </w:rPr>
              <w:t>Key points from the analysis of Partnership Agreements</w:t>
            </w:r>
            <w:r w:rsidR="00722F1D">
              <w:rPr>
                <w:noProof/>
                <w:webHidden/>
              </w:rPr>
              <w:tab/>
            </w:r>
            <w:r w:rsidR="00722F1D">
              <w:rPr>
                <w:noProof/>
                <w:webHidden/>
              </w:rPr>
              <w:fldChar w:fldCharType="begin"/>
            </w:r>
            <w:r w:rsidR="00722F1D">
              <w:rPr>
                <w:noProof/>
                <w:webHidden/>
              </w:rPr>
              <w:instrText xml:space="preserve"> PAGEREF _Toc466826794 \h </w:instrText>
            </w:r>
            <w:r w:rsidR="00722F1D">
              <w:rPr>
                <w:noProof/>
                <w:webHidden/>
              </w:rPr>
            </w:r>
            <w:r w:rsidR="00722F1D">
              <w:rPr>
                <w:noProof/>
                <w:webHidden/>
              </w:rPr>
              <w:fldChar w:fldCharType="separate"/>
            </w:r>
            <w:r w:rsidR="00722F1D">
              <w:rPr>
                <w:noProof/>
                <w:webHidden/>
              </w:rPr>
              <w:t>43</w:t>
            </w:r>
            <w:r w:rsidR="00722F1D">
              <w:rPr>
                <w:noProof/>
                <w:webHidden/>
              </w:rPr>
              <w:fldChar w:fldCharType="end"/>
            </w:r>
          </w:hyperlink>
        </w:p>
        <w:p w:rsidR="00722F1D" w:rsidRDefault="00631A15">
          <w:pPr>
            <w:pStyle w:val="TOC2"/>
            <w:rPr>
              <w:rFonts w:asciiTheme="minorHAnsi" w:eastAsiaTheme="minorEastAsia" w:hAnsiTheme="minorHAnsi"/>
              <w:noProof/>
              <w:sz w:val="22"/>
              <w:lang w:eastAsia="en-GB"/>
            </w:rPr>
          </w:pPr>
          <w:hyperlink w:anchor="_Toc466826795" w:history="1">
            <w:r w:rsidR="00722F1D" w:rsidRPr="00757CC3">
              <w:rPr>
                <w:rStyle w:val="Hyperlink"/>
                <w:noProof/>
              </w:rPr>
              <w:t>3.4.</w:t>
            </w:r>
            <w:r w:rsidR="00722F1D">
              <w:rPr>
                <w:rFonts w:asciiTheme="minorHAnsi" w:eastAsiaTheme="minorEastAsia" w:hAnsiTheme="minorHAnsi"/>
                <w:noProof/>
                <w:sz w:val="22"/>
                <w:lang w:eastAsia="en-GB"/>
              </w:rPr>
              <w:tab/>
            </w:r>
            <w:r w:rsidR="00722F1D" w:rsidRPr="00757CC3">
              <w:rPr>
                <w:rStyle w:val="Hyperlink"/>
                <w:noProof/>
              </w:rPr>
              <w:t>Analysis of Operational Programmes</w:t>
            </w:r>
            <w:r w:rsidR="00722F1D">
              <w:rPr>
                <w:noProof/>
                <w:webHidden/>
              </w:rPr>
              <w:tab/>
            </w:r>
            <w:r w:rsidR="00722F1D">
              <w:rPr>
                <w:noProof/>
                <w:webHidden/>
              </w:rPr>
              <w:fldChar w:fldCharType="begin"/>
            </w:r>
            <w:r w:rsidR="00722F1D">
              <w:rPr>
                <w:noProof/>
                <w:webHidden/>
              </w:rPr>
              <w:instrText xml:space="preserve"> PAGEREF _Toc466826795 \h </w:instrText>
            </w:r>
            <w:r w:rsidR="00722F1D">
              <w:rPr>
                <w:noProof/>
                <w:webHidden/>
              </w:rPr>
            </w:r>
            <w:r w:rsidR="00722F1D">
              <w:rPr>
                <w:noProof/>
                <w:webHidden/>
              </w:rPr>
              <w:fldChar w:fldCharType="separate"/>
            </w:r>
            <w:r w:rsidR="00722F1D">
              <w:rPr>
                <w:noProof/>
                <w:webHidden/>
              </w:rPr>
              <w:t>48</w:t>
            </w:r>
            <w:r w:rsidR="00722F1D">
              <w:rPr>
                <w:noProof/>
                <w:webHidden/>
              </w:rPr>
              <w:fldChar w:fldCharType="end"/>
            </w:r>
          </w:hyperlink>
        </w:p>
        <w:p w:rsidR="00722F1D" w:rsidRDefault="00631A15">
          <w:pPr>
            <w:pStyle w:val="TOC3"/>
            <w:tabs>
              <w:tab w:val="left" w:pos="1320"/>
              <w:tab w:val="right" w:leader="dot" w:pos="8778"/>
            </w:tabs>
            <w:rPr>
              <w:rFonts w:asciiTheme="minorHAnsi" w:eastAsiaTheme="minorEastAsia" w:hAnsiTheme="minorHAnsi"/>
              <w:noProof/>
              <w:sz w:val="22"/>
              <w:lang w:eastAsia="en-GB"/>
            </w:rPr>
          </w:pPr>
          <w:hyperlink w:anchor="_Toc466826796" w:history="1">
            <w:r w:rsidR="00722F1D" w:rsidRPr="00757CC3">
              <w:rPr>
                <w:rStyle w:val="Hyperlink"/>
                <w:noProof/>
              </w:rPr>
              <w:t>3.4.1.</w:t>
            </w:r>
            <w:r w:rsidR="00722F1D">
              <w:rPr>
                <w:rFonts w:asciiTheme="minorHAnsi" w:eastAsiaTheme="minorEastAsia" w:hAnsiTheme="minorHAnsi"/>
                <w:noProof/>
                <w:sz w:val="22"/>
                <w:lang w:eastAsia="en-GB"/>
              </w:rPr>
              <w:tab/>
            </w:r>
            <w:r w:rsidR="00722F1D" w:rsidRPr="00757CC3">
              <w:rPr>
                <w:rStyle w:val="Hyperlink"/>
                <w:noProof/>
              </w:rPr>
              <w:t>Summary of the approach to set out how CRS/structural challenges have been addressed by the OPs</w:t>
            </w:r>
            <w:r w:rsidR="00722F1D">
              <w:rPr>
                <w:noProof/>
                <w:webHidden/>
              </w:rPr>
              <w:tab/>
            </w:r>
            <w:r w:rsidR="00722F1D">
              <w:rPr>
                <w:noProof/>
                <w:webHidden/>
              </w:rPr>
              <w:fldChar w:fldCharType="begin"/>
            </w:r>
            <w:r w:rsidR="00722F1D">
              <w:rPr>
                <w:noProof/>
                <w:webHidden/>
              </w:rPr>
              <w:instrText xml:space="preserve"> PAGEREF _Toc466826796 \h </w:instrText>
            </w:r>
            <w:r w:rsidR="00722F1D">
              <w:rPr>
                <w:noProof/>
                <w:webHidden/>
              </w:rPr>
            </w:r>
            <w:r w:rsidR="00722F1D">
              <w:rPr>
                <w:noProof/>
                <w:webHidden/>
              </w:rPr>
              <w:fldChar w:fldCharType="separate"/>
            </w:r>
            <w:r w:rsidR="00722F1D">
              <w:rPr>
                <w:noProof/>
                <w:webHidden/>
              </w:rPr>
              <w:t>48</w:t>
            </w:r>
            <w:r w:rsidR="00722F1D">
              <w:rPr>
                <w:noProof/>
                <w:webHidden/>
              </w:rPr>
              <w:fldChar w:fldCharType="end"/>
            </w:r>
          </w:hyperlink>
        </w:p>
        <w:p w:rsidR="00722F1D" w:rsidRDefault="00631A15">
          <w:pPr>
            <w:pStyle w:val="TOC3"/>
            <w:tabs>
              <w:tab w:val="left" w:pos="1320"/>
              <w:tab w:val="right" w:leader="dot" w:pos="8778"/>
            </w:tabs>
            <w:rPr>
              <w:rFonts w:asciiTheme="minorHAnsi" w:eastAsiaTheme="minorEastAsia" w:hAnsiTheme="minorHAnsi"/>
              <w:noProof/>
              <w:sz w:val="22"/>
              <w:lang w:eastAsia="en-GB"/>
            </w:rPr>
          </w:pPr>
          <w:hyperlink w:anchor="_Toc466826797" w:history="1">
            <w:r w:rsidR="00722F1D" w:rsidRPr="00757CC3">
              <w:rPr>
                <w:rStyle w:val="Hyperlink"/>
                <w:noProof/>
              </w:rPr>
              <w:t>3.4.2.</w:t>
            </w:r>
            <w:r w:rsidR="00722F1D">
              <w:rPr>
                <w:rFonts w:asciiTheme="minorHAnsi" w:eastAsiaTheme="minorEastAsia" w:hAnsiTheme="minorHAnsi"/>
                <w:noProof/>
                <w:sz w:val="22"/>
                <w:lang w:eastAsia="en-GB"/>
              </w:rPr>
              <w:tab/>
            </w:r>
            <w:r w:rsidR="00722F1D" w:rsidRPr="00757CC3">
              <w:rPr>
                <w:rStyle w:val="Hyperlink"/>
                <w:noProof/>
              </w:rPr>
              <w:t>Key findings from the analysis of ESI Funds’ programmes</w:t>
            </w:r>
            <w:r w:rsidR="00722F1D">
              <w:rPr>
                <w:noProof/>
                <w:webHidden/>
              </w:rPr>
              <w:tab/>
            </w:r>
            <w:r w:rsidR="00722F1D">
              <w:rPr>
                <w:noProof/>
                <w:webHidden/>
              </w:rPr>
              <w:fldChar w:fldCharType="begin"/>
            </w:r>
            <w:r w:rsidR="00722F1D">
              <w:rPr>
                <w:noProof/>
                <w:webHidden/>
              </w:rPr>
              <w:instrText xml:space="preserve"> PAGEREF _Toc466826797 \h </w:instrText>
            </w:r>
            <w:r w:rsidR="00722F1D">
              <w:rPr>
                <w:noProof/>
                <w:webHidden/>
              </w:rPr>
            </w:r>
            <w:r w:rsidR="00722F1D">
              <w:rPr>
                <w:noProof/>
                <w:webHidden/>
              </w:rPr>
              <w:fldChar w:fldCharType="separate"/>
            </w:r>
            <w:r w:rsidR="00722F1D">
              <w:rPr>
                <w:noProof/>
                <w:webHidden/>
              </w:rPr>
              <w:t>50</w:t>
            </w:r>
            <w:r w:rsidR="00722F1D">
              <w:rPr>
                <w:noProof/>
                <w:webHidden/>
              </w:rPr>
              <w:fldChar w:fldCharType="end"/>
            </w:r>
          </w:hyperlink>
        </w:p>
        <w:p w:rsidR="00722F1D" w:rsidRDefault="00631A15">
          <w:pPr>
            <w:pStyle w:val="TOC2"/>
            <w:rPr>
              <w:rFonts w:asciiTheme="minorHAnsi" w:eastAsiaTheme="minorEastAsia" w:hAnsiTheme="minorHAnsi"/>
              <w:noProof/>
              <w:sz w:val="22"/>
              <w:lang w:eastAsia="en-GB"/>
            </w:rPr>
          </w:pPr>
          <w:hyperlink w:anchor="_Toc466826798" w:history="1">
            <w:r w:rsidR="00722F1D" w:rsidRPr="00757CC3">
              <w:rPr>
                <w:rStyle w:val="Hyperlink"/>
                <w:noProof/>
              </w:rPr>
              <w:t>3.5.</w:t>
            </w:r>
            <w:r w:rsidR="00722F1D">
              <w:rPr>
                <w:rFonts w:asciiTheme="minorHAnsi" w:eastAsiaTheme="minorEastAsia" w:hAnsiTheme="minorHAnsi"/>
                <w:noProof/>
                <w:sz w:val="22"/>
                <w:lang w:eastAsia="en-GB"/>
              </w:rPr>
              <w:tab/>
            </w:r>
            <w:r w:rsidR="00722F1D" w:rsidRPr="00757CC3">
              <w:rPr>
                <w:rStyle w:val="Hyperlink"/>
                <w:noProof/>
              </w:rPr>
              <w:t>eSurvey: first results concerning Task 3</w:t>
            </w:r>
            <w:r w:rsidR="00722F1D">
              <w:rPr>
                <w:noProof/>
                <w:webHidden/>
              </w:rPr>
              <w:tab/>
            </w:r>
            <w:r w:rsidR="00722F1D">
              <w:rPr>
                <w:noProof/>
                <w:webHidden/>
              </w:rPr>
              <w:fldChar w:fldCharType="begin"/>
            </w:r>
            <w:r w:rsidR="00722F1D">
              <w:rPr>
                <w:noProof/>
                <w:webHidden/>
              </w:rPr>
              <w:instrText xml:space="preserve"> PAGEREF _Toc466826798 \h </w:instrText>
            </w:r>
            <w:r w:rsidR="00722F1D">
              <w:rPr>
                <w:noProof/>
                <w:webHidden/>
              </w:rPr>
            </w:r>
            <w:r w:rsidR="00722F1D">
              <w:rPr>
                <w:noProof/>
                <w:webHidden/>
              </w:rPr>
              <w:fldChar w:fldCharType="separate"/>
            </w:r>
            <w:r w:rsidR="00722F1D">
              <w:rPr>
                <w:noProof/>
                <w:webHidden/>
              </w:rPr>
              <w:t>65</w:t>
            </w:r>
            <w:r w:rsidR="00722F1D">
              <w:rPr>
                <w:noProof/>
                <w:webHidden/>
              </w:rPr>
              <w:fldChar w:fldCharType="end"/>
            </w:r>
          </w:hyperlink>
        </w:p>
        <w:p w:rsidR="00722F1D" w:rsidRDefault="00631A15">
          <w:pPr>
            <w:pStyle w:val="TOC3"/>
            <w:tabs>
              <w:tab w:val="left" w:pos="1320"/>
              <w:tab w:val="right" w:leader="dot" w:pos="8778"/>
            </w:tabs>
            <w:rPr>
              <w:rFonts w:asciiTheme="minorHAnsi" w:eastAsiaTheme="minorEastAsia" w:hAnsiTheme="minorHAnsi"/>
              <w:noProof/>
              <w:sz w:val="22"/>
              <w:lang w:eastAsia="en-GB"/>
            </w:rPr>
          </w:pPr>
          <w:hyperlink w:anchor="_Toc466826799" w:history="1">
            <w:r w:rsidR="00722F1D" w:rsidRPr="00757CC3">
              <w:rPr>
                <w:rStyle w:val="Hyperlink"/>
                <w:noProof/>
              </w:rPr>
              <w:t>3.5.1.</w:t>
            </w:r>
            <w:r w:rsidR="00722F1D">
              <w:rPr>
                <w:rFonts w:asciiTheme="minorHAnsi" w:eastAsiaTheme="minorEastAsia" w:hAnsiTheme="minorHAnsi"/>
                <w:noProof/>
                <w:sz w:val="22"/>
                <w:lang w:eastAsia="en-GB"/>
              </w:rPr>
              <w:tab/>
            </w:r>
            <w:r w:rsidR="00722F1D" w:rsidRPr="00757CC3">
              <w:rPr>
                <w:rStyle w:val="Hyperlink"/>
                <w:noProof/>
              </w:rPr>
              <w:t>Influence of the European Semester on programming</w:t>
            </w:r>
            <w:r w:rsidR="00722F1D">
              <w:rPr>
                <w:noProof/>
                <w:webHidden/>
              </w:rPr>
              <w:tab/>
            </w:r>
            <w:r w:rsidR="00722F1D">
              <w:rPr>
                <w:noProof/>
                <w:webHidden/>
              </w:rPr>
              <w:fldChar w:fldCharType="begin"/>
            </w:r>
            <w:r w:rsidR="00722F1D">
              <w:rPr>
                <w:noProof/>
                <w:webHidden/>
              </w:rPr>
              <w:instrText xml:space="preserve"> PAGEREF _Toc466826799 \h </w:instrText>
            </w:r>
            <w:r w:rsidR="00722F1D">
              <w:rPr>
                <w:noProof/>
                <w:webHidden/>
              </w:rPr>
            </w:r>
            <w:r w:rsidR="00722F1D">
              <w:rPr>
                <w:noProof/>
                <w:webHidden/>
              </w:rPr>
              <w:fldChar w:fldCharType="separate"/>
            </w:r>
            <w:r w:rsidR="00722F1D">
              <w:rPr>
                <w:noProof/>
                <w:webHidden/>
              </w:rPr>
              <w:t>66</w:t>
            </w:r>
            <w:r w:rsidR="00722F1D">
              <w:rPr>
                <w:noProof/>
                <w:webHidden/>
              </w:rPr>
              <w:fldChar w:fldCharType="end"/>
            </w:r>
          </w:hyperlink>
        </w:p>
        <w:p w:rsidR="00722F1D" w:rsidRDefault="00631A15">
          <w:pPr>
            <w:pStyle w:val="TOC3"/>
            <w:tabs>
              <w:tab w:val="left" w:pos="1320"/>
              <w:tab w:val="right" w:leader="dot" w:pos="8778"/>
            </w:tabs>
            <w:rPr>
              <w:rFonts w:asciiTheme="minorHAnsi" w:eastAsiaTheme="minorEastAsia" w:hAnsiTheme="minorHAnsi"/>
              <w:noProof/>
              <w:sz w:val="22"/>
              <w:lang w:eastAsia="en-GB"/>
            </w:rPr>
          </w:pPr>
          <w:hyperlink w:anchor="_Toc466826800" w:history="1">
            <w:r w:rsidR="00722F1D" w:rsidRPr="00757CC3">
              <w:rPr>
                <w:rStyle w:val="Hyperlink"/>
                <w:noProof/>
              </w:rPr>
              <w:t>3.5.2.</w:t>
            </w:r>
            <w:r w:rsidR="00722F1D">
              <w:rPr>
                <w:rFonts w:asciiTheme="minorHAnsi" w:eastAsiaTheme="minorEastAsia" w:hAnsiTheme="minorHAnsi"/>
                <w:noProof/>
                <w:sz w:val="22"/>
                <w:lang w:eastAsia="en-GB"/>
              </w:rPr>
              <w:tab/>
            </w:r>
            <w:r w:rsidR="00722F1D" w:rsidRPr="00757CC3">
              <w:rPr>
                <w:rStyle w:val="Hyperlink"/>
                <w:noProof/>
              </w:rPr>
              <w:t>Key obstacles which may prevent MAs from using ESI Funds to address CSR/structural challenges</w:t>
            </w:r>
            <w:r w:rsidR="00722F1D">
              <w:rPr>
                <w:noProof/>
                <w:webHidden/>
              </w:rPr>
              <w:tab/>
            </w:r>
            <w:r w:rsidR="00722F1D">
              <w:rPr>
                <w:noProof/>
                <w:webHidden/>
              </w:rPr>
              <w:fldChar w:fldCharType="begin"/>
            </w:r>
            <w:r w:rsidR="00722F1D">
              <w:rPr>
                <w:noProof/>
                <w:webHidden/>
              </w:rPr>
              <w:instrText xml:space="preserve"> PAGEREF _Toc466826800 \h </w:instrText>
            </w:r>
            <w:r w:rsidR="00722F1D">
              <w:rPr>
                <w:noProof/>
                <w:webHidden/>
              </w:rPr>
            </w:r>
            <w:r w:rsidR="00722F1D">
              <w:rPr>
                <w:noProof/>
                <w:webHidden/>
              </w:rPr>
              <w:fldChar w:fldCharType="separate"/>
            </w:r>
            <w:r w:rsidR="00722F1D">
              <w:rPr>
                <w:noProof/>
                <w:webHidden/>
              </w:rPr>
              <w:t>67</w:t>
            </w:r>
            <w:r w:rsidR="00722F1D">
              <w:rPr>
                <w:noProof/>
                <w:webHidden/>
              </w:rPr>
              <w:fldChar w:fldCharType="end"/>
            </w:r>
          </w:hyperlink>
        </w:p>
        <w:p w:rsidR="00722F1D" w:rsidRDefault="00631A15">
          <w:pPr>
            <w:pStyle w:val="TOC3"/>
            <w:tabs>
              <w:tab w:val="left" w:pos="1320"/>
              <w:tab w:val="right" w:leader="dot" w:pos="8778"/>
            </w:tabs>
            <w:rPr>
              <w:rFonts w:asciiTheme="minorHAnsi" w:eastAsiaTheme="minorEastAsia" w:hAnsiTheme="minorHAnsi"/>
              <w:noProof/>
              <w:sz w:val="22"/>
              <w:lang w:eastAsia="en-GB"/>
            </w:rPr>
          </w:pPr>
          <w:hyperlink w:anchor="_Toc466826801" w:history="1">
            <w:r w:rsidR="00722F1D" w:rsidRPr="00757CC3">
              <w:rPr>
                <w:rStyle w:val="Hyperlink"/>
                <w:noProof/>
              </w:rPr>
              <w:t>3.5.3.</w:t>
            </w:r>
            <w:r w:rsidR="00722F1D">
              <w:rPr>
                <w:rFonts w:asciiTheme="minorHAnsi" w:eastAsiaTheme="minorEastAsia" w:hAnsiTheme="minorHAnsi"/>
                <w:noProof/>
                <w:sz w:val="22"/>
                <w:lang w:eastAsia="en-GB"/>
              </w:rPr>
              <w:tab/>
            </w:r>
            <w:r w:rsidR="00722F1D" w:rsidRPr="00757CC3">
              <w:rPr>
                <w:rStyle w:val="Hyperlink"/>
                <w:noProof/>
              </w:rPr>
              <w:t>Relative importance of CSR/structural challenges across policy areas, according to MAs</w:t>
            </w:r>
            <w:r w:rsidR="00722F1D">
              <w:rPr>
                <w:noProof/>
                <w:webHidden/>
              </w:rPr>
              <w:tab/>
            </w:r>
            <w:r w:rsidR="00722F1D">
              <w:rPr>
                <w:noProof/>
                <w:webHidden/>
              </w:rPr>
              <w:fldChar w:fldCharType="begin"/>
            </w:r>
            <w:r w:rsidR="00722F1D">
              <w:rPr>
                <w:noProof/>
                <w:webHidden/>
              </w:rPr>
              <w:instrText xml:space="preserve"> PAGEREF _Toc466826801 \h </w:instrText>
            </w:r>
            <w:r w:rsidR="00722F1D">
              <w:rPr>
                <w:noProof/>
                <w:webHidden/>
              </w:rPr>
            </w:r>
            <w:r w:rsidR="00722F1D">
              <w:rPr>
                <w:noProof/>
                <w:webHidden/>
              </w:rPr>
              <w:fldChar w:fldCharType="separate"/>
            </w:r>
            <w:r w:rsidR="00722F1D">
              <w:rPr>
                <w:noProof/>
                <w:webHidden/>
              </w:rPr>
              <w:t>68</w:t>
            </w:r>
            <w:r w:rsidR="00722F1D">
              <w:rPr>
                <w:noProof/>
                <w:webHidden/>
              </w:rPr>
              <w:fldChar w:fldCharType="end"/>
            </w:r>
          </w:hyperlink>
        </w:p>
        <w:p w:rsidR="00722F1D" w:rsidRDefault="00631A15">
          <w:pPr>
            <w:pStyle w:val="TOC3"/>
            <w:tabs>
              <w:tab w:val="left" w:pos="1320"/>
              <w:tab w:val="right" w:leader="dot" w:pos="8778"/>
            </w:tabs>
            <w:rPr>
              <w:rFonts w:asciiTheme="minorHAnsi" w:eastAsiaTheme="minorEastAsia" w:hAnsiTheme="minorHAnsi"/>
              <w:noProof/>
              <w:sz w:val="22"/>
              <w:lang w:eastAsia="en-GB"/>
            </w:rPr>
          </w:pPr>
          <w:hyperlink w:anchor="_Toc466826802" w:history="1">
            <w:r w:rsidR="00722F1D" w:rsidRPr="00757CC3">
              <w:rPr>
                <w:rStyle w:val="Hyperlink"/>
                <w:noProof/>
              </w:rPr>
              <w:t>3.5.4.</w:t>
            </w:r>
            <w:r w:rsidR="00722F1D">
              <w:rPr>
                <w:rFonts w:asciiTheme="minorHAnsi" w:eastAsiaTheme="minorEastAsia" w:hAnsiTheme="minorHAnsi"/>
                <w:noProof/>
                <w:sz w:val="22"/>
                <w:lang w:eastAsia="en-GB"/>
              </w:rPr>
              <w:tab/>
            </w:r>
            <w:r w:rsidR="00722F1D" w:rsidRPr="00757CC3">
              <w:rPr>
                <w:rStyle w:val="Hyperlink"/>
                <w:noProof/>
              </w:rPr>
              <w:t>Some information on the monitoring of CSR/structural challenges</w:t>
            </w:r>
            <w:r w:rsidR="00722F1D">
              <w:rPr>
                <w:noProof/>
                <w:webHidden/>
              </w:rPr>
              <w:tab/>
            </w:r>
            <w:r w:rsidR="00722F1D">
              <w:rPr>
                <w:noProof/>
                <w:webHidden/>
              </w:rPr>
              <w:fldChar w:fldCharType="begin"/>
            </w:r>
            <w:r w:rsidR="00722F1D">
              <w:rPr>
                <w:noProof/>
                <w:webHidden/>
              </w:rPr>
              <w:instrText xml:space="preserve"> PAGEREF _Toc466826802 \h </w:instrText>
            </w:r>
            <w:r w:rsidR="00722F1D">
              <w:rPr>
                <w:noProof/>
                <w:webHidden/>
              </w:rPr>
            </w:r>
            <w:r w:rsidR="00722F1D">
              <w:rPr>
                <w:noProof/>
                <w:webHidden/>
              </w:rPr>
              <w:fldChar w:fldCharType="separate"/>
            </w:r>
            <w:r w:rsidR="00722F1D">
              <w:rPr>
                <w:noProof/>
                <w:webHidden/>
              </w:rPr>
              <w:t>70</w:t>
            </w:r>
            <w:r w:rsidR="00722F1D">
              <w:rPr>
                <w:noProof/>
                <w:webHidden/>
              </w:rPr>
              <w:fldChar w:fldCharType="end"/>
            </w:r>
          </w:hyperlink>
        </w:p>
        <w:p w:rsidR="00722F1D" w:rsidRDefault="00631A15">
          <w:pPr>
            <w:pStyle w:val="TOC2"/>
            <w:rPr>
              <w:rFonts w:asciiTheme="minorHAnsi" w:eastAsiaTheme="minorEastAsia" w:hAnsiTheme="minorHAnsi"/>
              <w:noProof/>
              <w:sz w:val="22"/>
              <w:lang w:eastAsia="en-GB"/>
            </w:rPr>
          </w:pPr>
          <w:hyperlink w:anchor="_Toc466826803" w:history="1">
            <w:r w:rsidR="00722F1D" w:rsidRPr="00757CC3">
              <w:rPr>
                <w:rStyle w:val="Hyperlink"/>
                <w:noProof/>
              </w:rPr>
              <w:t>3.6.</w:t>
            </w:r>
            <w:r w:rsidR="00722F1D">
              <w:rPr>
                <w:rFonts w:asciiTheme="minorHAnsi" w:eastAsiaTheme="minorEastAsia" w:hAnsiTheme="minorHAnsi"/>
                <w:noProof/>
                <w:sz w:val="22"/>
                <w:lang w:eastAsia="en-GB"/>
              </w:rPr>
              <w:tab/>
            </w:r>
            <w:r w:rsidR="00722F1D" w:rsidRPr="00757CC3">
              <w:rPr>
                <w:rStyle w:val="Hyperlink"/>
                <w:noProof/>
              </w:rPr>
              <w:t>Analysis of the funding received by policy fields covered by CSR</w:t>
            </w:r>
            <w:r w:rsidR="00722F1D">
              <w:rPr>
                <w:noProof/>
                <w:webHidden/>
              </w:rPr>
              <w:tab/>
            </w:r>
            <w:r w:rsidR="00722F1D">
              <w:rPr>
                <w:noProof/>
                <w:webHidden/>
              </w:rPr>
              <w:fldChar w:fldCharType="begin"/>
            </w:r>
            <w:r w:rsidR="00722F1D">
              <w:rPr>
                <w:noProof/>
                <w:webHidden/>
              </w:rPr>
              <w:instrText xml:space="preserve"> PAGEREF _Toc466826803 \h </w:instrText>
            </w:r>
            <w:r w:rsidR="00722F1D">
              <w:rPr>
                <w:noProof/>
                <w:webHidden/>
              </w:rPr>
            </w:r>
            <w:r w:rsidR="00722F1D">
              <w:rPr>
                <w:noProof/>
                <w:webHidden/>
              </w:rPr>
              <w:fldChar w:fldCharType="separate"/>
            </w:r>
            <w:r w:rsidR="00722F1D">
              <w:rPr>
                <w:noProof/>
                <w:webHidden/>
              </w:rPr>
              <w:t>71</w:t>
            </w:r>
            <w:r w:rsidR="00722F1D">
              <w:rPr>
                <w:noProof/>
                <w:webHidden/>
              </w:rPr>
              <w:fldChar w:fldCharType="end"/>
            </w:r>
          </w:hyperlink>
        </w:p>
        <w:p w:rsidR="00722F1D" w:rsidRDefault="00631A15">
          <w:pPr>
            <w:pStyle w:val="TOC3"/>
            <w:tabs>
              <w:tab w:val="left" w:pos="1320"/>
              <w:tab w:val="right" w:leader="dot" w:pos="8778"/>
            </w:tabs>
            <w:rPr>
              <w:rFonts w:asciiTheme="minorHAnsi" w:eastAsiaTheme="minorEastAsia" w:hAnsiTheme="minorHAnsi"/>
              <w:noProof/>
              <w:sz w:val="22"/>
              <w:lang w:eastAsia="en-GB"/>
            </w:rPr>
          </w:pPr>
          <w:hyperlink w:anchor="_Toc466826804" w:history="1">
            <w:r w:rsidR="00722F1D" w:rsidRPr="00757CC3">
              <w:rPr>
                <w:rStyle w:val="Hyperlink"/>
                <w:noProof/>
              </w:rPr>
              <w:t>3.6.1.</w:t>
            </w:r>
            <w:r w:rsidR="00722F1D">
              <w:rPr>
                <w:rFonts w:asciiTheme="minorHAnsi" w:eastAsiaTheme="minorEastAsia" w:hAnsiTheme="minorHAnsi"/>
                <w:noProof/>
                <w:sz w:val="22"/>
                <w:lang w:eastAsia="en-GB"/>
              </w:rPr>
              <w:tab/>
            </w:r>
            <w:r w:rsidR="00722F1D" w:rsidRPr="00757CC3">
              <w:rPr>
                <w:rStyle w:val="Hyperlink"/>
                <w:noProof/>
              </w:rPr>
              <w:t>Estimation approach</w:t>
            </w:r>
            <w:r w:rsidR="00722F1D">
              <w:rPr>
                <w:noProof/>
                <w:webHidden/>
              </w:rPr>
              <w:tab/>
            </w:r>
            <w:r w:rsidR="00722F1D">
              <w:rPr>
                <w:noProof/>
                <w:webHidden/>
              </w:rPr>
              <w:fldChar w:fldCharType="begin"/>
            </w:r>
            <w:r w:rsidR="00722F1D">
              <w:rPr>
                <w:noProof/>
                <w:webHidden/>
              </w:rPr>
              <w:instrText xml:space="preserve"> PAGEREF _Toc466826804 \h </w:instrText>
            </w:r>
            <w:r w:rsidR="00722F1D">
              <w:rPr>
                <w:noProof/>
                <w:webHidden/>
              </w:rPr>
            </w:r>
            <w:r w:rsidR="00722F1D">
              <w:rPr>
                <w:noProof/>
                <w:webHidden/>
              </w:rPr>
              <w:fldChar w:fldCharType="separate"/>
            </w:r>
            <w:r w:rsidR="00722F1D">
              <w:rPr>
                <w:noProof/>
                <w:webHidden/>
              </w:rPr>
              <w:t>71</w:t>
            </w:r>
            <w:r w:rsidR="00722F1D">
              <w:rPr>
                <w:noProof/>
                <w:webHidden/>
              </w:rPr>
              <w:fldChar w:fldCharType="end"/>
            </w:r>
          </w:hyperlink>
        </w:p>
        <w:p w:rsidR="00722F1D" w:rsidRDefault="00631A15">
          <w:pPr>
            <w:pStyle w:val="TOC3"/>
            <w:tabs>
              <w:tab w:val="left" w:pos="1320"/>
              <w:tab w:val="right" w:leader="dot" w:pos="8778"/>
            </w:tabs>
            <w:rPr>
              <w:rFonts w:asciiTheme="minorHAnsi" w:eastAsiaTheme="minorEastAsia" w:hAnsiTheme="minorHAnsi"/>
              <w:noProof/>
              <w:sz w:val="22"/>
              <w:lang w:eastAsia="en-GB"/>
            </w:rPr>
          </w:pPr>
          <w:hyperlink w:anchor="_Toc466826805" w:history="1">
            <w:r w:rsidR="00722F1D" w:rsidRPr="00757CC3">
              <w:rPr>
                <w:rStyle w:val="Hyperlink"/>
                <w:noProof/>
              </w:rPr>
              <w:t>3.6.2.</w:t>
            </w:r>
            <w:r w:rsidR="00722F1D">
              <w:rPr>
                <w:rFonts w:asciiTheme="minorHAnsi" w:eastAsiaTheme="minorEastAsia" w:hAnsiTheme="minorHAnsi"/>
                <w:noProof/>
                <w:sz w:val="22"/>
                <w:lang w:eastAsia="en-GB"/>
              </w:rPr>
              <w:tab/>
            </w:r>
            <w:r w:rsidR="00722F1D" w:rsidRPr="00757CC3">
              <w:rPr>
                <w:rStyle w:val="Hyperlink"/>
                <w:noProof/>
              </w:rPr>
              <w:t>Financial resources by policy area and Fund</w:t>
            </w:r>
            <w:r w:rsidR="00722F1D">
              <w:rPr>
                <w:noProof/>
                <w:webHidden/>
              </w:rPr>
              <w:tab/>
            </w:r>
            <w:r w:rsidR="00722F1D">
              <w:rPr>
                <w:noProof/>
                <w:webHidden/>
              </w:rPr>
              <w:fldChar w:fldCharType="begin"/>
            </w:r>
            <w:r w:rsidR="00722F1D">
              <w:rPr>
                <w:noProof/>
                <w:webHidden/>
              </w:rPr>
              <w:instrText xml:space="preserve"> PAGEREF _Toc466826805 \h </w:instrText>
            </w:r>
            <w:r w:rsidR="00722F1D">
              <w:rPr>
                <w:noProof/>
                <w:webHidden/>
              </w:rPr>
            </w:r>
            <w:r w:rsidR="00722F1D">
              <w:rPr>
                <w:noProof/>
                <w:webHidden/>
              </w:rPr>
              <w:fldChar w:fldCharType="separate"/>
            </w:r>
            <w:r w:rsidR="00722F1D">
              <w:rPr>
                <w:noProof/>
                <w:webHidden/>
              </w:rPr>
              <w:t>71</w:t>
            </w:r>
            <w:r w:rsidR="00722F1D">
              <w:rPr>
                <w:noProof/>
                <w:webHidden/>
              </w:rPr>
              <w:fldChar w:fldCharType="end"/>
            </w:r>
          </w:hyperlink>
        </w:p>
        <w:p w:rsidR="00722F1D" w:rsidRDefault="00631A15">
          <w:pPr>
            <w:pStyle w:val="TOC3"/>
            <w:tabs>
              <w:tab w:val="left" w:pos="1320"/>
              <w:tab w:val="right" w:leader="dot" w:pos="8778"/>
            </w:tabs>
            <w:rPr>
              <w:rFonts w:asciiTheme="minorHAnsi" w:eastAsiaTheme="minorEastAsia" w:hAnsiTheme="minorHAnsi"/>
              <w:noProof/>
              <w:sz w:val="22"/>
              <w:lang w:eastAsia="en-GB"/>
            </w:rPr>
          </w:pPr>
          <w:hyperlink w:anchor="_Toc466826806" w:history="1">
            <w:r w:rsidR="00722F1D" w:rsidRPr="00757CC3">
              <w:rPr>
                <w:rStyle w:val="Hyperlink"/>
                <w:noProof/>
              </w:rPr>
              <w:t>3.6.3.</w:t>
            </w:r>
            <w:r w:rsidR="00722F1D">
              <w:rPr>
                <w:rFonts w:asciiTheme="minorHAnsi" w:eastAsiaTheme="minorEastAsia" w:hAnsiTheme="minorHAnsi"/>
                <w:noProof/>
                <w:sz w:val="22"/>
                <w:lang w:eastAsia="en-GB"/>
              </w:rPr>
              <w:tab/>
            </w:r>
            <w:r w:rsidR="00722F1D" w:rsidRPr="00757CC3">
              <w:rPr>
                <w:rStyle w:val="Hyperlink"/>
                <w:noProof/>
              </w:rPr>
              <w:t>Financial resources by country</w:t>
            </w:r>
            <w:r w:rsidR="00722F1D">
              <w:rPr>
                <w:noProof/>
                <w:webHidden/>
              </w:rPr>
              <w:tab/>
            </w:r>
            <w:r w:rsidR="00722F1D">
              <w:rPr>
                <w:noProof/>
                <w:webHidden/>
              </w:rPr>
              <w:fldChar w:fldCharType="begin"/>
            </w:r>
            <w:r w:rsidR="00722F1D">
              <w:rPr>
                <w:noProof/>
                <w:webHidden/>
              </w:rPr>
              <w:instrText xml:space="preserve"> PAGEREF _Toc466826806 \h </w:instrText>
            </w:r>
            <w:r w:rsidR="00722F1D">
              <w:rPr>
                <w:noProof/>
                <w:webHidden/>
              </w:rPr>
            </w:r>
            <w:r w:rsidR="00722F1D">
              <w:rPr>
                <w:noProof/>
                <w:webHidden/>
              </w:rPr>
              <w:fldChar w:fldCharType="separate"/>
            </w:r>
            <w:r w:rsidR="00722F1D">
              <w:rPr>
                <w:noProof/>
                <w:webHidden/>
              </w:rPr>
              <w:t>74</w:t>
            </w:r>
            <w:r w:rsidR="00722F1D">
              <w:rPr>
                <w:noProof/>
                <w:webHidden/>
              </w:rPr>
              <w:fldChar w:fldCharType="end"/>
            </w:r>
          </w:hyperlink>
        </w:p>
        <w:p w:rsidR="00722F1D" w:rsidRDefault="00631A15">
          <w:pPr>
            <w:pStyle w:val="TOC2"/>
            <w:rPr>
              <w:rFonts w:asciiTheme="minorHAnsi" w:eastAsiaTheme="minorEastAsia" w:hAnsiTheme="minorHAnsi"/>
              <w:noProof/>
              <w:sz w:val="22"/>
              <w:lang w:eastAsia="en-GB"/>
            </w:rPr>
          </w:pPr>
          <w:hyperlink w:anchor="_Toc466826807" w:history="1">
            <w:r w:rsidR="00722F1D" w:rsidRPr="00757CC3">
              <w:rPr>
                <w:rStyle w:val="Hyperlink"/>
                <w:noProof/>
              </w:rPr>
              <w:t>3.7.</w:t>
            </w:r>
            <w:r w:rsidR="00722F1D">
              <w:rPr>
                <w:rFonts w:asciiTheme="minorHAnsi" w:eastAsiaTheme="minorEastAsia" w:hAnsiTheme="minorHAnsi"/>
                <w:noProof/>
                <w:sz w:val="22"/>
                <w:lang w:eastAsia="en-GB"/>
              </w:rPr>
              <w:tab/>
            </w:r>
            <w:r w:rsidR="00722F1D" w:rsidRPr="00757CC3">
              <w:rPr>
                <w:rStyle w:val="Hyperlink"/>
                <w:noProof/>
              </w:rPr>
              <w:t>A reflection on groupings of Member States which can be used in the following analysis</w:t>
            </w:r>
            <w:r w:rsidR="00722F1D">
              <w:rPr>
                <w:noProof/>
                <w:webHidden/>
              </w:rPr>
              <w:tab/>
            </w:r>
            <w:r w:rsidR="00722F1D">
              <w:rPr>
                <w:noProof/>
                <w:webHidden/>
              </w:rPr>
              <w:fldChar w:fldCharType="begin"/>
            </w:r>
            <w:r w:rsidR="00722F1D">
              <w:rPr>
                <w:noProof/>
                <w:webHidden/>
              </w:rPr>
              <w:instrText xml:space="preserve"> PAGEREF _Toc466826807 \h </w:instrText>
            </w:r>
            <w:r w:rsidR="00722F1D">
              <w:rPr>
                <w:noProof/>
                <w:webHidden/>
              </w:rPr>
            </w:r>
            <w:r w:rsidR="00722F1D">
              <w:rPr>
                <w:noProof/>
                <w:webHidden/>
              </w:rPr>
              <w:fldChar w:fldCharType="separate"/>
            </w:r>
            <w:r w:rsidR="00722F1D">
              <w:rPr>
                <w:noProof/>
                <w:webHidden/>
              </w:rPr>
              <w:t>77</w:t>
            </w:r>
            <w:r w:rsidR="00722F1D">
              <w:rPr>
                <w:noProof/>
                <w:webHidden/>
              </w:rPr>
              <w:fldChar w:fldCharType="end"/>
            </w:r>
          </w:hyperlink>
        </w:p>
        <w:p w:rsidR="00722F1D" w:rsidRDefault="00631A15">
          <w:pPr>
            <w:pStyle w:val="TOC1"/>
            <w:rPr>
              <w:rFonts w:asciiTheme="minorHAnsi" w:eastAsiaTheme="minorEastAsia" w:hAnsiTheme="minorHAnsi"/>
              <w:b w:val="0"/>
              <w:noProof/>
              <w:lang w:eastAsia="en-GB"/>
            </w:rPr>
          </w:pPr>
          <w:hyperlink w:anchor="_Toc466826808" w:history="1">
            <w:r w:rsidR="00722F1D" w:rsidRPr="00757CC3">
              <w:rPr>
                <w:rStyle w:val="Hyperlink"/>
                <w:noProof/>
              </w:rPr>
              <w:t>4.</w:t>
            </w:r>
            <w:r w:rsidR="00722F1D">
              <w:rPr>
                <w:rFonts w:asciiTheme="minorHAnsi" w:eastAsiaTheme="minorEastAsia" w:hAnsiTheme="minorHAnsi"/>
                <w:b w:val="0"/>
                <w:noProof/>
                <w:lang w:eastAsia="en-GB"/>
              </w:rPr>
              <w:tab/>
            </w:r>
            <w:r w:rsidR="00722F1D" w:rsidRPr="00757CC3">
              <w:rPr>
                <w:rStyle w:val="Hyperlink"/>
                <w:noProof/>
              </w:rPr>
              <w:t>Annex 1 – Country Fiches</w:t>
            </w:r>
            <w:r w:rsidR="00722F1D">
              <w:rPr>
                <w:noProof/>
                <w:webHidden/>
              </w:rPr>
              <w:tab/>
            </w:r>
            <w:r w:rsidR="00722F1D">
              <w:rPr>
                <w:noProof/>
                <w:webHidden/>
              </w:rPr>
              <w:fldChar w:fldCharType="begin"/>
            </w:r>
            <w:r w:rsidR="00722F1D">
              <w:rPr>
                <w:noProof/>
                <w:webHidden/>
              </w:rPr>
              <w:instrText xml:space="preserve"> PAGEREF _Toc466826808 \h </w:instrText>
            </w:r>
            <w:r w:rsidR="00722F1D">
              <w:rPr>
                <w:noProof/>
                <w:webHidden/>
              </w:rPr>
            </w:r>
            <w:r w:rsidR="00722F1D">
              <w:rPr>
                <w:noProof/>
                <w:webHidden/>
              </w:rPr>
              <w:fldChar w:fldCharType="separate"/>
            </w:r>
            <w:r w:rsidR="00722F1D">
              <w:rPr>
                <w:noProof/>
                <w:webHidden/>
              </w:rPr>
              <w:t>81</w:t>
            </w:r>
            <w:r w:rsidR="00722F1D">
              <w:rPr>
                <w:noProof/>
                <w:webHidden/>
              </w:rPr>
              <w:fldChar w:fldCharType="end"/>
            </w:r>
          </w:hyperlink>
        </w:p>
        <w:p w:rsidR="00722F1D" w:rsidRDefault="00631A15">
          <w:pPr>
            <w:pStyle w:val="TOC1"/>
            <w:rPr>
              <w:rFonts w:asciiTheme="minorHAnsi" w:eastAsiaTheme="minorEastAsia" w:hAnsiTheme="minorHAnsi"/>
              <w:b w:val="0"/>
              <w:noProof/>
              <w:lang w:eastAsia="en-GB"/>
            </w:rPr>
          </w:pPr>
          <w:hyperlink w:anchor="_Toc466826809" w:history="1">
            <w:r w:rsidR="00722F1D" w:rsidRPr="00757CC3">
              <w:rPr>
                <w:rStyle w:val="Hyperlink"/>
                <w:noProof/>
              </w:rPr>
              <w:t>5.</w:t>
            </w:r>
            <w:r w:rsidR="00722F1D">
              <w:rPr>
                <w:rFonts w:asciiTheme="minorHAnsi" w:eastAsiaTheme="minorEastAsia" w:hAnsiTheme="minorHAnsi"/>
                <w:b w:val="0"/>
                <w:noProof/>
                <w:lang w:eastAsia="en-GB"/>
              </w:rPr>
              <w:tab/>
            </w:r>
            <w:r w:rsidR="00722F1D" w:rsidRPr="00757CC3">
              <w:rPr>
                <w:rStyle w:val="Hyperlink"/>
                <w:noProof/>
              </w:rPr>
              <w:t>Annex 2 – Assembled Overview Tables</w:t>
            </w:r>
            <w:r w:rsidR="00722F1D">
              <w:rPr>
                <w:noProof/>
                <w:webHidden/>
              </w:rPr>
              <w:tab/>
            </w:r>
            <w:r w:rsidR="00722F1D">
              <w:rPr>
                <w:noProof/>
                <w:webHidden/>
              </w:rPr>
              <w:fldChar w:fldCharType="begin"/>
            </w:r>
            <w:r w:rsidR="00722F1D">
              <w:rPr>
                <w:noProof/>
                <w:webHidden/>
              </w:rPr>
              <w:instrText xml:space="preserve"> PAGEREF _Toc466826809 \h </w:instrText>
            </w:r>
            <w:r w:rsidR="00722F1D">
              <w:rPr>
                <w:noProof/>
                <w:webHidden/>
              </w:rPr>
            </w:r>
            <w:r w:rsidR="00722F1D">
              <w:rPr>
                <w:noProof/>
                <w:webHidden/>
              </w:rPr>
              <w:fldChar w:fldCharType="separate"/>
            </w:r>
            <w:r w:rsidR="00722F1D">
              <w:rPr>
                <w:noProof/>
                <w:webHidden/>
              </w:rPr>
              <w:t>81</w:t>
            </w:r>
            <w:r w:rsidR="00722F1D">
              <w:rPr>
                <w:noProof/>
                <w:webHidden/>
              </w:rPr>
              <w:fldChar w:fldCharType="end"/>
            </w:r>
          </w:hyperlink>
        </w:p>
        <w:p w:rsidR="00722F1D" w:rsidRDefault="00631A15">
          <w:pPr>
            <w:pStyle w:val="TOC1"/>
            <w:rPr>
              <w:rFonts w:asciiTheme="minorHAnsi" w:eastAsiaTheme="minorEastAsia" w:hAnsiTheme="minorHAnsi"/>
              <w:b w:val="0"/>
              <w:noProof/>
              <w:lang w:eastAsia="en-GB"/>
            </w:rPr>
          </w:pPr>
          <w:hyperlink w:anchor="_Toc466826810" w:history="1">
            <w:r w:rsidR="00722F1D" w:rsidRPr="00757CC3">
              <w:rPr>
                <w:rStyle w:val="Hyperlink"/>
                <w:noProof/>
              </w:rPr>
              <w:t>6.</w:t>
            </w:r>
            <w:r w:rsidR="00722F1D">
              <w:rPr>
                <w:rFonts w:asciiTheme="minorHAnsi" w:eastAsiaTheme="minorEastAsia" w:hAnsiTheme="minorHAnsi"/>
                <w:b w:val="0"/>
                <w:noProof/>
                <w:lang w:eastAsia="en-GB"/>
              </w:rPr>
              <w:tab/>
            </w:r>
            <w:r w:rsidR="00722F1D" w:rsidRPr="00757CC3">
              <w:rPr>
                <w:rStyle w:val="Hyperlink"/>
                <w:noProof/>
              </w:rPr>
              <w:t>Annex 3 – Summary of the analysis of Position Papers</w:t>
            </w:r>
            <w:r w:rsidR="00722F1D">
              <w:rPr>
                <w:noProof/>
                <w:webHidden/>
              </w:rPr>
              <w:tab/>
            </w:r>
            <w:r w:rsidR="00722F1D">
              <w:rPr>
                <w:noProof/>
                <w:webHidden/>
              </w:rPr>
              <w:fldChar w:fldCharType="begin"/>
            </w:r>
            <w:r w:rsidR="00722F1D">
              <w:rPr>
                <w:noProof/>
                <w:webHidden/>
              </w:rPr>
              <w:instrText xml:space="preserve"> PAGEREF _Toc466826810 \h </w:instrText>
            </w:r>
            <w:r w:rsidR="00722F1D">
              <w:rPr>
                <w:noProof/>
                <w:webHidden/>
              </w:rPr>
            </w:r>
            <w:r w:rsidR="00722F1D">
              <w:rPr>
                <w:noProof/>
                <w:webHidden/>
              </w:rPr>
              <w:fldChar w:fldCharType="separate"/>
            </w:r>
            <w:r w:rsidR="00722F1D">
              <w:rPr>
                <w:noProof/>
                <w:webHidden/>
              </w:rPr>
              <w:t>82</w:t>
            </w:r>
            <w:r w:rsidR="00722F1D">
              <w:rPr>
                <w:noProof/>
                <w:webHidden/>
              </w:rPr>
              <w:fldChar w:fldCharType="end"/>
            </w:r>
          </w:hyperlink>
        </w:p>
        <w:p w:rsidR="00722F1D" w:rsidRDefault="00631A15">
          <w:pPr>
            <w:pStyle w:val="TOC1"/>
            <w:rPr>
              <w:rFonts w:asciiTheme="minorHAnsi" w:eastAsiaTheme="minorEastAsia" w:hAnsiTheme="minorHAnsi"/>
              <w:b w:val="0"/>
              <w:noProof/>
              <w:lang w:eastAsia="en-GB"/>
            </w:rPr>
          </w:pPr>
          <w:hyperlink w:anchor="_Toc466826811" w:history="1">
            <w:r w:rsidR="00722F1D" w:rsidRPr="00757CC3">
              <w:rPr>
                <w:rStyle w:val="Hyperlink"/>
                <w:noProof/>
              </w:rPr>
              <w:t>7.</w:t>
            </w:r>
            <w:r w:rsidR="00722F1D">
              <w:rPr>
                <w:rFonts w:asciiTheme="minorHAnsi" w:eastAsiaTheme="minorEastAsia" w:hAnsiTheme="minorHAnsi"/>
                <w:b w:val="0"/>
                <w:noProof/>
                <w:lang w:eastAsia="en-GB"/>
              </w:rPr>
              <w:tab/>
            </w:r>
            <w:r w:rsidR="00722F1D" w:rsidRPr="00757CC3">
              <w:rPr>
                <w:rStyle w:val="Hyperlink"/>
                <w:noProof/>
              </w:rPr>
              <w:t>Annex 4 – Summary of the analysis of Partnership Agreements</w:t>
            </w:r>
            <w:r w:rsidR="00722F1D">
              <w:rPr>
                <w:noProof/>
                <w:webHidden/>
              </w:rPr>
              <w:tab/>
            </w:r>
            <w:r w:rsidR="00722F1D">
              <w:rPr>
                <w:noProof/>
                <w:webHidden/>
              </w:rPr>
              <w:fldChar w:fldCharType="begin"/>
            </w:r>
            <w:r w:rsidR="00722F1D">
              <w:rPr>
                <w:noProof/>
                <w:webHidden/>
              </w:rPr>
              <w:instrText xml:space="preserve"> PAGEREF _Toc466826811 \h </w:instrText>
            </w:r>
            <w:r w:rsidR="00722F1D">
              <w:rPr>
                <w:noProof/>
                <w:webHidden/>
              </w:rPr>
            </w:r>
            <w:r w:rsidR="00722F1D">
              <w:rPr>
                <w:noProof/>
                <w:webHidden/>
              </w:rPr>
              <w:fldChar w:fldCharType="separate"/>
            </w:r>
            <w:r w:rsidR="00722F1D">
              <w:rPr>
                <w:noProof/>
                <w:webHidden/>
              </w:rPr>
              <w:t>100</w:t>
            </w:r>
            <w:r w:rsidR="00722F1D">
              <w:rPr>
                <w:noProof/>
                <w:webHidden/>
              </w:rPr>
              <w:fldChar w:fldCharType="end"/>
            </w:r>
          </w:hyperlink>
        </w:p>
        <w:p w:rsidR="00722F1D" w:rsidRDefault="00631A15">
          <w:pPr>
            <w:pStyle w:val="TOC1"/>
            <w:rPr>
              <w:rFonts w:asciiTheme="minorHAnsi" w:eastAsiaTheme="minorEastAsia" w:hAnsiTheme="minorHAnsi"/>
              <w:b w:val="0"/>
              <w:noProof/>
              <w:lang w:eastAsia="en-GB"/>
            </w:rPr>
          </w:pPr>
          <w:hyperlink w:anchor="_Toc466826812" w:history="1">
            <w:r w:rsidR="00722F1D" w:rsidRPr="00757CC3">
              <w:rPr>
                <w:rStyle w:val="Hyperlink"/>
                <w:noProof/>
              </w:rPr>
              <w:t>8.</w:t>
            </w:r>
            <w:r w:rsidR="00722F1D">
              <w:rPr>
                <w:rFonts w:asciiTheme="minorHAnsi" w:eastAsiaTheme="minorEastAsia" w:hAnsiTheme="minorHAnsi"/>
                <w:b w:val="0"/>
                <w:noProof/>
                <w:lang w:eastAsia="en-GB"/>
              </w:rPr>
              <w:tab/>
            </w:r>
            <w:r w:rsidR="00722F1D" w:rsidRPr="00757CC3">
              <w:rPr>
                <w:rStyle w:val="Hyperlink"/>
                <w:noProof/>
              </w:rPr>
              <w:t>Annex 5 – Summary of the analysis of Operational Programmes</w:t>
            </w:r>
            <w:r w:rsidR="00722F1D">
              <w:rPr>
                <w:noProof/>
                <w:webHidden/>
              </w:rPr>
              <w:tab/>
            </w:r>
            <w:r w:rsidR="00722F1D">
              <w:rPr>
                <w:noProof/>
                <w:webHidden/>
              </w:rPr>
              <w:fldChar w:fldCharType="begin"/>
            </w:r>
            <w:r w:rsidR="00722F1D">
              <w:rPr>
                <w:noProof/>
                <w:webHidden/>
              </w:rPr>
              <w:instrText xml:space="preserve"> PAGEREF _Toc466826812 \h </w:instrText>
            </w:r>
            <w:r w:rsidR="00722F1D">
              <w:rPr>
                <w:noProof/>
                <w:webHidden/>
              </w:rPr>
            </w:r>
            <w:r w:rsidR="00722F1D">
              <w:rPr>
                <w:noProof/>
                <w:webHidden/>
              </w:rPr>
              <w:fldChar w:fldCharType="separate"/>
            </w:r>
            <w:r w:rsidR="00722F1D">
              <w:rPr>
                <w:noProof/>
                <w:webHidden/>
              </w:rPr>
              <w:t>116</w:t>
            </w:r>
            <w:r w:rsidR="00722F1D">
              <w:rPr>
                <w:noProof/>
                <w:webHidden/>
              </w:rPr>
              <w:fldChar w:fldCharType="end"/>
            </w:r>
          </w:hyperlink>
        </w:p>
        <w:p w:rsidR="00347637" w:rsidRPr="00F454B6" w:rsidRDefault="00C52F7F" w:rsidP="00800160">
          <w:pPr>
            <w:pStyle w:val="TOC1"/>
          </w:pPr>
          <w:r>
            <w:fldChar w:fldCharType="end"/>
          </w:r>
        </w:p>
      </w:sdtContent>
    </w:sdt>
    <w:p w:rsidR="00F42F5C" w:rsidRPr="00F454B6" w:rsidRDefault="00F42F5C" w:rsidP="00F42F5C">
      <w:pPr>
        <w:spacing w:after="240" w:line="240" w:lineRule="auto"/>
        <w:rPr>
          <w:rFonts w:eastAsia="Times New Roman" w:cs="Times New Roman"/>
          <w:b/>
          <w:caps/>
        </w:rPr>
      </w:pPr>
    </w:p>
    <w:p w:rsidR="00347637" w:rsidRPr="00F454B6" w:rsidRDefault="00347637">
      <w:bookmarkStart w:id="1" w:name="_Toc396143057"/>
    </w:p>
    <w:p w:rsidR="00E93495" w:rsidRDefault="00E93495">
      <w:pPr>
        <w:jc w:val="left"/>
        <w:rPr>
          <w:rFonts w:eastAsia="Times New Roman" w:cs="Times New Roman"/>
          <w:b/>
          <w:caps/>
          <w:sz w:val="24"/>
        </w:rPr>
      </w:pPr>
      <w:r>
        <w:br w:type="page"/>
      </w:r>
    </w:p>
    <w:p w:rsidR="008524C2" w:rsidRPr="008524C2" w:rsidRDefault="008524C2" w:rsidP="00156B7A">
      <w:pPr>
        <w:pStyle w:val="Heading1"/>
        <w:numPr>
          <w:ilvl w:val="0"/>
          <w:numId w:val="0"/>
        </w:numPr>
        <w:ind w:left="851" w:hanging="851"/>
        <w:rPr>
          <w:i/>
        </w:rPr>
      </w:pPr>
      <w:bookmarkStart w:id="2" w:name="_Toc466826773"/>
      <w:bookmarkStart w:id="3" w:name="_Ref442865204"/>
      <w:r w:rsidRPr="008524C2">
        <w:t>I</w:t>
      </w:r>
      <w:r w:rsidR="00921C45">
        <w:t>ntroduction</w:t>
      </w:r>
      <w:r w:rsidR="003E6562">
        <w:t>: structure of deliverable</w:t>
      </w:r>
      <w:bookmarkEnd w:id="2"/>
    </w:p>
    <w:p w:rsidR="00156B7A" w:rsidRDefault="004E71EB" w:rsidP="005B266E">
      <w:r>
        <w:t xml:space="preserve">This is a First Interim </w:t>
      </w:r>
      <w:r w:rsidR="00156B7A" w:rsidRPr="00156B7A">
        <w:t xml:space="preserve">Report of the </w:t>
      </w:r>
      <w:r w:rsidR="00156B7A">
        <w:t xml:space="preserve">study on “Support of European </w:t>
      </w:r>
      <w:r w:rsidR="00EF79CE">
        <w:t xml:space="preserve">Structural </w:t>
      </w:r>
      <w:r w:rsidR="00156B7A">
        <w:t xml:space="preserve">and Investment Funds (ESI Funds) to the implementation of the Country Specific Recommendations and to structural reforms in Member States”. </w:t>
      </w:r>
      <w:r w:rsidR="005B266E">
        <w:t>The contract</w:t>
      </w:r>
      <w:r w:rsidR="008B5596">
        <w:t xml:space="preserve"> for this study</w:t>
      </w:r>
      <w:r w:rsidR="005B266E">
        <w:t xml:space="preserve"> was awarded </w:t>
      </w:r>
      <w:r w:rsidR="00375134">
        <w:t xml:space="preserve">in </w:t>
      </w:r>
      <w:r w:rsidR="005B266E">
        <w:t xml:space="preserve">the context of the framework contract for "Provision of Studies related to the future development of Cohesion Policy and the ESI Funds" 2014CE16BAT007 / 2014CE16BAT008 / 2014CE16BAT009 - Lot 2: Studies assessing the impact of other European Union policies on economic, social and territorial cohesion. This </w:t>
      </w:r>
      <w:r w:rsidR="008B5596">
        <w:t>R</w:t>
      </w:r>
      <w:r w:rsidR="005B266E">
        <w:t>eport</w:t>
      </w:r>
      <w:r w:rsidR="00156B7A">
        <w:t xml:space="preserve"> </w:t>
      </w:r>
      <w:r>
        <w:t>covers task 2 and 3 of the study</w:t>
      </w:r>
      <w:r w:rsidR="00156B7A" w:rsidRPr="00156B7A">
        <w:t>.</w:t>
      </w:r>
    </w:p>
    <w:p w:rsidR="00156B7A" w:rsidRPr="00156B7A" w:rsidRDefault="00156B7A" w:rsidP="00156B7A">
      <w:r>
        <w:t xml:space="preserve">The report is structured in </w:t>
      </w:r>
      <w:r w:rsidR="00D6604A">
        <w:t>three</w:t>
      </w:r>
      <w:r w:rsidR="00375134">
        <w:t xml:space="preserve"> </w:t>
      </w:r>
      <w:r>
        <w:t xml:space="preserve">main sections: the first </w:t>
      </w:r>
      <w:r w:rsidR="00375134">
        <w:t xml:space="preserve">section </w:t>
      </w:r>
      <w:r>
        <w:t xml:space="preserve">provides an </w:t>
      </w:r>
      <w:r w:rsidR="004E71EB">
        <w:t xml:space="preserve">brief </w:t>
      </w:r>
      <w:r>
        <w:t xml:space="preserve">overview of the study, by </w:t>
      </w:r>
      <w:r w:rsidR="003E6562">
        <w:t xml:space="preserve">recapping </w:t>
      </w:r>
      <w:r>
        <w:t xml:space="preserve">the objectives and the overall methodological approach; the second </w:t>
      </w:r>
      <w:r w:rsidR="00375134">
        <w:t xml:space="preserve">section </w:t>
      </w:r>
      <w:r w:rsidR="004E71EB">
        <w:t>presents the findings of task 2 “</w:t>
      </w:r>
      <w:r w:rsidR="004E71EB" w:rsidRPr="004E71EB">
        <w:t xml:space="preserve">Map structural reform needs in </w:t>
      </w:r>
      <w:r w:rsidR="004E71EB">
        <w:t>the M</w:t>
      </w:r>
      <w:r w:rsidR="004E71EB" w:rsidRPr="004E71EB">
        <w:t>ember States</w:t>
      </w:r>
      <w:r w:rsidR="004E71EB">
        <w:t xml:space="preserve"> of the EU”</w:t>
      </w:r>
      <w:r>
        <w:t xml:space="preserve">. The third </w:t>
      </w:r>
      <w:r w:rsidR="004E71EB">
        <w:t>section provides a</w:t>
      </w:r>
      <w:r w:rsidR="00D6604A">
        <w:t>n</w:t>
      </w:r>
      <w:r w:rsidR="004E71EB">
        <w:t xml:space="preserve"> analysis of task 3 “</w:t>
      </w:r>
      <w:r w:rsidR="004E71EB" w:rsidRPr="004E71EB">
        <w:t xml:space="preserve">Set out how the </w:t>
      </w:r>
      <w:r w:rsidR="005374DD">
        <w:t>CSR</w:t>
      </w:r>
      <w:r w:rsidR="004E71EB" w:rsidRPr="004E71EB">
        <w:t xml:space="preserve"> have steered the programming and implementation of ESIF in the Member States</w:t>
      </w:r>
      <w:r w:rsidR="004E71EB">
        <w:t xml:space="preserve">”. </w:t>
      </w:r>
    </w:p>
    <w:p w:rsidR="00156B7A" w:rsidRDefault="00156B7A" w:rsidP="00156B7A"/>
    <w:p w:rsidR="00DC47F4" w:rsidRPr="00F454B6" w:rsidRDefault="0032426D" w:rsidP="005C5563">
      <w:pPr>
        <w:pStyle w:val="Heading1"/>
      </w:pPr>
      <w:bookmarkStart w:id="4" w:name="_Toc466826774"/>
      <w:r>
        <w:t>S</w:t>
      </w:r>
      <w:r w:rsidR="006A240F">
        <w:t>tudy</w:t>
      </w:r>
      <w:r>
        <w:t xml:space="preserve"> </w:t>
      </w:r>
      <w:r w:rsidR="00825917" w:rsidRPr="00F454B6">
        <w:t>O</w:t>
      </w:r>
      <w:r w:rsidR="00863D92" w:rsidRPr="00F454B6">
        <w:t>ver</w:t>
      </w:r>
      <w:r w:rsidR="00825917" w:rsidRPr="00F454B6">
        <w:t>view</w:t>
      </w:r>
      <w:bookmarkEnd w:id="3"/>
      <w:bookmarkEnd w:id="4"/>
      <w:r w:rsidR="00825917" w:rsidRPr="00F454B6">
        <w:t xml:space="preserve"> </w:t>
      </w:r>
      <w:r w:rsidR="00863D92" w:rsidRPr="00F454B6">
        <w:t xml:space="preserve"> </w:t>
      </w:r>
      <w:bookmarkEnd w:id="1"/>
      <w:r w:rsidR="00020F11" w:rsidRPr="00F454B6">
        <w:t xml:space="preserve"> </w:t>
      </w:r>
    </w:p>
    <w:p w:rsidR="00797A3E" w:rsidRPr="00F454B6" w:rsidRDefault="00797A3E" w:rsidP="00E97F0E"/>
    <w:p w:rsidR="00DC47F4" w:rsidRPr="00F454B6" w:rsidRDefault="008A4F83" w:rsidP="0011196A">
      <w:pPr>
        <w:pStyle w:val="Heading2"/>
      </w:pPr>
      <w:bookmarkStart w:id="5" w:name="_Toc396143058"/>
      <w:bookmarkStart w:id="6" w:name="_Toc466826775"/>
      <w:r>
        <w:t>Context and p</w:t>
      </w:r>
      <w:r w:rsidR="00F42F5C" w:rsidRPr="00F454B6">
        <w:t xml:space="preserve">urpose of the </w:t>
      </w:r>
      <w:bookmarkEnd w:id="5"/>
      <w:r w:rsidR="0036423F" w:rsidRPr="00F454B6">
        <w:t>study</w:t>
      </w:r>
      <w:bookmarkEnd w:id="6"/>
    </w:p>
    <w:p w:rsidR="002D58AB" w:rsidRPr="00F40691" w:rsidRDefault="002D58AB" w:rsidP="002D58AB">
      <w:r>
        <w:t xml:space="preserve">The EU economic governance was significantly revised in response to the </w:t>
      </w:r>
      <w:r w:rsidRPr="007667FC">
        <w:t>economic, financial and sovereign debt crises</w:t>
      </w:r>
      <w:r>
        <w:t>.</w:t>
      </w:r>
      <w:r w:rsidRPr="007667FC">
        <w:t xml:space="preserve"> </w:t>
      </w:r>
      <w:r>
        <w:t>The crises highlighted poorly coordinated reactions of Member States, hampering the effectiveness of both national and EU policy, and a</w:t>
      </w:r>
      <w:r w:rsidRPr="00F40691">
        <w:t xml:space="preserve"> widespread difficulty in respecting the rules for public finance stated in the EU Treaty, especially </w:t>
      </w:r>
      <w:r>
        <w:t>in</w:t>
      </w:r>
      <w:r w:rsidRPr="00F40691">
        <w:t xml:space="preserve"> the Euro area.</w:t>
      </w:r>
    </w:p>
    <w:p w:rsidR="002D58AB" w:rsidRDefault="002D58AB" w:rsidP="002D58AB">
      <w:r w:rsidRPr="007667FC">
        <w:t xml:space="preserve">The </w:t>
      </w:r>
      <w:r>
        <w:t xml:space="preserve">new integrated system of </w:t>
      </w:r>
      <w:r w:rsidRPr="007667FC">
        <w:t>rules (introduced through the so-called "Six Pack", the "Two Pack" laws and the Treaty on Stability, Coordination and Governance</w:t>
      </w:r>
      <w:r>
        <w:rPr>
          <w:rStyle w:val="FootnoteReference"/>
        </w:rPr>
        <w:footnoteReference w:id="2"/>
      </w:r>
      <w:r w:rsidRPr="007667FC">
        <w:t xml:space="preserve">) </w:t>
      </w:r>
      <w:r>
        <w:t xml:space="preserve">is </w:t>
      </w:r>
      <w:r w:rsidRPr="007667FC">
        <w:t xml:space="preserve">grounded in the </w:t>
      </w:r>
      <w:r w:rsidRPr="00562E7C">
        <w:t>European Semester, the EU's economic policy coordination calendar introduced in 2010. In addition to providing clearer rules, this integrated system ensures that</w:t>
      </w:r>
      <w:r w:rsidRPr="007667FC">
        <w:t xml:space="preserve"> there </w:t>
      </w:r>
      <w:r>
        <w:t xml:space="preserve">is </w:t>
      </w:r>
      <w:r w:rsidRPr="007667FC">
        <w:t>better coordination of national policies, regular follow-ups and the possibility of swifter sanctions for non-compliance.</w:t>
      </w:r>
    </w:p>
    <w:p w:rsidR="002D58AB" w:rsidRDefault="002D58AB" w:rsidP="002D58AB">
      <w:r w:rsidRPr="007667FC">
        <w:t>The European Semester</w:t>
      </w:r>
      <w:r>
        <w:t xml:space="preserve"> </w:t>
      </w:r>
      <w:r w:rsidRPr="007667FC">
        <w:t xml:space="preserve">ensures that Member States discuss their budgetary and economic plans with their EU partners at specific times throughout the year. This allows them to comment on each other's plans and enables the Commission to give policy guidance before Member States adopt final decisions. </w:t>
      </w:r>
      <w:r>
        <w:t>As part of the process, t</w:t>
      </w:r>
      <w:r w:rsidRPr="007667FC">
        <w:t>he Commission also monitors whether Member States are working towards the targets of ‘Europe 2020’</w:t>
      </w:r>
      <w:r w:rsidRPr="00CF37BC">
        <w:t xml:space="preserve"> </w:t>
      </w:r>
      <w:r>
        <w:t xml:space="preserve">growth strategy which aims at promoting </w:t>
      </w:r>
      <w:r w:rsidRPr="00CF37BC">
        <w:t>jobs, education, innovation, poverty reduction</w:t>
      </w:r>
      <w:r>
        <w:t xml:space="preserve"> as well as climate change mitigation and adaptation</w:t>
      </w:r>
      <w:r w:rsidRPr="007667FC">
        <w:t>.</w:t>
      </w:r>
    </w:p>
    <w:p w:rsidR="002D58AB" w:rsidRDefault="002D58AB" w:rsidP="002D58AB">
      <w:r>
        <w:t>As part of the European Semester process, in M</w:t>
      </w:r>
      <w:r w:rsidRPr="00DD1B15">
        <w:t xml:space="preserve">ay the Commission proposes </w:t>
      </w:r>
      <w:r>
        <w:t>Country-S</w:t>
      </w:r>
      <w:r w:rsidRPr="00DD1B15">
        <w:t xml:space="preserve">pecific </w:t>
      </w:r>
      <w:r>
        <w:t>R</w:t>
      </w:r>
      <w:r w:rsidRPr="00DD1B15">
        <w:t xml:space="preserve">ecommendations </w:t>
      </w:r>
      <w:r>
        <w:t>(</w:t>
      </w:r>
      <w:r w:rsidR="005374DD">
        <w:t>CSR</w:t>
      </w:r>
      <w:r>
        <w:t xml:space="preserve">) </w:t>
      </w:r>
      <w:r w:rsidRPr="00DD1B15">
        <w:t xml:space="preserve">for every Member State, except for those subject to </w:t>
      </w:r>
      <w:r>
        <w:t xml:space="preserve">the </w:t>
      </w:r>
      <w:r w:rsidRPr="00DD1B15">
        <w:t xml:space="preserve">macro-economic adjustment programme. </w:t>
      </w:r>
      <w:r w:rsidR="005374DD">
        <w:t>CSR</w:t>
      </w:r>
      <w:r w:rsidRPr="00562E7C">
        <w:t xml:space="preserve"> provide tailor-made policy advice to Member States in areas deemed as </w:t>
      </w:r>
      <w:r>
        <w:t xml:space="preserve">achievable </w:t>
      </w:r>
      <w:r w:rsidRPr="00562E7C">
        <w:t>pr</w:t>
      </w:r>
      <w:r w:rsidRPr="00DD1B15">
        <w:t xml:space="preserve">iorities for the next 12-18 months. </w:t>
      </w:r>
      <w:r>
        <w:t xml:space="preserve">At the </w:t>
      </w:r>
      <w:r w:rsidRPr="00DD1B15">
        <w:t xml:space="preserve">end of June or in early July, the Council formally </w:t>
      </w:r>
      <w:r>
        <w:t xml:space="preserve">endorses </w:t>
      </w:r>
      <w:r w:rsidRPr="00DD1B15">
        <w:t xml:space="preserve">the </w:t>
      </w:r>
      <w:r w:rsidR="005374DD">
        <w:t>CSR</w:t>
      </w:r>
      <w:r w:rsidRPr="00DD1B15">
        <w:t xml:space="preserve">. </w:t>
      </w:r>
      <w:r>
        <w:t>Therefore p</w:t>
      </w:r>
      <w:r w:rsidRPr="00DD1B15">
        <w:t>olicy guidance is given to Member States before they start to finalise their draft budgets for the following year.</w:t>
      </w:r>
    </w:p>
    <w:p w:rsidR="002D58AB" w:rsidRPr="00A75D2C" w:rsidRDefault="002D58AB" w:rsidP="002D58AB">
      <w:r>
        <w:t>T</w:t>
      </w:r>
      <w:r w:rsidRPr="00F40691">
        <w:t>he use of ESI</w:t>
      </w:r>
      <w:r>
        <w:t xml:space="preserve"> </w:t>
      </w:r>
      <w:r w:rsidRPr="00F40691">
        <w:t>F</w:t>
      </w:r>
      <w:r>
        <w:t>unds</w:t>
      </w:r>
      <w:r w:rsidRPr="00F40691">
        <w:t xml:space="preserve"> to support structural reforms</w:t>
      </w:r>
      <w:r>
        <w:t xml:space="preserve"> is particularly important in the context of the European Semester and to promote policy coordination. </w:t>
      </w:r>
      <w:r w:rsidR="00E63916">
        <w:t>T</w:t>
      </w:r>
      <w:r w:rsidR="008C6924">
        <w:t>he</w:t>
      </w:r>
      <w:r w:rsidRPr="00D0784A">
        <w:t xml:space="preserve"> ESIF Regulations required </w:t>
      </w:r>
      <w:r w:rsidR="00E77508" w:rsidRPr="00D0784A">
        <w:t xml:space="preserve">to </w:t>
      </w:r>
      <w:r w:rsidR="00E63916">
        <w:t>take into account, i</w:t>
      </w:r>
      <w:r w:rsidR="00E63916" w:rsidRPr="00D0784A">
        <w:t xml:space="preserve">n the </w:t>
      </w:r>
      <w:r w:rsidR="00E63916">
        <w:t xml:space="preserve">preparation </w:t>
      </w:r>
      <w:r w:rsidR="00E63916" w:rsidRPr="00D0784A">
        <w:t>of the Partnership Agreements</w:t>
      </w:r>
      <w:r w:rsidR="00E63916">
        <w:t xml:space="preserve"> and the Operational Programmes,</w:t>
      </w:r>
      <w:r w:rsidR="00E63916" w:rsidRPr="00D0784A">
        <w:t xml:space="preserve"> </w:t>
      </w:r>
      <w:r w:rsidR="00E63916">
        <w:t>“</w:t>
      </w:r>
      <w:r w:rsidR="0066695A">
        <w:t>relevant</w:t>
      </w:r>
      <w:r w:rsidR="00E63916">
        <w:t>”</w:t>
      </w:r>
      <w:r w:rsidR="0066695A">
        <w:t xml:space="preserve"> </w:t>
      </w:r>
      <w:r w:rsidR="005374DD">
        <w:t>CSR</w:t>
      </w:r>
      <w:r w:rsidR="001A6F35">
        <w:t>s</w:t>
      </w:r>
      <w:r w:rsidRPr="00D0784A">
        <w:t xml:space="preserve"> into account</w:t>
      </w:r>
      <w:r w:rsidR="00E63916">
        <w:t>, defined</w:t>
      </w:r>
      <w:r w:rsidR="00673544">
        <w:t xml:space="preserve"> in the CPR</w:t>
      </w:r>
      <w:r w:rsidR="00673544">
        <w:rPr>
          <w:rStyle w:val="FootnoteReference"/>
        </w:rPr>
        <w:footnoteReference w:id="3"/>
      </w:r>
      <w:r w:rsidR="00E63916">
        <w:t xml:space="preserve"> as </w:t>
      </w:r>
      <w:r w:rsidR="00D92CA8">
        <w:t xml:space="preserve">those relating to structural challenges which it is appropriate </w:t>
      </w:r>
      <w:r w:rsidR="008C6924">
        <w:t>t</w:t>
      </w:r>
      <w:r w:rsidR="00D92CA8">
        <w:t xml:space="preserve">o address through </w:t>
      </w:r>
      <w:r w:rsidR="00D92CA8" w:rsidRPr="0007302A">
        <w:t xml:space="preserve">multiannual investments that fall directly within the scope of the </w:t>
      </w:r>
      <w:r w:rsidR="008C6924" w:rsidRPr="0007302A">
        <w:t>ESI</w:t>
      </w:r>
      <w:r w:rsidR="00D92CA8" w:rsidRPr="00E64CB1">
        <w:t xml:space="preserve"> </w:t>
      </w:r>
      <w:r w:rsidR="008C6924" w:rsidRPr="00E64CB1">
        <w:t xml:space="preserve">Funds </w:t>
      </w:r>
      <w:r w:rsidR="00D92CA8" w:rsidRPr="00E64CB1">
        <w:t>as set out in the Fund</w:t>
      </w:r>
      <w:r w:rsidR="008C6924" w:rsidRPr="00E64CB1">
        <w:t>-</w:t>
      </w:r>
      <w:r w:rsidR="00D92CA8" w:rsidRPr="00E64CB1">
        <w:t xml:space="preserve">specific </w:t>
      </w:r>
      <w:r w:rsidR="008C6924" w:rsidRPr="00E64CB1">
        <w:t>R</w:t>
      </w:r>
      <w:r w:rsidR="00D92CA8" w:rsidRPr="00E64CB1">
        <w:t>egulations</w:t>
      </w:r>
      <w:r w:rsidR="00D92CA8">
        <w:t>-</w:t>
      </w:r>
      <w:r w:rsidRPr="00D0784A">
        <w:t>. Nonetheless, a M</w:t>
      </w:r>
      <w:r w:rsidR="00624AF6">
        <w:t xml:space="preserve">ember </w:t>
      </w:r>
      <w:r w:rsidRPr="00D0784A">
        <w:t>S</w:t>
      </w:r>
      <w:r w:rsidR="00624AF6">
        <w:t>tate</w:t>
      </w:r>
      <w:r w:rsidRPr="00D0784A">
        <w:t xml:space="preserve"> might as well decide not to address </w:t>
      </w:r>
      <w:r w:rsidR="00624AF6">
        <w:t>a</w:t>
      </w:r>
      <w:r w:rsidRPr="00D0784A">
        <w:t xml:space="preserve"> relevant CSR for various reasons: it has limited ESIF funding and has decided to focus on another CSR</w:t>
      </w:r>
      <w:r w:rsidR="00624AF6">
        <w:t>;</w:t>
      </w:r>
      <w:r w:rsidRPr="00D0784A">
        <w:t xml:space="preserve"> the challenge is addressed by the national measures</w:t>
      </w:r>
      <w:r w:rsidR="00624AF6">
        <w:t>;</w:t>
      </w:r>
      <w:r w:rsidRPr="00D0784A">
        <w:t xml:space="preserve"> it is not appropriate to do so, taking into account the specific development needs and challenges of a specific region (the CSR is not relevant in all regional OPs)</w:t>
      </w:r>
      <w:r w:rsidR="00624AF6">
        <w:t>;</w:t>
      </w:r>
      <w:r w:rsidRPr="00D0784A">
        <w:t xml:space="preserve"> the MS prefers to address other priorities with EU and national Funds, which are not </w:t>
      </w:r>
      <w:r w:rsidR="00624AF6" w:rsidRPr="00D0784A">
        <w:t>encompassed</w:t>
      </w:r>
      <w:r w:rsidRPr="00D0784A">
        <w:t xml:space="preserve"> in the CSR, including concentrating a significant mass of funding.</w:t>
      </w:r>
    </w:p>
    <w:p w:rsidR="002D58AB" w:rsidRDefault="00624AF6" w:rsidP="002D58AB">
      <w:r>
        <w:t xml:space="preserve">Understanding to what extent programmes address </w:t>
      </w:r>
      <w:r w:rsidR="005374DD">
        <w:t>CSR</w:t>
      </w:r>
      <w:r>
        <w:t xml:space="preserve"> is not straightforward as</w:t>
      </w:r>
      <w:r w:rsidR="002D58AB" w:rsidRPr="00D0784A">
        <w:t xml:space="preserve"> no reference in programmes does not necessarily means that </w:t>
      </w:r>
      <w:r w:rsidR="005374DD">
        <w:t>CSR</w:t>
      </w:r>
      <w:r w:rsidR="002D58AB" w:rsidRPr="00D0784A">
        <w:t xml:space="preserve"> were not taken into account. References can be explicit and implicit as long as the OPs discuss how the relevant policy challenges are to be addressed by the OP </w:t>
      </w:r>
      <w:r>
        <w:t xml:space="preserve">itself </w:t>
      </w:r>
      <w:r w:rsidR="002D58AB" w:rsidRPr="00D0784A">
        <w:t xml:space="preserve">and/or other, national funding. </w:t>
      </w:r>
    </w:p>
    <w:p w:rsidR="002D58AB" w:rsidRDefault="002D58AB" w:rsidP="002D58AB">
      <w:r>
        <w:t>Th</w:t>
      </w:r>
      <w:r w:rsidR="00624AF6">
        <w:t xml:space="preserve">e present </w:t>
      </w:r>
      <w:r>
        <w:t>study aims at exploring the actual linkages between the Semester and the ESIF, to what extent there was alignment so far and how the synergies between them can be strengthened. Specifically, t</w:t>
      </w:r>
      <w:r w:rsidRPr="00F454B6">
        <w:t>he main objectives of the study are</w:t>
      </w:r>
      <w:r>
        <w:t xml:space="preserve"> to</w:t>
      </w:r>
      <w:r w:rsidRPr="00F454B6">
        <w:t>: provid</w:t>
      </w:r>
      <w:r>
        <w:t>e</w:t>
      </w:r>
      <w:r w:rsidRPr="00F454B6">
        <w:t xml:space="preserve"> an overview of the structural reforms </w:t>
      </w:r>
      <w:r>
        <w:t>recommended by the Council to the</w:t>
      </w:r>
      <w:r w:rsidRPr="00F454B6">
        <w:t xml:space="preserve"> M</w:t>
      </w:r>
      <w:r>
        <w:t xml:space="preserve">ember </w:t>
      </w:r>
      <w:r w:rsidRPr="00F454B6">
        <w:t>S</w:t>
      </w:r>
      <w:r>
        <w:t>tates</w:t>
      </w:r>
      <w:r w:rsidRPr="00F454B6">
        <w:t xml:space="preserve">, in order to have a clear map of reforms </w:t>
      </w:r>
      <w:r>
        <w:t xml:space="preserve">affecting the </w:t>
      </w:r>
      <w:r w:rsidRPr="00F454B6">
        <w:t>2014-2020 programming</w:t>
      </w:r>
      <w:r>
        <w:t xml:space="preserve"> period</w:t>
      </w:r>
      <w:r w:rsidRPr="00F454B6">
        <w:t xml:space="preserve">; assess how the ESI Funds are helping to implement the structural reforms (how the </w:t>
      </w:r>
      <w:r w:rsidR="005374DD">
        <w:t>CSR</w:t>
      </w:r>
      <w:r w:rsidRPr="00F454B6">
        <w:t xml:space="preserve"> have been considered in the initial strategies and the impact of the ESIF ex-ante conditionalities); analyse whether and to what extent investments in institutional capacity are needed to implement structural reforms and the role of TO11</w:t>
      </w:r>
      <w:r w:rsidR="0059799D">
        <w:t>, taking into account also initiatives which can occur under other TOs such as TO 8, 9 and 10</w:t>
      </w:r>
      <w:r w:rsidRPr="00F454B6">
        <w:t>. Finally, the study will provide conclusions on the role of the ESIF in supporting structural reforms and main lessons learned for the preparation of the post 2020 programming period.</w:t>
      </w:r>
    </w:p>
    <w:p w:rsidR="008A4F83" w:rsidRPr="00F454B6" w:rsidRDefault="002D58AB" w:rsidP="008A4F83">
      <w:r>
        <w:t xml:space="preserve">This </w:t>
      </w:r>
      <w:r w:rsidRPr="00F454B6">
        <w:t xml:space="preserve">is one of the studies that </w:t>
      </w:r>
      <w:r>
        <w:t xml:space="preserve">DG </w:t>
      </w:r>
      <w:r w:rsidRPr="00F454B6">
        <w:t xml:space="preserve">EMPL and </w:t>
      </w:r>
      <w:r>
        <w:t xml:space="preserve">DG </w:t>
      </w:r>
      <w:r w:rsidRPr="00F454B6">
        <w:t xml:space="preserve">REGIO are </w:t>
      </w:r>
      <w:r>
        <w:t xml:space="preserve">commissioning </w:t>
      </w:r>
      <w:r w:rsidRPr="00F454B6">
        <w:t>for the preparation of the post-2020 programming period (the study on new provisions, the study on Ex-Ante Conditionalities, a study on the performance budget and a study on alternative delivery modes which is focused on strengths and weaknesses of the ESIF and is aimed at learning from other organisations e.g. World Bank)</w:t>
      </w:r>
      <w:r>
        <w:rPr>
          <w:rStyle w:val="FootnoteReference"/>
        </w:rPr>
        <w:footnoteReference w:id="4"/>
      </w:r>
      <w:r w:rsidRPr="00F454B6">
        <w:t xml:space="preserve">. All these are meant to be complementary to the analysis of </w:t>
      </w:r>
      <w:r w:rsidR="005374DD">
        <w:t>CSR</w:t>
      </w:r>
      <w:r w:rsidRPr="00F454B6">
        <w:t>. Th</w:t>
      </w:r>
      <w:r>
        <w:t>e present</w:t>
      </w:r>
      <w:r w:rsidRPr="00F454B6">
        <w:t xml:space="preserve"> study is important mostly because it is aimed at shedding light on the strategic alignment of the ESI Funds with the European Semester. In particular</w:t>
      </w:r>
      <w:r>
        <w:t>,</w:t>
      </w:r>
      <w:r w:rsidRPr="00F454B6">
        <w:t xml:space="preserve"> it examine</w:t>
      </w:r>
      <w:r>
        <w:t>s</w:t>
      </w:r>
      <w:r w:rsidRPr="00F454B6">
        <w:t xml:space="preserve"> the bottlenecks of this alignment</w:t>
      </w:r>
      <w:r>
        <w:t xml:space="preserve"> as well as </w:t>
      </w:r>
      <w:r w:rsidRPr="00F454B6">
        <w:t xml:space="preserve">the role of </w:t>
      </w:r>
      <w:r w:rsidR="008A4F83">
        <w:t>ex-ante conditionalities (</w:t>
      </w:r>
      <w:r w:rsidRPr="00F454B6">
        <w:t>E</w:t>
      </w:r>
      <w:r>
        <w:t>x</w:t>
      </w:r>
      <w:r w:rsidRPr="00F454B6">
        <w:t>AC</w:t>
      </w:r>
      <w:r w:rsidR="008A4F83">
        <w:t>)</w:t>
      </w:r>
      <w:r w:rsidRPr="00F454B6">
        <w:t xml:space="preserve">. </w:t>
      </w:r>
      <w:r w:rsidR="008A4F83" w:rsidRPr="00E74B3D">
        <w:t>In relation to ExAC it is worth mentioning here the legal basis for the Commission that is Art. 19 of the Common Provisions Regulation</w:t>
      </w:r>
      <w:r w:rsidR="008A4F83" w:rsidRPr="00E74B3D">
        <w:rPr>
          <w:rStyle w:val="FootnoteReference"/>
        </w:rPr>
        <w:footnoteReference w:id="5"/>
      </w:r>
      <w:r w:rsidR="008A4F83" w:rsidRPr="00E74B3D">
        <w:t>.</w:t>
      </w:r>
      <w:r w:rsidR="008A4F83" w:rsidRPr="006D5A79">
        <w:t xml:space="preserve"> Th</w:t>
      </w:r>
      <w:r w:rsidR="008A4F83" w:rsidRPr="00254EB7">
        <w:t>e</w:t>
      </w:r>
      <w:r w:rsidR="008A4F83">
        <w:t xml:space="preserve"> Regulation introduced ExAC in 2014-2020 as preconditions </w:t>
      </w:r>
      <w:r w:rsidR="008A4F83" w:rsidRPr="00201E51">
        <w:t xml:space="preserve">that need to be fulfilled to ensure efficient and effective use of the ESI Funds. If an applicable </w:t>
      </w:r>
      <w:r w:rsidR="008A4F83">
        <w:t>ExAC</w:t>
      </w:r>
      <w:r w:rsidR="008A4F83" w:rsidRPr="00201E51">
        <w:t xml:space="preserve"> is not (entirely) fulfilled at the time of submission of the Partnership Agreement (PA) and/or </w:t>
      </w:r>
      <w:r w:rsidR="008A4F83">
        <w:t>of an Operational Programme</w:t>
      </w:r>
      <w:r w:rsidR="008A4F83" w:rsidRPr="00201E51">
        <w:t>, Member States have to include in their PA/OP an action plan to fulfil it</w:t>
      </w:r>
      <w:r w:rsidR="008A4F83">
        <w:t>,</w:t>
      </w:r>
      <w:r w:rsidR="008A4F83" w:rsidRPr="00201E51">
        <w:t xml:space="preserve"> setting out the actions to be taken, </w:t>
      </w:r>
      <w:r w:rsidR="008A4F83">
        <w:t xml:space="preserve">the </w:t>
      </w:r>
      <w:r w:rsidR="008A4F83" w:rsidRPr="00201E51">
        <w:t>responsible bodies and a timetable for their implementation.</w:t>
      </w:r>
    </w:p>
    <w:p w:rsidR="002D58AB" w:rsidRPr="00F454B6" w:rsidRDefault="002D58AB" w:rsidP="002D58AB">
      <w:r>
        <w:t>T</w:t>
      </w:r>
      <w:r w:rsidRPr="00F454B6">
        <w:t xml:space="preserve">here is a need to assess alignment </w:t>
      </w:r>
      <w:r w:rsidR="008A4F83">
        <w:t xml:space="preserve">between the </w:t>
      </w:r>
      <w:r w:rsidR="008A4F83" w:rsidRPr="00F454B6">
        <w:t xml:space="preserve">ESI Funds </w:t>
      </w:r>
      <w:r w:rsidR="008A4F83">
        <w:t xml:space="preserve">and </w:t>
      </w:r>
      <w:r w:rsidR="008A4F83" w:rsidRPr="00F454B6">
        <w:t>the European Semester</w:t>
      </w:r>
      <w:r w:rsidR="008A4F83">
        <w:t xml:space="preserve"> </w:t>
      </w:r>
      <w:r>
        <w:t xml:space="preserve">primarily </w:t>
      </w:r>
      <w:r w:rsidRPr="00F454B6">
        <w:t>during the programm</w:t>
      </w:r>
      <w:r>
        <w:t>ing phase and to the extent feasible during the programmes'</w:t>
      </w:r>
      <w:r w:rsidRPr="00F454B6">
        <w:t xml:space="preserve"> lifecycle. </w:t>
      </w:r>
      <w:r>
        <w:t>In this respect, taking into account the different time frames of the two processes is essential: while t</w:t>
      </w:r>
      <w:r w:rsidRPr="00F454B6">
        <w:t xml:space="preserve">he ESI Funds are part of the Multiannual Financial Framework (MFF) </w:t>
      </w:r>
      <w:r>
        <w:t xml:space="preserve">and target medium and long term changes </w:t>
      </w:r>
      <w:r w:rsidRPr="00F454B6">
        <w:t xml:space="preserve">the EU Semester </w:t>
      </w:r>
      <w:r>
        <w:t>follows an annual cycle and can have annual objectives. Therefore there cannot be a one-on-one comparative analysis of how the two EU instruments jointly perform</w:t>
      </w:r>
      <w:r w:rsidRPr="00F454B6">
        <w:t xml:space="preserve">. </w:t>
      </w:r>
    </w:p>
    <w:p w:rsidR="002D58AB" w:rsidRPr="005B31C0" w:rsidRDefault="00BD0B4A" w:rsidP="00764D07">
      <w:r>
        <w:t xml:space="preserve">The study has a dual perspective, taking into account both the ESIF and the European Semester. </w:t>
      </w:r>
      <w:r w:rsidR="002D58AB" w:rsidRPr="00F454B6">
        <w:t>In particular</w:t>
      </w:r>
      <w:r w:rsidR="002D58AB">
        <w:t>,</w:t>
      </w:r>
      <w:r w:rsidR="002D58AB" w:rsidRPr="00F454B6">
        <w:t xml:space="preserve"> it assess how far ESIF contribute</w:t>
      </w:r>
      <w:r w:rsidR="002D58AB">
        <w:t>s</w:t>
      </w:r>
      <w:r w:rsidR="002D58AB" w:rsidRPr="00F454B6">
        <w:t xml:space="preserve"> to structural reforms, </w:t>
      </w:r>
      <w:r w:rsidR="002D58AB">
        <w:t xml:space="preserve">also taking into account the importance of the funds in a certain country (i.e. in terms of volume of available resources), </w:t>
      </w:r>
      <w:r w:rsidR="002D58AB" w:rsidRPr="00F454B6">
        <w:t xml:space="preserve">how can they be better articulated in the overall context of the Semester, how can the </w:t>
      </w:r>
      <w:r w:rsidR="0072481B">
        <w:t>two elements</w:t>
      </w:r>
      <w:r w:rsidR="002D58AB" w:rsidRPr="00F454B6">
        <w:t xml:space="preserve"> be better aligned, what the implications are for the Impact Assessment of the next round of the regulations.</w:t>
      </w:r>
      <w:r w:rsidR="002D58AB">
        <w:t xml:space="preserve"> In this respect the macro-economic conditionalit</w:t>
      </w:r>
      <w:r w:rsidR="00B416BB">
        <w:t>ies</w:t>
      </w:r>
      <w:r w:rsidR="002D58AB">
        <w:t xml:space="preserve"> </w:t>
      </w:r>
      <w:r w:rsidR="00A727D9">
        <w:t>could</w:t>
      </w:r>
      <w:r w:rsidR="002D58AB">
        <w:t xml:space="preserve"> also</w:t>
      </w:r>
      <w:r w:rsidR="00A727D9">
        <w:t xml:space="preserve"> be</w:t>
      </w:r>
      <w:r w:rsidR="002D58AB">
        <w:t xml:space="preserve"> an important instrument </w:t>
      </w:r>
      <w:r w:rsidR="00A727D9">
        <w:t>to</w:t>
      </w:r>
      <w:r w:rsidR="002D58AB">
        <w:t xml:space="preserve"> be used as a mechanism to strengthen alignment. </w:t>
      </w:r>
      <w:r w:rsidR="00B416BB">
        <w:t xml:space="preserve">The reform of Cohesion Policy in 2013 has introduced the principle of macroeconomic conditionality to all ESI Funds. </w:t>
      </w:r>
      <w:r w:rsidR="00764D07">
        <w:t>The Commission may request amendments to Member States' Partnership Agreements and programme</w:t>
      </w:r>
      <w:r w:rsidR="000748BD">
        <w:t>s</w:t>
      </w:r>
      <w:r w:rsidR="00764D07">
        <w:t xml:space="preserve"> governing the use of EU Funds in order to support the implementation of Council recommendations or to maximise the impact of ESI Funds in the Member States receiving financial assistance from the EU. If a Member State fails to undertake such amendments, the Commission may propose to the Council to suspend the payments of the programmes concerned. In the second strand, the Commission must propose to suspend the commitments or payments when a Member State fails to take corrective action under the economic governance procedures (e.g. the Excessive Deficit Procedure and/or the Excessive Imbalances Procedure or a stability support programme). </w:t>
      </w:r>
      <w:r w:rsidR="00B416BB">
        <w:t>This is part of the broader effort to ensure that ESI Funds are used to support reforms identified to be of key importance for social and economic performance in the Member States, and to ensure that the effectiveness of the funds is not undermined by unsound macroeconomic policies</w:t>
      </w:r>
      <w:r w:rsidR="00B416BB">
        <w:rPr>
          <w:rStyle w:val="FootnoteReference"/>
        </w:rPr>
        <w:footnoteReference w:id="6"/>
      </w:r>
      <w:r w:rsidR="00B416BB">
        <w:t xml:space="preserve">. </w:t>
      </w:r>
      <w:r w:rsidR="00764D07" w:rsidRPr="00764D07">
        <w:t xml:space="preserve">It is an innovative provision. </w:t>
      </w:r>
      <w:r w:rsidR="00764D07">
        <w:t>G</w:t>
      </w:r>
      <w:r w:rsidR="00764D07" w:rsidRPr="00764D07">
        <w:t xml:space="preserve">iven the different time-horizons under the programming period and the European Semester, this provision provides a way of ensuring that changes in the Semester can be translated into changes in the programming of ESI funds. </w:t>
      </w:r>
      <w:r w:rsidR="00764D07">
        <w:t>T</w:t>
      </w:r>
      <w:r w:rsidR="00764D07" w:rsidRPr="00764D07">
        <w:t xml:space="preserve">he macro-economic conditionality is not any longer a theoretical option </w:t>
      </w:r>
      <w:r w:rsidR="00764D07">
        <w:t>but</w:t>
      </w:r>
      <w:r w:rsidR="00764D07" w:rsidRPr="00764D07">
        <w:t xml:space="preserve"> it may give rise to concrete actions/decisions with regard to a Member State.</w:t>
      </w:r>
      <w:r w:rsidR="00764D07">
        <w:t xml:space="preserve"> It</w:t>
      </w:r>
      <w:r w:rsidR="00764D07" w:rsidRPr="00764D07">
        <w:t xml:space="preserve"> is difficult to assess the impact of the provision of macro-economic conditionality, at least for the time being. </w:t>
      </w:r>
      <w:r w:rsidR="002D58AB">
        <w:t xml:space="preserve"> </w:t>
      </w:r>
    </w:p>
    <w:p w:rsidR="002D58AB" w:rsidRPr="00F454B6" w:rsidRDefault="002D58AB" w:rsidP="002D58AB">
      <w:r w:rsidRPr="00F454B6">
        <w:t xml:space="preserve">The </w:t>
      </w:r>
      <w:proofErr w:type="spellStart"/>
      <w:r w:rsidRPr="00F454B6">
        <w:t>ToR</w:t>
      </w:r>
      <w:proofErr w:type="spellEnd"/>
      <w:r w:rsidRPr="00F454B6">
        <w:t xml:space="preserve"> </w:t>
      </w:r>
      <w:r w:rsidR="005B31C0">
        <w:t>discuss</w:t>
      </w:r>
      <w:r w:rsidRPr="00F454B6">
        <w:t xml:space="preserve"> challenges in terms of investments needs. </w:t>
      </w:r>
      <w:r w:rsidR="00872535">
        <w:t xml:space="preserve">One aspect that has to be </w:t>
      </w:r>
      <w:r w:rsidR="006C7365">
        <w:t>taken into consideration</w:t>
      </w:r>
      <w:r w:rsidR="00872535">
        <w:t xml:space="preserve"> </w:t>
      </w:r>
      <w:r w:rsidR="00316EE0">
        <w:t>is</w:t>
      </w:r>
      <w:r w:rsidR="00872535">
        <w:t xml:space="preserve"> thematic concentration, </w:t>
      </w:r>
      <w:r w:rsidR="006000A6">
        <w:t>set</w:t>
      </w:r>
      <w:r w:rsidR="00872535">
        <w:t xml:space="preserve"> by the Common Provision Regulation and the Fund-specific Regulations</w:t>
      </w:r>
      <w:r w:rsidR="003E12C1">
        <w:rPr>
          <w:rStyle w:val="FootnoteReference"/>
        </w:rPr>
        <w:footnoteReference w:id="7"/>
      </w:r>
      <w:r w:rsidR="00872535">
        <w:t xml:space="preserve">. </w:t>
      </w:r>
      <w:r w:rsidRPr="00F454B6">
        <w:t xml:space="preserve">It is important to consider that in some cases, obligations on thematic concentration are likely to have impacted more than </w:t>
      </w:r>
      <w:r w:rsidR="005374DD">
        <w:t>CSR</w:t>
      </w:r>
      <w:r w:rsidRPr="00F454B6">
        <w:t xml:space="preserve"> on actual investment choices. </w:t>
      </w:r>
      <w:r>
        <w:t>This element may raise a contrast between “a fits for all” approach (thematic concentration, which is in any case different across funds) and the need for specific allocations (</w:t>
      </w:r>
      <w:r w:rsidR="005374DD">
        <w:t>CSR</w:t>
      </w:r>
      <w:r>
        <w:t xml:space="preserve">). In general it is worth highlighting that the influence of </w:t>
      </w:r>
      <w:r w:rsidR="005374DD">
        <w:t>CSR</w:t>
      </w:r>
      <w:r>
        <w:t xml:space="preserve"> on 2014-2020 programming is</w:t>
      </w:r>
      <w:r w:rsidRPr="00B52143">
        <w:t xml:space="preserve"> complex to assess, with other </w:t>
      </w:r>
      <w:r w:rsidR="00CC6E29">
        <w:t xml:space="preserve">elements and </w:t>
      </w:r>
      <w:r w:rsidR="00C7278D">
        <w:t xml:space="preserve">external </w:t>
      </w:r>
      <w:r w:rsidR="00CC6E29">
        <w:t>factors</w:t>
      </w:r>
      <w:r w:rsidRPr="00B52143">
        <w:t xml:space="preserve"> also in the mix (e.g. thematic concentration, ExAC, Climate tracking, </w:t>
      </w:r>
      <w:r w:rsidR="00884540">
        <w:t xml:space="preserve">20% social inclusion </w:t>
      </w:r>
      <w:r w:rsidRPr="00B52143">
        <w:t>etc.).</w:t>
      </w:r>
    </w:p>
    <w:p w:rsidR="002D58AB" w:rsidRPr="00F454B6" w:rsidRDefault="002D58AB" w:rsidP="002D58AB">
      <w:r w:rsidRPr="00F454B6">
        <w:t>A</w:t>
      </w:r>
      <w:r>
        <w:t>n additional</w:t>
      </w:r>
      <w:r w:rsidRPr="00F454B6">
        <w:t xml:space="preserve"> key question </w:t>
      </w:r>
      <w:r>
        <w:t>i</w:t>
      </w:r>
      <w:r w:rsidRPr="00F454B6">
        <w:t xml:space="preserve">s </w:t>
      </w:r>
      <w:r>
        <w:t>the relationship between national recommendations and regional programmes. T</w:t>
      </w:r>
      <w:r w:rsidRPr="00F454B6">
        <w:t xml:space="preserve">he study </w:t>
      </w:r>
      <w:r>
        <w:t xml:space="preserve">makes it possible to </w:t>
      </w:r>
      <w:r w:rsidRPr="00F454B6">
        <w:t xml:space="preserve">shed light on how </w:t>
      </w:r>
      <w:r w:rsidR="005374DD">
        <w:t>CSR</w:t>
      </w:r>
      <w:r w:rsidRPr="00F454B6">
        <w:t xml:space="preserve"> are reflected in the Regional programmes</w:t>
      </w:r>
      <w:r>
        <w:t xml:space="preserve">, even if there </w:t>
      </w:r>
      <w:r w:rsidRPr="00F454B6">
        <w:t xml:space="preserve">might be </w:t>
      </w:r>
      <w:r>
        <w:t>no direct link between the CSR addressed at the level of the Member State and regional policy challenges</w:t>
      </w:r>
      <w:r w:rsidRPr="00F454B6">
        <w:t>.</w:t>
      </w:r>
    </w:p>
    <w:p w:rsidR="002D58AB" w:rsidRPr="00F454B6" w:rsidRDefault="002D58AB" w:rsidP="002D58AB">
      <w:r>
        <w:t>During the kick off meeting i</w:t>
      </w:r>
      <w:r w:rsidRPr="00F454B6">
        <w:t>t was also underlined that, there is still little information on implementation of programmes</w:t>
      </w:r>
      <w:r>
        <w:t xml:space="preserve"> and </w:t>
      </w:r>
      <w:r w:rsidRPr="00F454B6">
        <w:t xml:space="preserve">how the funds have contributed so far to structural reforms. OPs </w:t>
      </w:r>
      <w:r w:rsidR="00D8139E">
        <w:t>plan</w:t>
      </w:r>
      <w:r w:rsidRPr="00F454B6">
        <w:t xml:space="preserve"> the</w:t>
      </w:r>
      <w:r>
        <w:t>ir</w:t>
      </w:r>
      <w:r w:rsidRPr="00F454B6">
        <w:t xml:space="preserve"> future </w:t>
      </w:r>
      <w:r>
        <w:t xml:space="preserve">implementation, </w:t>
      </w:r>
      <w:r w:rsidRPr="00F454B6">
        <w:t xml:space="preserve">but the actual </w:t>
      </w:r>
      <w:r>
        <w:t xml:space="preserve">consistency </w:t>
      </w:r>
      <w:r w:rsidRPr="00F454B6">
        <w:t>must be assessed</w:t>
      </w:r>
      <w:r>
        <w:t>, and therefore this is part of the study</w:t>
      </w:r>
      <w:r w:rsidRPr="00F454B6">
        <w:t>.</w:t>
      </w:r>
      <w:r>
        <w:t xml:space="preserve"> Some key methodological challenges have been discussed in detail in the Methodological Report: the definition of structural reforms; the mismatch between the </w:t>
      </w:r>
      <w:r w:rsidR="005374DD">
        <w:t>CSR</w:t>
      </w:r>
      <w:r>
        <w:t xml:space="preserve"> 12-18 months implementation period and the 7 years programming cycle</w:t>
      </w:r>
      <w:r w:rsidR="00154940">
        <w:t>, bearing in mind that a number of OPs were also based on a set of priorities in the previous years</w:t>
      </w:r>
      <w:r>
        <w:t xml:space="preserve">; the different types of </w:t>
      </w:r>
      <w:r w:rsidR="005374DD">
        <w:t>CSR</w:t>
      </w:r>
      <w:r>
        <w:t xml:space="preserve"> and how they can be clustered; how the ESIF context (e.g. earmarking for certain policy objectives) is taken into account. </w:t>
      </w:r>
      <w:r w:rsidR="00624AF6">
        <w:t xml:space="preserve">The analysis presented in this report applies the methods and tools developed in the Methodological Report to address such challenges. </w:t>
      </w:r>
    </w:p>
    <w:p w:rsidR="0070767D" w:rsidRDefault="0070767D" w:rsidP="0070767D"/>
    <w:p w:rsidR="006E60E6" w:rsidRDefault="00117630" w:rsidP="00807960">
      <w:pPr>
        <w:pStyle w:val="Heading2"/>
        <w:keepNext/>
      </w:pPr>
      <w:bookmarkStart w:id="7" w:name="_Toc466826776"/>
      <w:r>
        <w:t>Overall m</w:t>
      </w:r>
      <w:r w:rsidR="000F075E">
        <w:t>ethodological approach</w:t>
      </w:r>
      <w:r w:rsidR="00C47BBE">
        <w:t>: a brief recap</w:t>
      </w:r>
      <w:bookmarkEnd w:id="7"/>
    </w:p>
    <w:p w:rsidR="002D58AB" w:rsidRPr="00F40691" w:rsidRDefault="002D58AB" w:rsidP="002D58AB">
      <w:r>
        <w:t xml:space="preserve">To </w:t>
      </w:r>
      <w:r w:rsidRPr="00F40691">
        <w:t>explore the structural reforms</w:t>
      </w:r>
      <w:r>
        <w:t xml:space="preserve"> and </w:t>
      </w:r>
      <w:r w:rsidR="005374DD">
        <w:t>CSR</w:t>
      </w:r>
      <w:r w:rsidRPr="00F40691">
        <w:t xml:space="preserve"> </w:t>
      </w:r>
      <w:r>
        <w:t xml:space="preserve">and how </w:t>
      </w:r>
      <w:r w:rsidRPr="00F40691">
        <w:t xml:space="preserve">the </w:t>
      </w:r>
      <w:r>
        <w:t xml:space="preserve">programming and implementation of ESIF support them, </w:t>
      </w:r>
      <w:r w:rsidRPr="00F40691">
        <w:t xml:space="preserve">six tasks </w:t>
      </w:r>
      <w:r w:rsidR="00C47BBE">
        <w:t>are</w:t>
      </w:r>
      <w:r>
        <w:t xml:space="preserve"> </w:t>
      </w:r>
      <w:r w:rsidRPr="00F40691">
        <w:t>undertaken:</w:t>
      </w:r>
    </w:p>
    <w:p w:rsidR="002D58AB" w:rsidRPr="0031282E" w:rsidRDefault="002D58AB" w:rsidP="008A4F83">
      <w:pPr>
        <w:pStyle w:val="Bulletpoint1"/>
        <w:rPr>
          <w:lang w:eastAsia="it-IT"/>
        </w:rPr>
      </w:pPr>
      <w:r>
        <w:rPr>
          <w:lang w:eastAsia="it-IT"/>
        </w:rPr>
        <w:t xml:space="preserve">Task 1 </w:t>
      </w:r>
      <w:r w:rsidR="00C47BBE">
        <w:rPr>
          <w:lang w:eastAsia="it-IT"/>
        </w:rPr>
        <w:t>–</w:t>
      </w:r>
      <w:r>
        <w:rPr>
          <w:lang w:eastAsia="it-IT"/>
        </w:rPr>
        <w:t xml:space="preserve"> </w:t>
      </w:r>
      <w:r w:rsidR="00C47BBE">
        <w:rPr>
          <w:lang w:eastAsia="it-IT"/>
        </w:rPr>
        <w:t>Development of the Methodological Report</w:t>
      </w:r>
      <w:r w:rsidR="008A4F83">
        <w:rPr>
          <w:lang w:eastAsia="it-IT"/>
        </w:rPr>
        <w:t xml:space="preserve">; this </w:t>
      </w:r>
      <w:r w:rsidR="008A4F83" w:rsidRPr="008A4F83">
        <w:rPr>
          <w:lang w:eastAsia="it-IT"/>
        </w:rPr>
        <w:t>describ</w:t>
      </w:r>
      <w:r w:rsidR="008A4F83">
        <w:rPr>
          <w:lang w:eastAsia="it-IT"/>
        </w:rPr>
        <w:t>es</w:t>
      </w:r>
      <w:r w:rsidR="008A4F83" w:rsidRPr="008A4F83">
        <w:rPr>
          <w:lang w:eastAsia="it-IT"/>
        </w:rPr>
        <w:t xml:space="preserve"> the methodology </w:t>
      </w:r>
      <w:r w:rsidR="008A4F83">
        <w:rPr>
          <w:lang w:eastAsia="it-IT"/>
        </w:rPr>
        <w:t xml:space="preserve">to </w:t>
      </w:r>
      <w:r w:rsidR="008A4F83" w:rsidRPr="008A4F83">
        <w:rPr>
          <w:lang w:eastAsia="it-IT"/>
        </w:rPr>
        <w:t>be applied to the study, as well as a detailed work plan for completing the tasks</w:t>
      </w:r>
      <w:r>
        <w:rPr>
          <w:lang w:eastAsia="it-IT"/>
        </w:rPr>
        <w:t>.</w:t>
      </w:r>
    </w:p>
    <w:p w:rsidR="002D58AB" w:rsidRPr="0031282E" w:rsidRDefault="002D58AB" w:rsidP="002D58AB">
      <w:pPr>
        <w:pStyle w:val="Bulletpoint1"/>
        <w:rPr>
          <w:rFonts w:ascii="EUAlbertina" w:hAnsi="EUAlbertina" w:cs="EUAlbertina"/>
          <w:b/>
          <w:bCs/>
          <w:sz w:val="19"/>
          <w:szCs w:val="19"/>
        </w:rPr>
      </w:pPr>
      <w:r>
        <w:rPr>
          <w:lang w:eastAsia="it-IT"/>
        </w:rPr>
        <w:t xml:space="preserve">Task 2 </w:t>
      </w:r>
      <w:r w:rsidR="00C47BBE">
        <w:rPr>
          <w:lang w:eastAsia="it-IT"/>
        </w:rPr>
        <w:t>–</w:t>
      </w:r>
      <w:r>
        <w:rPr>
          <w:lang w:eastAsia="it-IT"/>
        </w:rPr>
        <w:t xml:space="preserve"> </w:t>
      </w:r>
      <w:r w:rsidR="00C47BBE">
        <w:rPr>
          <w:lang w:eastAsia="it-IT"/>
        </w:rPr>
        <w:t>M</w:t>
      </w:r>
      <w:r>
        <w:rPr>
          <w:lang w:eastAsia="it-IT"/>
        </w:rPr>
        <w:t>ap</w:t>
      </w:r>
      <w:r w:rsidR="00C47BBE">
        <w:rPr>
          <w:lang w:eastAsia="it-IT"/>
        </w:rPr>
        <w:t xml:space="preserve"> </w:t>
      </w:r>
      <w:r w:rsidRPr="0031282E">
        <w:rPr>
          <w:lang w:eastAsia="it-IT"/>
        </w:rPr>
        <w:t>structural reform</w:t>
      </w:r>
      <w:r>
        <w:rPr>
          <w:lang w:eastAsia="it-IT"/>
        </w:rPr>
        <w:t xml:space="preserve"> need</w:t>
      </w:r>
      <w:r w:rsidRPr="0031282E">
        <w:rPr>
          <w:lang w:eastAsia="it-IT"/>
        </w:rPr>
        <w:t xml:space="preserve">s </w:t>
      </w:r>
      <w:r>
        <w:t xml:space="preserve">identified in the 2012-2015 </w:t>
      </w:r>
      <w:r w:rsidR="005374DD">
        <w:t>CSR</w:t>
      </w:r>
      <w:r w:rsidRPr="0031282E">
        <w:t xml:space="preserve"> </w:t>
      </w:r>
      <w:r>
        <w:t>r</w:t>
      </w:r>
      <w:r w:rsidR="008A4F83">
        <w:t>elevant for ESI Funds in the EU as well as additional structural challenges emerging from Country Reports</w:t>
      </w:r>
      <w:r>
        <w:t>. This mapping use</w:t>
      </w:r>
      <w:r w:rsidR="00C47BBE">
        <w:t>s</w:t>
      </w:r>
      <w:r>
        <w:t xml:space="preserve"> a typology of CSR/structural challenges to allow comparisons across Member States, programmes and funds. </w:t>
      </w:r>
    </w:p>
    <w:p w:rsidR="002D58AB" w:rsidRDefault="002D58AB" w:rsidP="002D58AB">
      <w:pPr>
        <w:pStyle w:val="Bulletpoint1"/>
      </w:pPr>
      <w:r>
        <w:t xml:space="preserve">Task 3 </w:t>
      </w:r>
      <w:r w:rsidR="00C47BBE">
        <w:t>–</w:t>
      </w:r>
      <w:r>
        <w:t xml:space="preserve"> </w:t>
      </w:r>
      <w:r w:rsidR="00C47BBE">
        <w:t xml:space="preserve">Set out </w:t>
      </w:r>
      <w:r>
        <w:t xml:space="preserve">if and </w:t>
      </w:r>
      <w:r w:rsidRPr="0031282E">
        <w:t>how ESIF programmes ad</w:t>
      </w:r>
      <w:r>
        <w:t>d</w:t>
      </w:r>
      <w:r w:rsidRPr="0031282E">
        <w:t>ress the struct</w:t>
      </w:r>
      <w:r>
        <w:t>u</w:t>
      </w:r>
      <w:r w:rsidRPr="0031282E">
        <w:t>ral reforms</w:t>
      </w:r>
      <w:r>
        <w:t xml:space="preserve"> and specifically </w:t>
      </w:r>
      <w:r w:rsidR="005374DD">
        <w:t>CSR</w:t>
      </w:r>
      <w:r>
        <w:t>, what recommendations have been supported and</w:t>
      </w:r>
      <w:r w:rsidRPr="0031282E">
        <w:t xml:space="preserve"> </w:t>
      </w:r>
      <w:r>
        <w:t>to what extent the resource allocation reflects these choices (some recommendations can be supported explicitly through funding, others may be not dependent on funding but have a more legislative/administrative nature); and analyse how the commitment for structural reforms is influencing the implementation. This task requires the examination of all the programming documents and the use of different analytical tools (desk research, case studies, direct interviews, focus groups, survey and statistical analysis) to offer a comprehensive view of ESIF effort to support structural reforms. This will help identifying what reforms have been promoted and to what extent they have been promoted by country, programme and policy area.</w:t>
      </w:r>
    </w:p>
    <w:p w:rsidR="002D58AB" w:rsidRDefault="002D58AB" w:rsidP="002D58AB">
      <w:pPr>
        <w:pStyle w:val="Bulletpoint1"/>
      </w:pPr>
      <w:r>
        <w:t xml:space="preserve">Task 4 - </w:t>
      </w:r>
      <w:r w:rsidR="00C47BBE">
        <w:t>E</w:t>
      </w:r>
      <w:r>
        <w:t xml:space="preserve">xamine how ex-ante conditionalities, defined for the first time in the 2014-2020 regulatory framework, promote the implementation of structural reforms. The results of previous studies on ex ante conditionalities </w:t>
      </w:r>
      <w:r w:rsidR="00C47BBE">
        <w:t>may</w:t>
      </w:r>
      <w:r>
        <w:t xml:space="preserve"> help to identify those conditionalities which are directly related to structural reforms while case studies</w:t>
      </w:r>
      <w:r w:rsidR="007B1504">
        <w:t>,</w:t>
      </w:r>
      <w:r>
        <w:t xml:space="preserve"> direct interviews and a web survey will investigate their influence on the reforms.</w:t>
      </w:r>
    </w:p>
    <w:p w:rsidR="002D58AB" w:rsidRDefault="002D58AB" w:rsidP="002D58AB">
      <w:pPr>
        <w:pStyle w:val="Bulletpoint1"/>
      </w:pPr>
      <w:r>
        <w:t xml:space="preserve">Task 5 - </w:t>
      </w:r>
      <w:r w:rsidR="00C47BBE">
        <w:t>A</w:t>
      </w:r>
      <w:r>
        <w:t xml:space="preserve">ssess </w:t>
      </w:r>
      <w:r w:rsidRPr="00F63FE6">
        <w:t xml:space="preserve">whether the improvement of institutional capacity, which may be </w:t>
      </w:r>
      <w:r w:rsidRPr="00CB2C9B">
        <w:t>consid</w:t>
      </w:r>
      <w:r w:rsidRPr="00073CF6">
        <w:t>ered as: 1) capacity</w:t>
      </w:r>
      <w:r w:rsidRPr="00B1711C">
        <w:t xml:space="preserve"> necessary to achieve reforms in </w:t>
      </w:r>
      <w:r w:rsidRPr="005C7EA3">
        <w:t>“</w:t>
      </w:r>
      <w:r w:rsidRPr="00F63FE6">
        <w:t>line policy</w:t>
      </w:r>
      <w:r w:rsidRPr="005C7EA3">
        <w:t>” or in specific policy areas</w:t>
      </w:r>
      <w:r w:rsidRPr="00F63FE6">
        <w:t xml:space="preserve"> and programmed under those respective TO</w:t>
      </w:r>
      <w:r w:rsidRPr="005C7EA3">
        <w:t>s</w:t>
      </w:r>
      <w:r w:rsidRPr="00CB2C9B">
        <w:t xml:space="preserve">, was reflected in Partnership Agreements, OPs and the allocation of funds; </w:t>
      </w:r>
      <w:r w:rsidRPr="00073CF6">
        <w:t xml:space="preserve">2) </w:t>
      </w:r>
      <w:r w:rsidRPr="00F63FE6">
        <w:t>to what extent Thematic Objective 11 on enhancing institutional capacity of public authorities and efficient public</w:t>
      </w:r>
      <w:r>
        <w:t xml:space="preserve"> administration is used to support structural reforms and to enhance </w:t>
      </w:r>
      <w:r w:rsidRPr="00F63FE6">
        <w:t xml:space="preserve">capacity to manage EU </w:t>
      </w:r>
      <w:r w:rsidR="00460041">
        <w:t>F</w:t>
      </w:r>
      <w:r w:rsidR="00460041" w:rsidRPr="00F63FE6">
        <w:t>unds</w:t>
      </w:r>
      <w:r>
        <w:t xml:space="preserve">. A mix of analytical tools (desk research, interviews, web survey) will be used. </w:t>
      </w:r>
    </w:p>
    <w:p w:rsidR="002D58AB" w:rsidRDefault="002D58AB" w:rsidP="002D58AB">
      <w:pPr>
        <w:pStyle w:val="Bulletpoint1"/>
      </w:pPr>
      <w:r>
        <w:t xml:space="preserve">Task 6 - </w:t>
      </w:r>
      <w:r w:rsidR="00C47BBE">
        <w:t>D</w:t>
      </w:r>
      <w:r>
        <w:t xml:space="preserve">raw conclusions on the role of ESIF in the support to structural reforms and identify lessons learnt and caveats for post-2020 programming on: whether linking ESIF with </w:t>
      </w:r>
      <w:r w:rsidR="005374DD">
        <w:t>CSR</w:t>
      </w:r>
      <w:r>
        <w:t xml:space="preserve"> has led to better programming or whether it has created obstacles; in which policy areas these linkages are more developed and what mechanisms were used across Member States to trigger reforms; whether ex ante conditionalities are a useful tool in this framework; whether and how administrative capacity building supported by the funds contributes to the development and implementation of the structural reforms and </w:t>
      </w:r>
      <w:r w:rsidR="005374DD">
        <w:t>CSR</w:t>
      </w:r>
      <w:r>
        <w:t xml:space="preserve">; how the European Semester and/or the ESIF mechanisms can be improved to make possible a better alignment between </w:t>
      </w:r>
      <w:r w:rsidR="005374DD">
        <w:t>CSR</w:t>
      </w:r>
      <w:r>
        <w:t xml:space="preserve"> and ESIF programmes. </w:t>
      </w:r>
    </w:p>
    <w:p w:rsidR="002D58AB" w:rsidRDefault="002D58AB" w:rsidP="002D58AB">
      <w:pPr>
        <w:keepNext/>
        <w:keepLines/>
      </w:pPr>
      <w:r>
        <w:t xml:space="preserve">While the Tasks are separately listed in the </w:t>
      </w:r>
      <w:proofErr w:type="spellStart"/>
      <w:r>
        <w:t>ToR</w:t>
      </w:r>
      <w:proofErr w:type="spellEnd"/>
      <w:r>
        <w:t xml:space="preserve"> and are </w:t>
      </w:r>
      <w:r w:rsidR="008A4F83">
        <w:t>developed o</w:t>
      </w:r>
      <w:r>
        <w:t xml:space="preserve">ne by one in the Methodological Report, it is important to recognise that they are tightly interconnected. Task 2 is obviously an essential basis for carrying out Task 3 and 5 because it provides a coherent classification of </w:t>
      </w:r>
      <w:r w:rsidR="005374DD">
        <w:t>CSR</w:t>
      </w:r>
      <w:r w:rsidR="008A4F83">
        <w:t>/structural challenges</w:t>
      </w:r>
      <w:r>
        <w:t xml:space="preserve"> to be used in the subsequent activities. The results of the in-depth analyses of Task 3, 4 and 5, will feed into Task 6 which is aimed at cross-analysing the various evidence and provid</w:t>
      </w:r>
      <w:r w:rsidR="008A4F83">
        <w:t>ing</w:t>
      </w:r>
      <w:r>
        <w:t xml:space="preserve"> useful conclusions and recommendations for the future.    </w:t>
      </w:r>
    </w:p>
    <w:p w:rsidR="002D58AB" w:rsidRDefault="002D58AB" w:rsidP="002D58AB">
      <w:r>
        <w:t>The wide scope of the analysis and the large number of documents and information to be examined requires a well organised integration of the different methodological steps and tools. As mentioned</w:t>
      </w:r>
      <w:r w:rsidR="008A4F83">
        <w:t>,</w:t>
      </w:r>
      <w:r>
        <w:t xml:space="preserve"> the </w:t>
      </w:r>
      <w:proofErr w:type="spellStart"/>
      <w:r>
        <w:t>ToR</w:t>
      </w:r>
      <w:proofErr w:type="spellEnd"/>
      <w:r>
        <w:t xml:space="preserve"> require the use of a wide range of tools and it is very important that the planned activities are efficiently integrated to avoid overlaps and duplications. In addition, an effective use of the different instruments allows a more in depth analysis and a triangulation of the sources. </w:t>
      </w:r>
      <w:r w:rsidR="008A4F83">
        <w:t xml:space="preserve">To ensure integration of analytical activities and minimise duplications, the following </w:t>
      </w:r>
      <w:r w:rsidR="000F27B8">
        <w:t>steps are taken</w:t>
      </w:r>
      <w:r>
        <w:t xml:space="preserve">: </w:t>
      </w:r>
    </w:p>
    <w:p w:rsidR="002D58AB" w:rsidRDefault="002D58AB" w:rsidP="002D58AB">
      <w:pPr>
        <w:pStyle w:val="Bulletpoint1"/>
      </w:pPr>
      <w:r>
        <w:t xml:space="preserve">A single survey </w:t>
      </w:r>
      <w:r w:rsidR="000F27B8">
        <w:t xml:space="preserve">is used to </w:t>
      </w:r>
      <w:r>
        <w:t xml:space="preserve">cover </w:t>
      </w:r>
      <w:r w:rsidR="00C47BBE">
        <w:t xml:space="preserve">simultaneously </w:t>
      </w:r>
      <w:r>
        <w:t>Tasks 3, 4 and 5</w:t>
      </w:r>
      <w:r w:rsidR="000F27B8">
        <w:t xml:space="preserve">; </w:t>
      </w:r>
      <w:r>
        <w:t>it include</w:t>
      </w:r>
      <w:r w:rsidR="000F27B8">
        <w:t>s</w:t>
      </w:r>
      <w:r>
        <w:t xml:space="preserve"> three modules to address the various issues at stake. </w:t>
      </w:r>
    </w:p>
    <w:p w:rsidR="002D58AB" w:rsidRDefault="002D58AB" w:rsidP="002D58AB">
      <w:pPr>
        <w:pStyle w:val="Bulletpoint1"/>
      </w:pPr>
      <w:r>
        <w:t xml:space="preserve">The desk analysis of programming documents </w:t>
      </w:r>
      <w:r w:rsidR="000F27B8">
        <w:t xml:space="preserve">is carried out </w:t>
      </w:r>
      <w:r>
        <w:t xml:space="preserve">by national experts </w:t>
      </w:r>
      <w:r w:rsidR="00C47BBE">
        <w:t xml:space="preserve">all at </w:t>
      </w:r>
      <w:r>
        <w:t xml:space="preserve">once, to make possible that information relevant for the various tasks is extracted efficiently rather than in a fragmented way, which would be the case if experts have to go through the same documents multiple times during the course of the study. </w:t>
      </w:r>
    </w:p>
    <w:p w:rsidR="002D58AB" w:rsidRDefault="002D58AB" w:rsidP="002D58AB">
      <w:pPr>
        <w:pStyle w:val="Bulletpoint1"/>
      </w:pPr>
      <w:r>
        <w:t xml:space="preserve">The interviews </w:t>
      </w:r>
      <w:r w:rsidR="000F27B8">
        <w:t>are also</w:t>
      </w:r>
      <w:r>
        <w:t xml:space="preserve"> as much as possible integrated, meaning that relevant stakeholders will be interviewed on several issues (e.g. relevant to Task 3, 4 and 5) </w:t>
      </w:r>
      <w:r w:rsidR="000F27B8">
        <w:t>at once</w:t>
      </w:r>
      <w:r>
        <w:t xml:space="preserve"> to maximise efficiency and respect the tight project schedule. </w:t>
      </w:r>
    </w:p>
    <w:p w:rsidR="005B31C0" w:rsidRDefault="005B31C0" w:rsidP="005B31C0">
      <w:r>
        <w:t xml:space="preserve">The large amount of information collected needs to be systematised and stored adequately. To this purpose </w:t>
      </w:r>
      <w:r w:rsidRPr="00375134">
        <w:t xml:space="preserve">two important tools </w:t>
      </w:r>
      <w:r>
        <w:t xml:space="preserve">are used:  </w:t>
      </w:r>
    </w:p>
    <w:p w:rsidR="005B31C0" w:rsidRDefault="005B31C0" w:rsidP="005B31C0">
      <w:pPr>
        <w:pStyle w:val="Bulletpoint1"/>
      </w:pPr>
      <w:r w:rsidRPr="00375134">
        <w:rPr>
          <w:i/>
        </w:rPr>
        <w:t>Country fiches</w:t>
      </w:r>
      <w:r>
        <w:t xml:space="preserve">, organised by country and main theme, make it possible to summarise and consolidate information and findings from desk analysis, interviews etc. </w:t>
      </w:r>
    </w:p>
    <w:p w:rsidR="005B31C0" w:rsidRDefault="005B31C0" w:rsidP="005B31C0">
      <w:pPr>
        <w:pStyle w:val="Bulletpoint1"/>
      </w:pPr>
      <w:r w:rsidRPr="00375134">
        <w:rPr>
          <w:i/>
        </w:rPr>
        <w:t>Overview tables</w:t>
      </w:r>
      <w:r>
        <w:t xml:space="preserve"> </w:t>
      </w:r>
      <w:r w:rsidR="000F27B8">
        <w:t xml:space="preserve">to </w:t>
      </w:r>
      <w:r>
        <w:t xml:space="preserve">summarise the available information and </w:t>
      </w:r>
      <w:r w:rsidR="000F27B8">
        <w:t xml:space="preserve">enable </w:t>
      </w:r>
      <w:r>
        <w:t xml:space="preserve">some cross country comparisons, as requested by the </w:t>
      </w:r>
      <w:proofErr w:type="spellStart"/>
      <w:r>
        <w:t>ToR</w:t>
      </w:r>
      <w:proofErr w:type="spellEnd"/>
      <w:r>
        <w:t xml:space="preserve">. The tables </w:t>
      </w:r>
      <w:r w:rsidRPr="00335C4A">
        <w:t xml:space="preserve">will be produced in </w:t>
      </w:r>
      <w:r>
        <w:t>E</w:t>
      </w:r>
      <w:r w:rsidRPr="00335C4A">
        <w:t>xcel format and include a filter function to facilitate comparisons between different Member States, programmes</w:t>
      </w:r>
      <w:r>
        <w:t xml:space="preserve">, themes </w:t>
      </w:r>
      <w:r w:rsidRPr="00335C4A">
        <w:t>and funds</w:t>
      </w:r>
      <w:r>
        <w:t xml:space="preserve">.   </w:t>
      </w:r>
    </w:p>
    <w:p w:rsidR="0003469D" w:rsidRDefault="0003469D" w:rsidP="0070767D"/>
    <w:p w:rsidR="00AF1AD4" w:rsidRDefault="00AF1AD4">
      <w:pPr>
        <w:jc w:val="left"/>
      </w:pPr>
      <w:r>
        <w:br w:type="page"/>
      </w:r>
    </w:p>
    <w:p w:rsidR="00855E30" w:rsidRDefault="00855E30" w:rsidP="00855E30">
      <w:pPr>
        <w:pStyle w:val="Heading1"/>
      </w:pPr>
      <w:bookmarkStart w:id="8" w:name="_Toc466826777"/>
      <w:r w:rsidRPr="00F454B6">
        <w:t xml:space="preserve">Task 2 – Map </w:t>
      </w:r>
      <w:r w:rsidR="002D58AB">
        <w:t xml:space="preserve">structural </w:t>
      </w:r>
      <w:r w:rsidRPr="00F454B6">
        <w:t xml:space="preserve">reform needs in the </w:t>
      </w:r>
      <w:r w:rsidR="00CE7E83">
        <w:t>EU</w:t>
      </w:r>
      <w:bookmarkEnd w:id="8"/>
    </w:p>
    <w:p w:rsidR="00855E30" w:rsidRDefault="00855E30" w:rsidP="00855E30"/>
    <w:p w:rsidR="00855E30" w:rsidRPr="00D40ADA" w:rsidRDefault="00855E30" w:rsidP="00855E30">
      <w:pPr>
        <w:pStyle w:val="Heading2"/>
      </w:pPr>
      <w:bookmarkStart w:id="9" w:name="_Toc466826778"/>
      <w:r w:rsidRPr="00D40ADA">
        <w:t>Background</w:t>
      </w:r>
      <w:r w:rsidR="002D58AB">
        <w:t>: objectives of the task and basis for identifying structural challenges</w:t>
      </w:r>
      <w:bookmarkEnd w:id="9"/>
      <w:r w:rsidRPr="00D40ADA">
        <w:t xml:space="preserve"> </w:t>
      </w:r>
    </w:p>
    <w:p w:rsidR="00855E30" w:rsidRDefault="00855E30" w:rsidP="00855E30">
      <w:r>
        <w:t xml:space="preserve">According to Regulation 1303/2013 (articles 15 and 96), the 2014-2020 programming period has to be linked to the objectives of the European Semester and, particularly, to the Country-Specific Recommendations (CSR). </w:t>
      </w:r>
    </w:p>
    <w:p w:rsidR="00855E30" w:rsidRDefault="00855E30" w:rsidP="00855E30">
      <w:r>
        <w:t>The objective of this task is to map structural reforms and structural challenges, which have been identified within the European Semester Country Reports and which Member States have been called upon to address. The focus is on cohesion relevant CSR of the period 2012-2015</w:t>
      </w:r>
      <w:r w:rsidR="00AA3E2C">
        <w:t xml:space="preserve">, </w:t>
      </w:r>
      <w:r w:rsidR="00803B10">
        <w:t xml:space="preserve">as previously defined and hence </w:t>
      </w:r>
      <w:r w:rsidR="00AA3E2C">
        <w:t>excluding those</w:t>
      </w:r>
      <w:r w:rsidR="00803B10">
        <w:t xml:space="preserve"> </w:t>
      </w:r>
      <w:r w:rsidR="00803B10" w:rsidRPr="00803B10">
        <w:t xml:space="preserve">which it is </w:t>
      </w:r>
      <w:r w:rsidR="00803B10">
        <w:t xml:space="preserve">not </w:t>
      </w:r>
      <w:r w:rsidR="00803B10" w:rsidRPr="00803B10">
        <w:t>appropriate to address through multiannual investments that fall directly within the scope of the ESI Funds as set out in the Fund-specific Regulations</w:t>
      </w:r>
      <w:r w:rsidR="00803B10">
        <w:t xml:space="preserve">. These include challenges </w:t>
      </w:r>
      <w:r w:rsidR="00AA3E2C">
        <w:t>related to</w:t>
      </w:r>
      <w:r w:rsidR="00803B10">
        <w:t xml:space="preserve"> public finance and taxation, pension system, liberalisation, banking,</w:t>
      </w:r>
      <w:r w:rsidR="00AA3E2C">
        <w:t xml:space="preserve"> </w:t>
      </w:r>
      <w:r w:rsidR="00803B10">
        <w:t xml:space="preserve">corruption, reform of state-owned enterprises and also regulatory issues such as </w:t>
      </w:r>
      <w:r w:rsidR="00AA3E2C">
        <w:t>wage setting, labour taxation or employment protection legislation</w:t>
      </w:r>
      <w:r>
        <w:t xml:space="preserve">. </w:t>
      </w:r>
    </w:p>
    <w:p w:rsidR="00855E30" w:rsidRDefault="00855E30" w:rsidP="00855E30">
      <w:r>
        <w:t>The output of the task is a mapping of recommended structural reforms in 2012-2015, based on available sources such as: CSR (extracted, in each country, from the respective Council Recommendation on the National Reform Programme), the Country reports</w:t>
      </w:r>
      <w:r w:rsidR="000F7B53">
        <w:t xml:space="preserve"> (previously called </w:t>
      </w:r>
      <w:r>
        <w:t>Staff Working Documents</w:t>
      </w:r>
      <w:r w:rsidR="000F7B53">
        <w:t>)</w:t>
      </w:r>
      <w:r>
        <w:t xml:space="preserve"> or</w:t>
      </w:r>
      <w:r w:rsidR="001D3F83">
        <w:t xml:space="preserve"> </w:t>
      </w:r>
      <w:r>
        <w:t>the Memorandum of Understanding</w:t>
      </w:r>
      <w:r w:rsidR="000F27B8">
        <w:t xml:space="preserve"> </w:t>
      </w:r>
      <w:r w:rsidR="002710D9">
        <w:t xml:space="preserve">(MoU) </w:t>
      </w:r>
      <w:r w:rsidR="000F27B8">
        <w:t xml:space="preserve">between the European Commission and a </w:t>
      </w:r>
      <w:r w:rsidR="00F471FF">
        <w:t xml:space="preserve">Member </w:t>
      </w:r>
      <w:r w:rsidR="000F27B8">
        <w:t>State</w:t>
      </w:r>
      <w:r w:rsidR="001D3F83">
        <w:t>,</w:t>
      </w:r>
      <w:r w:rsidR="00525C1B">
        <w:t xml:space="preserve"> </w:t>
      </w:r>
      <w:r w:rsidR="001D3F83">
        <w:t xml:space="preserve">which sets out needed structural reforms </w:t>
      </w:r>
      <w:r w:rsidR="002710D9">
        <w:t xml:space="preserve">in </w:t>
      </w:r>
      <w:r w:rsidR="00525C1B">
        <w:t xml:space="preserve">Countries </w:t>
      </w:r>
      <w:r w:rsidR="008A6070">
        <w:t>without CSR or that received CSR only in certain years</w:t>
      </w:r>
      <w:r w:rsidR="00CF0CF3">
        <w:t xml:space="preserve"> </w:t>
      </w:r>
      <w:r w:rsidR="00714831">
        <w:t>during the period of time considered in the analysis</w:t>
      </w:r>
      <w:r>
        <w:t xml:space="preserve">. </w:t>
      </w:r>
      <w:r w:rsidR="000F3A15">
        <w:t xml:space="preserve">Such MoU countries </w:t>
      </w:r>
      <w:r w:rsidR="000F3A15" w:rsidRPr="00A63246">
        <w:t xml:space="preserve">do not receive CSRs under European Semester </w:t>
      </w:r>
      <w:r w:rsidR="002A5F5B">
        <w:t>be</w:t>
      </w:r>
      <w:r w:rsidR="000F3A15" w:rsidRPr="00A63246">
        <w:t xml:space="preserve">cause their structural reform are </w:t>
      </w:r>
      <w:r w:rsidR="000F3A15">
        <w:t xml:space="preserve">actually </w:t>
      </w:r>
      <w:r w:rsidR="000F3A15" w:rsidRPr="00A63246">
        <w:t>guided by the MoU</w:t>
      </w:r>
      <w:r w:rsidR="000F3A15">
        <w:t xml:space="preserve">. </w:t>
      </w:r>
      <w:r>
        <w:t>This mapping is essential for carrying out the subsequent tasks of the study.</w:t>
      </w:r>
    </w:p>
    <w:p w:rsidR="002710D9" w:rsidRDefault="002710D9" w:rsidP="00855E30">
      <w:r>
        <w:t>During the finalisation of the Methodological Report, following a preliminary desk analysis of documents</w:t>
      </w:r>
      <w:r w:rsidR="00343F75">
        <w:t>,</w:t>
      </w:r>
      <w:r>
        <w:t xml:space="preserve"> some tests conducted</w:t>
      </w:r>
      <w:r w:rsidR="00343F75">
        <w:t xml:space="preserve"> by the team</w:t>
      </w:r>
      <w:r>
        <w:t>, and taking into account the discussion in the kick</w:t>
      </w:r>
      <w:r w:rsidR="00343F75">
        <w:t>-</w:t>
      </w:r>
      <w:r>
        <w:t xml:space="preserve">off and </w:t>
      </w:r>
      <w:r w:rsidR="00343F75">
        <w:t xml:space="preserve">in </w:t>
      </w:r>
      <w:r>
        <w:t>the first SG meeting, as well as a</w:t>
      </w:r>
      <w:r w:rsidR="00343F75">
        <w:t xml:space="preserve"> </w:t>
      </w:r>
      <w:r>
        <w:t>round of meetings in Brussels with Geographical Units, it was decided to focus the analysis of structural challenges (in addition to those underlying CSR) on Country Reports and MoU. These are quite comprehensive</w:t>
      </w:r>
      <w:r w:rsidR="00042042">
        <w:t>, up-to-date</w:t>
      </w:r>
      <w:r>
        <w:t xml:space="preserve"> documents and can be considered the best </w:t>
      </w:r>
      <w:r w:rsidR="00042042">
        <w:t>syntheses</w:t>
      </w:r>
      <w:r>
        <w:t xml:space="preserve">, produced by the Commission, of the structural challenges faced by the Member States. </w:t>
      </w:r>
      <w:r w:rsidR="00343F75">
        <w:t>Other sources could be also considered but, in the light of the preliminary analysis, the added value would be limited</w:t>
      </w:r>
      <w:r w:rsidR="00042042">
        <w:t>,</w:t>
      </w:r>
      <w:r w:rsidR="00343F75">
        <w:t xml:space="preserve"> if at all positive</w:t>
      </w:r>
      <w:r w:rsidR="00042042">
        <w:t xml:space="preserve"> since the Country Reports and the MoU are very inclusive and wide-ranging</w:t>
      </w:r>
      <w:r w:rsidR="00343F75">
        <w:t xml:space="preserve">. </w:t>
      </w:r>
      <w:r w:rsidR="00042042">
        <w:t xml:space="preserve">Moreover, </w:t>
      </w:r>
      <w:r w:rsidR="00343F75">
        <w:t xml:space="preserve">the need for carrying out </w:t>
      </w:r>
      <w:r w:rsidR="00042042">
        <w:t xml:space="preserve">such an </w:t>
      </w:r>
      <w:r w:rsidR="00343F75">
        <w:t>extensive mapping in a relatively limited amount of time</w:t>
      </w:r>
      <w:r w:rsidR="00042042">
        <w:t>, and</w:t>
      </w:r>
      <w:r w:rsidR="00343F75">
        <w:t xml:space="preserve"> with a set budget</w:t>
      </w:r>
      <w:r w:rsidR="00042042">
        <w:t>,</w:t>
      </w:r>
      <w:r w:rsidR="00343F75">
        <w:t xml:space="preserve"> makes it necessary to circumscribe the scope the analysis in order to render the effort feasible and productive.  </w:t>
      </w:r>
    </w:p>
    <w:p w:rsidR="000F3A15" w:rsidRDefault="00343F75" w:rsidP="00855E30">
      <w:r>
        <w:t>The analysis of CSR</w:t>
      </w:r>
      <w:r w:rsidR="000F3A15">
        <w:t>,</w:t>
      </w:r>
      <w:r>
        <w:t xml:space="preserve"> of </w:t>
      </w:r>
      <w:r w:rsidR="000F3A15">
        <w:t>Country Report</w:t>
      </w:r>
      <w:r w:rsidR="0059247B">
        <w:t>s</w:t>
      </w:r>
      <w:r w:rsidR="000F3A15">
        <w:t xml:space="preserve"> and, where applicable</w:t>
      </w:r>
      <w:r w:rsidR="0059247B">
        <w:t>,</w:t>
      </w:r>
      <w:r w:rsidR="000F3A15">
        <w:t xml:space="preserve"> MoU, was carried out in parallel, in order to identify, in each country and for each year, only the </w:t>
      </w:r>
      <w:r w:rsidR="000F3A15" w:rsidRPr="002B3BB7">
        <w:rPr>
          <w:b/>
        </w:rPr>
        <w:t>structural challenges additional to those captured by CSR</w:t>
      </w:r>
      <w:r w:rsidR="000F3A15">
        <w:t xml:space="preserve"> and hence avoid duplications and overlapping.</w:t>
      </w:r>
    </w:p>
    <w:p w:rsidR="00CB0BCE" w:rsidRDefault="000F3A15" w:rsidP="00FB0E6A">
      <w:r>
        <w:t>While CSR are recommendations</w:t>
      </w:r>
      <w:r w:rsidR="002A5F5B">
        <w:t xml:space="preserve"> of a limited number</w:t>
      </w:r>
      <w:r>
        <w:t xml:space="preserve">, </w:t>
      </w:r>
      <w:r w:rsidR="00042042">
        <w:t xml:space="preserve">and hence </w:t>
      </w:r>
      <w:r w:rsidR="002A5F5B">
        <w:t>straightforward</w:t>
      </w:r>
      <w:r w:rsidR="00042042">
        <w:t xml:space="preserve">, </w:t>
      </w:r>
      <w:r>
        <w:t xml:space="preserve">the Country Reports and the MoU are </w:t>
      </w:r>
      <w:r w:rsidR="002A5F5B">
        <w:t xml:space="preserve">comprehensive </w:t>
      </w:r>
      <w:r w:rsidR="000F7B53">
        <w:t>documents w</w:t>
      </w:r>
      <w:r>
        <w:t xml:space="preserve">hich </w:t>
      </w:r>
      <w:r w:rsidR="000F7B53">
        <w:t xml:space="preserve">embody structural challenges and policy </w:t>
      </w:r>
      <w:r>
        <w:t xml:space="preserve">recommendations in a more implicit manner. Therefore, extracting challenges from these documents requires </w:t>
      </w:r>
      <w:r w:rsidR="000F7B53">
        <w:t xml:space="preserve">necessarily </w:t>
      </w:r>
      <w:r>
        <w:t xml:space="preserve">a subjective assessment. </w:t>
      </w:r>
      <w:r w:rsidR="000F7B53">
        <w:t>In order to apply a uniform approach to this exercise and make it, in other words, as objective as possible, t</w:t>
      </w:r>
      <w:r>
        <w:t xml:space="preserve">he executive summary of the Country Reports/MoU </w:t>
      </w:r>
      <w:r w:rsidR="000F7B53">
        <w:t xml:space="preserve">was used as guidance. It </w:t>
      </w:r>
      <w:r>
        <w:t>provide</w:t>
      </w:r>
      <w:r w:rsidR="000F7B53">
        <w:t>s</w:t>
      </w:r>
      <w:r>
        <w:t xml:space="preserve"> a synthesis of the key issues faced by a Member State </w:t>
      </w:r>
      <w:r w:rsidR="000F7B53">
        <w:t xml:space="preserve">and hence </w:t>
      </w:r>
      <w:r>
        <w:t xml:space="preserve">was of crucial importance for identifying </w:t>
      </w:r>
      <w:r w:rsidR="00FB0E6A">
        <w:t>priorities among the numerous c</w:t>
      </w:r>
      <w:r>
        <w:t xml:space="preserve">hallenges </w:t>
      </w:r>
      <w:r w:rsidR="00FB0E6A">
        <w:t xml:space="preserve">treated in the documents. After </w:t>
      </w:r>
      <w:r w:rsidR="000F7B53">
        <w:t xml:space="preserve">reading </w:t>
      </w:r>
      <w:r w:rsidR="00FB0E6A">
        <w:t xml:space="preserve">the executive summary, and </w:t>
      </w:r>
      <w:r w:rsidR="000F7B53">
        <w:t>e</w:t>
      </w:r>
      <w:r w:rsidR="00FB0E6A">
        <w:t>xtracti</w:t>
      </w:r>
      <w:r w:rsidR="000F7B53">
        <w:t>ng</w:t>
      </w:r>
      <w:r w:rsidR="00FB0E6A">
        <w:t xml:space="preserve"> a preliminary list of key priorities, the remaining sections of the documents were analysed to understand better the nature of </w:t>
      </w:r>
      <w:r w:rsidR="000F7B53">
        <w:t xml:space="preserve">each </w:t>
      </w:r>
      <w:r w:rsidR="00FB0E6A">
        <w:t xml:space="preserve">challenge and classify them in a similar fashion as done for the CSR. In order to avoid duplications in the mapping, the challenges </w:t>
      </w:r>
      <w:r w:rsidR="000F7B53">
        <w:t xml:space="preserve">highlighted </w:t>
      </w:r>
      <w:r w:rsidR="00FB0E6A">
        <w:t xml:space="preserve">in the Country Reports and MoU which </w:t>
      </w:r>
      <w:r w:rsidR="002A7CE0">
        <w:t xml:space="preserve">overlap with </w:t>
      </w:r>
      <w:r w:rsidR="00FB0E6A">
        <w:t xml:space="preserve">those included in the CSR </w:t>
      </w:r>
      <w:r w:rsidR="000F7B53">
        <w:t>were</w:t>
      </w:r>
      <w:r w:rsidR="00FB0E6A">
        <w:t xml:space="preserve"> not </w:t>
      </w:r>
      <w:r w:rsidR="000F7B53">
        <w:t>selected</w:t>
      </w:r>
      <w:r w:rsidR="00FB0E6A">
        <w:t>.</w:t>
      </w:r>
      <w:r w:rsidR="000F7B53">
        <w:t xml:space="preserve"> This work was carried out by a small team of 4 experts which had a constant discussion and comparison to maximise uniformity of judgement. </w:t>
      </w:r>
      <w:r w:rsidR="00017E70">
        <w:t xml:space="preserve">The </w:t>
      </w:r>
      <w:r w:rsidR="002A7CE0">
        <w:t xml:space="preserve">main text of the Country Reports and MoU may refer to many more issues than what is included in the executive summary, </w:t>
      </w:r>
      <w:r w:rsidR="00017E70">
        <w:t xml:space="preserve">which was </w:t>
      </w:r>
      <w:r w:rsidR="002A7CE0">
        <w:t>only used as a guidance to identify priorities</w:t>
      </w:r>
      <w:r w:rsidR="00764C28">
        <w:t xml:space="preserve"> </w:t>
      </w:r>
      <w:r w:rsidR="00A453D0">
        <w:t xml:space="preserve">and </w:t>
      </w:r>
      <w:r w:rsidR="00764C28">
        <w:t>not as an exhaustive reference</w:t>
      </w:r>
      <w:r w:rsidR="00092822">
        <w:t xml:space="preserve"> </w:t>
      </w:r>
      <w:r w:rsidR="00C52D5A">
        <w:t>I</w:t>
      </w:r>
      <w:r w:rsidR="00CB0BCE">
        <w:t xml:space="preserve">n the process of extracting challenges from the Country Reports, the team made reference to the definition of structural challenge </w:t>
      </w:r>
      <w:r w:rsidR="00AA2704">
        <w:t>included</w:t>
      </w:r>
      <w:r w:rsidR="00CB0BCE">
        <w:t xml:space="preserve"> in the Methodological Report. </w:t>
      </w:r>
    </w:p>
    <w:p w:rsidR="002A7CE0" w:rsidRDefault="002A7CE0" w:rsidP="00FB0E6A"/>
    <w:p w:rsidR="002710D9" w:rsidRDefault="000F7B53" w:rsidP="00855E30">
      <w:r>
        <w:t xml:space="preserve">The only </w:t>
      </w:r>
      <w:r w:rsidR="00FB0E6A">
        <w:t>alternative approach</w:t>
      </w:r>
      <w:r>
        <w:t>,</w:t>
      </w:r>
      <w:r w:rsidR="00FB0E6A">
        <w:t xml:space="preserve"> </w:t>
      </w:r>
      <w:r>
        <w:t xml:space="preserve">to the one which we followed, would </w:t>
      </w:r>
      <w:r w:rsidR="002A7CE0">
        <w:t>be</w:t>
      </w:r>
      <w:r w:rsidR="00FB0E6A">
        <w:t xml:space="preserve"> </w:t>
      </w:r>
      <w:r>
        <w:t xml:space="preserve">to </w:t>
      </w:r>
      <w:r w:rsidR="00FB0E6A">
        <w:t xml:space="preserve">consider </w:t>
      </w:r>
      <w:r w:rsidR="00764C28">
        <w:t xml:space="preserve">exclusively </w:t>
      </w:r>
      <w:r w:rsidR="00FB0E6A">
        <w:t>CSR and no additional structural challenge</w:t>
      </w:r>
      <w:r>
        <w:t xml:space="preserve">. However, </w:t>
      </w:r>
      <w:r w:rsidR="00FB0E6A">
        <w:t xml:space="preserve">the Terms of Reference asked </w:t>
      </w:r>
      <w:r>
        <w:t xml:space="preserve">explicitly </w:t>
      </w:r>
      <w:r w:rsidR="00FB0E6A">
        <w:t>for a wider mapping and this need was reiterated in the kick-off</w:t>
      </w:r>
      <w:r w:rsidR="00B27006">
        <w:t xml:space="preserve"> meeting</w:t>
      </w:r>
      <w:r w:rsidR="00FB0E6A">
        <w:t xml:space="preserve"> </w:t>
      </w:r>
      <w:r>
        <w:t xml:space="preserve">as well as in the following </w:t>
      </w:r>
      <w:r w:rsidR="00FB0E6A">
        <w:t>meeting</w:t>
      </w:r>
      <w:r>
        <w:t>s</w:t>
      </w:r>
      <w:r w:rsidR="00B27006">
        <w:t>, with a view to reflecting the more comprehensive analysis contained in the country reports (compared to the CSR)</w:t>
      </w:r>
      <w:r w:rsidR="00FB0E6A">
        <w:t xml:space="preserve">.  </w:t>
      </w:r>
      <w:r w:rsidR="000F3A15">
        <w:t xml:space="preserve"> </w:t>
      </w:r>
      <w:r w:rsidR="002710D9">
        <w:t xml:space="preserve"> </w:t>
      </w:r>
    </w:p>
    <w:p w:rsidR="00855E30" w:rsidRDefault="00855E30" w:rsidP="00855E30">
      <w:r>
        <w:t xml:space="preserve">Structural reforms are one of the “pillars” (together with fiscal responsibility and investments) of the EU economic strategy to promote growth. Although there is not a unique definition of structural reforms, the term is used extensively by the Commission as well as by international organizations, such as the OECD and the IMF. </w:t>
      </w:r>
    </w:p>
    <w:p w:rsidR="00855E30" w:rsidRDefault="00855E30" w:rsidP="00855E30">
      <w:r>
        <w:t>Pursuing structural reforms to modernise European economies is one of the economic and social priorities proposed by the Commission in the Annual Growth Survey (AGS). The most recent AGS highlights that: (</w:t>
      </w:r>
      <w:proofErr w:type="spellStart"/>
      <w:r>
        <w:t>i</w:t>
      </w:r>
      <w:proofErr w:type="spellEnd"/>
      <w:r>
        <w:t>) reforms must be based on effective coordination between the Member States and aim at higher productivity and upward social and  economic convergence; (ii) labour market policies need to balance flexibility and security considerations; a particular focus should be on tackling youth and long term unemployment; (iii) more integrated and competitive product and services markets should stimulate innovation and job creation.</w:t>
      </w:r>
    </w:p>
    <w:p w:rsidR="00855E30" w:rsidRDefault="00855E30" w:rsidP="00855E30">
      <w:r>
        <w:t>According to the AGS, effective implementation of reforms to ensure a sound regulatory and institutional environment and a smoothly-functioning economy is crucial in encouraging investment fostering new employment, raising living standards and promoting convergence in the European Union. It is also highlighted that Member States should use the current favourable momentum to strengthen their efforts to ensure well-functioning labour, product and capital markets, quality education and training systems, modern and efficient social security systems and to promote innovation and entrepreneurship.</w:t>
      </w:r>
    </w:p>
    <w:p w:rsidR="00855E30" w:rsidRDefault="000F27B8" w:rsidP="00855E30">
      <w:r>
        <w:t xml:space="preserve">The key points of the </w:t>
      </w:r>
      <w:r w:rsidR="00855E30">
        <w:t>AGS section on “pursuing structural reforms to modernise our economies” are summarised in the Methodological Report of the present study. For a detailed description of those key points refer to the report and the Annual Growth Survey.</w:t>
      </w:r>
    </w:p>
    <w:p w:rsidR="00855E30" w:rsidRPr="005C5563" w:rsidRDefault="00855E30" w:rsidP="00855E30"/>
    <w:p w:rsidR="00855E30" w:rsidRPr="00A42830" w:rsidRDefault="00855E30" w:rsidP="00855E30">
      <w:pPr>
        <w:pStyle w:val="Heading2"/>
        <w:rPr>
          <w:lang w:eastAsia="it-IT"/>
        </w:rPr>
      </w:pPr>
      <w:bookmarkStart w:id="10" w:name="_Toc466826779"/>
      <w:r>
        <w:rPr>
          <w:lang w:eastAsia="it-IT"/>
        </w:rPr>
        <w:t>Cl</w:t>
      </w:r>
      <w:r w:rsidRPr="00A42830">
        <w:rPr>
          <w:lang w:eastAsia="it-IT"/>
        </w:rPr>
        <w:t>assification</w:t>
      </w:r>
      <w:r>
        <w:rPr>
          <w:lang w:eastAsia="it-IT"/>
        </w:rPr>
        <w:t xml:space="preserve"> of CSR/</w:t>
      </w:r>
      <w:r w:rsidR="00454BC0">
        <w:rPr>
          <w:lang w:eastAsia="it-IT"/>
        </w:rPr>
        <w:t>C</w:t>
      </w:r>
      <w:r w:rsidR="00B416BB">
        <w:rPr>
          <w:lang w:eastAsia="it-IT"/>
        </w:rPr>
        <w:t xml:space="preserve">ountry </w:t>
      </w:r>
      <w:r w:rsidR="00454BC0">
        <w:rPr>
          <w:lang w:eastAsia="it-IT"/>
        </w:rPr>
        <w:t>R</w:t>
      </w:r>
      <w:r w:rsidR="00B416BB">
        <w:rPr>
          <w:lang w:eastAsia="it-IT"/>
        </w:rPr>
        <w:t>eports</w:t>
      </w:r>
      <w:r w:rsidR="00454BC0">
        <w:rPr>
          <w:lang w:eastAsia="it-IT"/>
        </w:rPr>
        <w:t xml:space="preserve"> </w:t>
      </w:r>
      <w:r>
        <w:rPr>
          <w:lang w:eastAsia="it-IT"/>
        </w:rPr>
        <w:t>structural challenges by policy area</w:t>
      </w:r>
      <w:bookmarkEnd w:id="10"/>
      <w:r>
        <w:rPr>
          <w:lang w:eastAsia="it-IT"/>
        </w:rPr>
        <w:t xml:space="preserve"> </w:t>
      </w:r>
    </w:p>
    <w:p w:rsidR="00855E30" w:rsidRDefault="00855E30" w:rsidP="00855E30">
      <w:r>
        <w:t xml:space="preserve">In the present study, </w:t>
      </w:r>
      <w:r w:rsidR="005374DD">
        <w:t>CSR</w:t>
      </w:r>
      <w:r>
        <w:t xml:space="preserve"> and </w:t>
      </w:r>
      <w:r w:rsidR="00B416BB">
        <w:t>Country Reports (</w:t>
      </w:r>
      <w:r w:rsidR="008A0147">
        <w:t>CR</w:t>
      </w:r>
      <w:r w:rsidR="00B416BB">
        <w:t>)</w:t>
      </w:r>
      <w:r w:rsidR="008A0147">
        <w:t xml:space="preserve"> </w:t>
      </w:r>
      <w:r>
        <w:t xml:space="preserve">structural challenges are categorised by policy area as shown in the following table. The policy area typology is built upon a preliminary analysis of </w:t>
      </w:r>
      <w:r w:rsidR="005374DD">
        <w:t>CSR</w:t>
      </w:r>
      <w:r>
        <w:t xml:space="preserve"> and takes into account relevant work carried out by the Commission services to track recommendations such as:</w:t>
      </w:r>
    </w:p>
    <w:p w:rsidR="00855E30" w:rsidRPr="00BB2CE8" w:rsidRDefault="00855E30" w:rsidP="00855E30">
      <w:pPr>
        <w:pStyle w:val="Bulletpoint1"/>
      </w:pPr>
      <w:r w:rsidRPr="00BB2CE8">
        <w:t>a DG EMPL categorisation of challenges</w:t>
      </w:r>
      <w:r w:rsidR="00252598">
        <w:t>, mostly focused on ESF relevant issues</w:t>
      </w:r>
      <w:r>
        <w:t>;</w:t>
      </w:r>
    </w:p>
    <w:p w:rsidR="00855E30" w:rsidRPr="000F27B8" w:rsidRDefault="00855E30" w:rsidP="00855E30">
      <w:pPr>
        <w:pStyle w:val="Bulletpoint1"/>
      </w:pPr>
      <w:r w:rsidRPr="000F27B8">
        <w:t>a DG REGIO checklist</w:t>
      </w:r>
      <w:r w:rsidR="000F27B8" w:rsidRPr="000F27B8">
        <w:t xml:space="preserve"> for monitoring CSR</w:t>
      </w:r>
      <w:r w:rsidR="00252598">
        <w:t>, mainly focused on ERDF relevant themes</w:t>
      </w:r>
      <w:r w:rsidRPr="000F27B8">
        <w:t>;</w:t>
      </w:r>
    </w:p>
    <w:p w:rsidR="00855E30" w:rsidRPr="00707D37" w:rsidRDefault="00855E30" w:rsidP="00855E30">
      <w:pPr>
        <w:pStyle w:val="Bulletpoint1"/>
      </w:pPr>
      <w:r w:rsidRPr="00707D37">
        <w:t>a DG ECFIN classification of 2011-2015 CSR</w:t>
      </w:r>
      <w:r w:rsidR="0009510E">
        <w:t>, which includes all themes but also non cohesion relevant recommendations (e.g. on public finance and taxation, market liberalisation etc.)</w:t>
      </w:r>
      <w:r w:rsidR="00252598">
        <w:t>; this dataset was used as reference basis for breaking down CSR but it must be highlighted that: a) it does not provide a univocal classification of challenges</w:t>
      </w:r>
      <w:r w:rsidR="00252598">
        <w:rPr>
          <w:rStyle w:val="FootnoteReference"/>
        </w:rPr>
        <w:footnoteReference w:id="8"/>
      </w:r>
      <w:r w:rsidR="00252598">
        <w:t xml:space="preserve"> and b) the approach followed in breaking down CSR into sub-parts is not necessarily consistent over time and across countries</w:t>
      </w:r>
      <w:r w:rsidR="00252598">
        <w:rPr>
          <w:rStyle w:val="FootnoteReference"/>
        </w:rPr>
        <w:footnoteReference w:id="9"/>
      </w:r>
      <w:r w:rsidRPr="00707D37">
        <w:t>.</w:t>
      </w:r>
      <w:r w:rsidR="00252598">
        <w:t xml:space="preserve"> </w:t>
      </w:r>
    </w:p>
    <w:p w:rsidR="00E347BA" w:rsidRDefault="00855E30" w:rsidP="00855E30">
      <w:r>
        <w:t xml:space="preserve">Furthermore, the material and suggestions provided by </w:t>
      </w:r>
      <w:r w:rsidR="005B31C0">
        <w:t>other DGs</w:t>
      </w:r>
      <w:r w:rsidR="005B31C0">
        <w:rPr>
          <w:rStyle w:val="FootnoteReference"/>
        </w:rPr>
        <w:footnoteReference w:id="10"/>
      </w:r>
      <w:r w:rsidR="005B31C0">
        <w:t xml:space="preserve"> </w:t>
      </w:r>
      <w:r>
        <w:t>were also taken into account as far as possible</w:t>
      </w:r>
      <w:r w:rsidR="005B31C0">
        <w:t xml:space="preserve"> in developing the </w:t>
      </w:r>
      <w:r w:rsidR="00E347BA">
        <w:t>typology</w:t>
      </w:r>
      <w:r>
        <w:t>. In any case the typology used in this analysis is original as it tries to mediate and find commonalities between the different approache</w:t>
      </w:r>
      <w:r w:rsidR="00E347BA">
        <w:t>s</w:t>
      </w:r>
      <w:r>
        <w:t xml:space="preserve"> and interests of the various DGs. </w:t>
      </w:r>
    </w:p>
    <w:p w:rsidR="00855E30" w:rsidRDefault="00855E30" w:rsidP="00855E30">
      <w:r>
        <w:t>The applied typology is designed in a way that makes it possible to link CSR/</w:t>
      </w:r>
      <w:r w:rsidR="00FD1B48">
        <w:t xml:space="preserve">CR </w:t>
      </w:r>
      <w:r>
        <w:t>structural challenges with 2014-2020 programmes, in particular with Thematic Objectives, Investment</w:t>
      </w:r>
      <w:r w:rsidR="00E40C79">
        <w:t>/Union</w:t>
      </w:r>
      <w:r>
        <w:t xml:space="preserve"> Priorities. </w:t>
      </w:r>
    </w:p>
    <w:p w:rsidR="005B31C0" w:rsidRDefault="005B31C0" w:rsidP="00855E30"/>
    <w:p w:rsidR="002B3BB7" w:rsidRDefault="002B3BB7">
      <w:pPr>
        <w:jc w:val="left"/>
        <w:rPr>
          <w:b/>
        </w:rPr>
      </w:pPr>
      <w:r>
        <w:br w:type="page"/>
      </w:r>
    </w:p>
    <w:p w:rsidR="00855E30" w:rsidRDefault="00855E30" w:rsidP="00855E30">
      <w:pPr>
        <w:pStyle w:val="Caption"/>
      </w:pPr>
      <w:r>
        <w:t xml:space="preserve">Table </w:t>
      </w:r>
      <w:r w:rsidR="00C52F7F">
        <w:fldChar w:fldCharType="begin"/>
      </w:r>
      <w:r w:rsidR="00F62F72">
        <w:instrText xml:space="preserve"> SEQ Table \* ARABIC </w:instrText>
      </w:r>
      <w:r w:rsidR="00C52F7F">
        <w:fldChar w:fldCharType="separate"/>
      </w:r>
      <w:r w:rsidR="00584B95">
        <w:rPr>
          <w:noProof/>
        </w:rPr>
        <w:t>1</w:t>
      </w:r>
      <w:r w:rsidR="00C52F7F">
        <w:rPr>
          <w:noProof/>
        </w:rPr>
        <w:fldChar w:fldCharType="end"/>
      </w:r>
      <w:r>
        <w:t xml:space="preserve"> - </w:t>
      </w:r>
      <w:r w:rsidRPr="006B0089">
        <w:t xml:space="preserve">Typology of </w:t>
      </w:r>
      <w:r>
        <w:t>policy areas</w:t>
      </w:r>
    </w:p>
    <w:tbl>
      <w:tblPr>
        <w:tblStyle w:val="TableGrid"/>
        <w:tblW w:w="5000" w:type="pct"/>
        <w:tblLook w:val="04A0" w:firstRow="1" w:lastRow="0" w:firstColumn="1" w:lastColumn="0" w:noHBand="0" w:noVBand="1"/>
      </w:tblPr>
      <w:tblGrid>
        <w:gridCol w:w="654"/>
        <w:gridCol w:w="1941"/>
        <w:gridCol w:w="2193"/>
        <w:gridCol w:w="4216"/>
      </w:tblGrid>
      <w:tr w:rsidR="00855E30" w:rsidRPr="002648C4" w:rsidTr="00CE7E83">
        <w:trPr>
          <w:trHeight w:val="359"/>
        </w:trPr>
        <w:tc>
          <w:tcPr>
            <w:tcW w:w="363" w:type="pct"/>
            <w:tcBorders>
              <w:bottom w:val="single" w:sz="4" w:space="0" w:color="auto"/>
            </w:tcBorders>
            <w:shd w:val="pct15" w:color="auto" w:fill="FFFFFF" w:themeFill="background1"/>
            <w:vAlign w:val="center"/>
          </w:tcPr>
          <w:p w:rsidR="00855E30" w:rsidRPr="002648C4" w:rsidRDefault="00855E30" w:rsidP="00CE7E83">
            <w:pPr>
              <w:ind w:left="65"/>
              <w:contextualSpacing/>
              <w:jc w:val="left"/>
              <w:rPr>
                <w:b/>
                <w:sz w:val="18"/>
                <w:szCs w:val="18"/>
                <w:lang w:bidi="en-US"/>
              </w:rPr>
            </w:pPr>
          </w:p>
        </w:tc>
        <w:tc>
          <w:tcPr>
            <w:tcW w:w="1078" w:type="pct"/>
            <w:tcBorders>
              <w:bottom w:val="single" w:sz="4" w:space="0" w:color="auto"/>
            </w:tcBorders>
            <w:shd w:val="pct15" w:color="auto" w:fill="FFFFFF" w:themeFill="background1"/>
            <w:vAlign w:val="center"/>
          </w:tcPr>
          <w:p w:rsidR="00855E30" w:rsidRPr="002648C4" w:rsidRDefault="00855E30" w:rsidP="00CE7E83">
            <w:pPr>
              <w:ind w:left="65"/>
              <w:contextualSpacing/>
              <w:jc w:val="left"/>
              <w:rPr>
                <w:b/>
                <w:sz w:val="18"/>
                <w:szCs w:val="18"/>
                <w:lang w:bidi="en-US"/>
              </w:rPr>
            </w:pPr>
            <w:r w:rsidRPr="002648C4">
              <w:rPr>
                <w:b/>
                <w:sz w:val="18"/>
                <w:szCs w:val="18"/>
                <w:lang w:bidi="en-US"/>
              </w:rPr>
              <w:t>1. Policy area</w:t>
            </w:r>
          </w:p>
        </w:tc>
        <w:tc>
          <w:tcPr>
            <w:tcW w:w="1218" w:type="pct"/>
            <w:tcBorders>
              <w:bottom w:val="single" w:sz="4" w:space="0" w:color="auto"/>
            </w:tcBorders>
            <w:shd w:val="pct15" w:color="auto" w:fill="FFFFFF" w:themeFill="background1"/>
            <w:vAlign w:val="center"/>
          </w:tcPr>
          <w:p w:rsidR="00855E30" w:rsidRPr="002648C4" w:rsidRDefault="00855E30" w:rsidP="00CE7E83">
            <w:pPr>
              <w:ind w:left="65"/>
              <w:contextualSpacing/>
              <w:jc w:val="left"/>
              <w:rPr>
                <w:b/>
                <w:sz w:val="18"/>
                <w:szCs w:val="18"/>
                <w:lang w:bidi="en-US"/>
              </w:rPr>
            </w:pPr>
            <w:r w:rsidRPr="002648C4">
              <w:rPr>
                <w:b/>
                <w:sz w:val="18"/>
                <w:szCs w:val="18"/>
                <w:lang w:bidi="en-US"/>
              </w:rPr>
              <w:t>2. Relevant TOs</w:t>
            </w:r>
          </w:p>
        </w:tc>
        <w:tc>
          <w:tcPr>
            <w:tcW w:w="2342" w:type="pct"/>
            <w:tcBorders>
              <w:bottom w:val="single" w:sz="4" w:space="0" w:color="auto"/>
            </w:tcBorders>
            <w:shd w:val="pct15" w:color="auto" w:fill="FFFFFF" w:themeFill="background1"/>
            <w:vAlign w:val="center"/>
          </w:tcPr>
          <w:p w:rsidR="00855E30" w:rsidRPr="002648C4" w:rsidRDefault="00855E30" w:rsidP="00CE7E83">
            <w:pPr>
              <w:ind w:left="65"/>
              <w:contextualSpacing/>
              <w:jc w:val="left"/>
              <w:rPr>
                <w:b/>
                <w:sz w:val="18"/>
                <w:szCs w:val="18"/>
                <w:lang w:bidi="en-US"/>
              </w:rPr>
            </w:pPr>
            <w:r w:rsidRPr="002648C4">
              <w:rPr>
                <w:b/>
                <w:sz w:val="18"/>
                <w:szCs w:val="18"/>
                <w:lang w:bidi="en-US"/>
              </w:rPr>
              <w:t>3. Relevant IPs/UPs</w:t>
            </w:r>
          </w:p>
        </w:tc>
      </w:tr>
      <w:tr w:rsidR="00855E30" w:rsidRPr="002648C4" w:rsidTr="00CE7E83">
        <w:trPr>
          <w:trHeight w:val="409"/>
        </w:trPr>
        <w:tc>
          <w:tcPr>
            <w:tcW w:w="5000" w:type="pct"/>
            <w:gridSpan w:val="4"/>
            <w:tcBorders>
              <w:bottom w:val="single" w:sz="4" w:space="0" w:color="auto"/>
            </w:tcBorders>
            <w:shd w:val="clear" w:color="auto" w:fill="BFBFBF" w:themeFill="background1" w:themeFillShade="BF"/>
            <w:vAlign w:val="center"/>
          </w:tcPr>
          <w:p w:rsidR="00855E30" w:rsidRPr="002648C4" w:rsidRDefault="00855E30" w:rsidP="00CE7E83">
            <w:pPr>
              <w:contextualSpacing/>
              <w:jc w:val="left"/>
              <w:rPr>
                <w:i/>
                <w:sz w:val="18"/>
                <w:szCs w:val="18"/>
                <w:lang w:bidi="en-US"/>
              </w:rPr>
            </w:pPr>
            <w:r w:rsidRPr="002648C4">
              <w:rPr>
                <w:i/>
                <w:sz w:val="18"/>
                <w:szCs w:val="18"/>
                <w:lang w:bidi="en-US"/>
              </w:rPr>
              <w:t xml:space="preserve">Broad area: Business and innovation environment </w:t>
            </w:r>
          </w:p>
        </w:tc>
      </w:tr>
      <w:tr w:rsidR="00855E30" w:rsidRPr="002648C4" w:rsidTr="00CE7E83">
        <w:trPr>
          <w:trHeight w:val="70"/>
        </w:trPr>
        <w:tc>
          <w:tcPr>
            <w:tcW w:w="363" w:type="pct"/>
            <w:tcBorders>
              <w:bottom w:val="single" w:sz="4" w:space="0" w:color="auto"/>
            </w:tcBorders>
            <w:vAlign w:val="center"/>
          </w:tcPr>
          <w:p w:rsidR="00855E30" w:rsidRPr="002648C4" w:rsidRDefault="00855E30" w:rsidP="00CE7E83">
            <w:pPr>
              <w:ind w:left="32"/>
              <w:contextualSpacing/>
              <w:jc w:val="left"/>
              <w:rPr>
                <w:sz w:val="18"/>
                <w:szCs w:val="18"/>
                <w:lang w:bidi="en-US"/>
              </w:rPr>
            </w:pPr>
            <w:r w:rsidRPr="002648C4">
              <w:rPr>
                <w:sz w:val="18"/>
                <w:szCs w:val="18"/>
                <w:lang w:bidi="en-US"/>
              </w:rPr>
              <w:t>1</w:t>
            </w:r>
          </w:p>
        </w:tc>
        <w:tc>
          <w:tcPr>
            <w:tcW w:w="1078" w:type="pct"/>
            <w:tcBorders>
              <w:bottom w:val="single" w:sz="4" w:space="0" w:color="auto"/>
            </w:tcBorders>
            <w:vAlign w:val="center"/>
          </w:tcPr>
          <w:p w:rsidR="00855E30" w:rsidRPr="002648C4" w:rsidRDefault="00855E30" w:rsidP="00CE7E83">
            <w:pPr>
              <w:contextualSpacing/>
              <w:jc w:val="left"/>
              <w:rPr>
                <w:sz w:val="18"/>
                <w:szCs w:val="18"/>
                <w:lang w:bidi="en-US"/>
              </w:rPr>
            </w:pPr>
            <w:r w:rsidRPr="002648C4">
              <w:rPr>
                <w:sz w:val="18"/>
                <w:szCs w:val="18"/>
                <w:lang w:bidi="en-US"/>
              </w:rPr>
              <w:t>Research, technology development and innovation (RTDI)</w:t>
            </w:r>
          </w:p>
        </w:tc>
        <w:tc>
          <w:tcPr>
            <w:tcW w:w="1218" w:type="pct"/>
            <w:tcBorders>
              <w:bottom w:val="single" w:sz="4" w:space="0" w:color="auto"/>
            </w:tcBorders>
            <w:vAlign w:val="center"/>
          </w:tcPr>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DB3663">
              <w:rPr>
                <w:sz w:val="16"/>
                <w:szCs w:val="16"/>
                <w:lang w:bidi="en-US"/>
              </w:rPr>
              <w:t xml:space="preserve">TO1 - Technological dev., res. and </w:t>
            </w:r>
            <w:proofErr w:type="spellStart"/>
            <w:r w:rsidRPr="00DB3663">
              <w:rPr>
                <w:sz w:val="16"/>
                <w:szCs w:val="16"/>
                <w:lang w:bidi="en-US"/>
              </w:rPr>
              <w:t>innov</w:t>
            </w:r>
            <w:proofErr w:type="spellEnd"/>
            <w:r w:rsidRPr="00DB3663">
              <w:rPr>
                <w:sz w:val="16"/>
                <w:szCs w:val="16"/>
                <w:lang w:bidi="en-US"/>
              </w:rPr>
              <w:t xml:space="preserve">. (R&amp;I) </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DB3663">
              <w:rPr>
                <w:sz w:val="16"/>
                <w:szCs w:val="16"/>
                <w:lang w:bidi="en-US"/>
              </w:rPr>
              <w:t>UP1 - fostering knowledge transfer and innovation in agriculture, forestry, and rural areas</w:t>
            </w:r>
          </w:p>
        </w:tc>
        <w:tc>
          <w:tcPr>
            <w:tcW w:w="2342" w:type="pct"/>
            <w:tcBorders>
              <w:bottom w:val="single" w:sz="4" w:space="0" w:color="auto"/>
            </w:tcBorders>
            <w:vAlign w:val="center"/>
          </w:tcPr>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TO1IPa - Enhance R&amp;I infrastructure</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TO1IPb - Promote business R&amp;I investment</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UP1FAa - fostering innovation, cooperation, and the development of the knowledge base</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UP1FAb - strengthening the links between agriculture, food production and forestry and R&amp;I</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 xml:space="preserve">UP1FAc - fostering lifelong learning and vocational training in the agricultural and forestry sectors. </w:t>
            </w:r>
          </w:p>
        </w:tc>
      </w:tr>
      <w:tr w:rsidR="00855E30" w:rsidRPr="002648C4" w:rsidTr="00CE7E83">
        <w:tc>
          <w:tcPr>
            <w:tcW w:w="363" w:type="pct"/>
            <w:tcBorders>
              <w:bottom w:val="single" w:sz="4" w:space="0" w:color="auto"/>
            </w:tcBorders>
            <w:vAlign w:val="center"/>
          </w:tcPr>
          <w:p w:rsidR="00855E30" w:rsidRPr="002648C4" w:rsidRDefault="00855E30" w:rsidP="00CE7E83">
            <w:pPr>
              <w:ind w:left="32"/>
              <w:contextualSpacing/>
              <w:jc w:val="left"/>
              <w:rPr>
                <w:sz w:val="18"/>
                <w:szCs w:val="18"/>
                <w:lang w:bidi="en-US"/>
              </w:rPr>
            </w:pPr>
            <w:r w:rsidRPr="002648C4">
              <w:rPr>
                <w:sz w:val="18"/>
                <w:szCs w:val="18"/>
                <w:lang w:bidi="en-US"/>
              </w:rPr>
              <w:t>2</w:t>
            </w:r>
          </w:p>
        </w:tc>
        <w:tc>
          <w:tcPr>
            <w:tcW w:w="1078" w:type="pct"/>
            <w:tcBorders>
              <w:bottom w:val="single" w:sz="4" w:space="0" w:color="auto"/>
            </w:tcBorders>
            <w:vAlign w:val="center"/>
          </w:tcPr>
          <w:p w:rsidR="00855E30" w:rsidRPr="002648C4" w:rsidRDefault="00855E30" w:rsidP="00CE7E83">
            <w:pPr>
              <w:contextualSpacing/>
              <w:jc w:val="left"/>
              <w:rPr>
                <w:sz w:val="18"/>
                <w:szCs w:val="18"/>
                <w:lang w:bidi="en-US"/>
              </w:rPr>
            </w:pPr>
            <w:r w:rsidRPr="002648C4">
              <w:rPr>
                <w:sz w:val="18"/>
                <w:szCs w:val="18"/>
                <w:lang w:bidi="en-US"/>
              </w:rPr>
              <w:t>Business environment (Enterprise support, business creation and development)</w:t>
            </w:r>
          </w:p>
        </w:tc>
        <w:tc>
          <w:tcPr>
            <w:tcW w:w="1218" w:type="pct"/>
            <w:tcBorders>
              <w:bottom w:val="single" w:sz="4" w:space="0" w:color="auto"/>
            </w:tcBorders>
            <w:vAlign w:val="center"/>
          </w:tcPr>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DB3663">
              <w:rPr>
                <w:sz w:val="16"/>
                <w:szCs w:val="16"/>
                <w:lang w:bidi="en-US"/>
              </w:rPr>
              <w:t>TO3 - SME competitiveness</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DB3663">
              <w:rPr>
                <w:sz w:val="16"/>
                <w:szCs w:val="16"/>
                <w:lang w:bidi="en-US"/>
              </w:rPr>
              <w:t>UP2 - enhancing farm viability and competitiveness</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DB3663">
              <w:rPr>
                <w:sz w:val="16"/>
                <w:szCs w:val="16"/>
                <w:lang w:bidi="en-US"/>
              </w:rPr>
              <w:t xml:space="preserve">UP3 - promoting food chain organisation, processing and marketing of </w:t>
            </w:r>
            <w:proofErr w:type="spellStart"/>
            <w:r w:rsidRPr="00DB3663">
              <w:rPr>
                <w:sz w:val="16"/>
                <w:szCs w:val="16"/>
                <w:lang w:bidi="en-US"/>
              </w:rPr>
              <w:t>agr</w:t>
            </w:r>
            <w:proofErr w:type="spellEnd"/>
            <w:r w:rsidRPr="00DB3663">
              <w:rPr>
                <w:sz w:val="16"/>
                <w:szCs w:val="16"/>
                <w:lang w:bidi="en-US"/>
              </w:rPr>
              <w:t>. Products</w:t>
            </w:r>
          </w:p>
        </w:tc>
        <w:tc>
          <w:tcPr>
            <w:tcW w:w="2342" w:type="pct"/>
            <w:tcBorders>
              <w:bottom w:val="single" w:sz="4" w:space="0" w:color="auto"/>
            </w:tcBorders>
            <w:vAlign w:val="center"/>
          </w:tcPr>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 xml:space="preserve">TO3IPa - Promoting entrepreneurship </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 xml:space="preserve">TO3IPb - New business models for SMEs </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 xml:space="preserve">TO3IPc - Capacities for product and service development </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TO3IPd - Capacity of SMEs to grow</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UP2FAa - improving the economic performance of farms and facilitating restructuring and modernization</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 xml:space="preserve">UP2FAb - facilitating the entry of adequately skilled farmers into the </w:t>
            </w:r>
            <w:proofErr w:type="spellStart"/>
            <w:r w:rsidRPr="002648C4">
              <w:rPr>
                <w:sz w:val="16"/>
                <w:szCs w:val="16"/>
                <w:lang w:bidi="en-US"/>
              </w:rPr>
              <w:t>agr</w:t>
            </w:r>
            <w:proofErr w:type="spellEnd"/>
            <w:r w:rsidRPr="002648C4">
              <w:rPr>
                <w:sz w:val="16"/>
                <w:szCs w:val="16"/>
                <w:lang w:bidi="en-US"/>
              </w:rPr>
              <w:t>. sector</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UP3FAa - improving competitiveness of primary producers</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UP3FAb - supporting farm risk prevention and management</w:t>
            </w:r>
          </w:p>
        </w:tc>
      </w:tr>
      <w:tr w:rsidR="00855E30" w:rsidRPr="002648C4" w:rsidTr="00CE7E83">
        <w:trPr>
          <w:trHeight w:val="70"/>
        </w:trPr>
        <w:tc>
          <w:tcPr>
            <w:tcW w:w="5000" w:type="pct"/>
            <w:gridSpan w:val="4"/>
            <w:shd w:val="clear" w:color="auto" w:fill="BFBFBF" w:themeFill="background1" w:themeFillShade="BF"/>
            <w:vAlign w:val="center"/>
          </w:tcPr>
          <w:p w:rsidR="00855E30" w:rsidRPr="002648C4" w:rsidRDefault="00855E30" w:rsidP="00CE7E83">
            <w:pPr>
              <w:contextualSpacing/>
              <w:jc w:val="left"/>
              <w:rPr>
                <w:i/>
                <w:sz w:val="18"/>
                <w:szCs w:val="18"/>
                <w:lang w:bidi="en-US"/>
              </w:rPr>
            </w:pPr>
            <w:r w:rsidRPr="002648C4">
              <w:rPr>
                <w:i/>
                <w:sz w:val="18"/>
                <w:szCs w:val="18"/>
                <w:lang w:bidi="en-US"/>
              </w:rPr>
              <w:t xml:space="preserve">Broad area: Network industries and environment </w:t>
            </w:r>
          </w:p>
        </w:tc>
      </w:tr>
      <w:tr w:rsidR="00855E30" w:rsidRPr="002648C4" w:rsidTr="00CE7E83">
        <w:trPr>
          <w:trHeight w:val="882"/>
        </w:trPr>
        <w:tc>
          <w:tcPr>
            <w:tcW w:w="363" w:type="pct"/>
            <w:tcBorders>
              <w:bottom w:val="single" w:sz="4" w:space="0" w:color="auto"/>
            </w:tcBorders>
            <w:vAlign w:val="center"/>
          </w:tcPr>
          <w:p w:rsidR="00855E30" w:rsidRPr="002648C4" w:rsidRDefault="00855E30" w:rsidP="00CE7E83">
            <w:pPr>
              <w:ind w:left="32"/>
              <w:contextualSpacing/>
              <w:jc w:val="left"/>
              <w:rPr>
                <w:sz w:val="18"/>
                <w:szCs w:val="18"/>
                <w:lang w:bidi="en-US"/>
              </w:rPr>
            </w:pPr>
            <w:r w:rsidRPr="002648C4">
              <w:rPr>
                <w:sz w:val="18"/>
                <w:szCs w:val="18"/>
                <w:lang w:bidi="en-US"/>
              </w:rPr>
              <w:t>3</w:t>
            </w:r>
          </w:p>
        </w:tc>
        <w:tc>
          <w:tcPr>
            <w:tcW w:w="1078" w:type="pct"/>
            <w:tcBorders>
              <w:bottom w:val="single" w:sz="4" w:space="0" w:color="auto"/>
            </w:tcBorders>
            <w:vAlign w:val="center"/>
          </w:tcPr>
          <w:p w:rsidR="00855E30" w:rsidRPr="002648C4" w:rsidRDefault="00855E30" w:rsidP="00CE7E83">
            <w:pPr>
              <w:contextualSpacing/>
              <w:jc w:val="left"/>
              <w:rPr>
                <w:sz w:val="18"/>
                <w:szCs w:val="18"/>
                <w:lang w:bidi="en-US"/>
              </w:rPr>
            </w:pPr>
            <w:r w:rsidRPr="002648C4">
              <w:rPr>
                <w:sz w:val="18"/>
                <w:szCs w:val="18"/>
                <w:lang w:bidi="en-US"/>
              </w:rPr>
              <w:t>Digital infrastructure and services</w:t>
            </w:r>
          </w:p>
        </w:tc>
        <w:tc>
          <w:tcPr>
            <w:tcW w:w="1218" w:type="pct"/>
            <w:tcBorders>
              <w:bottom w:val="single" w:sz="4" w:space="0" w:color="auto"/>
            </w:tcBorders>
            <w:vAlign w:val="center"/>
          </w:tcPr>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DB3663">
              <w:rPr>
                <w:sz w:val="16"/>
                <w:szCs w:val="16"/>
                <w:lang w:bidi="en-US"/>
              </w:rPr>
              <w:t>TO2 - ICT access and quality</w:t>
            </w:r>
          </w:p>
        </w:tc>
        <w:tc>
          <w:tcPr>
            <w:tcW w:w="2342" w:type="pct"/>
            <w:tcBorders>
              <w:bottom w:val="single" w:sz="4" w:space="0" w:color="auto"/>
            </w:tcBorders>
            <w:vAlign w:val="center"/>
          </w:tcPr>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 xml:space="preserve">TO2IPa - Extend broadband deployment </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TO2IPb - Develop ICT products and services</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TO2IPc - Strengthen ICT applications</w:t>
            </w:r>
          </w:p>
        </w:tc>
      </w:tr>
      <w:tr w:rsidR="00855E30" w:rsidRPr="002648C4" w:rsidTr="00CE7E83">
        <w:trPr>
          <w:trHeight w:val="70"/>
        </w:trPr>
        <w:tc>
          <w:tcPr>
            <w:tcW w:w="363" w:type="pct"/>
            <w:tcBorders>
              <w:bottom w:val="single" w:sz="4" w:space="0" w:color="auto"/>
            </w:tcBorders>
            <w:vAlign w:val="center"/>
          </w:tcPr>
          <w:p w:rsidR="00855E30" w:rsidRPr="002648C4" w:rsidRDefault="00855E30" w:rsidP="00CE7E83">
            <w:pPr>
              <w:ind w:left="32"/>
              <w:contextualSpacing/>
              <w:jc w:val="left"/>
              <w:rPr>
                <w:sz w:val="18"/>
                <w:szCs w:val="18"/>
                <w:lang w:bidi="en-US"/>
              </w:rPr>
            </w:pPr>
            <w:r w:rsidRPr="002648C4">
              <w:rPr>
                <w:sz w:val="18"/>
                <w:szCs w:val="18"/>
                <w:lang w:bidi="en-US"/>
              </w:rPr>
              <w:t>4</w:t>
            </w:r>
          </w:p>
        </w:tc>
        <w:tc>
          <w:tcPr>
            <w:tcW w:w="1078" w:type="pct"/>
            <w:tcBorders>
              <w:bottom w:val="single" w:sz="4" w:space="0" w:color="auto"/>
            </w:tcBorders>
            <w:vAlign w:val="center"/>
          </w:tcPr>
          <w:p w:rsidR="00855E30" w:rsidRPr="002648C4" w:rsidRDefault="00855E30" w:rsidP="00CE7E83">
            <w:pPr>
              <w:contextualSpacing/>
              <w:jc w:val="left"/>
              <w:rPr>
                <w:sz w:val="18"/>
                <w:szCs w:val="18"/>
                <w:lang w:bidi="en-US"/>
              </w:rPr>
            </w:pPr>
            <w:r w:rsidRPr="002648C4">
              <w:rPr>
                <w:sz w:val="18"/>
                <w:szCs w:val="18"/>
                <w:lang w:bidi="en-US"/>
              </w:rPr>
              <w:t>Energy networks, RES and emissions</w:t>
            </w:r>
          </w:p>
        </w:tc>
        <w:tc>
          <w:tcPr>
            <w:tcW w:w="1218" w:type="pct"/>
            <w:tcBorders>
              <w:bottom w:val="single" w:sz="4" w:space="0" w:color="auto"/>
            </w:tcBorders>
            <w:vAlign w:val="center"/>
          </w:tcPr>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DB3663">
              <w:rPr>
                <w:sz w:val="16"/>
                <w:szCs w:val="16"/>
                <w:lang w:bidi="en-US"/>
              </w:rPr>
              <w:t>TO4 - Low-carbon economy shift</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DB3663">
              <w:rPr>
                <w:sz w:val="16"/>
                <w:szCs w:val="16"/>
                <w:lang w:bidi="en-US"/>
              </w:rPr>
              <w:t>UP5 - resource efficiency and low carbon economy shift</w:t>
            </w:r>
          </w:p>
        </w:tc>
        <w:tc>
          <w:tcPr>
            <w:tcW w:w="2342" w:type="pct"/>
            <w:tcBorders>
              <w:bottom w:val="single" w:sz="4" w:space="0" w:color="auto"/>
            </w:tcBorders>
            <w:vAlign w:val="center"/>
          </w:tcPr>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 xml:space="preserve">TO4IPa - Energy from renewable sources (RES) </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 xml:space="preserve">TO4IPb - Energy efficiency and RES use – enterprises </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TO4IPc - Energy efficiency and RES use - public infrastruct</w:t>
            </w:r>
            <w:r>
              <w:rPr>
                <w:sz w:val="16"/>
                <w:szCs w:val="16"/>
                <w:lang w:bidi="en-US"/>
              </w:rPr>
              <w:t>ure</w:t>
            </w:r>
            <w:r w:rsidRPr="002648C4">
              <w:rPr>
                <w:sz w:val="16"/>
                <w:szCs w:val="16"/>
                <w:lang w:bidi="en-US"/>
              </w:rPr>
              <w:t xml:space="preserve">. </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 xml:space="preserve">TO4IPd - Smart distribution systems </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 xml:space="preserve">TO4IPe - Low-carbon strategies </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TO4IPf - R&amp;I/adoption low-carbon technologies</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TO4IPg - Co-generation heat and power</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UP5FAa – increase water efficiency</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UP5FAb – increase energy efficiency</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UP5FAc – use of renewable sources</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UP5FAd – reduction of greenhouse gas emissions</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UP5FAe – carbon conservation</w:t>
            </w:r>
          </w:p>
        </w:tc>
      </w:tr>
      <w:tr w:rsidR="00855E30" w:rsidRPr="002648C4" w:rsidTr="00CE7E83">
        <w:trPr>
          <w:trHeight w:val="70"/>
        </w:trPr>
        <w:tc>
          <w:tcPr>
            <w:tcW w:w="363" w:type="pct"/>
            <w:tcBorders>
              <w:bottom w:val="single" w:sz="4" w:space="0" w:color="auto"/>
            </w:tcBorders>
            <w:vAlign w:val="center"/>
          </w:tcPr>
          <w:p w:rsidR="00855E30" w:rsidRPr="002648C4" w:rsidRDefault="00855E30" w:rsidP="00CE7E83">
            <w:pPr>
              <w:ind w:left="32"/>
              <w:contextualSpacing/>
              <w:jc w:val="left"/>
              <w:rPr>
                <w:sz w:val="18"/>
                <w:szCs w:val="18"/>
                <w:lang w:bidi="en-US"/>
              </w:rPr>
            </w:pPr>
            <w:r w:rsidRPr="002648C4">
              <w:rPr>
                <w:sz w:val="18"/>
                <w:szCs w:val="18"/>
                <w:lang w:bidi="en-US"/>
              </w:rPr>
              <w:t>5</w:t>
            </w:r>
          </w:p>
        </w:tc>
        <w:tc>
          <w:tcPr>
            <w:tcW w:w="1078" w:type="pct"/>
            <w:tcBorders>
              <w:bottom w:val="single" w:sz="4" w:space="0" w:color="auto"/>
            </w:tcBorders>
            <w:vAlign w:val="center"/>
          </w:tcPr>
          <w:p w:rsidR="00855E30" w:rsidRPr="002648C4" w:rsidRDefault="00855E30" w:rsidP="00CE7E83">
            <w:pPr>
              <w:contextualSpacing/>
              <w:jc w:val="left"/>
              <w:rPr>
                <w:sz w:val="18"/>
                <w:szCs w:val="18"/>
                <w:lang w:bidi="en-US"/>
              </w:rPr>
            </w:pPr>
            <w:r w:rsidRPr="002648C4">
              <w:rPr>
                <w:sz w:val="18"/>
                <w:szCs w:val="18"/>
                <w:lang w:bidi="en-US"/>
              </w:rPr>
              <w:t>Environmental protection and adaptation to climate change</w:t>
            </w:r>
          </w:p>
        </w:tc>
        <w:tc>
          <w:tcPr>
            <w:tcW w:w="1218" w:type="pct"/>
            <w:tcBorders>
              <w:bottom w:val="single" w:sz="4" w:space="0" w:color="auto"/>
            </w:tcBorders>
            <w:vAlign w:val="center"/>
          </w:tcPr>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DB3663">
              <w:rPr>
                <w:sz w:val="16"/>
                <w:szCs w:val="16"/>
                <w:lang w:bidi="en-US"/>
              </w:rPr>
              <w:t>TO5 - Climate change adapt. /risk management</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DB3663">
              <w:rPr>
                <w:sz w:val="16"/>
                <w:szCs w:val="16"/>
                <w:lang w:bidi="en-US"/>
              </w:rPr>
              <w:t>TO6 - Environmental protection and resource efficiency</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DB3663">
              <w:rPr>
                <w:sz w:val="16"/>
                <w:szCs w:val="16"/>
                <w:lang w:bidi="en-US"/>
              </w:rPr>
              <w:t>UP4 - restoring, preserving and enhancing ecosystems related to agriculture and forestry</w:t>
            </w:r>
          </w:p>
        </w:tc>
        <w:tc>
          <w:tcPr>
            <w:tcW w:w="2342" w:type="pct"/>
            <w:tcBorders>
              <w:bottom w:val="single" w:sz="4" w:space="0" w:color="auto"/>
            </w:tcBorders>
            <w:vAlign w:val="center"/>
          </w:tcPr>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 xml:space="preserve">TO5IPa - Investment adaptation to climate change </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 xml:space="preserve">TO5IPb - Investment to address specific risks </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ab/>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 xml:space="preserve">TO6IPc - Natural and cultural heritage </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 xml:space="preserve">TO6IPd - Biodiversity, soil and ecosystem services </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 xml:space="preserve">TO6IPe - Improve the urban environment </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 xml:space="preserve">TO6IPg - Industrial transition </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 xml:space="preserve">UP4FAa – restoring, preserving and enhancing biodiversity </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UP4FAb – water and pesticide management</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UP4FAc – preventing soil erosion and improving soil management</w:t>
            </w:r>
          </w:p>
        </w:tc>
      </w:tr>
      <w:tr w:rsidR="00855E30" w:rsidRPr="002648C4" w:rsidTr="00CE7E83">
        <w:trPr>
          <w:trHeight w:val="70"/>
        </w:trPr>
        <w:tc>
          <w:tcPr>
            <w:tcW w:w="363" w:type="pct"/>
            <w:tcBorders>
              <w:bottom w:val="single" w:sz="4" w:space="0" w:color="auto"/>
            </w:tcBorders>
            <w:vAlign w:val="center"/>
          </w:tcPr>
          <w:p w:rsidR="00855E30" w:rsidRPr="002648C4" w:rsidRDefault="00855E30" w:rsidP="00CE7E83">
            <w:pPr>
              <w:ind w:left="32"/>
              <w:contextualSpacing/>
              <w:jc w:val="left"/>
              <w:rPr>
                <w:sz w:val="18"/>
                <w:szCs w:val="18"/>
                <w:lang w:bidi="en-US"/>
              </w:rPr>
            </w:pPr>
            <w:r w:rsidRPr="002648C4">
              <w:rPr>
                <w:sz w:val="18"/>
                <w:szCs w:val="18"/>
                <w:lang w:bidi="en-US"/>
              </w:rPr>
              <w:t>6</w:t>
            </w:r>
          </w:p>
        </w:tc>
        <w:tc>
          <w:tcPr>
            <w:tcW w:w="1078" w:type="pct"/>
            <w:tcBorders>
              <w:bottom w:val="single" w:sz="4" w:space="0" w:color="auto"/>
            </w:tcBorders>
            <w:vAlign w:val="center"/>
          </w:tcPr>
          <w:p w:rsidR="00855E30" w:rsidRPr="002648C4" w:rsidRDefault="00855E30" w:rsidP="00CE7E83">
            <w:pPr>
              <w:contextualSpacing/>
              <w:jc w:val="left"/>
              <w:rPr>
                <w:sz w:val="18"/>
                <w:szCs w:val="18"/>
                <w:lang w:bidi="en-US"/>
              </w:rPr>
            </w:pPr>
            <w:r w:rsidRPr="002648C4">
              <w:rPr>
                <w:sz w:val="18"/>
                <w:szCs w:val="18"/>
                <w:lang w:bidi="en-US"/>
              </w:rPr>
              <w:t>Resource efficiency (water and waste)</w:t>
            </w:r>
          </w:p>
        </w:tc>
        <w:tc>
          <w:tcPr>
            <w:tcW w:w="1218" w:type="pct"/>
            <w:tcBorders>
              <w:bottom w:val="single" w:sz="4" w:space="0" w:color="auto"/>
            </w:tcBorders>
            <w:vAlign w:val="center"/>
          </w:tcPr>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DB3663">
              <w:rPr>
                <w:sz w:val="16"/>
                <w:szCs w:val="16"/>
                <w:lang w:bidi="en-US"/>
              </w:rPr>
              <w:t>TO6 - Environmental protection and resource efficiency</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DB3663">
              <w:rPr>
                <w:sz w:val="16"/>
                <w:szCs w:val="16"/>
                <w:lang w:bidi="en-US"/>
              </w:rPr>
              <w:t>UP4 - restoring, preserving and enhancing ecosystems related to agriculture and forestry</w:t>
            </w:r>
          </w:p>
        </w:tc>
        <w:tc>
          <w:tcPr>
            <w:tcW w:w="2342" w:type="pct"/>
            <w:tcBorders>
              <w:bottom w:val="single" w:sz="4" w:space="0" w:color="auto"/>
            </w:tcBorders>
            <w:vAlign w:val="center"/>
          </w:tcPr>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B3BB7">
              <w:rPr>
                <w:sz w:val="16"/>
                <w:szCs w:val="16"/>
                <w:lang w:bidi="en-US"/>
              </w:rPr>
              <w:t xml:space="preserve">TO6IPa - Investment waste sector </w:t>
            </w:r>
          </w:p>
          <w:p w:rsidR="00A34358" w:rsidRDefault="001A31EC" w:rsidP="00807960">
            <w:pPr>
              <w:numPr>
                <w:ilvl w:val="0"/>
                <w:numId w:val="8"/>
              </w:numPr>
              <w:ind w:left="174" w:hanging="142"/>
              <w:contextualSpacing/>
              <w:jc w:val="left"/>
              <w:rPr>
                <w:rFonts w:eastAsia="Times New Roman" w:cs="Times New Roman"/>
                <w:b/>
                <w:caps/>
                <w:sz w:val="16"/>
                <w:szCs w:val="16"/>
                <w:lang w:bidi="en-US"/>
              </w:rPr>
            </w:pPr>
            <w:r w:rsidRPr="002B3BB7">
              <w:rPr>
                <w:sz w:val="16"/>
                <w:szCs w:val="16"/>
                <w:lang w:bidi="en-US"/>
              </w:rPr>
              <w:t>TO6IPb - Investment water sector</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B3BB7">
              <w:rPr>
                <w:sz w:val="16"/>
                <w:szCs w:val="16"/>
                <w:lang w:bidi="en-US"/>
              </w:rPr>
              <w:t xml:space="preserve">TO6IPf - Innovative technologies </w:t>
            </w:r>
            <w:proofErr w:type="spellStart"/>
            <w:r w:rsidRPr="002B3BB7">
              <w:rPr>
                <w:sz w:val="16"/>
                <w:szCs w:val="16"/>
                <w:lang w:bidi="en-US"/>
              </w:rPr>
              <w:t>env</w:t>
            </w:r>
            <w:proofErr w:type="spellEnd"/>
            <w:r w:rsidRPr="002B3BB7">
              <w:rPr>
                <w:sz w:val="16"/>
                <w:szCs w:val="16"/>
                <w:lang w:bidi="en-US"/>
              </w:rPr>
              <w:t>. prot</w:t>
            </w:r>
            <w:r w:rsidR="00203D0A">
              <w:rPr>
                <w:sz w:val="16"/>
                <w:szCs w:val="16"/>
                <w:lang w:bidi="en-US"/>
              </w:rPr>
              <w:t>ection</w:t>
            </w:r>
            <w:r w:rsidRPr="002B3BB7">
              <w:rPr>
                <w:sz w:val="16"/>
                <w:szCs w:val="16"/>
                <w:lang w:bidi="en-US"/>
              </w:rPr>
              <w:t>/res</w:t>
            </w:r>
            <w:r w:rsidR="00203D0A">
              <w:rPr>
                <w:sz w:val="16"/>
                <w:szCs w:val="16"/>
                <w:lang w:bidi="en-US"/>
              </w:rPr>
              <w:t>ource e</w:t>
            </w:r>
            <w:r w:rsidRPr="002B3BB7">
              <w:rPr>
                <w:sz w:val="16"/>
                <w:szCs w:val="16"/>
                <w:lang w:bidi="en-US"/>
              </w:rPr>
              <w:t xml:space="preserve">fficiency </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B3BB7">
              <w:rPr>
                <w:sz w:val="16"/>
                <w:szCs w:val="16"/>
                <w:lang w:bidi="en-US"/>
              </w:rPr>
              <w:t>UP4FAb – water and pesticide management</w:t>
            </w:r>
          </w:p>
        </w:tc>
      </w:tr>
      <w:tr w:rsidR="00855E30" w:rsidRPr="002648C4" w:rsidTr="00CE7E83">
        <w:tc>
          <w:tcPr>
            <w:tcW w:w="363" w:type="pct"/>
            <w:tcBorders>
              <w:bottom w:val="single" w:sz="4" w:space="0" w:color="auto"/>
            </w:tcBorders>
            <w:vAlign w:val="center"/>
          </w:tcPr>
          <w:p w:rsidR="00855E30" w:rsidRPr="002648C4" w:rsidRDefault="00855E30" w:rsidP="00CE7E83">
            <w:pPr>
              <w:ind w:left="32"/>
              <w:contextualSpacing/>
              <w:jc w:val="left"/>
              <w:rPr>
                <w:sz w:val="18"/>
                <w:szCs w:val="18"/>
                <w:lang w:bidi="en-US"/>
              </w:rPr>
            </w:pPr>
            <w:r w:rsidRPr="002648C4">
              <w:rPr>
                <w:sz w:val="18"/>
                <w:szCs w:val="18"/>
                <w:lang w:bidi="en-US"/>
              </w:rPr>
              <w:t>7</w:t>
            </w:r>
          </w:p>
        </w:tc>
        <w:tc>
          <w:tcPr>
            <w:tcW w:w="1078" w:type="pct"/>
            <w:tcBorders>
              <w:bottom w:val="single" w:sz="4" w:space="0" w:color="auto"/>
            </w:tcBorders>
            <w:vAlign w:val="center"/>
          </w:tcPr>
          <w:p w:rsidR="00855E30" w:rsidRPr="002648C4" w:rsidRDefault="00855E30" w:rsidP="00CE7E83">
            <w:pPr>
              <w:contextualSpacing/>
              <w:jc w:val="left"/>
              <w:rPr>
                <w:sz w:val="18"/>
                <w:szCs w:val="18"/>
                <w:lang w:bidi="en-US"/>
              </w:rPr>
            </w:pPr>
            <w:r w:rsidRPr="002648C4">
              <w:rPr>
                <w:sz w:val="18"/>
                <w:szCs w:val="18"/>
                <w:lang w:bidi="en-US"/>
              </w:rPr>
              <w:t>Transport (rail, road networks and other transport infrastructure)</w:t>
            </w:r>
          </w:p>
        </w:tc>
        <w:tc>
          <w:tcPr>
            <w:tcW w:w="1218" w:type="pct"/>
            <w:tcBorders>
              <w:bottom w:val="single" w:sz="4" w:space="0" w:color="auto"/>
            </w:tcBorders>
            <w:vAlign w:val="center"/>
          </w:tcPr>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DB3663">
              <w:rPr>
                <w:sz w:val="16"/>
                <w:szCs w:val="16"/>
                <w:lang w:bidi="en-US"/>
              </w:rPr>
              <w:t>TO7 - Sustainable transport/removing bottlenecks</w:t>
            </w:r>
          </w:p>
        </w:tc>
        <w:tc>
          <w:tcPr>
            <w:tcW w:w="2342" w:type="pct"/>
            <w:tcBorders>
              <w:bottom w:val="single" w:sz="4" w:space="0" w:color="auto"/>
            </w:tcBorders>
            <w:vAlign w:val="center"/>
          </w:tcPr>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 xml:space="preserve">TO7IPa - Investing in the TEN-T network </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 xml:space="preserve">TO7IPb - Enhancing regional mobility </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TO7IPc - Envir</w:t>
            </w:r>
            <w:r w:rsidR="00203D0A">
              <w:rPr>
                <w:sz w:val="16"/>
                <w:szCs w:val="16"/>
                <w:lang w:bidi="en-US"/>
              </w:rPr>
              <w:t>onmental</w:t>
            </w:r>
            <w:r w:rsidRPr="002648C4">
              <w:rPr>
                <w:sz w:val="16"/>
                <w:szCs w:val="16"/>
                <w:lang w:bidi="en-US"/>
              </w:rPr>
              <w:t xml:space="preserve"> friendly and low-carbon transport systems</w:t>
            </w:r>
            <w:r w:rsidRPr="002648C4">
              <w:rPr>
                <w:sz w:val="16"/>
                <w:szCs w:val="16"/>
                <w:lang w:bidi="en-US"/>
              </w:rPr>
              <w:tab/>
              <w:t xml:space="preserve"> </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 xml:space="preserve">TO7IPd - Developing railway systems </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TO7IPe - Smart energy distr. and transmission systems</w:t>
            </w:r>
            <w:r w:rsidRPr="002648C4">
              <w:rPr>
                <w:sz w:val="16"/>
                <w:szCs w:val="16"/>
                <w:lang w:bidi="en-US"/>
              </w:rPr>
              <w:tab/>
              <w:t xml:space="preserve"> </w:t>
            </w:r>
          </w:p>
        </w:tc>
      </w:tr>
      <w:tr w:rsidR="00855E30" w:rsidRPr="002648C4" w:rsidTr="00CE7E83">
        <w:trPr>
          <w:trHeight w:val="359"/>
        </w:trPr>
        <w:tc>
          <w:tcPr>
            <w:tcW w:w="5000" w:type="pct"/>
            <w:gridSpan w:val="4"/>
            <w:shd w:val="clear" w:color="auto" w:fill="BFBFBF" w:themeFill="background1" w:themeFillShade="BF"/>
            <w:vAlign w:val="center"/>
          </w:tcPr>
          <w:p w:rsidR="006A32BB" w:rsidRDefault="00855E30" w:rsidP="00CE7E83">
            <w:pPr>
              <w:contextualSpacing/>
              <w:jc w:val="left"/>
              <w:rPr>
                <w:i/>
                <w:sz w:val="18"/>
                <w:szCs w:val="18"/>
                <w:lang w:bidi="en-US"/>
              </w:rPr>
            </w:pPr>
            <w:r w:rsidRPr="002648C4">
              <w:rPr>
                <w:i/>
                <w:sz w:val="18"/>
                <w:szCs w:val="18"/>
                <w:lang w:bidi="en-US"/>
              </w:rPr>
              <w:t>Broad area: Active labour market and employment</w:t>
            </w:r>
            <w:r w:rsidR="006A32BB">
              <w:rPr>
                <w:i/>
                <w:sz w:val="18"/>
                <w:szCs w:val="18"/>
                <w:lang w:bidi="en-US"/>
              </w:rPr>
              <w:t xml:space="preserve"> </w:t>
            </w:r>
          </w:p>
          <w:p w:rsidR="00855E30" w:rsidRPr="002B3BB7" w:rsidRDefault="006A32BB" w:rsidP="00CE7E83">
            <w:pPr>
              <w:contextualSpacing/>
              <w:jc w:val="left"/>
              <w:rPr>
                <w:i/>
                <w:sz w:val="18"/>
                <w:szCs w:val="18"/>
                <w:lang w:bidi="en-US"/>
              </w:rPr>
            </w:pPr>
            <w:r>
              <w:rPr>
                <w:i/>
                <w:sz w:val="18"/>
                <w:szCs w:val="18"/>
                <w:lang w:bidi="en-US"/>
              </w:rPr>
              <w:t xml:space="preserve">(note: “wage setting”, </w:t>
            </w:r>
            <w:r w:rsidRPr="006A32BB">
              <w:rPr>
                <w:i/>
                <w:sz w:val="18"/>
                <w:szCs w:val="18"/>
                <w:lang w:bidi="en-US"/>
              </w:rPr>
              <w:t>"employment protection legislation", or "labour taxation" are not ESIF-relevant as such</w:t>
            </w:r>
            <w:r w:rsidR="00A35217">
              <w:rPr>
                <w:i/>
                <w:sz w:val="18"/>
                <w:szCs w:val="18"/>
                <w:lang w:bidi="en-US"/>
              </w:rPr>
              <w:t xml:space="preserve"> unless specific complementary initiatives which indirectly facilitate their implementation are financed by the funds</w:t>
            </w:r>
            <w:r>
              <w:rPr>
                <w:i/>
                <w:sz w:val="18"/>
                <w:szCs w:val="18"/>
                <w:lang w:bidi="en-US"/>
              </w:rPr>
              <w:t>)</w:t>
            </w:r>
            <w:r w:rsidRPr="006A32BB">
              <w:rPr>
                <w:i/>
                <w:sz w:val="18"/>
                <w:szCs w:val="18"/>
                <w:lang w:bidi="en-US"/>
              </w:rPr>
              <w:t>.</w:t>
            </w:r>
          </w:p>
        </w:tc>
      </w:tr>
      <w:tr w:rsidR="00855E30" w:rsidRPr="0016245F" w:rsidTr="00CE7E83">
        <w:trPr>
          <w:trHeight w:val="1530"/>
        </w:trPr>
        <w:tc>
          <w:tcPr>
            <w:tcW w:w="363" w:type="pct"/>
            <w:vAlign w:val="center"/>
          </w:tcPr>
          <w:p w:rsidR="00855E30" w:rsidRPr="002648C4" w:rsidRDefault="00855E30" w:rsidP="00CE7E83">
            <w:pPr>
              <w:ind w:left="32"/>
              <w:contextualSpacing/>
              <w:jc w:val="left"/>
              <w:rPr>
                <w:sz w:val="18"/>
                <w:szCs w:val="18"/>
                <w:lang w:bidi="en-US"/>
              </w:rPr>
            </w:pPr>
            <w:r w:rsidRPr="002648C4">
              <w:rPr>
                <w:sz w:val="18"/>
                <w:szCs w:val="18"/>
                <w:lang w:bidi="en-US"/>
              </w:rPr>
              <w:t>8</w:t>
            </w:r>
          </w:p>
        </w:tc>
        <w:tc>
          <w:tcPr>
            <w:tcW w:w="1078" w:type="pct"/>
            <w:vAlign w:val="center"/>
          </w:tcPr>
          <w:p w:rsidR="00855E30" w:rsidRPr="002648C4" w:rsidRDefault="00855E30" w:rsidP="00CE7E83">
            <w:pPr>
              <w:contextualSpacing/>
              <w:jc w:val="left"/>
              <w:rPr>
                <w:sz w:val="18"/>
                <w:szCs w:val="18"/>
                <w:lang w:bidi="en-US"/>
              </w:rPr>
            </w:pPr>
            <w:r w:rsidRPr="002648C4">
              <w:rPr>
                <w:sz w:val="18"/>
                <w:szCs w:val="18"/>
                <w:lang w:bidi="en-US"/>
              </w:rPr>
              <w:t>Access to employment and employability of workers (including activation</w:t>
            </w:r>
            <w:r w:rsidRPr="0016245F">
              <w:rPr>
                <w:sz w:val="18"/>
                <w:szCs w:val="18"/>
                <w:lang w:bidi="en-US"/>
              </w:rPr>
              <w:t>,</w:t>
            </w:r>
            <w:r w:rsidRPr="002648C4">
              <w:rPr>
                <w:sz w:val="18"/>
                <w:szCs w:val="18"/>
                <w:lang w:bidi="en-US"/>
              </w:rPr>
              <w:t xml:space="preserve"> </w:t>
            </w:r>
            <w:r w:rsidRPr="0016245F">
              <w:rPr>
                <w:sz w:val="18"/>
                <w:szCs w:val="18"/>
                <w:lang w:bidi="en-US"/>
              </w:rPr>
              <w:t>LM</w:t>
            </w:r>
            <w:r w:rsidRPr="002648C4">
              <w:rPr>
                <w:sz w:val="18"/>
                <w:szCs w:val="18"/>
                <w:lang w:bidi="en-US"/>
              </w:rPr>
              <w:t xml:space="preserve"> participation</w:t>
            </w:r>
            <w:r w:rsidRPr="0016245F">
              <w:rPr>
                <w:sz w:val="18"/>
                <w:szCs w:val="18"/>
                <w:lang w:bidi="en-US"/>
              </w:rPr>
              <w:t xml:space="preserve"> and labour tax wedge</w:t>
            </w:r>
            <w:r w:rsidRPr="002648C4">
              <w:rPr>
                <w:sz w:val="18"/>
                <w:szCs w:val="18"/>
                <w:lang w:bidi="en-US"/>
              </w:rPr>
              <w:t>)</w:t>
            </w:r>
          </w:p>
        </w:tc>
        <w:tc>
          <w:tcPr>
            <w:tcW w:w="1218" w:type="pct"/>
            <w:vMerge w:val="restart"/>
            <w:vAlign w:val="center"/>
          </w:tcPr>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DB3663">
              <w:rPr>
                <w:sz w:val="16"/>
                <w:szCs w:val="16"/>
                <w:lang w:bidi="en-US"/>
              </w:rPr>
              <w:t>TO8 - Sustainable employment and labour mobility</w:t>
            </w:r>
          </w:p>
        </w:tc>
        <w:tc>
          <w:tcPr>
            <w:tcW w:w="2342" w:type="pct"/>
            <w:vMerge w:val="restart"/>
            <w:vAlign w:val="center"/>
          </w:tcPr>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TO8IPa - Business incubators and investment for self-empl</w:t>
            </w:r>
            <w:r w:rsidR="00203D0A">
              <w:rPr>
                <w:sz w:val="16"/>
                <w:szCs w:val="16"/>
                <w:lang w:bidi="en-US"/>
              </w:rPr>
              <w:t>oyment</w:t>
            </w:r>
            <w:r w:rsidRPr="002648C4">
              <w:rPr>
                <w:sz w:val="16"/>
                <w:szCs w:val="16"/>
                <w:lang w:bidi="en-US"/>
              </w:rPr>
              <w:t xml:space="preserve"> </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 xml:space="preserve">TO8IPb - Employment-friendly growth </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 xml:space="preserve">TO8IPc - Local development initiatives </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 xml:space="preserve">TO8IPd - Infrastructure for employment services </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 xml:space="preserve">TO8IPi - Access to employment for job-seekers </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 xml:space="preserve">TO8IPii - Integration into labour market of young people </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 xml:space="preserve">TO8IPiii - Self-employment, entrepreneurship </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TO8IPiv - Equality between men and women</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 xml:space="preserve">TO8IPv - Adaptation of workers etc. to change </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 xml:space="preserve">TO8IPvi - Active and healthy ageing </w:t>
            </w:r>
          </w:p>
          <w:p w:rsidR="00A34358" w:rsidRDefault="00855E30" w:rsidP="00807960">
            <w:pPr>
              <w:numPr>
                <w:ilvl w:val="0"/>
                <w:numId w:val="8"/>
              </w:numPr>
              <w:ind w:left="174" w:hanging="142"/>
              <w:contextualSpacing/>
              <w:jc w:val="left"/>
              <w:rPr>
                <w:rFonts w:eastAsia="Times New Roman" w:cs="Times New Roman"/>
                <w:b/>
                <w:caps/>
                <w:sz w:val="16"/>
                <w:szCs w:val="16"/>
                <w:lang w:bidi="en-US"/>
              </w:rPr>
            </w:pPr>
            <w:r w:rsidRPr="002648C4">
              <w:rPr>
                <w:sz w:val="16"/>
                <w:szCs w:val="16"/>
                <w:lang w:bidi="en-US"/>
              </w:rPr>
              <w:t xml:space="preserve">TO8IPvii - Modernise labour market institutions </w:t>
            </w:r>
          </w:p>
        </w:tc>
      </w:tr>
      <w:tr w:rsidR="00855E30" w:rsidRPr="0016245F" w:rsidTr="00CE7E83">
        <w:trPr>
          <w:trHeight w:val="1234"/>
        </w:trPr>
        <w:tc>
          <w:tcPr>
            <w:tcW w:w="363" w:type="pct"/>
            <w:tcBorders>
              <w:bottom w:val="single" w:sz="4" w:space="0" w:color="auto"/>
            </w:tcBorders>
            <w:vAlign w:val="center"/>
          </w:tcPr>
          <w:p w:rsidR="00855E30" w:rsidRPr="002648C4" w:rsidRDefault="00855E30" w:rsidP="00CE7E83">
            <w:pPr>
              <w:ind w:left="65"/>
              <w:contextualSpacing/>
              <w:jc w:val="left"/>
              <w:rPr>
                <w:sz w:val="18"/>
                <w:szCs w:val="18"/>
                <w:lang w:bidi="en-US"/>
              </w:rPr>
            </w:pPr>
            <w:r w:rsidRPr="002648C4">
              <w:rPr>
                <w:sz w:val="18"/>
                <w:szCs w:val="18"/>
                <w:lang w:bidi="en-US"/>
              </w:rPr>
              <w:t>9</w:t>
            </w:r>
          </w:p>
        </w:tc>
        <w:tc>
          <w:tcPr>
            <w:tcW w:w="1078" w:type="pct"/>
            <w:tcBorders>
              <w:bottom w:val="single" w:sz="4" w:space="0" w:color="auto"/>
            </w:tcBorders>
            <w:vAlign w:val="center"/>
          </w:tcPr>
          <w:p w:rsidR="00855E30" w:rsidRPr="002648C4" w:rsidRDefault="00855E30" w:rsidP="00CE7E83">
            <w:pPr>
              <w:contextualSpacing/>
              <w:jc w:val="left"/>
              <w:rPr>
                <w:sz w:val="18"/>
                <w:szCs w:val="18"/>
                <w:lang w:bidi="en-US"/>
              </w:rPr>
            </w:pPr>
            <w:r w:rsidRPr="0016245F">
              <w:rPr>
                <w:sz w:val="18"/>
                <w:szCs w:val="18"/>
                <w:lang w:bidi="en-US"/>
              </w:rPr>
              <w:t>LM i</w:t>
            </w:r>
            <w:r w:rsidRPr="002648C4">
              <w:rPr>
                <w:sz w:val="18"/>
                <w:szCs w:val="18"/>
                <w:lang w:bidi="en-US"/>
              </w:rPr>
              <w:t>ntegration of young people</w:t>
            </w:r>
          </w:p>
        </w:tc>
        <w:tc>
          <w:tcPr>
            <w:tcW w:w="1218" w:type="pct"/>
            <w:vMerge/>
            <w:vAlign w:val="center"/>
          </w:tcPr>
          <w:p w:rsidR="00A34358" w:rsidRDefault="00A34358" w:rsidP="00807960">
            <w:pPr>
              <w:numPr>
                <w:ilvl w:val="0"/>
                <w:numId w:val="8"/>
              </w:numPr>
              <w:ind w:left="174" w:hanging="142"/>
              <w:contextualSpacing/>
              <w:jc w:val="left"/>
              <w:rPr>
                <w:sz w:val="18"/>
                <w:szCs w:val="18"/>
                <w:lang w:bidi="en-US"/>
              </w:rPr>
            </w:pPr>
          </w:p>
        </w:tc>
        <w:tc>
          <w:tcPr>
            <w:tcW w:w="2342" w:type="pct"/>
            <w:vMerge/>
            <w:vAlign w:val="center"/>
          </w:tcPr>
          <w:p w:rsidR="00A34358" w:rsidRDefault="00A34358" w:rsidP="00807960">
            <w:pPr>
              <w:numPr>
                <w:ilvl w:val="0"/>
                <w:numId w:val="8"/>
              </w:numPr>
              <w:ind w:left="174" w:hanging="142"/>
              <w:contextualSpacing/>
              <w:jc w:val="left"/>
              <w:rPr>
                <w:sz w:val="16"/>
                <w:szCs w:val="16"/>
                <w:lang w:bidi="en-US"/>
              </w:rPr>
            </w:pPr>
          </w:p>
        </w:tc>
      </w:tr>
      <w:tr w:rsidR="00855E30" w:rsidRPr="0016245F" w:rsidTr="00CE7E83">
        <w:trPr>
          <w:trHeight w:val="1234"/>
        </w:trPr>
        <w:tc>
          <w:tcPr>
            <w:tcW w:w="363" w:type="pct"/>
            <w:tcBorders>
              <w:bottom w:val="single" w:sz="4" w:space="0" w:color="auto"/>
            </w:tcBorders>
            <w:vAlign w:val="center"/>
          </w:tcPr>
          <w:p w:rsidR="00855E30" w:rsidRPr="0016245F" w:rsidRDefault="00855E30" w:rsidP="00CE7E83">
            <w:pPr>
              <w:ind w:left="65"/>
              <w:contextualSpacing/>
              <w:jc w:val="left"/>
              <w:rPr>
                <w:sz w:val="18"/>
                <w:szCs w:val="18"/>
                <w:lang w:bidi="en-US"/>
              </w:rPr>
            </w:pPr>
            <w:r w:rsidRPr="0016245F">
              <w:rPr>
                <w:sz w:val="18"/>
                <w:szCs w:val="18"/>
                <w:lang w:bidi="en-US"/>
              </w:rPr>
              <w:t>10</w:t>
            </w:r>
          </w:p>
        </w:tc>
        <w:tc>
          <w:tcPr>
            <w:tcW w:w="1078" w:type="pct"/>
            <w:tcBorders>
              <w:bottom w:val="single" w:sz="4" w:space="0" w:color="auto"/>
            </w:tcBorders>
            <w:vAlign w:val="center"/>
          </w:tcPr>
          <w:p w:rsidR="000F7B53" w:rsidRPr="006A32BB" w:rsidRDefault="00855E30" w:rsidP="00CE7E83">
            <w:pPr>
              <w:contextualSpacing/>
              <w:jc w:val="left"/>
              <w:rPr>
                <w:sz w:val="18"/>
                <w:szCs w:val="18"/>
                <w:lang w:bidi="en-US"/>
              </w:rPr>
            </w:pPr>
            <w:r w:rsidRPr="0016245F">
              <w:rPr>
                <w:sz w:val="18"/>
                <w:szCs w:val="18"/>
                <w:lang w:bidi="en-US"/>
              </w:rPr>
              <w:t xml:space="preserve">Wage setting </w:t>
            </w:r>
            <w:r w:rsidR="000F7B53">
              <w:rPr>
                <w:sz w:val="18"/>
                <w:szCs w:val="18"/>
                <w:lang w:bidi="en-US"/>
              </w:rPr>
              <w:t xml:space="preserve">- </w:t>
            </w:r>
            <w:r w:rsidRPr="0016245F">
              <w:rPr>
                <w:sz w:val="18"/>
                <w:szCs w:val="18"/>
                <w:lang w:bidi="en-US"/>
              </w:rPr>
              <w:t>wage in line with productivity; minimum wage</w:t>
            </w:r>
          </w:p>
        </w:tc>
        <w:tc>
          <w:tcPr>
            <w:tcW w:w="1218" w:type="pct"/>
            <w:vMerge/>
            <w:tcBorders>
              <w:bottom w:val="single" w:sz="4" w:space="0" w:color="auto"/>
            </w:tcBorders>
            <w:vAlign w:val="center"/>
          </w:tcPr>
          <w:p w:rsidR="00A34358" w:rsidRDefault="00A34358" w:rsidP="00807960">
            <w:pPr>
              <w:numPr>
                <w:ilvl w:val="0"/>
                <w:numId w:val="8"/>
              </w:numPr>
              <w:ind w:left="174" w:hanging="142"/>
              <w:contextualSpacing/>
              <w:jc w:val="left"/>
              <w:rPr>
                <w:sz w:val="18"/>
                <w:szCs w:val="18"/>
                <w:lang w:bidi="en-US"/>
              </w:rPr>
            </w:pPr>
          </w:p>
        </w:tc>
        <w:tc>
          <w:tcPr>
            <w:tcW w:w="2342" w:type="pct"/>
            <w:vMerge/>
            <w:tcBorders>
              <w:bottom w:val="single" w:sz="4" w:space="0" w:color="auto"/>
            </w:tcBorders>
            <w:vAlign w:val="center"/>
          </w:tcPr>
          <w:p w:rsidR="00A34358" w:rsidRDefault="00A34358" w:rsidP="00807960">
            <w:pPr>
              <w:numPr>
                <w:ilvl w:val="0"/>
                <w:numId w:val="8"/>
              </w:numPr>
              <w:ind w:left="174" w:hanging="142"/>
              <w:contextualSpacing/>
              <w:jc w:val="left"/>
              <w:rPr>
                <w:sz w:val="16"/>
                <w:szCs w:val="16"/>
                <w:lang w:bidi="en-US"/>
              </w:rPr>
            </w:pPr>
          </w:p>
        </w:tc>
      </w:tr>
      <w:tr w:rsidR="00855E30" w:rsidRPr="002648C4" w:rsidTr="00CE7E83">
        <w:trPr>
          <w:trHeight w:val="341"/>
        </w:trPr>
        <w:tc>
          <w:tcPr>
            <w:tcW w:w="5000" w:type="pct"/>
            <w:gridSpan w:val="4"/>
            <w:shd w:val="clear" w:color="auto" w:fill="BFBFBF" w:themeFill="background1" w:themeFillShade="BF"/>
            <w:vAlign w:val="center"/>
          </w:tcPr>
          <w:p w:rsidR="00855E30" w:rsidRPr="002648C4" w:rsidRDefault="00855E30" w:rsidP="00CE7E83">
            <w:pPr>
              <w:ind w:left="32"/>
              <w:contextualSpacing/>
              <w:jc w:val="left"/>
              <w:rPr>
                <w:i/>
                <w:sz w:val="16"/>
                <w:szCs w:val="16"/>
                <w:lang w:bidi="en-US"/>
              </w:rPr>
            </w:pPr>
            <w:r w:rsidRPr="002648C4">
              <w:rPr>
                <w:i/>
                <w:sz w:val="18"/>
                <w:szCs w:val="18"/>
                <w:lang w:bidi="en-US"/>
              </w:rPr>
              <w:t>Broad area: Inclusion, discrimination and poverty</w:t>
            </w:r>
          </w:p>
        </w:tc>
      </w:tr>
      <w:tr w:rsidR="00855E30" w:rsidRPr="002648C4" w:rsidTr="00CE7E83">
        <w:trPr>
          <w:trHeight w:val="693"/>
        </w:trPr>
        <w:tc>
          <w:tcPr>
            <w:tcW w:w="363" w:type="pct"/>
            <w:vAlign w:val="center"/>
          </w:tcPr>
          <w:p w:rsidR="00855E30" w:rsidRPr="002648C4" w:rsidRDefault="00855E30" w:rsidP="00CE7E83">
            <w:pPr>
              <w:contextualSpacing/>
              <w:jc w:val="left"/>
              <w:rPr>
                <w:sz w:val="18"/>
                <w:szCs w:val="18"/>
                <w:lang w:bidi="en-US"/>
              </w:rPr>
            </w:pPr>
            <w:r w:rsidRPr="0016245F">
              <w:rPr>
                <w:sz w:val="18"/>
                <w:szCs w:val="18"/>
                <w:lang w:bidi="en-US"/>
              </w:rPr>
              <w:t>11</w:t>
            </w:r>
          </w:p>
        </w:tc>
        <w:tc>
          <w:tcPr>
            <w:tcW w:w="1078" w:type="pct"/>
            <w:vAlign w:val="center"/>
          </w:tcPr>
          <w:p w:rsidR="00855E30" w:rsidRPr="002648C4" w:rsidRDefault="00855E30" w:rsidP="00CE7E83">
            <w:pPr>
              <w:jc w:val="left"/>
              <w:rPr>
                <w:sz w:val="18"/>
                <w:szCs w:val="18"/>
              </w:rPr>
            </w:pPr>
            <w:r w:rsidRPr="002648C4">
              <w:rPr>
                <w:sz w:val="18"/>
                <w:szCs w:val="18"/>
              </w:rPr>
              <w:t>Gender equality (including reconciliation of work and private life)</w:t>
            </w:r>
          </w:p>
        </w:tc>
        <w:tc>
          <w:tcPr>
            <w:tcW w:w="1218" w:type="pct"/>
            <w:vMerge w:val="restart"/>
            <w:vAlign w:val="center"/>
          </w:tcPr>
          <w:p w:rsidR="00A34358" w:rsidRDefault="00855E30" w:rsidP="00807960">
            <w:pPr>
              <w:numPr>
                <w:ilvl w:val="0"/>
                <w:numId w:val="8"/>
              </w:numPr>
              <w:ind w:left="174" w:hanging="142"/>
              <w:contextualSpacing/>
              <w:jc w:val="left"/>
              <w:rPr>
                <w:sz w:val="16"/>
                <w:szCs w:val="16"/>
                <w:lang w:bidi="en-US"/>
              </w:rPr>
            </w:pPr>
            <w:r w:rsidRPr="00DB3663">
              <w:rPr>
                <w:sz w:val="16"/>
                <w:szCs w:val="16"/>
                <w:lang w:bidi="en-US"/>
              </w:rPr>
              <w:t>TO9 - Social inclusion, poverty, discrimination</w:t>
            </w:r>
          </w:p>
          <w:p w:rsidR="00A34358" w:rsidRDefault="00855E30" w:rsidP="00807960">
            <w:pPr>
              <w:numPr>
                <w:ilvl w:val="0"/>
                <w:numId w:val="8"/>
              </w:numPr>
              <w:ind w:left="174" w:hanging="142"/>
              <w:contextualSpacing/>
              <w:jc w:val="left"/>
              <w:rPr>
                <w:sz w:val="16"/>
                <w:szCs w:val="16"/>
                <w:lang w:bidi="en-US"/>
              </w:rPr>
            </w:pPr>
            <w:r w:rsidRPr="00DB3663">
              <w:rPr>
                <w:sz w:val="16"/>
                <w:szCs w:val="16"/>
                <w:lang w:bidi="en-US"/>
              </w:rPr>
              <w:t>TO8 - Sustainable employment and labour mobility</w:t>
            </w:r>
          </w:p>
          <w:p w:rsidR="00A34358" w:rsidRDefault="00855E30" w:rsidP="00807960">
            <w:pPr>
              <w:numPr>
                <w:ilvl w:val="0"/>
                <w:numId w:val="8"/>
              </w:numPr>
              <w:ind w:left="174" w:hanging="142"/>
              <w:contextualSpacing/>
              <w:jc w:val="left"/>
              <w:rPr>
                <w:sz w:val="16"/>
                <w:szCs w:val="16"/>
                <w:lang w:bidi="en-US"/>
              </w:rPr>
            </w:pPr>
            <w:r w:rsidRPr="00DB3663">
              <w:rPr>
                <w:sz w:val="16"/>
                <w:szCs w:val="16"/>
                <w:lang w:bidi="en-US"/>
              </w:rPr>
              <w:t xml:space="preserve">UP6 - promoting social inclusion, poverty reduction and </w:t>
            </w:r>
            <w:proofErr w:type="spellStart"/>
            <w:r w:rsidRPr="00DB3663">
              <w:rPr>
                <w:sz w:val="16"/>
                <w:szCs w:val="16"/>
                <w:lang w:bidi="en-US"/>
              </w:rPr>
              <w:t>ec.</w:t>
            </w:r>
            <w:proofErr w:type="spellEnd"/>
            <w:r w:rsidRPr="00DB3663">
              <w:rPr>
                <w:sz w:val="16"/>
                <w:szCs w:val="16"/>
                <w:lang w:bidi="en-US"/>
              </w:rPr>
              <w:t xml:space="preserve"> dev.</w:t>
            </w:r>
          </w:p>
        </w:tc>
        <w:tc>
          <w:tcPr>
            <w:tcW w:w="2342" w:type="pct"/>
            <w:vMerge w:val="restart"/>
            <w:vAlign w:val="center"/>
          </w:tcPr>
          <w:p w:rsidR="00A34358" w:rsidRDefault="00855E30" w:rsidP="00807960">
            <w:pPr>
              <w:numPr>
                <w:ilvl w:val="0"/>
                <w:numId w:val="8"/>
              </w:numPr>
              <w:ind w:left="174" w:hanging="142"/>
              <w:contextualSpacing/>
              <w:jc w:val="left"/>
              <w:rPr>
                <w:sz w:val="16"/>
                <w:szCs w:val="16"/>
                <w:lang w:bidi="en-US"/>
              </w:rPr>
            </w:pPr>
            <w:r w:rsidRPr="002648C4">
              <w:rPr>
                <w:sz w:val="16"/>
                <w:szCs w:val="16"/>
                <w:lang w:bidi="en-US"/>
              </w:rPr>
              <w:t xml:space="preserve">TO8IPiv - Equality between men and women </w:t>
            </w:r>
          </w:p>
          <w:p w:rsidR="00A34358" w:rsidRDefault="00855E30" w:rsidP="00807960">
            <w:pPr>
              <w:numPr>
                <w:ilvl w:val="0"/>
                <w:numId w:val="8"/>
              </w:numPr>
              <w:ind w:left="174" w:hanging="142"/>
              <w:contextualSpacing/>
              <w:jc w:val="left"/>
              <w:rPr>
                <w:sz w:val="16"/>
                <w:szCs w:val="16"/>
                <w:lang w:bidi="en-US"/>
              </w:rPr>
            </w:pPr>
            <w:r w:rsidRPr="002648C4">
              <w:rPr>
                <w:sz w:val="16"/>
                <w:szCs w:val="16"/>
                <w:lang w:bidi="en-US"/>
              </w:rPr>
              <w:t xml:space="preserve">TO9IPb - Support regeneration of deprived communities </w:t>
            </w:r>
          </w:p>
          <w:p w:rsidR="00A34358" w:rsidRDefault="00855E30" w:rsidP="00807960">
            <w:pPr>
              <w:numPr>
                <w:ilvl w:val="0"/>
                <w:numId w:val="8"/>
              </w:numPr>
              <w:ind w:left="174" w:hanging="142"/>
              <w:contextualSpacing/>
              <w:jc w:val="left"/>
              <w:rPr>
                <w:sz w:val="16"/>
                <w:szCs w:val="16"/>
                <w:lang w:bidi="en-US"/>
              </w:rPr>
            </w:pPr>
            <w:r w:rsidRPr="002648C4">
              <w:rPr>
                <w:sz w:val="16"/>
                <w:szCs w:val="16"/>
                <w:lang w:bidi="en-US"/>
              </w:rPr>
              <w:t xml:space="preserve">TO9IPc - Support for social enterprises </w:t>
            </w:r>
          </w:p>
          <w:p w:rsidR="00A34358" w:rsidRDefault="00855E30" w:rsidP="00807960">
            <w:pPr>
              <w:numPr>
                <w:ilvl w:val="0"/>
                <w:numId w:val="8"/>
              </w:numPr>
              <w:ind w:left="174" w:hanging="142"/>
              <w:contextualSpacing/>
              <w:jc w:val="left"/>
              <w:rPr>
                <w:sz w:val="16"/>
                <w:szCs w:val="16"/>
                <w:lang w:bidi="en-US"/>
              </w:rPr>
            </w:pPr>
            <w:r w:rsidRPr="002648C4">
              <w:rPr>
                <w:sz w:val="16"/>
                <w:szCs w:val="16"/>
                <w:lang w:bidi="en-US"/>
              </w:rPr>
              <w:t xml:space="preserve">TO9IPd - Investment community-led local dev. strategies </w:t>
            </w:r>
          </w:p>
          <w:p w:rsidR="00A34358" w:rsidRDefault="00855E30" w:rsidP="00807960">
            <w:pPr>
              <w:numPr>
                <w:ilvl w:val="0"/>
                <w:numId w:val="8"/>
              </w:numPr>
              <w:ind w:left="174" w:hanging="142"/>
              <w:contextualSpacing/>
              <w:jc w:val="left"/>
              <w:rPr>
                <w:sz w:val="16"/>
                <w:szCs w:val="16"/>
                <w:lang w:bidi="en-US"/>
              </w:rPr>
            </w:pPr>
            <w:r w:rsidRPr="002648C4">
              <w:rPr>
                <w:sz w:val="16"/>
                <w:szCs w:val="16"/>
                <w:lang w:bidi="en-US"/>
              </w:rPr>
              <w:t xml:space="preserve">TO9IPi - Active inclusion </w:t>
            </w:r>
          </w:p>
          <w:p w:rsidR="00A34358" w:rsidRDefault="00855E30" w:rsidP="00807960">
            <w:pPr>
              <w:numPr>
                <w:ilvl w:val="0"/>
                <w:numId w:val="8"/>
              </w:numPr>
              <w:ind w:left="174" w:hanging="142"/>
              <w:contextualSpacing/>
              <w:jc w:val="left"/>
              <w:rPr>
                <w:sz w:val="16"/>
                <w:szCs w:val="16"/>
                <w:lang w:bidi="en-US"/>
              </w:rPr>
            </w:pPr>
            <w:r w:rsidRPr="002648C4">
              <w:rPr>
                <w:sz w:val="16"/>
                <w:szCs w:val="16"/>
                <w:lang w:bidi="en-US"/>
              </w:rPr>
              <w:t xml:space="preserve">TO9IPii - Socio-econ. integration marginalised communities </w:t>
            </w:r>
          </w:p>
          <w:p w:rsidR="00A34358" w:rsidRDefault="00855E30" w:rsidP="00807960">
            <w:pPr>
              <w:numPr>
                <w:ilvl w:val="0"/>
                <w:numId w:val="8"/>
              </w:numPr>
              <w:ind w:left="174" w:hanging="142"/>
              <w:contextualSpacing/>
              <w:jc w:val="left"/>
              <w:rPr>
                <w:sz w:val="16"/>
                <w:szCs w:val="16"/>
                <w:lang w:bidi="en-US"/>
              </w:rPr>
            </w:pPr>
            <w:r w:rsidRPr="002648C4">
              <w:rPr>
                <w:sz w:val="16"/>
                <w:szCs w:val="16"/>
                <w:lang w:bidi="en-US"/>
              </w:rPr>
              <w:t xml:space="preserve">TO9IPiii - Combating all forms of discrimination </w:t>
            </w:r>
          </w:p>
          <w:p w:rsidR="00A34358" w:rsidRDefault="00855E30" w:rsidP="00807960">
            <w:pPr>
              <w:numPr>
                <w:ilvl w:val="0"/>
                <w:numId w:val="8"/>
              </w:numPr>
              <w:ind w:left="174" w:hanging="142"/>
              <w:contextualSpacing/>
              <w:jc w:val="left"/>
              <w:rPr>
                <w:sz w:val="16"/>
                <w:szCs w:val="16"/>
                <w:lang w:bidi="en-US"/>
              </w:rPr>
            </w:pPr>
            <w:r w:rsidRPr="002648C4">
              <w:rPr>
                <w:sz w:val="16"/>
                <w:szCs w:val="16"/>
                <w:lang w:bidi="en-US"/>
              </w:rPr>
              <w:t xml:space="preserve">TO9IPiv - Enhance access to affordable services </w:t>
            </w:r>
          </w:p>
          <w:p w:rsidR="00A34358" w:rsidRDefault="00855E30" w:rsidP="00807960">
            <w:pPr>
              <w:numPr>
                <w:ilvl w:val="0"/>
                <w:numId w:val="8"/>
              </w:numPr>
              <w:ind w:left="174" w:hanging="142"/>
              <w:contextualSpacing/>
              <w:jc w:val="left"/>
              <w:rPr>
                <w:sz w:val="16"/>
                <w:szCs w:val="16"/>
                <w:lang w:bidi="en-US"/>
              </w:rPr>
            </w:pPr>
            <w:r w:rsidRPr="002648C4">
              <w:rPr>
                <w:sz w:val="16"/>
                <w:szCs w:val="16"/>
                <w:lang w:bidi="en-US"/>
              </w:rPr>
              <w:t xml:space="preserve">TO9IPv - Social entrepreneurship, vocational integration </w:t>
            </w:r>
          </w:p>
          <w:p w:rsidR="00A34358" w:rsidRDefault="00855E30" w:rsidP="00807960">
            <w:pPr>
              <w:numPr>
                <w:ilvl w:val="0"/>
                <w:numId w:val="8"/>
              </w:numPr>
              <w:ind w:left="174" w:hanging="142"/>
              <w:contextualSpacing/>
              <w:jc w:val="left"/>
              <w:rPr>
                <w:sz w:val="16"/>
                <w:szCs w:val="16"/>
                <w:lang w:bidi="en-US"/>
              </w:rPr>
            </w:pPr>
            <w:r w:rsidRPr="002648C4">
              <w:rPr>
                <w:sz w:val="16"/>
                <w:szCs w:val="16"/>
                <w:lang w:bidi="en-US"/>
              </w:rPr>
              <w:t xml:space="preserve">TO9IPvi - Community-led local development strategies </w:t>
            </w:r>
          </w:p>
          <w:p w:rsidR="00A34358" w:rsidRDefault="00855E30" w:rsidP="00807960">
            <w:pPr>
              <w:numPr>
                <w:ilvl w:val="0"/>
                <w:numId w:val="8"/>
              </w:numPr>
              <w:ind w:left="174" w:hanging="142"/>
              <w:contextualSpacing/>
              <w:jc w:val="left"/>
              <w:rPr>
                <w:sz w:val="16"/>
                <w:szCs w:val="16"/>
                <w:lang w:bidi="en-US"/>
              </w:rPr>
            </w:pPr>
            <w:r w:rsidRPr="002648C4">
              <w:rPr>
                <w:sz w:val="16"/>
                <w:szCs w:val="16"/>
                <w:lang w:bidi="en-US"/>
              </w:rPr>
              <w:t>UP6FAa - Facilitating diversification, creation of new small enterprises and job creation.</w:t>
            </w:r>
          </w:p>
          <w:p w:rsidR="00A34358" w:rsidRDefault="00855E30" w:rsidP="00807960">
            <w:pPr>
              <w:numPr>
                <w:ilvl w:val="0"/>
                <w:numId w:val="8"/>
              </w:numPr>
              <w:ind w:left="174" w:hanging="142"/>
              <w:contextualSpacing/>
              <w:jc w:val="left"/>
              <w:rPr>
                <w:sz w:val="16"/>
                <w:szCs w:val="16"/>
                <w:lang w:bidi="en-US"/>
              </w:rPr>
            </w:pPr>
            <w:r w:rsidRPr="002648C4">
              <w:rPr>
                <w:sz w:val="16"/>
                <w:szCs w:val="16"/>
                <w:lang w:bidi="en-US"/>
              </w:rPr>
              <w:t>UP6Fab - Promoting local development in rural areas.</w:t>
            </w:r>
          </w:p>
          <w:p w:rsidR="00A34358" w:rsidRDefault="00855E30" w:rsidP="00807960">
            <w:pPr>
              <w:numPr>
                <w:ilvl w:val="0"/>
                <w:numId w:val="8"/>
              </w:numPr>
              <w:ind w:left="174" w:hanging="142"/>
              <w:contextualSpacing/>
              <w:jc w:val="left"/>
              <w:rPr>
                <w:sz w:val="16"/>
                <w:szCs w:val="16"/>
                <w:lang w:bidi="en-US"/>
              </w:rPr>
            </w:pPr>
            <w:r w:rsidRPr="002648C4">
              <w:rPr>
                <w:sz w:val="16"/>
                <w:szCs w:val="16"/>
                <w:lang w:bidi="en-US"/>
              </w:rPr>
              <w:t>UP6FAc - Enhancing accessibility to, and use and quality of ICT in rural areas.</w:t>
            </w:r>
          </w:p>
        </w:tc>
      </w:tr>
      <w:tr w:rsidR="00855E30" w:rsidRPr="002648C4" w:rsidTr="00CE7E83">
        <w:trPr>
          <w:trHeight w:val="993"/>
        </w:trPr>
        <w:tc>
          <w:tcPr>
            <w:tcW w:w="363" w:type="pct"/>
            <w:vAlign w:val="center"/>
          </w:tcPr>
          <w:p w:rsidR="00855E30" w:rsidRPr="002648C4" w:rsidRDefault="00855E30" w:rsidP="00CE7E83">
            <w:pPr>
              <w:contextualSpacing/>
              <w:jc w:val="left"/>
              <w:rPr>
                <w:sz w:val="18"/>
                <w:szCs w:val="18"/>
                <w:lang w:bidi="en-US"/>
              </w:rPr>
            </w:pPr>
            <w:r w:rsidRPr="0016245F">
              <w:rPr>
                <w:sz w:val="18"/>
                <w:szCs w:val="18"/>
                <w:lang w:bidi="en-US"/>
              </w:rPr>
              <w:t>12</w:t>
            </w:r>
          </w:p>
        </w:tc>
        <w:tc>
          <w:tcPr>
            <w:tcW w:w="1078" w:type="pct"/>
            <w:vAlign w:val="center"/>
          </w:tcPr>
          <w:p w:rsidR="00855E30" w:rsidRPr="002648C4" w:rsidRDefault="00855E30" w:rsidP="00CE7E83">
            <w:pPr>
              <w:jc w:val="left"/>
              <w:rPr>
                <w:sz w:val="18"/>
                <w:szCs w:val="18"/>
              </w:rPr>
            </w:pPr>
            <w:r w:rsidRPr="002648C4">
              <w:rPr>
                <w:sz w:val="18"/>
                <w:szCs w:val="18"/>
              </w:rPr>
              <w:t>Integration of marginalized groups</w:t>
            </w:r>
          </w:p>
        </w:tc>
        <w:tc>
          <w:tcPr>
            <w:tcW w:w="1218" w:type="pct"/>
            <w:vMerge/>
            <w:vAlign w:val="center"/>
          </w:tcPr>
          <w:p w:rsidR="00A34358" w:rsidRDefault="00A34358" w:rsidP="00807960">
            <w:pPr>
              <w:numPr>
                <w:ilvl w:val="0"/>
                <w:numId w:val="8"/>
              </w:numPr>
              <w:ind w:left="174" w:hanging="142"/>
              <w:contextualSpacing/>
              <w:jc w:val="left"/>
              <w:rPr>
                <w:sz w:val="18"/>
                <w:szCs w:val="18"/>
                <w:lang w:bidi="en-US"/>
              </w:rPr>
            </w:pPr>
          </w:p>
        </w:tc>
        <w:tc>
          <w:tcPr>
            <w:tcW w:w="2342" w:type="pct"/>
            <w:vMerge/>
            <w:vAlign w:val="center"/>
          </w:tcPr>
          <w:p w:rsidR="00A34358" w:rsidRDefault="00A34358" w:rsidP="00807960">
            <w:pPr>
              <w:numPr>
                <w:ilvl w:val="0"/>
                <w:numId w:val="8"/>
              </w:numPr>
              <w:ind w:left="174" w:hanging="142"/>
              <w:contextualSpacing/>
              <w:jc w:val="left"/>
              <w:rPr>
                <w:sz w:val="16"/>
                <w:szCs w:val="16"/>
                <w:lang w:bidi="en-US"/>
              </w:rPr>
            </w:pPr>
          </w:p>
        </w:tc>
      </w:tr>
      <w:tr w:rsidR="00855E30" w:rsidRPr="002648C4" w:rsidTr="00CE7E83">
        <w:trPr>
          <w:trHeight w:val="848"/>
        </w:trPr>
        <w:tc>
          <w:tcPr>
            <w:tcW w:w="363" w:type="pct"/>
            <w:vAlign w:val="center"/>
          </w:tcPr>
          <w:p w:rsidR="00855E30" w:rsidRPr="002648C4" w:rsidRDefault="00855E30" w:rsidP="00CE7E83">
            <w:pPr>
              <w:contextualSpacing/>
              <w:jc w:val="left"/>
              <w:rPr>
                <w:sz w:val="18"/>
                <w:szCs w:val="18"/>
                <w:lang w:bidi="en-US"/>
              </w:rPr>
            </w:pPr>
            <w:r w:rsidRPr="0016245F">
              <w:rPr>
                <w:sz w:val="18"/>
                <w:szCs w:val="18"/>
                <w:lang w:bidi="en-US"/>
              </w:rPr>
              <w:t>13</w:t>
            </w:r>
          </w:p>
        </w:tc>
        <w:tc>
          <w:tcPr>
            <w:tcW w:w="1078" w:type="pct"/>
            <w:vAlign w:val="center"/>
          </w:tcPr>
          <w:p w:rsidR="00855E30" w:rsidRPr="002648C4" w:rsidRDefault="006207B8" w:rsidP="00CE7E83">
            <w:pPr>
              <w:jc w:val="left"/>
              <w:rPr>
                <w:sz w:val="18"/>
                <w:szCs w:val="18"/>
              </w:rPr>
            </w:pPr>
            <w:r>
              <w:rPr>
                <w:sz w:val="18"/>
                <w:szCs w:val="18"/>
              </w:rPr>
              <w:t xml:space="preserve">–Combatting </w:t>
            </w:r>
            <w:r w:rsidR="00855E30" w:rsidRPr="002648C4">
              <w:rPr>
                <w:sz w:val="18"/>
                <w:szCs w:val="18"/>
              </w:rPr>
              <w:t>discrimination</w:t>
            </w:r>
            <w:r w:rsidR="00855E30" w:rsidRPr="0016245F">
              <w:rPr>
                <w:sz w:val="18"/>
                <w:szCs w:val="18"/>
              </w:rPr>
              <w:t xml:space="preserve"> and poverty</w:t>
            </w:r>
          </w:p>
        </w:tc>
        <w:tc>
          <w:tcPr>
            <w:tcW w:w="1218" w:type="pct"/>
            <w:vMerge/>
            <w:vAlign w:val="center"/>
          </w:tcPr>
          <w:p w:rsidR="00A34358" w:rsidRDefault="00A34358" w:rsidP="00807960">
            <w:pPr>
              <w:numPr>
                <w:ilvl w:val="0"/>
                <w:numId w:val="8"/>
              </w:numPr>
              <w:ind w:left="174" w:hanging="142"/>
              <w:contextualSpacing/>
              <w:jc w:val="left"/>
              <w:rPr>
                <w:sz w:val="18"/>
                <w:szCs w:val="18"/>
                <w:lang w:bidi="en-US"/>
              </w:rPr>
            </w:pPr>
          </w:p>
        </w:tc>
        <w:tc>
          <w:tcPr>
            <w:tcW w:w="2342" w:type="pct"/>
            <w:vMerge/>
            <w:vAlign w:val="center"/>
          </w:tcPr>
          <w:p w:rsidR="00A34358" w:rsidRDefault="00A34358" w:rsidP="00807960">
            <w:pPr>
              <w:numPr>
                <w:ilvl w:val="0"/>
                <w:numId w:val="8"/>
              </w:numPr>
              <w:ind w:left="174" w:hanging="142"/>
              <w:contextualSpacing/>
              <w:jc w:val="left"/>
              <w:rPr>
                <w:sz w:val="16"/>
                <w:szCs w:val="16"/>
                <w:lang w:bidi="en-US"/>
              </w:rPr>
            </w:pPr>
          </w:p>
        </w:tc>
      </w:tr>
      <w:tr w:rsidR="00855E30" w:rsidRPr="002648C4" w:rsidTr="00CE7E83">
        <w:trPr>
          <w:trHeight w:val="68"/>
        </w:trPr>
        <w:tc>
          <w:tcPr>
            <w:tcW w:w="363" w:type="pct"/>
            <w:tcBorders>
              <w:bottom w:val="single" w:sz="4" w:space="0" w:color="auto"/>
            </w:tcBorders>
            <w:vAlign w:val="center"/>
          </w:tcPr>
          <w:p w:rsidR="00855E30" w:rsidRPr="002648C4" w:rsidRDefault="00855E30" w:rsidP="00CE7E83">
            <w:pPr>
              <w:contextualSpacing/>
              <w:jc w:val="left"/>
              <w:rPr>
                <w:sz w:val="18"/>
                <w:szCs w:val="18"/>
                <w:lang w:bidi="en-US"/>
              </w:rPr>
            </w:pPr>
            <w:r w:rsidRPr="002648C4">
              <w:rPr>
                <w:sz w:val="18"/>
                <w:szCs w:val="18"/>
                <w:lang w:bidi="en-US"/>
              </w:rPr>
              <w:t>14</w:t>
            </w:r>
          </w:p>
        </w:tc>
        <w:tc>
          <w:tcPr>
            <w:tcW w:w="1078" w:type="pct"/>
            <w:tcBorders>
              <w:bottom w:val="single" w:sz="4" w:space="0" w:color="auto"/>
            </w:tcBorders>
            <w:vAlign w:val="center"/>
          </w:tcPr>
          <w:p w:rsidR="00855E30" w:rsidRPr="002648C4" w:rsidRDefault="00855E30" w:rsidP="00CE7E83">
            <w:pPr>
              <w:jc w:val="left"/>
              <w:rPr>
                <w:sz w:val="18"/>
                <w:szCs w:val="18"/>
              </w:rPr>
            </w:pPr>
            <w:r w:rsidRPr="002648C4">
              <w:rPr>
                <w:sz w:val="18"/>
                <w:szCs w:val="18"/>
              </w:rPr>
              <w:t>Deprived urban and rural communities</w:t>
            </w:r>
          </w:p>
        </w:tc>
        <w:tc>
          <w:tcPr>
            <w:tcW w:w="1218" w:type="pct"/>
            <w:vMerge/>
            <w:tcBorders>
              <w:bottom w:val="single" w:sz="4" w:space="0" w:color="auto"/>
            </w:tcBorders>
            <w:vAlign w:val="center"/>
          </w:tcPr>
          <w:p w:rsidR="00A34358" w:rsidRDefault="00A34358" w:rsidP="00807960">
            <w:pPr>
              <w:numPr>
                <w:ilvl w:val="0"/>
                <w:numId w:val="8"/>
              </w:numPr>
              <w:ind w:left="174" w:hanging="142"/>
              <w:contextualSpacing/>
              <w:jc w:val="left"/>
              <w:rPr>
                <w:sz w:val="18"/>
                <w:szCs w:val="18"/>
                <w:lang w:bidi="en-US"/>
              </w:rPr>
            </w:pPr>
          </w:p>
        </w:tc>
        <w:tc>
          <w:tcPr>
            <w:tcW w:w="2342" w:type="pct"/>
            <w:vMerge/>
            <w:tcBorders>
              <w:bottom w:val="single" w:sz="4" w:space="0" w:color="auto"/>
            </w:tcBorders>
            <w:vAlign w:val="center"/>
          </w:tcPr>
          <w:p w:rsidR="00A34358" w:rsidRDefault="00A34358" w:rsidP="00807960">
            <w:pPr>
              <w:numPr>
                <w:ilvl w:val="0"/>
                <w:numId w:val="8"/>
              </w:numPr>
              <w:ind w:left="174" w:hanging="142"/>
              <w:contextualSpacing/>
              <w:jc w:val="left"/>
              <w:rPr>
                <w:sz w:val="16"/>
                <w:szCs w:val="16"/>
                <w:lang w:bidi="en-US"/>
              </w:rPr>
            </w:pPr>
          </w:p>
        </w:tc>
      </w:tr>
      <w:tr w:rsidR="00855E30" w:rsidRPr="002648C4" w:rsidTr="00CE7E83">
        <w:trPr>
          <w:trHeight w:val="335"/>
        </w:trPr>
        <w:tc>
          <w:tcPr>
            <w:tcW w:w="5000" w:type="pct"/>
            <w:gridSpan w:val="4"/>
            <w:shd w:val="clear" w:color="auto" w:fill="BFBFBF" w:themeFill="background1" w:themeFillShade="BF"/>
            <w:vAlign w:val="center"/>
          </w:tcPr>
          <w:p w:rsidR="00855E30" w:rsidRPr="002648C4" w:rsidRDefault="00855E30" w:rsidP="00CE7E83">
            <w:pPr>
              <w:ind w:left="32"/>
              <w:contextualSpacing/>
              <w:jc w:val="left"/>
              <w:rPr>
                <w:i/>
                <w:sz w:val="18"/>
                <w:szCs w:val="18"/>
                <w:lang w:bidi="en-US"/>
              </w:rPr>
            </w:pPr>
            <w:r w:rsidRPr="002648C4">
              <w:rPr>
                <w:i/>
                <w:sz w:val="18"/>
                <w:szCs w:val="18"/>
                <w:lang w:bidi="en-US"/>
              </w:rPr>
              <w:t>Broad area: Health and social infrastructure</w:t>
            </w:r>
          </w:p>
        </w:tc>
      </w:tr>
      <w:tr w:rsidR="00855E30" w:rsidRPr="002648C4" w:rsidTr="00CE7E83">
        <w:tc>
          <w:tcPr>
            <w:tcW w:w="363" w:type="pct"/>
            <w:tcBorders>
              <w:bottom w:val="single" w:sz="4" w:space="0" w:color="auto"/>
            </w:tcBorders>
            <w:vAlign w:val="center"/>
          </w:tcPr>
          <w:p w:rsidR="00855E30" w:rsidRPr="002648C4" w:rsidRDefault="00855E30" w:rsidP="00CE7E83">
            <w:pPr>
              <w:contextualSpacing/>
              <w:jc w:val="left"/>
              <w:rPr>
                <w:sz w:val="18"/>
                <w:szCs w:val="18"/>
                <w:lang w:bidi="en-US"/>
              </w:rPr>
            </w:pPr>
            <w:r w:rsidRPr="002648C4">
              <w:rPr>
                <w:sz w:val="18"/>
                <w:szCs w:val="18"/>
                <w:lang w:bidi="en-US"/>
              </w:rPr>
              <w:t>15</w:t>
            </w:r>
          </w:p>
        </w:tc>
        <w:tc>
          <w:tcPr>
            <w:tcW w:w="1078" w:type="pct"/>
            <w:tcBorders>
              <w:bottom w:val="single" w:sz="4" w:space="0" w:color="auto"/>
            </w:tcBorders>
            <w:vAlign w:val="center"/>
          </w:tcPr>
          <w:p w:rsidR="00855E30" w:rsidRPr="002648C4" w:rsidRDefault="00855E30" w:rsidP="00CE7E83">
            <w:pPr>
              <w:contextualSpacing/>
              <w:jc w:val="left"/>
              <w:rPr>
                <w:sz w:val="18"/>
                <w:szCs w:val="18"/>
                <w:lang w:bidi="en-US"/>
              </w:rPr>
            </w:pPr>
            <w:r w:rsidRPr="002648C4">
              <w:rPr>
                <w:sz w:val="18"/>
                <w:szCs w:val="18"/>
                <w:lang w:bidi="en-US"/>
              </w:rPr>
              <w:t xml:space="preserve">Health </w:t>
            </w:r>
            <w:r w:rsidRPr="0016245F">
              <w:rPr>
                <w:sz w:val="18"/>
                <w:szCs w:val="18"/>
                <w:lang w:bidi="en-US"/>
              </w:rPr>
              <w:t xml:space="preserve">and long-term </w:t>
            </w:r>
            <w:r w:rsidRPr="002648C4">
              <w:rPr>
                <w:sz w:val="18"/>
                <w:szCs w:val="18"/>
                <w:lang w:bidi="en-US"/>
              </w:rPr>
              <w:t>care</w:t>
            </w:r>
          </w:p>
        </w:tc>
        <w:tc>
          <w:tcPr>
            <w:tcW w:w="1218" w:type="pct"/>
            <w:tcBorders>
              <w:bottom w:val="single" w:sz="4" w:space="0" w:color="auto"/>
            </w:tcBorders>
            <w:vAlign w:val="center"/>
          </w:tcPr>
          <w:p w:rsidR="00A34358" w:rsidRDefault="00855E30" w:rsidP="00807960">
            <w:pPr>
              <w:numPr>
                <w:ilvl w:val="0"/>
                <w:numId w:val="8"/>
              </w:numPr>
              <w:ind w:left="174" w:hanging="142"/>
              <w:contextualSpacing/>
              <w:jc w:val="left"/>
              <w:rPr>
                <w:sz w:val="16"/>
                <w:szCs w:val="16"/>
                <w:lang w:bidi="en-US"/>
              </w:rPr>
            </w:pPr>
            <w:r w:rsidRPr="00DB3663">
              <w:rPr>
                <w:sz w:val="16"/>
                <w:szCs w:val="16"/>
                <w:lang w:bidi="en-US"/>
              </w:rPr>
              <w:t>TO9 - Social inclusion, poverty, discrimination</w:t>
            </w:r>
          </w:p>
        </w:tc>
        <w:tc>
          <w:tcPr>
            <w:tcW w:w="2342" w:type="pct"/>
            <w:tcBorders>
              <w:bottom w:val="single" w:sz="4" w:space="0" w:color="auto"/>
            </w:tcBorders>
            <w:vAlign w:val="center"/>
          </w:tcPr>
          <w:p w:rsidR="00A34358" w:rsidRDefault="00855E30" w:rsidP="00807960">
            <w:pPr>
              <w:numPr>
                <w:ilvl w:val="0"/>
                <w:numId w:val="8"/>
              </w:numPr>
              <w:ind w:left="174" w:hanging="142"/>
              <w:contextualSpacing/>
              <w:jc w:val="left"/>
              <w:rPr>
                <w:sz w:val="16"/>
                <w:szCs w:val="16"/>
                <w:lang w:bidi="en-US"/>
              </w:rPr>
            </w:pPr>
            <w:r w:rsidRPr="002648C4">
              <w:rPr>
                <w:sz w:val="16"/>
                <w:szCs w:val="16"/>
                <w:lang w:bidi="en-US"/>
              </w:rPr>
              <w:t>TO9IPa - Investing in health and social infrastructure</w:t>
            </w:r>
          </w:p>
          <w:p w:rsidR="00A34358" w:rsidRDefault="00855E30" w:rsidP="00807960">
            <w:pPr>
              <w:numPr>
                <w:ilvl w:val="0"/>
                <w:numId w:val="8"/>
              </w:numPr>
              <w:ind w:left="174" w:hanging="142"/>
              <w:contextualSpacing/>
              <w:jc w:val="left"/>
              <w:rPr>
                <w:sz w:val="16"/>
                <w:szCs w:val="16"/>
                <w:lang w:bidi="en-US"/>
              </w:rPr>
            </w:pPr>
            <w:r w:rsidRPr="002648C4">
              <w:rPr>
                <w:sz w:val="16"/>
                <w:szCs w:val="16"/>
                <w:lang w:bidi="en-US"/>
              </w:rPr>
              <w:t>TO2IPc – Strengthening ICT applications for (…) e-health</w:t>
            </w:r>
          </w:p>
          <w:p w:rsidR="00A34358" w:rsidRDefault="00855E30" w:rsidP="00807960">
            <w:pPr>
              <w:numPr>
                <w:ilvl w:val="0"/>
                <w:numId w:val="8"/>
              </w:numPr>
              <w:ind w:left="174" w:hanging="142"/>
              <w:contextualSpacing/>
              <w:jc w:val="left"/>
              <w:rPr>
                <w:sz w:val="16"/>
                <w:szCs w:val="16"/>
                <w:lang w:bidi="en-US"/>
              </w:rPr>
            </w:pPr>
            <w:r w:rsidRPr="002648C4">
              <w:rPr>
                <w:sz w:val="16"/>
                <w:szCs w:val="16"/>
                <w:lang w:bidi="en-US"/>
              </w:rPr>
              <w:t>TO8IPvi - Active and healthy ageing</w:t>
            </w:r>
          </w:p>
          <w:p w:rsidR="00A34358" w:rsidRDefault="00855E30" w:rsidP="00807960">
            <w:pPr>
              <w:numPr>
                <w:ilvl w:val="0"/>
                <w:numId w:val="8"/>
              </w:numPr>
              <w:ind w:left="174" w:hanging="142"/>
              <w:contextualSpacing/>
              <w:jc w:val="left"/>
              <w:rPr>
                <w:sz w:val="16"/>
                <w:szCs w:val="16"/>
                <w:lang w:bidi="en-US"/>
              </w:rPr>
            </w:pPr>
            <w:r w:rsidRPr="002648C4">
              <w:rPr>
                <w:sz w:val="16"/>
                <w:szCs w:val="16"/>
                <w:lang w:bidi="en-US"/>
              </w:rPr>
              <w:t xml:space="preserve">TO9IPiv - Enhancing access to affordable services, including healthcare </w:t>
            </w:r>
          </w:p>
        </w:tc>
      </w:tr>
      <w:tr w:rsidR="00855E30" w:rsidRPr="002648C4" w:rsidTr="00CE7E83">
        <w:trPr>
          <w:trHeight w:val="70"/>
        </w:trPr>
        <w:tc>
          <w:tcPr>
            <w:tcW w:w="363" w:type="pct"/>
            <w:tcBorders>
              <w:bottom w:val="single" w:sz="4" w:space="0" w:color="auto"/>
            </w:tcBorders>
            <w:vAlign w:val="center"/>
          </w:tcPr>
          <w:p w:rsidR="00855E30" w:rsidRPr="002648C4" w:rsidRDefault="00855E30" w:rsidP="00CE7E83">
            <w:pPr>
              <w:contextualSpacing/>
              <w:jc w:val="left"/>
              <w:rPr>
                <w:sz w:val="18"/>
                <w:szCs w:val="18"/>
                <w:lang w:bidi="en-US"/>
              </w:rPr>
            </w:pPr>
            <w:r w:rsidRPr="002648C4">
              <w:rPr>
                <w:sz w:val="18"/>
                <w:szCs w:val="18"/>
                <w:lang w:bidi="en-US"/>
              </w:rPr>
              <w:t>16</w:t>
            </w:r>
          </w:p>
        </w:tc>
        <w:tc>
          <w:tcPr>
            <w:tcW w:w="1078" w:type="pct"/>
            <w:tcBorders>
              <w:bottom w:val="single" w:sz="4" w:space="0" w:color="auto"/>
            </w:tcBorders>
            <w:vAlign w:val="center"/>
          </w:tcPr>
          <w:p w:rsidR="00855E30" w:rsidRPr="002648C4" w:rsidRDefault="00855E30" w:rsidP="00CE7E83">
            <w:pPr>
              <w:contextualSpacing/>
              <w:jc w:val="left"/>
              <w:rPr>
                <w:sz w:val="18"/>
                <w:szCs w:val="18"/>
                <w:lang w:bidi="en-US"/>
              </w:rPr>
            </w:pPr>
            <w:r w:rsidRPr="002648C4">
              <w:rPr>
                <w:sz w:val="18"/>
                <w:szCs w:val="18"/>
                <w:lang w:bidi="en-US"/>
              </w:rPr>
              <w:t>Housing and other social infrastructure</w:t>
            </w:r>
          </w:p>
        </w:tc>
        <w:tc>
          <w:tcPr>
            <w:tcW w:w="1218" w:type="pct"/>
            <w:tcBorders>
              <w:bottom w:val="single" w:sz="4" w:space="0" w:color="auto"/>
            </w:tcBorders>
            <w:vAlign w:val="center"/>
          </w:tcPr>
          <w:p w:rsidR="00A34358" w:rsidRDefault="00855E30" w:rsidP="00807960">
            <w:pPr>
              <w:numPr>
                <w:ilvl w:val="0"/>
                <w:numId w:val="8"/>
              </w:numPr>
              <w:ind w:left="174" w:hanging="142"/>
              <w:contextualSpacing/>
              <w:jc w:val="left"/>
              <w:rPr>
                <w:sz w:val="16"/>
                <w:szCs w:val="16"/>
                <w:lang w:bidi="en-US"/>
              </w:rPr>
            </w:pPr>
            <w:r w:rsidRPr="00DB3663">
              <w:rPr>
                <w:sz w:val="16"/>
                <w:szCs w:val="16"/>
                <w:lang w:bidi="en-US"/>
              </w:rPr>
              <w:t>TO9 - Social inclusion, poverty, discrimination</w:t>
            </w:r>
          </w:p>
        </w:tc>
        <w:tc>
          <w:tcPr>
            <w:tcW w:w="2342" w:type="pct"/>
            <w:tcBorders>
              <w:bottom w:val="single" w:sz="4" w:space="0" w:color="auto"/>
            </w:tcBorders>
            <w:vAlign w:val="center"/>
          </w:tcPr>
          <w:p w:rsidR="00A34358" w:rsidRDefault="00855E30" w:rsidP="00807960">
            <w:pPr>
              <w:numPr>
                <w:ilvl w:val="0"/>
                <w:numId w:val="8"/>
              </w:numPr>
              <w:ind w:left="174" w:hanging="142"/>
              <w:contextualSpacing/>
              <w:jc w:val="left"/>
              <w:rPr>
                <w:sz w:val="16"/>
                <w:szCs w:val="16"/>
                <w:lang w:bidi="en-US"/>
              </w:rPr>
            </w:pPr>
            <w:r w:rsidRPr="002648C4">
              <w:rPr>
                <w:sz w:val="16"/>
                <w:szCs w:val="16"/>
                <w:lang w:bidi="en-US"/>
              </w:rPr>
              <w:t xml:space="preserve">TO9IPa - Invest in health and social infrastructure </w:t>
            </w:r>
          </w:p>
          <w:p w:rsidR="00A34358" w:rsidRDefault="00855E30" w:rsidP="00807960">
            <w:pPr>
              <w:numPr>
                <w:ilvl w:val="0"/>
                <w:numId w:val="8"/>
              </w:numPr>
              <w:ind w:left="174" w:hanging="142"/>
              <w:contextualSpacing/>
              <w:jc w:val="left"/>
              <w:rPr>
                <w:sz w:val="16"/>
                <w:szCs w:val="16"/>
                <w:lang w:bidi="en-US"/>
              </w:rPr>
            </w:pPr>
            <w:r w:rsidRPr="002648C4">
              <w:rPr>
                <w:sz w:val="16"/>
                <w:szCs w:val="16"/>
                <w:lang w:bidi="en-US"/>
              </w:rPr>
              <w:t xml:space="preserve">TO9IPb - Support regeneration of deprived communities </w:t>
            </w:r>
          </w:p>
          <w:p w:rsidR="00A34358" w:rsidRDefault="00855E30" w:rsidP="00807960">
            <w:pPr>
              <w:numPr>
                <w:ilvl w:val="0"/>
                <w:numId w:val="8"/>
              </w:numPr>
              <w:ind w:left="174" w:hanging="142"/>
              <w:contextualSpacing/>
              <w:jc w:val="left"/>
              <w:rPr>
                <w:sz w:val="16"/>
                <w:szCs w:val="16"/>
                <w:lang w:bidi="en-US"/>
              </w:rPr>
            </w:pPr>
            <w:r w:rsidRPr="002648C4">
              <w:rPr>
                <w:sz w:val="16"/>
                <w:szCs w:val="16"/>
                <w:lang w:bidi="en-US"/>
              </w:rPr>
              <w:t xml:space="preserve">TO9IPc - Support for social enterprises </w:t>
            </w:r>
          </w:p>
          <w:p w:rsidR="00A34358" w:rsidRDefault="00855E30" w:rsidP="00807960">
            <w:pPr>
              <w:numPr>
                <w:ilvl w:val="0"/>
                <w:numId w:val="8"/>
              </w:numPr>
              <w:ind w:left="174" w:hanging="142"/>
              <w:contextualSpacing/>
              <w:jc w:val="left"/>
              <w:rPr>
                <w:sz w:val="16"/>
                <w:szCs w:val="16"/>
                <w:lang w:bidi="en-US"/>
              </w:rPr>
            </w:pPr>
            <w:r w:rsidRPr="002648C4">
              <w:rPr>
                <w:sz w:val="16"/>
                <w:szCs w:val="16"/>
                <w:lang w:bidi="en-US"/>
              </w:rPr>
              <w:t xml:space="preserve">TO9IPd - Investment community-led local dev. strategies </w:t>
            </w:r>
          </w:p>
          <w:p w:rsidR="00A34358" w:rsidRDefault="00855E30" w:rsidP="00807960">
            <w:pPr>
              <w:numPr>
                <w:ilvl w:val="0"/>
                <w:numId w:val="8"/>
              </w:numPr>
              <w:ind w:left="174" w:hanging="142"/>
              <w:contextualSpacing/>
              <w:jc w:val="left"/>
              <w:rPr>
                <w:sz w:val="16"/>
                <w:szCs w:val="16"/>
                <w:lang w:bidi="en-US"/>
              </w:rPr>
            </w:pPr>
            <w:r w:rsidRPr="002648C4">
              <w:rPr>
                <w:sz w:val="16"/>
                <w:szCs w:val="16"/>
                <w:lang w:bidi="en-US"/>
              </w:rPr>
              <w:t xml:space="preserve">TO9IPii - Socio-econ. integration marginalised communities </w:t>
            </w:r>
          </w:p>
          <w:p w:rsidR="00A34358" w:rsidRDefault="00855E30" w:rsidP="00807960">
            <w:pPr>
              <w:numPr>
                <w:ilvl w:val="0"/>
                <w:numId w:val="8"/>
              </w:numPr>
              <w:ind w:left="174" w:hanging="142"/>
              <w:contextualSpacing/>
              <w:jc w:val="left"/>
              <w:rPr>
                <w:sz w:val="16"/>
                <w:szCs w:val="16"/>
                <w:lang w:bidi="en-US"/>
              </w:rPr>
            </w:pPr>
            <w:r w:rsidRPr="002648C4">
              <w:rPr>
                <w:sz w:val="16"/>
                <w:szCs w:val="16"/>
                <w:lang w:bidi="en-US"/>
              </w:rPr>
              <w:t xml:space="preserve">TO9IPiii - Combating all forms of discrimination </w:t>
            </w:r>
          </w:p>
          <w:p w:rsidR="00A34358" w:rsidRDefault="00855E30" w:rsidP="00807960">
            <w:pPr>
              <w:numPr>
                <w:ilvl w:val="0"/>
                <w:numId w:val="8"/>
              </w:numPr>
              <w:ind w:left="174" w:hanging="142"/>
              <w:contextualSpacing/>
              <w:jc w:val="left"/>
              <w:rPr>
                <w:sz w:val="16"/>
                <w:szCs w:val="16"/>
                <w:lang w:bidi="en-US"/>
              </w:rPr>
            </w:pPr>
            <w:r w:rsidRPr="002648C4">
              <w:rPr>
                <w:sz w:val="16"/>
                <w:szCs w:val="16"/>
                <w:lang w:bidi="en-US"/>
              </w:rPr>
              <w:t xml:space="preserve">TO9IPiv - Enhance access to affordable services </w:t>
            </w:r>
          </w:p>
          <w:p w:rsidR="00A34358" w:rsidRDefault="00855E30" w:rsidP="00807960">
            <w:pPr>
              <w:numPr>
                <w:ilvl w:val="0"/>
                <w:numId w:val="8"/>
              </w:numPr>
              <w:ind w:left="174" w:hanging="142"/>
              <w:contextualSpacing/>
              <w:jc w:val="left"/>
              <w:rPr>
                <w:sz w:val="16"/>
                <w:szCs w:val="16"/>
                <w:lang w:bidi="en-US"/>
              </w:rPr>
            </w:pPr>
            <w:r w:rsidRPr="002648C4">
              <w:rPr>
                <w:sz w:val="16"/>
                <w:szCs w:val="16"/>
                <w:lang w:bidi="en-US"/>
              </w:rPr>
              <w:t xml:space="preserve">TO9IPv - Social entrepreneurship, vocational integration </w:t>
            </w:r>
          </w:p>
          <w:p w:rsidR="00A34358" w:rsidRDefault="00855E30" w:rsidP="00807960">
            <w:pPr>
              <w:numPr>
                <w:ilvl w:val="0"/>
                <w:numId w:val="8"/>
              </w:numPr>
              <w:ind w:left="174" w:hanging="142"/>
              <w:contextualSpacing/>
              <w:jc w:val="left"/>
              <w:rPr>
                <w:sz w:val="16"/>
                <w:szCs w:val="16"/>
                <w:lang w:bidi="en-US"/>
              </w:rPr>
            </w:pPr>
            <w:r w:rsidRPr="002648C4">
              <w:rPr>
                <w:sz w:val="16"/>
                <w:szCs w:val="16"/>
                <w:lang w:bidi="en-US"/>
              </w:rPr>
              <w:t xml:space="preserve">TO9IPvi - Community-led local development strategies </w:t>
            </w:r>
          </w:p>
        </w:tc>
      </w:tr>
      <w:tr w:rsidR="00855E30" w:rsidRPr="002648C4" w:rsidTr="00CE7E83">
        <w:trPr>
          <w:trHeight w:val="325"/>
        </w:trPr>
        <w:tc>
          <w:tcPr>
            <w:tcW w:w="5000" w:type="pct"/>
            <w:gridSpan w:val="4"/>
            <w:shd w:val="clear" w:color="auto" w:fill="BFBFBF" w:themeFill="background1" w:themeFillShade="BF"/>
            <w:vAlign w:val="center"/>
          </w:tcPr>
          <w:p w:rsidR="00855E30" w:rsidRPr="002648C4" w:rsidRDefault="00855E30" w:rsidP="00CE7E83">
            <w:pPr>
              <w:contextualSpacing/>
              <w:jc w:val="left"/>
              <w:rPr>
                <w:i/>
                <w:sz w:val="16"/>
                <w:szCs w:val="16"/>
                <w:lang w:bidi="en-US"/>
              </w:rPr>
            </w:pPr>
            <w:r w:rsidRPr="002648C4">
              <w:rPr>
                <w:i/>
                <w:sz w:val="18"/>
                <w:szCs w:val="18"/>
                <w:lang w:bidi="en-US"/>
              </w:rPr>
              <w:t>Broad area: Education and training</w:t>
            </w:r>
          </w:p>
        </w:tc>
      </w:tr>
      <w:tr w:rsidR="00855E30" w:rsidRPr="002648C4" w:rsidTr="00CE7E83">
        <w:trPr>
          <w:trHeight w:val="453"/>
        </w:trPr>
        <w:tc>
          <w:tcPr>
            <w:tcW w:w="363" w:type="pct"/>
            <w:vAlign w:val="center"/>
          </w:tcPr>
          <w:p w:rsidR="00855E30" w:rsidRPr="002648C4" w:rsidRDefault="00855E30" w:rsidP="00CE7E83">
            <w:pPr>
              <w:contextualSpacing/>
              <w:jc w:val="left"/>
              <w:rPr>
                <w:sz w:val="18"/>
                <w:szCs w:val="18"/>
                <w:lang w:bidi="en-US"/>
              </w:rPr>
            </w:pPr>
            <w:r w:rsidRPr="002648C4">
              <w:rPr>
                <w:sz w:val="18"/>
                <w:szCs w:val="18"/>
                <w:lang w:bidi="en-US"/>
              </w:rPr>
              <w:t>17</w:t>
            </w:r>
          </w:p>
        </w:tc>
        <w:tc>
          <w:tcPr>
            <w:tcW w:w="1078" w:type="pct"/>
            <w:vAlign w:val="center"/>
          </w:tcPr>
          <w:p w:rsidR="00855E30" w:rsidRPr="002648C4" w:rsidRDefault="00855E30" w:rsidP="00CE7E83">
            <w:pPr>
              <w:contextualSpacing/>
              <w:jc w:val="left"/>
              <w:rPr>
                <w:sz w:val="18"/>
                <w:szCs w:val="18"/>
                <w:lang w:bidi="en-US"/>
              </w:rPr>
            </w:pPr>
            <w:r>
              <w:rPr>
                <w:sz w:val="18"/>
                <w:szCs w:val="18"/>
                <w:lang w:bidi="en-US"/>
              </w:rPr>
              <w:t>Improving a</w:t>
            </w:r>
            <w:r w:rsidRPr="002648C4">
              <w:rPr>
                <w:sz w:val="18"/>
                <w:szCs w:val="18"/>
                <w:lang w:bidi="en-US"/>
              </w:rPr>
              <w:t xml:space="preserve">ccess to </w:t>
            </w:r>
            <w:r>
              <w:rPr>
                <w:sz w:val="18"/>
                <w:szCs w:val="18"/>
                <w:lang w:bidi="en-US"/>
              </w:rPr>
              <w:t xml:space="preserve">quality </w:t>
            </w:r>
            <w:r w:rsidRPr="002648C4">
              <w:rPr>
                <w:sz w:val="18"/>
                <w:szCs w:val="18"/>
                <w:lang w:bidi="en-US"/>
              </w:rPr>
              <w:t>education</w:t>
            </w:r>
            <w:r>
              <w:rPr>
                <w:sz w:val="18"/>
                <w:szCs w:val="18"/>
                <w:lang w:bidi="en-US"/>
              </w:rPr>
              <w:t xml:space="preserve"> and training (</w:t>
            </w:r>
            <w:r w:rsidRPr="002A5DCF">
              <w:rPr>
                <w:sz w:val="18"/>
                <w:szCs w:val="18"/>
                <w:lang w:bidi="en-US"/>
              </w:rPr>
              <w:t>ECEC, primary, secondary and tertiary education</w:t>
            </w:r>
            <w:r>
              <w:rPr>
                <w:sz w:val="18"/>
                <w:szCs w:val="18"/>
                <w:lang w:bidi="en-US"/>
              </w:rPr>
              <w:t>) including disadvantaged learners</w:t>
            </w:r>
          </w:p>
        </w:tc>
        <w:tc>
          <w:tcPr>
            <w:tcW w:w="1218" w:type="pct"/>
            <w:vMerge w:val="restart"/>
            <w:vAlign w:val="center"/>
          </w:tcPr>
          <w:p w:rsidR="00A34358" w:rsidRDefault="00855E30" w:rsidP="00807960">
            <w:pPr>
              <w:numPr>
                <w:ilvl w:val="0"/>
                <w:numId w:val="8"/>
              </w:numPr>
              <w:ind w:left="174" w:hanging="142"/>
              <w:contextualSpacing/>
              <w:jc w:val="left"/>
              <w:rPr>
                <w:sz w:val="16"/>
                <w:szCs w:val="16"/>
                <w:lang w:bidi="en-US"/>
              </w:rPr>
            </w:pPr>
            <w:r w:rsidRPr="00DB3663">
              <w:rPr>
                <w:sz w:val="16"/>
                <w:szCs w:val="16"/>
                <w:lang w:bidi="en-US"/>
              </w:rPr>
              <w:t>TO10 - Education, training and vocational training</w:t>
            </w:r>
          </w:p>
        </w:tc>
        <w:tc>
          <w:tcPr>
            <w:tcW w:w="2342" w:type="pct"/>
            <w:vMerge w:val="restart"/>
            <w:vAlign w:val="center"/>
          </w:tcPr>
          <w:p w:rsidR="00A34358" w:rsidRDefault="00855E30" w:rsidP="00807960">
            <w:pPr>
              <w:numPr>
                <w:ilvl w:val="0"/>
                <w:numId w:val="8"/>
              </w:numPr>
              <w:ind w:left="174" w:hanging="142"/>
              <w:contextualSpacing/>
              <w:jc w:val="left"/>
              <w:rPr>
                <w:sz w:val="16"/>
                <w:szCs w:val="16"/>
                <w:lang w:bidi="en-US"/>
              </w:rPr>
            </w:pPr>
            <w:r w:rsidRPr="002648C4">
              <w:rPr>
                <w:sz w:val="16"/>
                <w:szCs w:val="16"/>
                <w:lang w:bidi="en-US"/>
              </w:rPr>
              <w:t xml:space="preserve">TO9IPii - Socio-econ. integration marginalised communities </w:t>
            </w:r>
          </w:p>
          <w:p w:rsidR="00A34358" w:rsidRDefault="00855E30" w:rsidP="00807960">
            <w:pPr>
              <w:numPr>
                <w:ilvl w:val="0"/>
                <w:numId w:val="8"/>
              </w:numPr>
              <w:ind w:left="174" w:hanging="142"/>
              <w:contextualSpacing/>
              <w:jc w:val="left"/>
              <w:rPr>
                <w:sz w:val="16"/>
                <w:szCs w:val="16"/>
                <w:lang w:bidi="en-US"/>
              </w:rPr>
            </w:pPr>
            <w:r w:rsidRPr="002648C4">
              <w:rPr>
                <w:sz w:val="16"/>
                <w:szCs w:val="16"/>
                <w:lang w:bidi="en-US"/>
              </w:rPr>
              <w:t xml:space="preserve">TO10IPa - Education and training infrastructures </w:t>
            </w:r>
          </w:p>
          <w:p w:rsidR="00A34358" w:rsidRDefault="00855E30" w:rsidP="00807960">
            <w:pPr>
              <w:numPr>
                <w:ilvl w:val="0"/>
                <w:numId w:val="8"/>
              </w:numPr>
              <w:ind w:left="174" w:hanging="142"/>
              <w:contextualSpacing/>
              <w:jc w:val="left"/>
              <w:rPr>
                <w:sz w:val="16"/>
                <w:szCs w:val="16"/>
                <w:lang w:bidi="en-US"/>
              </w:rPr>
            </w:pPr>
            <w:r w:rsidRPr="002648C4">
              <w:rPr>
                <w:sz w:val="16"/>
                <w:szCs w:val="16"/>
                <w:lang w:bidi="en-US"/>
              </w:rPr>
              <w:t xml:space="preserve">TO10IPi - Reduce early school-leaving </w:t>
            </w:r>
          </w:p>
          <w:p w:rsidR="00A34358" w:rsidRDefault="00855E30" w:rsidP="00807960">
            <w:pPr>
              <w:numPr>
                <w:ilvl w:val="0"/>
                <w:numId w:val="8"/>
              </w:numPr>
              <w:ind w:left="174" w:hanging="142"/>
              <w:contextualSpacing/>
              <w:jc w:val="left"/>
              <w:rPr>
                <w:sz w:val="16"/>
                <w:szCs w:val="16"/>
                <w:lang w:bidi="en-US"/>
              </w:rPr>
            </w:pPr>
            <w:r w:rsidRPr="002648C4">
              <w:rPr>
                <w:sz w:val="16"/>
                <w:szCs w:val="16"/>
                <w:lang w:bidi="en-US"/>
              </w:rPr>
              <w:t>TO10IPii - Improve tertiary and equivalent education</w:t>
            </w:r>
          </w:p>
          <w:p w:rsidR="00A34358" w:rsidRDefault="00855E30" w:rsidP="00807960">
            <w:pPr>
              <w:numPr>
                <w:ilvl w:val="0"/>
                <w:numId w:val="8"/>
              </w:numPr>
              <w:ind w:left="174" w:hanging="142"/>
              <w:contextualSpacing/>
              <w:jc w:val="left"/>
              <w:rPr>
                <w:sz w:val="16"/>
                <w:szCs w:val="16"/>
                <w:lang w:bidi="en-US"/>
              </w:rPr>
            </w:pPr>
            <w:r w:rsidRPr="002648C4">
              <w:rPr>
                <w:sz w:val="16"/>
                <w:szCs w:val="16"/>
                <w:lang w:bidi="en-US"/>
              </w:rPr>
              <w:t xml:space="preserve">TO10IPiii - Enhance equal access to lifelong learning </w:t>
            </w:r>
          </w:p>
          <w:p w:rsidR="00A34358" w:rsidRDefault="00855E30" w:rsidP="00807960">
            <w:pPr>
              <w:numPr>
                <w:ilvl w:val="0"/>
                <w:numId w:val="8"/>
              </w:numPr>
              <w:ind w:left="174" w:hanging="142"/>
              <w:contextualSpacing/>
              <w:jc w:val="left"/>
              <w:rPr>
                <w:sz w:val="16"/>
                <w:szCs w:val="16"/>
                <w:lang w:bidi="en-US"/>
              </w:rPr>
            </w:pPr>
            <w:r w:rsidRPr="002648C4">
              <w:rPr>
                <w:sz w:val="16"/>
                <w:szCs w:val="16"/>
                <w:lang w:bidi="en-US"/>
              </w:rPr>
              <w:t>TO10IPiv - Improve relevance of education/training systems</w:t>
            </w:r>
            <w:r w:rsidRPr="002648C4">
              <w:rPr>
                <w:sz w:val="16"/>
                <w:szCs w:val="16"/>
                <w:lang w:bidi="en-US"/>
              </w:rPr>
              <w:tab/>
              <w:t xml:space="preserve"> </w:t>
            </w:r>
          </w:p>
        </w:tc>
      </w:tr>
      <w:tr w:rsidR="00855E30" w:rsidRPr="002648C4" w:rsidTr="00CE7E83">
        <w:trPr>
          <w:trHeight w:val="361"/>
        </w:trPr>
        <w:tc>
          <w:tcPr>
            <w:tcW w:w="363" w:type="pct"/>
            <w:vAlign w:val="center"/>
          </w:tcPr>
          <w:p w:rsidR="00855E30" w:rsidRPr="002648C4" w:rsidRDefault="00855E30" w:rsidP="00CE7E83">
            <w:pPr>
              <w:contextualSpacing/>
              <w:jc w:val="left"/>
              <w:rPr>
                <w:sz w:val="18"/>
                <w:szCs w:val="18"/>
                <w:lang w:bidi="en-US"/>
              </w:rPr>
            </w:pPr>
            <w:r w:rsidRPr="002648C4">
              <w:rPr>
                <w:sz w:val="18"/>
                <w:szCs w:val="18"/>
                <w:lang w:bidi="en-US"/>
              </w:rPr>
              <w:t>18</w:t>
            </w:r>
          </w:p>
        </w:tc>
        <w:tc>
          <w:tcPr>
            <w:tcW w:w="1078" w:type="pct"/>
            <w:vAlign w:val="center"/>
          </w:tcPr>
          <w:p w:rsidR="00855E30" w:rsidRPr="002648C4" w:rsidRDefault="00855E30" w:rsidP="00CE7E83">
            <w:pPr>
              <w:contextualSpacing/>
              <w:jc w:val="left"/>
              <w:rPr>
                <w:sz w:val="18"/>
                <w:szCs w:val="18"/>
                <w:lang w:bidi="en-US"/>
              </w:rPr>
            </w:pPr>
            <w:r>
              <w:rPr>
                <w:sz w:val="18"/>
                <w:szCs w:val="18"/>
                <w:lang w:bidi="en-US"/>
              </w:rPr>
              <w:t>Reducing and preventing e</w:t>
            </w:r>
            <w:r w:rsidRPr="002648C4">
              <w:rPr>
                <w:sz w:val="18"/>
                <w:szCs w:val="18"/>
                <w:lang w:bidi="en-US"/>
              </w:rPr>
              <w:t>arly school leaving</w:t>
            </w:r>
          </w:p>
        </w:tc>
        <w:tc>
          <w:tcPr>
            <w:tcW w:w="1218" w:type="pct"/>
            <w:vMerge/>
            <w:vAlign w:val="center"/>
          </w:tcPr>
          <w:p w:rsidR="00A34358" w:rsidRDefault="00A34358" w:rsidP="00807960">
            <w:pPr>
              <w:numPr>
                <w:ilvl w:val="0"/>
                <w:numId w:val="8"/>
              </w:numPr>
              <w:ind w:left="174" w:hanging="142"/>
              <w:contextualSpacing/>
              <w:jc w:val="left"/>
              <w:rPr>
                <w:sz w:val="18"/>
                <w:szCs w:val="18"/>
                <w:lang w:bidi="en-US"/>
              </w:rPr>
            </w:pPr>
          </w:p>
        </w:tc>
        <w:tc>
          <w:tcPr>
            <w:tcW w:w="2342" w:type="pct"/>
            <w:vMerge/>
            <w:vAlign w:val="center"/>
          </w:tcPr>
          <w:p w:rsidR="00A34358" w:rsidRDefault="00A34358" w:rsidP="00807960">
            <w:pPr>
              <w:numPr>
                <w:ilvl w:val="0"/>
                <w:numId w:val="8"/>
              </w:numPr>
              <w:ind w:left="174" w:hanging="142"/>
              <w:contextualSpacing/>
              <w:jc w:val="left"/>
              <w:rPr>
                <w:sz w:val="16"/>
                <w:szCs w:val="16"/>
                <w:lang w:bidi="en-US"/>
              </w:rPr>
            </w:pPr>
          </w:p>
        </w:tc>
      </w:tr>
      <w:tr w:rsidR="00855E30" w:rsidRPr="002648C4" w:rsidTr="00CE7E83">
        <w:trPr>
          <w:trHeight w:val="409"/>
        </w:trPr>
        <w:tc>
          <w:tcPr>
            <w:tcW w:w="363" w:type="pct"/>
            <w:vAlign w:val="center"/>
          </w:tcPr>
          <w:p w:rsidR="00855E30" w:rsidRPr="002648C4" w:rsidRDefault="00855E30" w:rsidP="00CE7E83">
            <w:pPr>
              <w:contextualSpacing/>
              <w:jc w:val="left"/>
              <w:rPr>
                <w:sz w:val="18"/>
                <w:szCs w:val="18"/>
                <w:lang w:bidi="en-US"/>
              </w:rPr>
            </w:pPr>
            <w:r w:rsidRPr="002648C4">
              <w:rPr>
                <w:sz w:val="18"/>
                <w:szCs w:val="18"/>
                <w:lang w:bidi="en-US"/>
              </w:rPr>
              <w:t>19</w:t>
            </w:r>
          </w:p>
        </w:tc>
        <w:tc>
          <w:tcPr>
            <w:tcW w:w="1078" w:type="pct"/>
            <w:vAlign w:val="center"/>
          </w:tcPr>
          <w:p w:rsidR="00855E30" w:rsidRPr="002648C4" w:rsidRDefault="00855E30" w:rsidP="00CE7E83">
            <w:pPr>
              <w:contextualSpacing/>
              <w:jc w:val="left"/>
              <w:rPr>
                <w:sz w:val="18"/>
                <w:szCs w:val="18"/>
                <w:lang w:bidi="en-US"/>
              </w:rPr>
            </w:pPr>
            <w:r>
              <w:rPr>
                <w:sz w:val="18"/>
                <w:szCs w:val="18"/>
                <w:lang w:bidi="en-US"/>
              </w:rPr>
              <w:t>Improving l</w:t>
            </w:r>
            <w:r w:rsidRPr="002648C4">
              <w:rPr>
                <w:sz w:val="18"/>
                <w:szCs w:val="18"/>
                <w:lang w:bidi="en-US"/>
              </w:rPr>
              <w:t>ife-long learning</w:t>
            </w:r>
            <w:r>
              <w:rPr>
                <w:sz w:val="18"/>
                <w:szCs w:val="18"/>
                <w:lang w:bidi="en-US"/>
              </w:rPr>
              <w:t xml:space="preserve"> for all age groups (e.g. </w:t>
            </w:r>
            <w:r w:rsidRPr="002A5DCF">
              <w:rPr>
                <w:sz w:val="18"/>
                <w:szCs w:val="18"/>
                <w:lang w:bidi="en-US"/>
              </w:rPr>
              <w:t>by providing flexible learning pathways, guidance, validation of competences)</w:t>
            </w:r>
          </w:p>
        </w:tc>
        <w:tc>
          <w:tcPr>
            <w:tcW w:w="1218" w:type="pct"/>
            <w:vMerge/>
            <w:vAlign w:val="center"/>
          </w:tcPr>
          <w:p w:rsidR="00A34358" w:rsidRDefault="00A34358" w:rsidP="00807960">
            <w:pPr>
              <w:numPr>
                <w:ilvl w:val="0"/>
                <w:numId w:val="8"/>
              </w:numPr>
              <w:ind w:left="174" w:hanging="142"/>
              <w:contextualSpacing/>
              <w:jc w:val="left"/>
              <w:rPr>
                <w:sz w:val="18"/>
                <w:szCs w:val="18"/>
                <w:lang w:bidi="en-US"/>
              </w:rPr>
            </w:pPr>
          </w:p>
        </w:tc>
        <w:tc>
          <w:tcPr>
            <w:tcW w:w="2342" w:type="pct"/>
            <w:vMerge/>
            <w:vAlign w:val="center"/>
          </w:tcPr>
          <w:p w:rsidR="00A34358" w:rsidRDefault="00A34358" w:rsidP="00807960">
            <w:pPr>
              <w:numPr>
                <w:ilvl w:val="0"/>
                <w:numId w:val="8"/>
              </w:numPr>
              <w:ind w:left="174" w:hanging="142"/>
              <w:contextualSpacing/>
              <w:jc w:val="left"/>
              <w:rPr>
                <w:sz w:val="16"/>
                <w:szCs w:val="16"/>
                <w:lang w:bidi="en-US"/>
              </w:rPr>
            </w:pPr>
          </w:p>
        </w:tc>
      </w:tr>
      <w:tr w:rsidR="00855E30" w:rsidRPr="002648C4" w:rsidTr="00CE7E83">
        <w:trPr>
          <w:trHeight w:val="68"/>
        </w:trPr>
        <w:tc>
          <w:tcPr>
            <w:tcW w:w="363" w:type="pct"/>
            <w:tcBorders>
              <w:bottom w:val="single" w:sz="4" w:space="0" w:color="auto"/>
            </w:tcBorders>
            <w:vAlign w:val="center"/>
          </w:tcPr>
          <w:p w:rsidR="00855E30" w:rsidRPr="002648C4" w:rsidRDefault="00855E30" w:rsidP="00CE7E83">
            <w:pPr>
              <w:contextualSpacing/>
              <w:jc w:val="left"/>
              <w:rPr>
                <w:sz w:val="18"/>
                <w:szCs w:val="18"/>
                <w:lang w:bidi="en-US"/>
              </w:rPr>
            </w:pPr>
            <w:r w:rsidRPr="002648C4">
              <w:rPr>
                <w:sz w:val="18"/>
                <w:szCs w:val="18"/>
                <w:lang w:bidi="en-US"/>
              </w:rPr>
              <w:t>20</w:t>
            </w:r>
          </w:p>
        </w:tc>
        <w:tc>
          <w:tcPr>
            <w:tcW w:w="1078" w:type="pct"/>
            <w:tcBorders>
              <w:bottom w:val="single" w:sz="4" w:space="0" w:color="auto"/>
            </w:tcBorders>
            <w:vAlign w:val="center"/>
          </w:tcPr>
          <w:p w:rsidR="00855E30" w:rsidRPr="002648C4" w:rsidRDefault="00855E30" w:rsidP="00CE7E83">
            <w:pPr>
              <w:jc w:val="left"/>
              <w:rPr>
                <w:sz w:val="18"/>
                <w:szCs w:val="18"/>
              </w:rPr>
            </w:pPr>
            <w:r>
              <w:rPr>
                <w:sz w:val="18"/>
                <w:szCs w:val="18"/>
              </w:rPr>
              <w:t>Improving the LM</w:t>
            </w:r>
            <w:r w:rsidRPr="002648C4">
              <w:rPr>
                <w:sz w:val="18"/>
                <w:szCs w:val="18"/>
              </w:rPr>
              <w:t xml:space="preserve"> relevance of education &amp; training</w:t>
            </w:r>
            <w:r>
              <w:rPr>
                <w:sz w:val="18"/>
                <w:szCs w:val="18"/>
              </w:rPr>
              <w:t xml:space="preserve"> systems (including VET systems)</w:t>
            </w:r>
          </w:p>
        </w:tc>
        <w:tc>
          <w:tcPr>
            <w:tcW w:w="1218" w:type="pct"/>
            <w:vMerge/>
            <w:tcBorders>
              <w:bottom w:val="single" w:sz="4" w:space="0" w:color="auto"/>
            </w:tcBorders>
            <w:vAlign w:val="center"/>
          </w:tcPr>
          <w:p w:rsidR="00A34358" w:rsidRDefault="00A34358" w:rsidP="00807960">
            <w:pPr>
              <w:numPr>
                <w:ilvl w:val="0"/>
                <w:numId w:val="8"/>
              </w:numPr>
              <w:ind w:left="174" w:hanging="142"/>
              <w:contextualSpacing/>
              <w:jc w:val="left"/>
              <w:rPr>
                <w:sz w:val="18"/>
                <w:szCs w:val="18"/>
                <w:lang w:bidi="en-US"/>
              </w:rPr>
            </w:pPr>
          </w:p>
        </w:tc>
        <w:tc>
          <w:tcPr>
            <w:tcW w:w="2342" w:type="pct"/>
            <w:vMerge/>
            <w:tcBorders>
              <w:bottom w:val="single" w:sz="4" w:space="0" w:color="auto"/>
            </w:tcBorders>
            <w:vAlign w:val="center"/>
          </w:tcPr>
          <w:p w:rsidR="00A34358" w:rsidRDefault="00A34358" w:rsidP="00807960">
            <w:pPr>
              <w:numPr>
                <w:ilvl w:val="0"/>
                <w:numId w:val="8"/>
              </w:numPr>
              <w:ind w:left="174" w:hanging="142"/>
              <w:contextualSpacing/>
              <w:jc w:val="left"/>
              <w:rPr>
                <w:sz w:val="16"/>
                <w:szCs w:val="16"/>
                <w:lang w:bidi="en-US"/>
              </w:rPr>
            </w:pPr>
          </w:p>
        </w:tc>
      </w:tr>
      <w:tr w:rsidR="00855E30" w:rsidRPr="002648C4" w:rsidTr="00CE7E83">
        <w:trPr>
          <w:trHeight w:val="401"/>
        </w:trPr>
        <w:tc>
          <w:tcPr>
            <w:tcW w:w="5000" w:type="pct"/>
            <w:gridSpan w:val="4"/>
            <w:shd w:val="clear" w:color="auto" w:fill="BFBFBF" w:themeFill="background1" w:themeFillShade="BF"/>
            <w:vAlign w:val="center"/>
          </w:tcPr>
          <w:p w:rsidR="00855E30" w:rsidRPr="002648C4" w:rsidRDefault="00855E30" w:rsidP="00CE7E83">
            <w:pPr>
              <w:ind w:left="32"/>
              <w:contextualSpacing/>
              <w:jc w:val="left"/>
              <w:rPr>
                <w:i/>
                <w:sz w:val="18"/>
                <w:szCs w:val="18"/>
                <w:lang w:bidi="en-US"/>
              </w:rPr>
            </w:pPr>
            <w:r w:rsidRPr="002648C4">
              <w:rPr>
                <w:i/>
                <w:sz w:val="18"/>
                <w:szCs w:val="18"/>
                <w:lang w:bidi="en-US"/>
              </w:rPr>
              <w:t>Broad area: Institutional capacity</w:t>
            </w:r>
          </w:p>
        </w:tc>
      </w:tr>
      <w:tr w:rsidR="00855E30" w:rsidRPr="002648C4" w:rsidTr="00CE7E83">
        <w:trPr>
          <w:trHeight w:val="278"/>
        </w:trPr>
        <w:tc>
          <w:tcPr>
            <w:tcW w:w="363" w:type="pct"/>
            <w:tcBorders>
              <w:bottom w:val="single" w:sz="4" w:space="0" w:color="auto"/>
            </w:tcBorders>
            <w:vAlign w:val="center"/>
          </w:tcPr>
          <w:p w:rsidR="00855E30" w:rsidRPr="002648C4" w:rsidRDefault="00855E30" w:rsidP="00CE7E83">
            <w:pPr>
              <w:contextualSpacing/>
              <w:jc w:val="left"/>
              <w:rPr>
                <w:sz w:val="18"/>
                <w:szCs w:val="18"/>
                <w:lang w:bidi="en-US"/>
              </w:rPr>
            </w:pPr>
            <w:r w:rsidRPr="002648C4">
              <w:rPr>
                <w:sz w:val="18"/>
                <w:szCs w:val="18"/>
                <w:lang w:bidi="en-US"/>
              </w:rPr>
              <w:t>21</w:t>
            </w:r>
          </w:p>
        </w:tc>
        <w:tc>
          <w:tcPr>
            <w:tcW w:w="1078" w:type="pct"/>
            <w:tcBorders>
              <w:bottom w:val="single" w:sz="4" w:space="0" w:color="auto"/>
            </w:tcBorders>
            <w:vAlign w:val="center"/>
          </w:tcPr>
          <w:p w:rsidR="00855E30" w:rsidRPr="00DB3663" w:rsidRDefault="00855E30" w:rsidP="00CE7E83">
            <w:pPr>
              <w:ind w:left="32"/>
              <w:contextualSpacing/>
              <w:jc w:val="left"/>
              <w:rPr>
                <w:sz w:val="18"/>
                <w:szCs w:val="18"/>
                <w:lang w:bidi="en-US"/>
              </w:rPr>
            </w:pPr>
            <w:r w:rsidRPr="002648C4">
              <w:rPr>
                <w:sz w:val="18"/>
                <w:szCs w:val="18"/>
                <w:lang w:bidi="en-US"/>
              </w:rPr>
              <w:t xml:space="preserve">Institutional capacity, public administration and justice systems </w:t>
            </w:r>
          </w:p>
        </w:tc>
        <w:tc>
          <w:tcPr>
            <w:tcW w:w="1218" w:type="pct"/>
            <w:tcBorders>
              <w:bottom w:val="single" w:sz="4" w:space="0" w:color="auto"/>
            </w:tcBorders>
            <w:vAlign w:val="center"/>
          </w:tcPr>
          <w:p w:rsidR="00A34358" w:rsidRDefault="00855E30" w:rsidP="00807960">
            <w:pPr>
              <w:numPr>
                <w:ilvl w:val="0"/>
                <w:numId w:val="8"/>
              </w:numPr>
              <w:ind w:left="174" w:hanging="142"/>
              <w:contextualSpacing/>
              <w:jc w:val="left"/>
              <w:rPr>
                <w:sz w:val="16"/>
                <w:szCs w:val="16"/>
                <w:lang w:bidi="en-US"/>
              </w:rPr>
            </w:pPr>
            <w:r w:rsidRPr="00DB3663">
              <w:rPr>
                <w:sz w:val="16"/>
                <w:szCs w:val="16"/>
                <w:lang w:bidi="en-US"/>
              </w:rPr>
              <w:t>TO11 - Institutional capacity of public authorities</w:t>
            </w:r>
          </w:p>
          <w:p w:rsidR="00A34358" w:rsidRDefault="00855E30" w:rsidP="00807960">
            <w:pPr>
              <w:numPr>
                <w:ilvl w:val="0"/>
                <w:numId w:val="8"/>
              </w:numPr>
              <w:ind w:left="174" w:hanging="142"/>
              <w:contextualSpacing/>
              <w:jc w:val="left"/>
              <w:rPr>
                <w:sz w:val="16"/>
                <w:szCs w:val="16"/>
                <w:lang w:bidi="en-US"/>
              </w:rPr>
            </w:pPr>
            <w:r w:rsidRPr="00DB3663">
              <w:rPr>
                <w:sz w:val="16"/>
                <w:szCs w:val="16"/>
                <w:lang w:bidi="en-US"/>
              </w:rPr>
              <w:t xml:space="preserve">TO8, 9 and 10 (when they feature investment for institutional capacity) </w:t>
            </w:r>
          </w:p>
        </w:tc>
        <w:tc>
          <w:tcPr>
            <w:tcW w:w="2342" w:type="pct"/>
            <w:tcBorders>
              <w:bottom w:val="single" w:sz="4" w:space="0" w:color="auto"/>
            </w:tcBorders>
            <w:vAlign w:val="center"/>
          </w:tcPr>
          <w:p w:rsidR="00A34358" w:rsidRDefault="00855E30" w:rsidP="00807960">
            <w:pPr>
              <w:numPr>
                <w:ilvl w:val="0"/>
                <w:numId w:val="8"/>
              </w:numPr>
              <w:ind w:left="174" w:hanging="142"/>
              <w:contextualSpacing/>
              <w:jc w:val="left"/>
              <w:rPr>
                <w:sz w:val="16"/>
                <w:szCs w:val="16"/>
                <w:lang w:bidi="en-US"/>
              </w:rPr>
            </w:pPr>
            <w:r w:rsidRPr="002648C4">
              <w:rPr>
                <w:sz w:val="16"/>
                <w:szCs w:val="16"/>
                <w:lang w:bidi="en-US"/>
              </w:rPr>
              <w:t xml:space="preserve">TO11IPa - Actions to strengthen public administration </w:t>
            </w:r>
          </w:p>
          <w:p w:rsidR="00A34358" w:rsidRDefault="00855E30" w:rsidP="00807960">
            <w:pPr>
              <w:numPr>
                <w:ilvl w:val="0"/>
                <w:numId w:val="8"/>
              </w:numPr>
              <w:ind w:left="174" w:hanging="142"/>
              <w:contextualSpacing/>
              <w:jc w:val="left"/>
              <w:rPr>
                <w:sz w:val="16"/>
                <w:szCs w:val="16"/>
                <w:lang w:bidi="en-US"/>
              </w:rPr>
            </w:pPr>
            <w:r w:rsidRPr="002648C4">
              <w:rPr>
                <w:sz w:val="16"/>
                <w:szCs w:val="16"/>
                <w:lang w:bidi="en-US"/>
              </w:rPr>
              <w:t xml:space="preserve">TO11IPi - Institutional capacity/efficiency public admin. etc. </w:t>
            </w:r>
          </w:p>
          <w:p w:rsidR="00A34358" w:rsidRDefault="00855E30" w:rsidP="00807960">
            <w:pPr>
              <w:numPr>
                <w:ilvl w:val="0"/>
                <w:numId w:val="8"/>
              </w:numPr>
              <w:ind w:left="174" w:hanging="142"/>
              <w:contextualSpacing/>
              <w:jc w:val="left"/>
              <w:rPr>
                <w:sz w:val="16"/>
                <w:szCs w:val="16"/>
                <w:lang w:bidi="en-US"/>
              </w:rPr>
            </w:pPr>
            <w:r w:rsidRPr="002648C4">
              <w:rPr>
                <w:sz w:val="16"/>
                <w:szCs w:val="16"/>
                <w:lang w:bidi="en-US"/>
              </w:rPr>
              <w:t xml:space="preserve">TO11IPii - Cap. building stakeholders education delivery etc. </w:t>
            </w:r>
          </w:p>
          <w:p w:rsidR="00A34358" w:rsidRDefault="006A32BB" w:rsidP="00807960">
            <w:pPr>
              <w:numPr>
                <w:ilvl w:val="0"/>
                <w:numId w:val="8"/>
              </w:numPr>
              <w:ind w:left="174" w:hanging="142"/>
              <w:contextualSpacing/>
              <w:jc w:val="left"/>
              <w:rPr>
                <w:sz w:val="16"/>
                <w:szCs w:val="16"/>
                <w:lang w:bidi="en-US"/>
              </w:rPr>
            </w:pPr>
            <w:r w:rsidRPr="002648C4">
              <w:rPr>
                <w:sz w:val="16"/>
                <w:szCs w:val="16"/>
                <w:lang w:bidi="en-US"/>
              </w:rPr>
              <w:t>TO8IPvii - Modernise labour market institutions</w:t>
            </w:r>
          </w:p>
          <w:p w:rsidR="00A34358" w:rsidRDefault="006A32BB" w:rsidP="00807960">
            <w:pPr>
              <w:numPr>
                <w:ilvl w:val="0"/>
                <w:numId w:val="8"/>
              </w:numPr>
              <w:ind w:left="174" w:hanging="142"/>
              <w:contextualSpacing/>
              <w:jc w:val="left"/>
              <w:rPr>
                <w:sz w:val="16"/>
                <w:szCs w:val="16"/>
                <w:lang w:bidi="en-US"/>
              </w:rPr>
            </w:pPr>
            <w:r w:rsidRPr="002648C4">
              <w:rPr>
                <w:sz w:val="16"/>
                <w:szCs w:val="16"/>
                <w:lang w:bidi="en-US"/>
              </w:rPr>
              <w:t xml:space="preserve">TO9IPiv - Enhance access to affordable services </w:t>
            </w:r>
          </w:p>
          <w:p w:rsidR="006A32BB" w:rsidRPr="002648C4" w:rsidRDefault="006A32BB" w:rsidP="002B3BB7">
            <w:pPr>
              <w:ind w:left="174"/>
              <w:contextualSpacing/>
              <w:jc w:val="left"/>
              <w:rPr>
                <w:sz w:val="16"/>
                <w:szCs w:val="16"/>
                <w:lang w:bidi="en-US"/>
              </w:rPr>
            </w:pPr>
          </w:p>
        </w:tc>
      </w:tr>
      <w:tr w:rsidR="00855E30" w:rsidRPr="002648C4" w:rsidTr="00CE7E83">
        <w:trPr>
          <w:trHeight w:val="339"/>
        </w:trPr>
        <w:tc>
          <w:tcPr>
            <w:tcW w:w="5000" w:type="pct"/>
            <w:gridSpan w:val="4"/>
            <w:shd w:val="clear" w:color="auto" w:fill="BFBFBF" w:themeFill="background1" w:themeFillShade="BF"/>
            <w:vAlign w:val="center"/>
          </w:tcPr>
          <w:p w:rsidR="00855E30" w:rsidRPr="002648C4" w:rsidRDefault="00855E30" w:rsidP="00CE7E83">
            <w:pPr>
              <w:ind w:left="32"/>
              <w:contextualSpacing/>
              <w:jc w:val="left"/>
              <w:rPr>
                <w:i/>
                <w:sz w:val="16"/>
                <w:szCs w:val="16"/>
                <w:lang w:bidi="en-US"/>
              </w:rPr>
            </w:pPr>
            <w:r w:rsidRPr="002648C4">
              <w:rPr>
                <w:i/>
                <w:sz w:val="18"/>
                <w:szCs w:val="18"/>
                <w:lang w:bidi="en-US"/>
              </w:rPr>
              <w:t>Other structural challenges (</w:t>
            </w:r>
            <w:r w:rsidRPr="00E74B3D">
              <w:rPr>
                <w:i/>
                <w:sz w:val="18"/>
                <w:szCs w:val="18"/>
                <w:u w:val="single"/>
                <w:lang w:bidi="en-US"/>
              </w:rPr>
              <w:t xml:space="preserve">not directly </w:t>
            </w:r>
            <w:r>
              <w:rPr>
                <w:i/>
                <w:sz w:val="18"/>
                <w:szCs w:val="18"/>
                <w:u w:val="single"/>
                <w:lang w:bidi="en-US"/>
              </w:rPr>
              <w:t xml:space="preserve">relevant and </w:t>
            </w:r>
            <w:r w:rsidRPr="00E74B3D">
              <w:rPr>
                <w:i/>
                <w:sz w:val="18"/>
                <w:szCs w:val="18"/>
                <w:u w:val="single"/>
                <w:lang w:bidi="en-US"/>
              </w:rPr>
              <w:t>linked to TOs</w:t>
            </w:r>
            <w:r w:rsidRPr="002648C4">
              <w:rPr>
                <w:i/>
                <w:sz w:val="18"/>
                <w:szCs w:val="18"/>
                <w:lang w:bidi="en-US"/>
              </w:rPr>
              <w:t>)</w:t>
            </w:r>
          </w:p>
        </w:tc>
      </w:tr>
      <w:tr w:rsidR="00855E30" w:rsidRPr="0016245F" w:rsidTr="00CE7E83">
        <w:trPr>
          <w:trHeight w:val="513"/>
        </w:trPr>
        <w:tc>
          <w:tcPr>
            <w:tcW w:w="363" w:type="pct"/>
            <w:vAlign w:val="center"/>
          </w:tcPr>
          <w:p w:rsidR="00855E30" w:rsidRPr="002648C4" w:rsidRDefault="00855E30" w:rsidP="00CE7E83">
            <w:pPr>
              <w:contextualSpacing/>
              <w:jc w:val="left"/>
              <w:rPr>
                <w:sz w:val="18"/>
                <w:szCs w:val="18"/>
                <w:lang w:bidi="en-US"/>
              </w:rPr>
            </w:pPr>
            <w:r w:rsidRPr="002648C4">
              <w:rPr>
                <w:sz w:val="18"/>
                <w:szCs w:val="18"/>
                <w:lang w:bidi="en-US"/>
              </w:rPr>
              <w:t>22</w:t>
            </w:r>
          </w:p>
        </w:tc>
        <w:tc>
          <w:tcPr>
            <w:tcW w:w="1078" w:type="pct"/>
            <w:vAlign w:val="center"/>
          </w:tcPr>
          <w:p w:rsidR="00855E30" w:rsidRPr="002648C4" w:rsidRDefault="00855E30" w:rsidP="00CE7E83">
            <w:pPr>
              <w:contextualSpacing/>
              <w:jc w:val="left"/>
              <w:rPr>
                <w:sz w:val="18"/>
                <w:szCs w:val="18"/>
                <w:lang w:bidi="en-US"/>
              </w:rPr>
            </w:pPr>
            <w:r w:rsidRPr="002648C4">
              <w:rPr>
                <w:sz w:val="18"/>
                <w:szCs w:val="18"/>
                <w:lang w:bidi="en-US"/>
              </w:rPr>
              <w:t>Public finance and taxation</w:t>
            </w:r>
          </w:p>
        </w:tc>
        <w:tc>
          <w:tcPr>
            <w:tcW w:w="1218" w:type="pct"/>
            <w:vMerge w:val="restart"/>
            <w:vAlign w:val="center"/>
          </w:tcPr>
          <w:p w:rsidR="00A34358" w:rsidRDefault="00855E30" w:rsidP="00807960">
            <w:pPr>
              <w:numPr>
                <w:ilvl w:val="0"/>
                <w:numId w:val="8"/>
              </w:numPr>
              <w:ind w:left="174" w:hanging="142"/>
              <w:contextualSpacing/>
              <w:jc w:val="left"/>
              <w:rPr>
                <w:sz w:val="16"/>
                <w:szCs w:val="16"/>
                <w:lang w:bidi="en-US"/>
              </w:rPr>
            </w:pPr>
            <w:r w:rsidRPr="00DB3663">
              <w:rPr>
                <w:sz w:val="16"/>
                <w:szCs w:val="16"/>
                <w:lang w:bidi="en-US"/>
              </w:rPr>
              <w:t>N/A</w:t>
            </w:r>
          </w:p>
        </w:tc>
        <w:tc>
          <w:tcPr>
            <w:tcW w:w="2342" w:type="pct"/>
            <w:vMerge w:val="restart"/>
            <w:vAlign w:val="center"/>
          </w:tcPr>
          <w:p w:rsidR="00A34358" w:rsidRDefault="00855E30" w:rsidP="00807960">
            <w:pPr>
              <w:numPr>
                <w:ilvl w:val="0"/>
                <w:numId w:val="8"/>
              </w:numPr>
              <w:ind w:left="174" w:hanging="142"/>
              <w:contextualSpacing/>
              <w:jc w:val="left"/>
              <w:rPr>
                <w:sz w:val="16"/>
                <w:szCs w:val="16"/>
                <w:lang w:bidi="en-US"/>
              </w:rPr>
            </w:pPr>
            <w:r w:rsidRPr="002648C4">
              <w:rPr>
                <w:sz w:val="16"/>
                <w:szCs w:val="16"/>
                <w:lang w:bidi="en-US"/>
              </w:rPr>
              <w:t>N/A</w:t>
            </w:r>
          </w:p>
        </w:tc>
      </w:tr>
      <w:tr w:rsidR="00855E30" w:rsidRPr="0016245F" w:rsidTr="00CE7E83">
        <w:trPr>
          <w:trHeight w:val="334"/>
        </w:trPr>
        <w:tc>
          <w:tcPr>
            <w:tcW w:w="363" w:type="pct"/>
            <w:vAlign w:val="center"/>
          </w:tcPr>
          <w:p w:rsidR="00855E30" w:rsidRPr="002648C4" w:rsidRDefault="00855E30" w:rsidP="00CE7E83">
            <w:pPr>
              <w:contextualSpacing/>
              <w:jc w:val="left"/>
              <w:rPr>
                <w:sz w:val="18"/>
                <w:szCs w:val="18"/>
                <w:lang w:bidi="en-US"/>
              </w:rPr>
            </w:pPr>
            <w:r w:rsidRPr="002648C4">
              <w:rPr>
                <w:sz w:val="18"/>
                <w:szCs w:val="18"/>
                <w:lang w:bidi="en-US"/>
              </w:rPr>
              <w:t>23</w:t>
            </w:r>
          </w:p>
        </w:tc>
        <w:tc>
          <w:tcPr>
            <w:tcW w:w="1078" w:type="pct"/>
            <w:vAlign w:val="center"/>
          </w:tcPr>
          <w:p w:rsidR="00855E30" w:rsidRPr="002648C4" w:rsidRDefault="00855E30" w:rsidP="00CE7E83">
            <w:pPr>
              <w:contextualSpacing/>
              <w:jc w:val="left"/>
              <w:rPr>
                <w:sz w:val="18"/>
                <w:szCs w:val="18"/>
                <w:lang w:bidi="en-US"/>
              </w:rPr>
            </w:pPr>
            <w:r w:rsidRPr="002648C4">
              <w:rPr>
                <w:sz w:val="18"/>
                <w:szCs w:val="18"/>
                <w:lang w:bidi="en-US"/>
              </w:rPr>
              <w:t>Pension system</w:t>
            </w:r>
          </w:p>
        </w:tc>
        <w:tc>
          <w:tcPr>
            <w:tcW w:w="1218" w:type="pct"/>
            <w:vMerge/>
            <w:vAlign w:val="center"/>
          </w:tcPr>
          <w:p w:rsidR="00A34358" w:rsidRDefault="00A34358" w:rsidP="00807960">
            <w:pPr>
              <w:numPr>
                <w:ilvl w:val="0"/>
                <w:numId w:val="8"/>
              </w:numPr>
              <w:ind w:left="174" w:hanging="142"/>
              <w:contextualSpacing/>
              <w:jc w:val="left"/>
              <w:rPr>
                <w:sz w:val="18"/>
                <w:szCs w:val="18"/>
                <w:lang w:bidi="en-US"/>
              </w:rPr>
            </w:pPr>
          </w:p>
        </w:tc>
        <w:tc>
          <w:tcPr>
            <w:tcW w:w="2342" w:type="pct"/>
            <w:vMerge/>
            <w:vAlign w:val="center"/>
          </w:tcPr>
          <w:p w:rsidR="00A34358" w:rsidRDefault="00A34358" w:rsidP="00807960">
            <w:pPr>
              <w:numPr>
                <w:ilvl w:val="0"/>
                <w:numId w:val="8"/>
              </w:numPr>
              <w:ind w:left="174" w:hanging="142"/>
              <w:contextualSpacing/>
              <w:jc w:val="left"/>
              <w:rPr>
                <w:sz w:val="16"/>
                <w:szCs w:val="16"/>
                <w:lang w:bidi="en-US"/>
              </w:rPr>
            </w:pPr>
          </w:p>
        </w:tc>
      </w:tr>
      <w:tr w:rsidR="00855E30" w:rsidRPr="0016245F" w:rsidTr="00CE7E83">
        <w:trPr>
          <w:trHeight w:val="389"/>
        </w:trPr>
        <w:tc>
          <w:tcPr>
            <w:tcW w:w="363" w:type="pct"/>
            <w:vAlign w:val="center"/>
          </w:tcPr>
          <w:p w:rsidR="00855E30" w:rsidRPr="002648C4" w:rsidRDefault="00855E30" w:rsidP="00CE7E83">
            <w:pPr>
              <w:contextualSpacing/>
              <w:jc w:val="left"/>
              <w:rPr>
                <w:sz w:val="18"/>
                <w:szCs w:val="18"/>
                <w:lang w:bidi="en-US"/>
              </w:rPr>
            </w:pPr>
            <w:r w:rsidRPr="002648C4">
              <w:rPr>
                <w:sz w:val="18"/>
                <w:szCs w:val="18"/>
                <w:lang w:bidi="en-US"/>
              </w:rPr>
              <w:t>24</w:t>
            </w:r>
          </w:p>
        </w:tc>
        <w:tc>
          <w:tcPr>
            <w:tcW w:w="1078" w:type="pct"/>
            <w:vAlign w:val="center"/>
          </w:tcPr>
          <w:p w:rsidR="00855E30" w:rsidRPr="002648C4" w:rsidRDefault="00855E30" w:rsidP="00CE7E83">
            <w:pPr>
              <w:contextualSpacing/>
              <w:jc w:val="left"/>
              <w:rPr>
                <w:sz w:val="18"/>
                <w:szCs w:val="18"/>
                <w:lang w:bidi="en-US"/>
              </w:rPr>
            </w:pPr>
            <w:r w:rsidRPr="002648C4">
              <w:rPr>
                <w:sz w:val="18"/>
                <w:szCs w:val="18"/>
                <w:lang w:bidi="en-US"/>
              </w:rPr>
              <w:t>Corruption/shadow economy</w:t>
            </w:r>
          </w:p>
        </w:tc>
        <w:tc>
          <w:tcPr>
            <w:tcW w:w="1218" w:type="pct"/>
            <w:vMerge/>
            <w:vAlign w:val="center"/>
          </w:tcPr>
          <w:p w:rsidR="00A34358" w:rsidRDefault="00A34358" w:rsidP="00807960">
            <w:pPr>
              <w:numPr>
                <w:ilvl w:val="0"/>
                <w:numId w:val="8"/>
              </w:numPr>
              <w:ind w:left="174" w:hanging="142"/>
              <w:contextualSpacing/>
              <w:jc w:val="left"/>
              <w:rPr>
                <w:sz w:val="18"/>
                <w:szCs w:val="18"/>
                <w:lang w:bidi="en-US"/>
              </w:rPr>
            </w:pPr>
          </w:p>
        </w:tc>
        <w:tc>
          <w:tcPr>
            <w:tcW w:w="2342" w:type="pct"/>
            <w:vMerge/>
            <w:vAlign w:val="center"/>
          </w:tcPr>
          <w:p w:rsidR="00A34358" w:rsidRDefault="00A34358" w:rsidP="00807960">
            <w:pPr>
              <w:numPr>
                <w:ilvl w:val="0"/>
                <w:numId w:val="8"/>
              </w:numPr>
              <w:ind w:left="174" w:hanging="142"/>
              <w:contextualSpacing/>
              <w:jc w:val="left"/>
              <w:rPr>
                <w:sz w:val="16"/>
                <w:szCs w:val="16"/>
                <w:lang w:bidi="en-US"/>
              </w:rPr>
            </w:pPr>
          </w:p>
        </w:tc>
      </w:tr>
      <w:tr w:rsidR="00855E30" w:rsidRPr="0016245F" w:rsidTr="00CE7E83">
        <w:trPr>
          <w:trHeight w:val="349"/>
        </w:trPr>
        <w:tc>
          <w:tcPr>
            <w:tcW w:w="363" w:type="pct"/>
            <w:vAlign w:val="center"/>
          </w:tcPr>
          <w:p w:rsidR="00855E30" w:rsidRPr="002648C4" w:rsidRDefault="00855E30" w:rsidP="00CE7E83">
            <w:pPr>
              <w:contextualSpacing/>
              <w:jc w:val="left"/>
              <w:rPr>
                <w:sz w:val="18"/>
                <w:szCs w:val="18"/>
                <w:lang w:bidi="en-US"/>
              </w:rPr>
            </w:pPr>
            <w:r w:rsidRPr="002648C4">
              <w:rPr>
                <w:sz w:val="18"/>
                <w:szCs w:val="18"/>
                <w:lang w:bidi="en-US"/>
              </w:rPr>
              <w:t>25</w:t>
            </w:r>
          </w:p>
        </w:tc>
        <w:tc>
          <w:tcPr>
            <w:tcW w:w="1078" w:type="pct"/>
            <w:vAlign w:val="center"/>
          </w:tcPr>
          <w:p w:rsidR="00855E30" w:rsidRPr="002648C4" w:rsidRDefault="00855E30" w:rsidP="00CE7E83">
            <w:pPr>
              <w:contextualSpacing/>
              <w:jc w:val="left"/>
              <w:rPr>
                <w:sz w:val="18"/>
                <w:szCs w:val="18"/>
                <w:lang w:bidi="en-US"/>
              </w:rPr>
            </w:pPr>
            <w:r w:rsidRPr="002648C4">
              <w:rPr>
                <w:sz w:val="18"/>
                <w:szCs w:val="18"/>
                <w:lang w:bidi="en-US"/>
              </w:rPr>
              <w:t>Banking reform</w:t>
            </w:r>
          </w:p>
        </w:tc>
        <w:tc>
          <w:tcPr>
            <w:tcW w:w="1218" w:type="pct"/>
            <w:vMerge/>
            <w:vAlign w:val="center"/>
          </w:tcPr>
          <w:p w:rsidR="00A34358" w:rsidRDefault="00A34358" w:rsidP="00807960">
            <w:pPr>
              <w:numPr>
                <w:ilvl w:val="0"/>
                <w:numId w:val="8"/>
              </w:numPr>
              <w:ind w:left="174" w:hanging="142"/>
              <w:contextualSpacing/>
              <w:jc w:val="left"/>
              <w:rPr>
                <w:sz w:val="18"/>
                <w:szCs w:val="18"/>
                <w:lang w:bidi="en-US"/>
              </w:rPr>
            </w:pPr>
          </w:p>
        </w:tc>
        <w:tc>
          <w:tcPr>
            <w:tcW w:w="2342" w:type="pct"/>
            <w:vMerge/>
            <w:vAlign w:val="center"/>
          </w:tcPr>
          <w:p w:rsidR="00A34358" w:rsidRDefault="00A34358" w:rsidP="00807960">
            <w:pPr>
              <w:numPr>
                <w:ilvl w:val="0"/>
                <w:numId w:val="8"/>
              </w:numPr>
              <w:ind w:left="174" w:hanging="142"/>
              <w:contextualSpacing/>
              <w:jc w:val="left"/>
              <w:rPr>
                <w:sz w:val="16"/>
                <w:szCs w:val="16"/>
                <w:lang w:bidi="en-US"/>
              </w:rPr>
            </w:pPr>
          </w:p>
        </w:tc>
      </w:tr>
      <w:tr w:rsidR="00855E30" w:rsidRPr="0016245F" w:rsidTr="00CE7E83">
        <w:trPr>
          <w:trHeight w:val="349"/>
        </w:trPr>
        <w:tc>
          <w:tcPr>
            <w:tcW w:w="363" w:type="pct"/>
            <w:vAlign w:val="center"/>
          </w:tcPr>
          <w:p w:rsidR="00855E30" w:rsidRPr="0016245F" w:rsidRDefault="00855E30" w:rsidP="00CE7E83">
            <w:pPr>
              <w:contextualSpacing/>
              <w:jc w:val="left"/>
              <w:rPr>
                <w:sz w:val="18"/>
                <w:szCs w:val="18"/>
                <w:lang w:bidi="en-US"/>
              </w:rPr>
            </w:pPr>
            <w:r w:rsidRPr="0016245F">
              <w:rPr>
                <w:sz w:val="18"/>
                <w:szCs w:val="18"/>
                <w:lang w:bidi="en-US"/>
              </w:rPr>
              <w:t>26</w:t>
            </w:r>
          </w:p>
        </w:tc>
        <w:tc>
          <w:tcPr>
            <w:tcW w:w="1078" w:type="pct"/>
            <w:vAlign w:val="center"/>
          </w:tcPr>
          <w:p w:rsidR="00855E30" w:rsidRPr="0016245F" w:rsidRDefault="00855E30" w:rsidP="00CE7E83">
            <w:pPr>
              <w:contextualSpacing/>
              <w:jc w:val="left"/>
              <w:rPr>
                <w:sz w:val="18"/>
                <w:szCs w:val="18"/>
                <w:lang w:bidi="en-US"/>
              </w:rPr>
            </w:pPr>
            <w:r>
              <w:rPr>
                <w:sz w:val="18"/>
                <w:szCs w:val="18"/>
                <w:lang w:bidi="en-US"/>
              </w:rPr>
              <w:t>Encouraging c</w:t>
            </w:r>
            <w:r w:rsidRPr="0016245F">
              <w:rPr>
                <w:sz w:val="18"/>
                <w:szCs w:val="18"/>
                <w:lang w:bidi="en-US"/>
              </w:rPr>
              <w:t>ompetition and liberalisation of services</w:t>
            </w:r>
          </w:p>
        </w:tc>
        <w:tc>
          <w:tcPr>
            <w:tcW w:w="1218" w:type="pct"/>
            <w:vMerge/>
            <w:vAlign w:val="center"/>
          </w:tcPr>
          <w:p w:rsidR="00A34358" w:rsidRDefault="00A34358" w:rsidP="00807960">
            <w:pPr>
              <w:numPr>
                <w:ilvl w:val="0"/>
                <w:numId w:val="8"/>
              </w:numPr>
              <w:ind w:left="174" w:hanging="142"/>
              <w:contextualSpacing/>
              <w:jc w:val="left"/>
              <w:rPr>
                <w:sz w:val="18"/>
                <w:szCs w:val="18"/>
                <w:lang w:bidi="en-US"/>
              </w:rPr>
            </w:pPr>
          </w:p>
        </w:tc>
        <w:tc>
          <w:tcPr>
            <w:tcW w:w="2342" w:type="pct"/>
            <w:vMerge/>
            <w:vAlign w:val="center"/>
          </w:tcPr>
          <w:p w:rsidR="00A34358" w:rsidRDefault="00A34358" w:rsidP="00807960">
            <w:pPr>
              <w:numPr>
                <w:ilvl w:val="0"/>
                <w:numId w:val="8"/>
              </w:numPr>
              <w:ind w:left="174" w:hanging="142"/>
              <w:contextualSpacing/>
              <w:jc w:val="left"/>
              <w:rPr>
                <w:sz w:val="16"/>
                <w:szCs w:val="16"/>
                <w:lang w:bidi="en-US"/>
              </w:rPr>
            </w:pPr>
          </w:p>
        </w:tc>
      </w:tr>
      <w:tr w:rsidR="00855E30" w:rsidRPr="0016245F" w:rsidTr="00CE7E83">
        <w:trPr>
          <w:trHeight w:val="349"/>
        </w:trPr>
        <w:tc>
          <w:tcPr>
            <w:tcW w:w="363" w:type="pct"/>
            <w:vAlign w:val="center"/>
          </w:tcPr>
          <w:p w:rsidR="00855E30" w:rsidRPr="0016245F" w:rsidRDefault="00855E30" w:rsidP="00CE7E83">
            <w:pPr>
              <w:contextualSpacing/>
              <w:jc w:val="left"/>
              <w:rPr>
                <w:sz w:val="18"/>
                <w:szCs w:val="18"/>
                <w:lang w:bidi="en-US"/>
              </w:rPr>
            </w:pPr>
            <w:r w:rsidRPr="0016245F">
              <w:rPr>
                <w:sz w:val="18"/>
                <w:szCs w:val="18"/>
                <w:lang w:bidi="en-US"/>
              </w:rPr>
              <w:t>27</w:t>
            </w:r>
          </w:p>
        </w:tc>
        <w:tc>
          <w:tcPr>
            <w:tcW w:w="1078" w:type="pct"/>
            <w:vAlign w:val="center"/>
          </w:tcPr>
          <w:p w:rsidR="00855E30" w:rsidRPr="0016245F" w:rsidRDefault="00855E30" w:rsidP="00CE7E83">
            <w:pPr>
              <w:contextualSpacing/>
              <w:jc w:val="left"/>
              <w:rPr>
                <w:sz w:val="18"/>
                <w:szCs w:val="18"/>
                <w:lang w:bidi="en-US"/>
              </w:rPr>
            </w:pPr>
            <w:r w:rsidRPr="0016245F">
              <w:rPr>
                <w:sz w:val="18"/>
                <w:szCs w:val="18"/>
                <w:lang w:bidi="en-US"/>
              </w:rPr>
              <w:t>Reform of state-owned enterprises</w:t>
            </w:r>
          </w:p>
        </w:tc>
        <w:tc>
          <w:tcPr>
            <w:tcW w:w="1218" w:type="pct"/>
            <w:vMerge/>
            <w:vAlign w:val="center"/>
          </w:tcPr>
          <w:p w:rsidR="00A34358" w:rsidRDefault="00A34358" w:rsidP="00807960">
            <w:pPr>
              <w:numPr>
                <w:ilvl w:val="0"/>
                <w:numId w:val="8"/>
              </w:numPr>
              <w:ind w:left="174" w:hanging="142"/>
              <w:contextualSpacing/>
              <w:jc w:val="left"/>
              <w:rPr>
                <w:sz w:val="18"/>
                <w:szCs w:val="18"/>
                <w:lang w:bidi="en-US"/>
              </w:rPr>
            </w:pPr>
          </w:p>
        </w:tc>
        <w:tc>
          <w:tcPr>
            <w:tcW w:w="2342" w:type="pct"/>
            <w:vMerge/>
            <w:vAlign w:val="center"/>
          </w:tcPr>
          <w:p w:rsidR="00A34358" w:rsidRDefault="00A34358" w:rsidP="00807960">
            <w:pPr>
              <w:numPr>
                <w:ilvl w:val="0"/>
                <w:numId w:val="8"/>
              </w:numPr>
              <w:ind w:left="174" w:hanging="142"/>
              <w:contextualSpacing/>
              <w:jc w:val="left"/>
              <w:rPr>
                <w:sz w:val="16"/>
                <w:szCs w:val="16"/>
                <w:lang w:bidi="en-US"/>
              </w:rPr>
            </w:pPr>
          </w:p>
        </w:tc>
      </w:tr>
    </w:tbl>
    <w:p w:rsidR="00855E30" w:rsidRDefault="00855E30" w:rsidP="00855E30">
      <w:r w:rsidRPr="001453D3">
        <w:t>Note: IP codes which contain low case letters (e.g. a, b, c…) are related to ERDF and CF; IP codes which contain roman numbers (</w:t>
      </w:r>
      <w:proofErr w:type="spellStart"/>
      <w:r w:rsidRPr="001453D3">
        <w:t>i</w:t>
      </w:r>
      <w:proofErr w:type="spellEnd"/>
      <w:r w:rsidRPr="001453D3">
        <w:t>, ii, iii…) are related to ESF.</w:t>
      </w:r>
    </w:p>
    <w:p w:rsidR="00855E30" w:rsidRDefault="00855E30" w:rsidP="00855E30">
      <w:pPr>
        <w:tabs>
          <w:tab w:val="left" w:pos="7140"/>
        </w:tabs>
      </w:pPr>
    </w:p>
    <w:p w:rsidR="00855E30" w:rsidRDefault="00855E30" w:rsidP="00855E30">
      <w:pPr>
        <w:tabs>
          <w:tab w:val="left" w:pos="7140"/>
        </w:tabs>
      </w:pPr>
    </w:p>
    <w:p w:rsidR="00C47BBE" w:rsidRDefault="00C47BBE" w:rsidP="00855E30">
      <w:pPr>
        <w:tabs>
          <w:tab w:val="left" w:pos="7140"/>
        </w:tabs>
      </w:pPr>
    </w:p>
    <w:p w:rsidR="00A57C67" w:rsidRDefault="00A57C67">
      <w:pPr>
        <w:jc w:val="left"/>
        <w:rPr>
          <w:rFonts w:eastAsia="Times New Roman" w:cs="Times New Roman"/>
          <w:b/>
          <w:i/>
          <w:sz w:val="22"/>
          <w:szCs w:val="20"/>
        </w:rPr>
      </w:pPr>
      <w:r>
        <w:br w:type="page"/>
      </w:r>
    </w:p>
    <w:p w:rsidR="00855E30" w:rsidRDefault="00855E30" w:rsidP="00855E30">
      <w:pPr>
        <w:pStyle w:val="Heading2"/>
      </w:pPr>
      <w:bookmarkStart w:id="11" w:name="_Toc466826780"/>
      <w:r w:rsidRPr="00D40ADA">
        <w:t>General trends</w:t>
      </w:r>
      <w:r>
        <w:t>: CSR and structural challenges over time and across policy areas</w:t>
      </w:r>
      <w:bookmarkEnd w:id="11"/>
    </w:p>
    <w:p w:rsidR="002B3BB7" w:rsidRPr="002B3BB7" w:rsidRDefault="002B3BB7" w:rsidP="002B3BB7"/>
    <w:p w:rsidR="00716523" w:rsidRDefault="00B91D98" w:rsidP="00716523">
      <w:pPr>
        <w:pStyle w:val="Heading3"/>
      </w:pPr>
      <w:bookmarkStart w:id="12" w:name="_Toc466826781"/>
      <w:r>
        <w:t xml:space="preserve">Main trends in </w:t>
      </w:r>
      <w:r w:rsidR="00767A5D">
        <w:t>C</w:t>
      </w:r>
      <w:r w:rsidR="00716523">
        <w:t>ountry-</w:t>
      </w:r>
      <w:r w:rsidR="00767A5D">
        <w:t>S</w:t>
      </w:r>
      <w:r w:rsidR="00716523">
        <w:t xml:space="preserve">pecific </w:t>
      </w:r>
      <w:r w:rsidR="00767A5D">
        <w:t>R</w:t>
      </w:r>
      <w:r w:rsidR="00716523">
        <w:t>ecommendations</w:t>
      </w:r>
      <w:bookmarkEnd w:id="12"/>
    </w:p>
    <w:p w:rsidR="00855E30" w:rsidRDefault="00855E30" w:rsidP="00855E30">
      <w:r>
        <w:t xml:space="preserve">In total, </w:t>
      </w:r>
      <w:r w:rsidR="004A61C4">
        <w:t xml:space="preserve">535 </w:t>
      </w:r>
      <w:r>
        <w:t xml:space="preserve">CSR were proposed in the period 2012-2015. While here we refer to the full text of CSR, in the following paragraphs we break down CSR into sub-parts, when necessary, to “isolate” specific policy recommendations and make it possible an analysis by policy area. </w:t>
      </w:r>
    </w:p>
    <w:p w:rsidR="006A32BB" w:rsidRDefault="00A3555D" w:rsidP="00855E30">
      <w:r>
        <w:t xml:space="preserve">It should be noted that a number of </w:t>
      </w:r>
      <w:r w:rsidR="006A32BB">
        <w:t xml:space="preserve">“programme </w:t>
      </w:r>
      <w:r>
        <w:t>countries</w:t>
      </w:r>
      <w:r w:rsidR="006A32BB">
        <w:t>”</w:t>
      </w:r>
      <w:r>
        <w:t xml:space="preserve"> (i.e. Greece in 2012/</w:t>
      </w:r>
      <w:r w:rsidR="006A32BB">
        <w:t>20</w:t>
      </w:r>
      <w:r>
        <w:t>13/</w:t>
      </w:r>
      <w:r w:rsidR="006A32BB">
        <w:t>20</w:t>
      </w:r>
      <w:r>
        <w:t>14/</w:t>
      </w:r>
      <w:r w:rsidR="006A32BB">
        <w:t>20</w:t>
      </w:r>
      <w:r>
        <w:t>15; Cyprus in 2013/</w:t>
      </w:r>
      <w:r w:rsidR="006A32BB">
        <w:t>20</w:t>
      </w:r>
      <w:r>
        <w:t>14/</w:t>
      </w:r>
      <w:r w:rsidR="006A32BB">
        <w:t>20</w:t>
      </w:r>
      <w:r>
        <w:t>15; Ireland in 2012/</w:t>
      </w:r>
      <w:r w:rsidR="006A32BB">
        <w:t>20</w:t>
      </w:r>
      <w:r>
        <w:t>13; Portugal in 2012/</w:t>
      </w:r>
      <w:r w:rsidR="006A32BB">
        <w:t>20</w:t>
      </w:r>
      <w:r>
        <w:t xml:space="preserve">13; Romania in 2012) </w:t>
      </w:r>
      <w:r w:rsidR="006A32BB">
        <w:t>were given recommendations through a</w:t>
      </w:r>
      <w:r w:rsidR="00D1430B">
        <w:t xml:space="preserve"> Memorandum of Understanding</w:t>
      </w:r>
      <w:r w:rsidR="006A32BB">
        <w:t xml:space="preserve"> and hence do not have CSR</w:t>
      </w:r>
      <w:r w:rsidR="00D1430B">
        <w:t>.</w:t>
      </w:r>
      <w:r>
        <w:t xml:space="preserve"> </w:t>
      </w:r>
      <w:r w:rsidR="006A32BB">
        <w:t xml:space="preserve">The challenges from MoU are considered in the following paragraph. </w:t>
      </w:r>
    </w:p>
    <w:p w:rsidR="00B9163B" w:rsidRDefault="00B9163B" w:rsidP="00855E30">
      <w:r>
        <w:t xml:space="preserve">A distinction between EU15 and EU13 is proposed in this as well as following paragraphs, where relevant, because clear commonalities within </w:t>
      </w:r>
      <w:r w:rsidR="00E64CB1">
        <w:t xml:space="preserve">these </w:t>
      </w:r>
      <w:r>
        <w:t xml:space="preserve">groups and differences among </w:t>
      </w:r>
      <w:r w:rsidR="00E64CB1">
        <w:t xml:space="preserve">them </w:t>
      </w:r>
      <w:r>
        <w:t>emerged</w:t>
      </w:r>
      <w:r w:rsidR="0009510E" w:rsidRPr="0009510E">
        <w:t xml:space="preserve"> </w:t>
      </w:r>
      <w:r w:rsidR="0009510E">
        <w:t>from the subsequent analysis of programming documents (task 3) and the interviews (with both EC officials and National/Regional authorities)</w:t>
      </w:r>
      <w:r>
        <w:t>.</w:t>
      </w:r>
      <w:r w:rsidR="00E64CB1">
        <w:t xml:space="preserve"> </w:t>
      </w:r>
    </w:p>
    <w:p w:rsidR="00B9163B" w:rsidRDefault="00B9163B" w:rsidP="00855E30">
      <w:r>
        <w:t>For a more detailed analysis of commonalities and differences across countries please see Task 3</w:t>
      </w:r>
      <w:r w:rsidR="00B92407">
        <w:t>, in particular paragraph 3.</w:t>
      </w:r>
      <w:r w:rsidR="00D6604A">
        <w:t>7,</w:t>
      </w:r>
      <w:r w:rsidR="00B92407">
        <w:t xml:space="preserve"> </w:t>
      </w:r>
      <w:r w:rsidR="00D6604A">
        <w:t>which</w:t>
      </w:r>
      <w:r w:rsidR="00B92407">
        <w:t xml:space="preserve"> provides additional considerations on possible clusters of Member States </w:t>
      </w:r>
      <w:r w:rsidR="002B29EF">
        <w:t>to be considered in the analysis when conclusions and policy recommendations are formulated</w:t>
      </w:r>
      <w:r>
        <w:t xml:space="preserve">. </w:t>
      </w:r>
      <w:r w:rsidR="0041179A">
        <w:t>Here it is worth highlighting that</w:t>
      </w:r>
      <w:r w:rsidR="00E64CB1">
        <w:t xml:space="preserve"> </w:t>
      </w:r>
      <w:r w:rsidR="002B29EF">
        <w:t>the distinction between EU15 and EU13</w:t>
      </w:r>
      <w:r w:rsidR="00E64CB1">
        <w:t xml:space="preserve"> is not a mere division of countries on the basis of the EU entry date (new vs. old MS). I</w:t>
      </w:r>
      <w:r w:rsidR="0041179A">
        <w:t>n all EU13 Countries</w:t>
      </w:r>
      <w:r w:rsidR="006F434C">
        <w:t>,</w:t>
      </w:r>
      <w:r w:rsidR="0041179A">
        <w:t xml:space="preserve"> CSR</w:t>
      </w:r>
      <w:r w:rsidR="00BC0B8D">
        <w:t xml:space="preserve"> and Country Reports</w:t>
      </w:r>
      <w:r w:rsidR="0041179A">
        <w:t xml:space="preserve"> had a fundamental role in programming, </w:t>
      </w:r>
      <w:r w:rsidR="00E64CB1">
        <w:t xml:space="preserve">they were </w:t>
      </w:r>
      <w:r w:rsidR="0041179A">
        <w:t xml:space="preserve">a basis for preparing the PA and the OPs. In other words </w:t>
      </w:r>
      <w:r w:rsidR="00E64CB1">
        <w:t>CSR</w:t>
      </w:r>
      <w:r w:rsidR="00F06AF3">
        <w:t>/structural challenges</w:t>
      </w:r>
      <w:r w:rsidR="0041179A">
        <w:t xml:space="preserve"> were a starting point for developing the strategies underlying the use of ESI Fund. Differently</w:t>
      </w:r>
      <w:r w:rsidR="00E64CB1">
        <w:t>,</w:t>
      </w:r>
      <w:r w:rsidR="0041179A">
        <w:t xml:space="preserve"> in the EU15, </w:t>
      </w:r>
      <w:r w:rsidR="006F6BE0">
        <w:t xml:space="preserve">both </w:t>
      </w:r>
      <w:r w:rsidR="0041179A">
        <w:t>CSR</w:t>
      </w:r>
      <w:r w:rsidR="006F6BE0">
        <w:t xml:space="preserve"> and Country Reports</w:t>
      </w:r>
      <w:r w:rsidR="0041179A">
        <w:t xml:space="preserve"> were certainly an influential component but not the main basis as in the rest of the EU</w:t>
      </w:r>
      <w:r w:rsidR="00E64CB1">
        <w:t>, irrespective of size and scope of the recommendations themselves</w:t>
      </w:r>
      <w:r w:rsidR="0041179A">
        <w:t>. In these Member States, CSR had a role but clearly more confined to specific areas and programmes</w:t>
      </w:r>
      <w:r w:rsidR="00B36529">
        <w:t xml:space="preserve"> (for a discussion of this as well as alternative grouping approaches see paragraph 3.</w:t>
      </w:r>
      <w:r w:rsidR="00F06AF3">
        <w:t>7</w:t>
      </w:r>
      <w:r w:rsidR="00B36529">
        <w:t>)</w:t>
      </w:r>
      <w:r w:rsidR="0041179A">
        <w:t xml:space="preserve">.  </w:t>
      </w:r>
      <w:r>
        <w:t xml:space="preserve"> </w:t>
      </w:r>
    </w:p>
    <w:p w:rsidR="00855E30" w:rsidRDefault="0041179A" w:rsidP="00855E30">
      <w:r w:rsidRPr="0041179A">
        <w:t xml:space="preserve">As shown in the following table, the 2012-2015 CSR are roughly equally distributed among EU15 and EU13 countries. </w:t>
      </w:r>
      <w:r w:rsidR="00855E30">
        <w:t xml:space="preserve">Looking at the total count, the number of recommendations ranges from a minimum of </w:t>
      </w:r>
      <w:r w:rsidR="004A61C4">
        <w:t xml:space="preserve">7 </w:t>
      </w:r>
      <w:r w:rsidR="00855E30">
        <w:t xml:space="preserve">in </w:t>
      </w:r>
      <w:r w:rsidR="004A61C4">
        <w:t>Cyprus</w:t>
      </w:r>
      <w:r w:rsidR="00855E30">
        <w:t xml:space="preserve">, which </w:t>
      </w:r>
      <w:r w:rsidR="00B62564">
        <w:t xml:space="preserve">as mentioned above </w:t>
      </w:r>
      <w:r w:rsidR="00855E30">
        <w:t>did not have</w:t>
      </w:r>
      <w:r w:rsidR="004C5865">
        <w:t xml:space="preserve"> </w:t>
      </w:r>
      <w:r w:rsidR="00855E30">
        <w:t>CSR in 201</w:t>
      </w:r>
      <w:r w:rsidR="004A61C4">
        <w:t>3</w:t>
      </w:r>
      <w:r w:rsidR="00855E30">
        <w:t>-201</w:t>
      </w:r>
      <w:r w:rsidR="004A61C4">
        <w:t>5</w:t>
      </w:r>
      <w:r w:rsidR="00855E30">
        <w:t xml:space="preserve">, to a maximum of 29 in Spain over the entire period. </w:t>
      </w:r>
    </w:p>
    <w:p w:rsidR="00855E30" w:rsidRDefault="00BD67B0" w:rsidP="00855E30">
      <w:r>
        <w:t>Looking at the distribution of CSR, a</w:t>
      </w:r>
      <w:r w:rsidR="00855E30">
        <w:t>pproximately 2</w:t>
      </w:r>
      <w:r w:rsidR="004A61C4">
        <w:t>5</w:t>
      </w:r>
      <w:r w:rsidR="00855E30">
        <w:t>% of the examined CSR were proposed in 2012, 2</w:t>
      </w:r>
      <w:r w:rsidR="004A61C4">
        <w:t>6</w:t>
      </w:r>
      <w:r w:rsidR="00855E30">
        <w:t xml:space="preserve">% in 2013 and </w:t>
      </w:r>
      <w:r w:rsidR="004A61C4">
        <w:t>29</w:t>
      </w:r>
      <w:r w:rsidR="00855E30">
        <w:t xml:space="preserve">% in 2014. The share of CSR proposed in 2015 dropped to 19% of the total following a streamlining which affected both the number of recommendations as well as their contents (see below).  </w:t>
      </w:r>
    </w:p>
    <w:p w:rsidR="002B3BB7" w:rsidRDefault="002B3BB7">
      <w:pPr>
        <w:jc w:val="left"/>
        <w:rPr>
          <w:b/>
        </w:rPr>
      </w:pPr>
      <w:r>
        <w:br w:type="page"/>
      </w:r>
    </w:p>
    <w:p w:rsidR="00855E30" w:rsidRDefault="00855E30" w:rsidP="00855E30">
      <w:pPr>
        <w:pStyle w:val="Caption"/>
      </w:pPr>
      <w:r>
        <w:t xml:space="preserve">Table </w:t>
      </w:r>
      <w:r w:rsidR="00C52F7F">
        <w:fldChar w:fldCharType="begin"/>
      </w:r>
      <w:r w:rsidR="00F62F72">
        <w:instrText xml:space="preserve"> SEQ Table \* ARABIC </w:instrText>
      </w:r>
      <w:r w:rsidR="00C52F7F">
        <w:fldChar w:fldCharType="separate"/>
      </w:r>
      <w:r w:rsidR="00584B95">
        <w:rPr>
          <w:noProof/>
        </w:rPr>
        <w:t>2</w:t>
      </w:r>
      <w:r w:rsidR="00C52F7F">
        <w:rPr>
          <w:noProof/>
        </w:rPr>
        <w:fldChar w:fldCharType="end"/>
      </w:r>
      <w:r>
        <w:t xml:space="preserve"> - CSR 2012-2015 by Member State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960"/>
        <w:gridCol w:w="960"/>
        <w:gridCol w:w="960"/>
        <w:gridCol w:w="962"/>
        <w:gridCol w:w="1203"/>
        <w:gridCol w:w="1740"/>
      </w:tblGrid>
      <w:tr w:rsidR="00E347BA" w:rsidRPr="00D436BC" w:rsidTr="00C86B52">
        <w:trPr>
          <w:trHeight w:val="252"/>
        </w:trPr>
        <w:tc>
          <w:tcPr>
            <w:tcW w:w="1232" w:type="pct"/>
            <w:shd w:val="clear" w:color="auto" w:fill="D9D9D9" w:themeFill="background1" w:themeFillShade="D9"/>
            <w:noWrap/>
            <w:vAlign w:val="bottom"/>
            <w:hideMark/>
          </w:tcPr>
          <w:p w:rsidR="00855E30" w:rsidRPr="00B759DB" w:rsidRDefault="00855E30" w:rsidP="00CE7E83">
            <w:pPr>
              <w:spacing w:after="0" w:line="240" w:lineRule="auto"/>
              <w:jc w:val="left"/>
              <w:rPr>
                <w:rFonts w:eastAsia="Times New Roman" w:cs="Times New Roman"/>
                <w:b/>
                <w:sz w:val="16"/>
                <w:szCs w:val="16"/>
                <w:lang w:eastAsia="en-GB"/>
              </w:rPr>
            </w:pPr>
          </w:p>
        </w:tc>
        <w:tc>
          <w:tcPr>
            <w:tcW w:w="533" w:type="pct"/>
            <w:shd w:val="clear" w:color="auto" w:fill="D9D9D9" w:themeFill="background1" w:themeFillShade="D9"/>
            <w:noWrap/>
            <w:vAlign w:val="bottom"/>
            <w:hideMark/>
          </w:tcPr>
          <w:p w:rsidR="00855E30" w:rsidRPr="00B759DB" w:rsidRDefault="00855E30" w:rsidP="00CE7E83">
            <w:pPr>
              <w:spacing w:after="0" w:line="240" w:lineRule="auto"/>
              <w:jc w:val="right"/>
              <w:rPr>
                <w:rFonts w:eastAsia="Times New Roman" w:cs="Times New Roman"/>
                <w:b/>
                <w:sz w:val="16"/>
                <w:szCs w:val="16"/>
                <w:lang w:eastAsia="en-GB"/>
              </w:rPr>
            </w:pPr>
            <w:r w:rsidRPr="00B759DB">
              <w:rPr>
                <w:rFonts w:eastAsia="Times New Roman" w:cs="Times New Roman"/>
                <w:b/>
                <w:sz w:val="16"/>
                <w:szCs w:val="16"/>
                <w:lang w:eastAsia="en-GB"/>
              </w:rPr>
              <w:t>2012</w:t>
            </w:r>
          </w:p>
        </w:tc>
        <w:tc>
          <w:tcPr>
            <w:tcW w:w="533" w:type="pct"/>
            <w:shd w:val="clear" w:color="auto" w:fill="D9D9D9" w:themeFill="background1" w:themeFillShade="D9"/>
            <w:noWrap/>
            <w:vAlign w:val="bottom"/>
            <w:hideMark/>
          </w:tcPr>
          <w:p w:rsidR="00855E30" w:rsidRPr="00B759DB" w:rsidRDefault="00855E30" w:rsidP="00CE7E83">
            <w:pPr>
              <w:spacing w:after="0" w:line="240" w:lineRule="auto"/>
              <w:jc w:val="right"/>
              <w:rPr>
                <w:rFonts w:eastAsia="Times New Roman" w:cs="Times New Roman"/>
                <w:b/>
                <w:sz w:val="16"/>
                <w:szCs w:val="16"/>
                <w:lang w:eastAsia="en-GB"/>
              </w:rPr>
            </w:pPr>
            <w:r w:rsidRPr="00B759DB">
              <w:rPr>
                <w:rFonts w:eastAsia="Times New Roman" w:cs="Times New Roman"/>
                <w:b/>
                <w:sz w:val="16"/>
                <w:szCs w:val="16"/>
                <w:lang w:eastAsia="en-GB"/>
              </w:rPr>
              <w:t>2013</w:t>
            </w:r>
          </w:p>
        </w:tc>
        <w:tc>
          <w:tcPr>
            <w:tcW w:w="533" w:type="pct"/>
            <w:shd w:val="clear" w:color="auto" w:fill="D9D9D9" w:themeFill="background1" w:themeFillShade="D9"/>
            <w:noWrap/>
            <w:vAlign w:val="bottom"/>
            <w:hideMark/>
          </w:tcPr>
          <w:p w:rsidR="00855E30" w:rsidRPr="00B759DB" w:rsidRDefault="00855E30" w:rsidP="00CE7E83">
            <w:pPr>
              <w:spacing w:after="0" w:line="240" w:lineRule="auto"/>
              <w:jc w:val="right"/>
              <w:rPr>
                <w:rFonts w:eastAsia="Times New Roman" w:cs="Times New Roman"/>
                <w:b/>
                <w:sz w:val="16"/>
                <w:szCs w:val="16"/>
                <w:lang w:eastAsia="en-GB"/>
              </w:rPr>
            </w:pPr>
            <w:r w:rsidRPr="00B759DB">
              <w:rPr>
                <w:rFonts w:eastAsia="Times New Roman" w:cs="Times New Roman"/>
                <w:b/>
                <w:sz w:val="16"/>
                <w:szCs w:val="16"/>
                <w:lang w:eastAsia="en-GB"/>
              </w:rPr>
              <w:t>2014</w:t>
            </w:r>
          </w:p>
        </w:tc>
        <w:tc>
          <w:tcPr>
            <w:tcW w:w="534" w:type="pct"/>
            <w:shd w:val="clear" w:color="auto" w:fill="D9D9D9" w:themeFill="background1" w:themeFillShade="D9"/>
            <w:noWrap/>
            <w:vAlign w:val="bottom"/>
            <w:hideMark/>
          </w:tcPr>
          <w:p w:rsidR="00855E30" w:rsidRPr="00B759DB" w:rsidRDefault="00855E30" w:rsidP="00CE7E83">
            <w:pPr>
              <w:spacing w:after="0" w:line="240" w:lineRule="auto"/>
              <w:jc w:val="right"/>
              <w:rPr>
                <w:rFonts w:eastAsia="Times New Roman" w:cs="Times New Roman"/>
                <w:b/>
                <w:sz w:val="16"/>
                <w:szCs w:val="16"/>
                <w:lang w:eastAsia="en-GB"/>
              </w:rPr>
            </w:pPr>
            <w:r w:rsidRPr="00B759DB">
              <w:rPr>
                <w:rFonts w:eastAsia="Times New Roman" w:cs="Times New Roman"/>
                <w:b/>
                <w:sz w:val="16"/>
                <w:szCs w:val="16"/>
                <w:lang w:eastAsia="en-GB"/>
              </w:rPr>
              <w:t>2015</w:t>
            </w:r>
          </w:p>
        </w:tc>
        <w:tc>
          <w:tcPr>
            <w:tcW w:w="668" w:type="pct"/>
            <w:shd w:val="clear" w:color="auto" w:fill="D9D9D9" w:themeFill="background1" w:themeFillShade="D9"/>
            <w:noWrap/>
            <w:vAlign w:val="bottom"/>
            <w:hideMark/>
          </w:tcPr>
          <w:p w:rsidR="00855E30" w:rsidRPr="00D436BC" w:rsidRDefault="00855E30" w:rsidP="00CE7E83">
            <w:pPr>
              <w:spacing w:after="0" w:line="240" w:lineRule="auto"/>
              <w:jc w:val="right"/>
              <w:rPr>
                <w:rFonts w:eastAsia="Times New Roman" w:cs="Times New Roman"/>
                <w:b/>
                <w:sz w:val="16"/>
                <w:szCs w:val="16"/>
                <w:lang w:eastAsia="en-GB"/>
              </w:rPr>
            </w:pPr>
            <w:r w:rsidRPr="00B759DB">
              <w:rPr>
                <w:rFonts w:eastAsia="Times New Roman" w:cs="Times New Roman"/>
                <w:b/>
                <w:sz w:val="16"/>
                <w:szCs w:val="16"/>
                <w:lang w:eastAsia="en-GB"/>
              </w:rPr>
              <w:t>Total</w:t>
            </w:r>
            <w:r w:rsidRPr="00D436BC">
              <w:rPr>
                <w:rFonts w:eastAsia="Times New Roman" w:cs="Times New Roman"/>
                <w:b/>
                <w:sz w:val="16"/>
                <w:szCs w:val="16"/>
                <w:lang w:eastAsia="en-GB"/>
              </w:rPr>
              <w:t xml:space="preserve"> </w:t>
            </w:r>
          </w:p>
          <w:p w:rsidR="00855E30" w:rsidRPr="00B759DB" w:rsidRDefault="00855E30" w:rsidP="00CE7E83">
            <w:pPr>
              <w:spacing w:after="0" w:line="240" w:lineRule="auto"/>
              <w:jc w:val="right"/>
              <w:rPr>
                <w:rFonts w:eastAsia="Times New Roman" w:cs="Times New Roman"/>
                <w:b/>
                <w:sz w:val="16"/>
                <w:szCs w:val="16"/>
                <w:lang w:eastAsia="en-GB"/>
              </w:rPr>
            </w:pPr>
            <w:r w:rsidRPr="00D436BC">
              <w:rPr>
                <w:rFonts w:eastAsia="Times New Roman" w:cs="Times New Roman"/>
                <w:b/>
                <w:sz w:val="16"/>
                <w:szCs w:val="16"/>
                <w:lang w:eastAsia="en-GB"/>
              </w:rPr>
              <w:t>2012-2015</w:t>
            </w:r>
          </w:p>
        </w:tc>
        <w:tc>
          <w:tcPr>
            <w:tcW w:w="966" w:type="pct"/>
            <w:shd w:val="clear" w:color="auto" w:fill="D9D9D9" w:themeFill="background1" w:themeFillShade="D9"/>
            <w:noWrap/>
            <w:vAlign w:val="bottom"/>
            <w:hideMark/>
          </w:tcPr>
          <w:p w:rsidR="00855E30" w:rsidRPr="00D436BC" w:rsidRDefault="00855E30" w:rsidP="00CE7E83">
            <w:pPr>
              <w:spacing w:after="0" w:line="240" w:lineRule="auto"/>
              <w:jc w:val="right"/>
              <w:rPr>
                <w:rFonts w:eastAsia="Times New Roman" w:cs="Times New Roman"/>
                <w:b/>
                <w:i/>
                <w:sz w:val="16"/>
                <w:szCs w:val="16"/>
                <w:lang w:eastAsia="en-GB"/>
              </w:rPr>
            </w:pPr>
            <w:r w:rsidRPr="00B759DB">
              <w:rPr>
                <w:rFonts w:eastAsia="Times New Roman" w:cs="Times New Roman"/>
                <w:b/>
                <w:i/>
                <w:sz w:val="16"/>
                <w:szCs w:val="16"/>
                <w:lang w:eastAsia="en-GB"/>
              </w:rPr>
              <w:t>%</w:t>
            </w:r>
            <w:r w:rsidRPr="00D436BC">
              <w:rPr>
                <w:rFonts w:eastAsia="Times New Roman" w:cs="Times New Roman"/>
                <w:b/>
                <w:i/>
                <w:sz w:val="16"/>
                <w:szCs w:val="16"/>
                <w:lang w:eastAsia="en-GB"/>
              </w:rPr>
              <w:t xml:space="preserve"> </w:t>
            </w:r>
          </w:p>
          <w:p w:rsidR="00855E30" w:rsidRPr="00B759DB" w:rsidRDefault="00E347BA" w:rsidP="00E347BA">
            <w:pPr>
              <w:spacing w:after="0" w:line="240" w:lineRule="auto"/>
              <w:jc w:val="right"/>
              <w:rPr>
                <w:rFonts w:eastAsia="Times New Roman" w:cs="Times New Roman"/>
                <w:b/>
                <w:i/>
                <w:sz w:val="16"/>
                <w:szCs w:val="16"/>
                <w:lang w:eastAsia="en-GB"/>
              </w:rPr>
            </w:pPr>
            <w:r>
              <w:rPr>
                <w:rFonts w:eastAsia="Times New Roman" w:cs="Times New Roman"/>
                <w:b/>
                <w:i/>
                <w:sz w:val="16"/>
                <w:szCs w:val="16"/>
                <w:lang w:eastAsia="en-GB"/>
              </w:rPr>
              <w:t>o</w:t>
            </w:r>
            <w:r w:rsidR="00855E30">
              <w:rPr>
                <w:rFonts w:eastAsia="Times New Roman" w:cs="Times New Roman"/>
                <w:b/>
                <w:i/>
                <w:sz w:val="16"/>
                <w:szCs w:val="16"/>
                <w:lang w:eastAsia="en-GB"/>
              </w:rPr>
              <w:t xml:space="preserve">f </w:t>
            </w:r>
            <w:r w:rsidR="00855E30" w:rsidRPr="00D436BC">
              <w:rPr>
                <w:rFonts w:eastAsia="Times New Roman" w:cs="Times New Roman"/>
                <w:b/>
                <w:i/>
                <w:sz w:val="16"/>
                <w:szCs w:val="16"/>
                <w:lang w:eastAsia="en-GB"/>
              </w:rPr>
              <w:t xml:space="preserve">Total EU </w:t>
            </w:r>
          </w:p>
        </w:tc>
      </w:tr>
      <w:tr w:rsidR="004259F7" w:rsidRPr="00D436BC" w:rsidTr="00C86B52">
        <w:trPr>
          <w:trHeight w:val="252"/>
        </w:trPr>
        <w:tc>
          <w:tcPr>
            <w:tcW w:w="1232" w:type="pct"/>
            <w:shd w:val="clear" w:color="auto" w:fill="auto"/>
            <w:noWrap/>
            <w:vAlign w:val="bottom"/>
            <w:hideMark/>
          </w:tcPr>
          <w:p w:rsidR="004259F7" w:rsidRPr="00B759DB" w:rsidRDefault="004259F7" w:rsidP="00CE7E83">
            <w:pPr>
              <w:spacing w:after="0" w:line="240" w:lineRule="auto"/>
              <w:jc w:val="left"/>
              <w:rPr>
                <w:rFonts w:eastAsia="Times New Roman" w:cs="Times New Roman"/>
                <w:sz w:val="16"/>
                <w:szCs w:val="16"/>
                <w:lang w:eastAsia="en-GB"/>
              </w:rPr>
            </w:pPr>
            <w:r w:rsidRPr="00B759DB">
              <w:rPr>
                <w:rFonts w:eastAsia="Times New Roman" w:cs="Times New Roman"/>
                <w:sz w:val="16"/>
                <w:szCs w:val="16"/>
                <w:lang w:eastAsia="en-GB"/>
              </w:rPr>
              <w:t>AT</w:t>
            </w:r>
          </w:p>
        </w:tc>
        <w:tc>
          <w:tcPr>
            <w:tcW w:w="533" w:type="pct"/>
            <w:shd w:val="clear" w:color="auto" w:fill="auto"/>
            <w:noWrap/>
            <w:vAlign w:val="bottom"/>
            <w:hideMark/>
          </w:tcPr>
          <w:p w:rsidR="004259F7" w:rsidRPr="00B759DB" w:rsidRDefault="004259F7"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7</w:t>
            </w:r>
          </w:p>
        </w:tc>
        <w:tc>
          <w:tcPr>
            <w:tcW w:w="533" w:type="pct"/>
            <w:shd w:val="clear" w:color="auto" w:fill="auto"/>
            <w:noWrap/>
            <w:vAlign w:val="bottom"/>
            <w:hideMark/>
          </w:tcPr>
          <w:p w:rsidR="004259F7" w:rsidRPr="00B759DB" w:rsidRDefault="004259F7"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7</w:t>
            </w:r>
          </w:p>
        </w:tc>
        <w:tc>
          <w:tcPr>
            <w:tcW w:w="533" w:type="pct"/>
            <w:shd w:val="clear" w:color="auto" w:fill="auto"/>
            <w:noWrap/>
            <w:vAlign w:val="bottom"/>
            <w:hideMark/>
          </w:tcPr>
          <w:p w:rsidR="004259F7" w:rsidRPr="00B759DB" w:rsidRDefault="004259F7"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5</w:t>
            </w:r>
          </w:p>
        </w:tc>
        <w:tc>
          <w:tcPr>
            <w:tcW w:w="534" w:type="pct"/>
            <w:shd w:val="clear" w:color="auto" w:fill="auto"/>
            <w:noWrap/>
            <w:vAlign w:val="bottom"/>
            <w:hideMark/>
          </w:tcPr>
          <w:p w:rsidR="004259F7" w:rsidRPr="00B759DB" w:rsidRDefault="004259F7"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4</w:t>
            </w:r>
          </w:p>
        </w:tc>
        <w:tc>
          <w:tcPr>
            <w:tcW w:w="668" w:type="pct"/>
            <w:shd w:val="clear" w:color="auto" w:fill="auto"/>
            <w:noWrap/>
            <w:vAlign w:val="bottom"/>
            <w:hideMark/>
          </w:tcPr>
          <w:p w:rsidR="004259F7" w:rsidRPr="00B759DB" w:rsidRDefault="004259F7" w:rsidP="00CE7E83">
            <w:pPr>
              <w:spacing w:after="0" w:line="240" w:lineRule="auto"/>
              <w:jc w:val="right"/>
              <w:rPr>
                <w:rFonts w:eastAsia="Times New Roman" w:cs="Times New Roman"/>
                <w:b/>
                <w:sz w:val="16"/>
                <w:szCs w:val="16"/>
                <w:lang w:eastAsia="en-GB"/>
              </w:rPr>
            </w:pPr>
            <w:r w:rsidRPr="00B759DB">
              <w:rPr>
                <w:rFonts w:eastAsia="Times New Roman" w:cs="Times New Roman"/>
                <w:b/>
                <w:sz w:val="16"/>
                <w:szCs w:val="16"/>
                <w:lang w:eastAsia="en-GB"/>
              </w:rPr>
              <w:t>23</w:t>
            </w:r>
          </w:p>
        </w:tc>
        <w:tc>
          <w:tcPr>
            <w:tcW w:w="966" w:type="pct"/>
            <w:shd w:val="clear" w:color="auto" w:fill="auto"/>
            <w:noWrap/>
            <w:hideMark/>
          </w:tcPr>
          <w:p w:rsidR="004259F7" w:rsidRPr="004259F7" w:rsidRDefault="004259F7" w:rsidP="00CE7E83">
            <w:pPr>
              <w:spacing w:after="0" w:line="240" w:lineRule="auto"/>
              <w:jc w:val="right"/>
              <w:rPr>
                <w:rFonts w:eastAsia="Times New Roman" w:cs="Times New Roman"/>
                <w:i/>
                <w:sz w:val="16"/>
                <w:szCs w:val="16"/>
                <w:lang w:eastAsia="en-GB"/>
              </w:rPr>
            </w:pPr>
            <w:r w:rsidRPr="004259F7">
              <w:rPr>
                <w:sz w:val="16"/>
                <w:szCs w:val="16"/>
              </w:rPr>
              <w:t>4.3</w:t>
            </w:r>
          </w:p>
        </w:tc>
      </w:tr>
      <w:tr w:rsidR="004259F7" w:rsidRPr="00D436BC" w:rsidTr="00C86B52">
        <w:trPr>
          <w:trHeight w:val="252"/>
        </w:trPr>
        <w:tc>
          <w:tcPr>
            <w:tcW w:w="1232" w:type="pct"/>
            <w:shd w:val="clear" w:color="auto" w:fill="auto"/>
            <w:noWrap/>
            <w:vAlign w:val="bottom"/>
            <w:hideMark/>
          </w:tcPr>
          <w:p w:rsidR="004259F7" w:rsidRPr="00B759DB" w:rsidRDefault="004259F7" w:rsidP="00CE7E83">
            <w:pPr>
              <w:spacing w:after="0" w:line="240" w:lineRule="auto"/>
              <w:jc w:val="left"/>
              <w:rPr>
                <w:rFonts w:eastAsia="Times New Roman" w:cs="Times New Roman"/>
                <w:sz w:val="16"/>
                <w:szCs w:val="16"/>
                <w:lang w:eastAsia="en-GB"/>
              </w:rPr>
            </w:pPr>
            <w:r w:rsidRPr="00B759DB">
              <w:rPr>
                <w:rFonts w:eastAsia="Times New Roman" w:cs="Times New Roman"/>
                <w:sz w:val="16"/>
                <w:szCs w:val="16"/>
                <w:lang w:eastAsia="en-GB"/>
              </w:rPr>
              <w:t>BE</w:t>
            </w:r>
          </w:p>
        </w:tc>
        <w:tc>
          <w:tcPr>
            <w:tcW w:w="533" w:type="pct"/>
            <w:shd w:val="clear" w:color="auto" w:fill="auto"/>
            <w:noWrap/>
            <w:vAlign w:val="bottom"/>
            <w:hideMark/>
          </w:tcPr>
          <w:p w:rsidR="004259F7" w:rsidRPr="00B759DB" w:rsidRDefault="004259F7"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7</w:t>
            </w:r>
          </w:p>
        </w:tc>
        <w:tc>
          <w:tcPr>
            <w:tcW w:w="533" w:type="pct"/>
            <w:shd w:val="clear" w:color="auto" w:fill="auto"/>
            <w:noWrap/>
            <w:vAlign w:val="bottom"/>
            <w:hideMark/>
          </w:tcPr>
          <w:p w:rsidR="004259F7" w:rsidRPr="00B759DB" w:rsidRDefault="004259F7"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7</w:t>
            </w:r>
          </w:p>
        </w:tc>
        <w:tc>
          <w:tcPr>
            <w:tcW w:w="533" w:type="pct"/>
            <w:shd w:val="clear" w:color="auto" w:fill="auto"/>
            <w:noWrap/>
            <w:vAlign w:val="bottom"/>
            <w:hideMark/>
          </w:tcPr>
          <w:p w:rsidR="004259F7" w:rsidRPr="00B759DB" w:rsidRDefault="004259F7"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6</w:t>
            </w:r>
          </w:p>
        </w:tc>
        <w:tc>
          <w:tcPr>
            <w:tcW w:w="534" w:type="pct"/>
            <w:shd w:val="clear" w:color="auto" w:fill="auto"/>
            <w:noWrap/>
            <w:vAlign w:val="bottom"/>
            <w:hideMark/>
          </w:tcPr>
          <w:p w:rsidR="004259F7" w:rsidRPr="00B759DB" w:rsidRDefault="004259F7"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4</w:t>
            </w:r>
          </w:p>
        </w:tc>
        <w:tc>
          <w:tcPr>
            <w:tcW w:w="668" w:type="pct"/>
            <w:shd w:val="clear" w:color="auto" w:fill="auto"/>
            <w:noWrap/>
            <w:vAlign w:val="bottom"/>
            <w:hideMark/>
          </w:tcPr>
          <w:p w:rsidR="004259F7" w:rsidRPr="00B759DB" w:rsidRDefault="004259F7" w:rsidP="00CE7E83">
            <w:pPr>
              <w:spacing w:after="0" w:line="240" w:lineRule="auto"/>
              <w:jc w:val="right"/>
              <w:rPr>
                <w:rFonts w:eastAsia="Times New Roman" w:cs="Times New Roman"/>
                <w:b/>
                <w:sz w:val="16"/>
                <w:szCs w:val="16"/>
                <w:lang w:eastAsia="en-GB"/>
              </w:rPr>
            </w:pPr>
            <w:r w:rsidRPr="00B759DB">
              <w:rPr>
                <w:rFonts w:eastAsia="Times New Roman" w:cs="Times New Roman"/>
                <w:b/>
                <w:sz w:val="16"/>
                <w:szCs w:val="16"/>
                <w:lang w:eastAsia="en-GB"/>
              </w:rPr>
              <w:t>24</w:t>
            </w:r>
          </w:p>
        </w:tc>
        <w:tc>
          <w:tcPr>
            <w:tcW w:w="966" w:type="pct"/>
            <w:shd w:val="clear" w:color="auto" w:fill="auto"/>
            <w:noWrap/>
            <w:hideMark/>
          </w:tcPr>
          <w:p w:rsidR="004259F7" w:rsidRPr="004259F7" w:rsidRDefault="004259F7" w:rsidP="00CE7E83">
            <w:pPr>
              <w:spacing w:after="0" w:line="240" w:lineRule="auto"/>
              <w:jc w:val="right"/>
              <w:rPr>
                <w:rFonts w:eastAsia="Times New Roman" w:cs="Times New Roman"/>
                <w:i/>
                <w:sz w:val="16"/>
                <w:szCs w:val="16"/>
                <w:lang w:eastAsia="en-GB"/>
              </w:rPr>
            </w:pPr>
            <w:r w:rsidRPr="004259F7">
              <w:rPr>
                <w:sz w:val="16"/>
                <w:szCs w:val="16"/>
              </w:rPr>
              <w:t>4.5</w:t>
            </w:r>
          </w:p>
        </w:tc>
      </w:tr>
      <w:tr w:rsidR="004259F7" w:rsidRPr="00D436BC" w:rsidTr="00C86B52">
        <w:trPr>
          <w:trHeight w:val="252"/>
        </w:trPr>
        <w:tc>
          <w:tcPr>
            <w:tcW w:w="1232" w:type="pct"/>
            <w:shd w:val="clear" w:color="auto" w:fill="auto"/>
            <w:noWrap/>
            <w:vAlign w:val="bottom"/>
            <w:hideMark/>
          </w:tcPr>
          <w:p w:rsidR="004259F7" w:rsidRPr="00B759DB" w:rsidRDefault="004259F7" w:rsidP="00CE7E83">
            <w:pPr>
              <w:spacing w:after="0" w:line="240" w:lineRule="auto"/>
              <w:jc w:val="left"/>
              <w:rPr>
                <w:rFonts w:eastAsia="Times New Roman" w:cs="Times New Roman"/>
                <w:sz w:val="16"/>
                <w:szCs w:val="16"/>
                <w:lang w:eastAsia="en-GB"/>
              </w:rPr>
            </w:pPr>
            <w:r w:rsidRPr="00B759DB">
              <w:rPr>
                <w:rFonts w:eastAsia="Times New Roman" w:cs="Times New Roman"/>
                <w:sz w:val="16"/>
                <w:szCs w:val="16"/>
                <w:lang w:eastAsia="en-GB"/>
              </w:rPr>
              <w:t>BG</w:t>
            </w:r>
          </w:p>
        </w:tc>
        <w:tc>
          <w:tcPr>
            <w:tcW w:w="533" w:type="pct"/>
            <w:shd w:val="clear" w:color="auto" w:fill="auto"/>
            <w:noWrap/>
            <w:vAlign w:val="bottom"/>
            <w:hideMark/>
          </w:tcPr>
          <w:p w:rsidR="004259F7" w:rsidRPr="00B759DB" w:rsidRDefault="004259F7"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7</w:t>
            </w:r>
          </w:p>
        </w:tc>
        <w:tc>
          <w:tcPr>
            <w:tcW w:w="533" w:type="pct"/>
            <w:shd w:val="clear" w:color="auto" w:fill="auto"/>
            <w:noWrap/>
            <w:vAlign w:val="bottom"/>
            <w:hideMark/>
          </w:tcPr>
          <w:p w:rsidR="004259F7" w:rsidRPr="00B759DB" w:rsidRDefault="004259F7"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7</w:t>
            </w:r>
          </w:p>
        </w:tc>
        <w:tc>
          <w:tcPr>
            <w:tcW w:w="533" w:type="pct"/>
            <w:shd w:val="clear" w:color="auto" w:fill="auto"/>
            <w:noWrap/>
            <w:vAlign w:val="bottom"/>
            <w:hideMark/>
          </w:tcPr>
          <w:p w:rsidR="004259F7" w:rsidRPr="00B759DB" w:rsidRDefault="004259F7"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6</w:t>
            </w:r>
          </w:p>
        </w:tc>
        <w:tc>
          <w:tcPr>
            <w:tcW w:w="534" w:type="pct"/>
            <w:shd w:val="clear" w:color="auto" w:fill="auto"/>
            <w:noWrap/>
            <w:vAlign w:val="bottom"/>
            <w:hideMark/>
          </w:tcPr>
          <w:p w:rsidR="004259F7" w:rsidRPr="00B759DB" w:rsidRDefault="004259F7"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5</w:t>
            </w:r>
          </w:p>
        </w:tc>
        <w:tc>
          <w:tcPr>
            <w:tcW w:w="668" w:type="pct"/>
            <w:shd w:val="clear" w:color="auto" w:fill="auto"/>
            <w:noWrap/>
            <w:vAlign w:val="bottom"/>
            <w:hideMark/>
          </w:tcPr>
          <w:p w:rsidR="004259F7" w:rsidRPr="00B759DB" w:rsidRDefault="004259F7" w:rsidP="00CE7E83">
            <w:pPr>
              <w:spacing w:after="0" w:line="240" w:lineRule="auto"/>
              <w:jc w:val="right"/>
              <w:rPr>
                <w:rFonts w:eastAsia="Times New Roman" w:cs="Times New Roman"/>
                <w:b/>
                <w:sz w:val="16"/>
                <w:szCs w:val="16"/>
                <w:lang w:eastAsia="en-GB"/>
              </w:rPr>
            </w:pPr>
            <w:r w:rsidRPr="00B759DB">
              <w:rPr>
                <w:rFonts w:eastAsia="Times New Roman" w:cs="Times New Roman"/>
                <w:b/>
                <w:sz w:val="16"/>
                <w:szCs w:val="16"/>
                <w:lang w:eastAsia="en-GB"/>
              </w:rPr>
              <w:t>25</w:t>
            </w:r>
          </w:p>
        </w:tc>
        <w:tc>
          <w:tcPr>
            <w:tcW w:w="966" w:type="pct"/>
            <w:shd w:val="clear" w:color="auto" w:fill="auto"/>
            <w:noWrap/>
            <w:hideMark/>
          </w:tcPr>
          <w:p w:rsidR="004259F7" w:rsidRPr="004259F7" w:rsidRDefault="004259F7" w:rsidP="00CE7E83">
            <w:pPr>
              <w:spacing w:after="0" w:line="240" w:lineRule="auto"/>
              <w:jc w:val="right"/>
              <w:rPr>
                <w:rFonts w:eastAsia="Times New Roman" w:cs="Times New Roman"/>
                <w:i/>
                <w:sz w:val="16"/>
                <w:szCs w:val="16"/>
                <w:lang w:eastAsia="en-GB"/>
              </w:rPr>
            </w:pPr>
            <w:r w:rsidRPr="004259F7">
              <w:rPr>
                <w:sz w:val="16"/>
                <w:szCs w:val="16"/>
              </w:rPr>
              <w:t>4.7</w:t>
            </w:r>
          </w:p>
        </w:tc>
      </w:tr>
      <w:tr w:rsidR="004259F7" w:rsidRPr="00D436BC" w:rsidTr="00C86B52">
        <w:trPr>
          <w:trHeight w:val="252"/>
        </w:trPr>
        <w:tc>
          <w:tcPr>
            <w:tcW w:w="1232" w:type="pct"/>
            <w:shd w:val="clear" w:color="auto" w:fill="auto"/>
            <w:noWrap/>
            <w:vAlign w:val="bottom"/>
            <w:hideMark/>
          </w:tcPr>
          <w:p w:rsidR="004259F7" w:rsidRPr="00B759DB" w:rsidRDefault="004259F7" w:rsidP="00CE7E83">
            <w:pPr>
              <w:spacing w:after="0" w:line="240" w:lineRule="auto"/>
              <w:jc w:val="left"/>
              <w:rPr>
                <w:rFonts w:eastAsia="Times New Roman" w:cs="Times New Roman"/>
                <w:sz w:val="16"/>
                <w:szCs w:val="16"/>
                <w:lang w:eastAsia="en-GB"/>
              </w:rPr>
            </w:pPr>
            <w:r w:rsidRPr="00B759DB">
              <w:rPr>
                <w:rFonts w:eastAsia="Times New Roman" w:cs="Times New Roman"/>
                <w:sz w:val="16"/>
                <w:szCs w:val="16"/>
                <w:lang w:eastAsia="en-GB"/>
              </w:rPr>
              <w:t>CZ</w:t>
            </w:r>
          </w:p>
        </w:tc>
        <w:tc>
          <w:tcPr>
            <w:tcW w:w="533" w:type="pct"/>
            <w:shd w:val="clear" w:color="auto" w:fill="auto"/>
            <w:noWrap/>
            <w:vAlign w:val="bottom"/>
            <w:hideMark/>
          </w:tcPr>
          <w:p w:rsidR="004259F7" w:rsidRPr="00B759DB" w:rsidRDefault="004259F7"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6</w:t>
            </w:r>
          </w:p>
        </w:tc>
        <w:tc>
          <w:tcPr>
            <w:tcW w:w="533" w:type="pct"/>
            <w:shd w:val="clear" w:color="auto" w:fill="auto"/>
            <w:noWrap/>
            <w:vAlign w:val="bottom"/>
            <w:hideMark/>
          </w:tcPr>
          <w:p w:rsidR="004259F7" w:rsidRPr="00B759DB" w:rsidRDefault="004259F7"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7</w:t>
            </w:r>
          </w:p>
        </w:tc>
        <w:tc>
          <w:tcPr>
            <w:tcW w:w="533" w:type="pct"/>
            <w:shd w:val="clear" w:color="auto" w:fill="auto"/>
            <w:noWrap/>
            <w:vAlign w:val="bottom"/>
            <w:hideMark/>
          </w:tcPr>
          <w:p w:rsidR="004259F7" w:rsidRPr="00B759DB" w:rsidRDefault="004259F7"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7</w:t>
            </w:r>
          </w:p>
        </w:tc>
        <w:tc>
          <w:tcPr>
            <w:tcW w:w="534" w:type="pct"/>
            <w:shd w:val="clear" w:color="auto" w:fill="auto"/>
            <w:noWrap/>
            <w:vAlign w:val="bottom"/>
            <w:hideMark/>
          </w:tcPr>
          <w:p w:rsidR="004259F7" w:rsidRPr="00B759DB" w:rsidRDefault="004259F7"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4</w:t>
            </w:r>
          </w:p>
        </w:tc>
        <w:tc>
          <w:tcPr>
            <w:tcW w:w="668" w:type="pct"/>
            <w:shd w:val="clear" w:color="auto" w:fill="auto"/>
            <w:noWrap/>
            <w:vAlign w:val="bottom"/>
            <w:hideMark/>
          </w:tcPr>
          <w:p w:rsidR="004259F7" w:rsidRPr="00B759DB" w:rsidRDefault="004259F7" w:rsidP="00CE7E83">
            <w:pPr>
              <w:spacing w:after="0" w:line="240" w:lineRule="auto"/>
              <w:jc w:val="right"/>
              <w:rPr>
                <w:rFonts w:eastAsia="Times New Roman" w:cs="Times New Roman"/>
                <w:b/>
                <w:sz w:val="16"/>
                <w:szCs w:val="16"/>
                <w:lang w:eastAsia="en-GB"/>
              </w:rPr>
            </w:pPr>
            <w:r w:rsidRPr="00B759DB">
              <w:rPr>
                <w:rFonts w:eastAsia="Times New Roman" w:cs="Times New Roman"/>
                <w:b/>
                <w:sz w:val="16"/>
                <w:szCs w:val="16"/>
                <w:lang w:eastAsia="en-GB"/>
              </w:rPr>
              <w:t>24</w:t>
            </w:r>
          </w:p>
        </w:tc>
        <w:tc>
          <w:tcPr>
            <w:tcW w:w="966" w:type="pct"/>
            <w:shd w:val="clear" w:color="auto" w:fill="auto"/>
            <w:noWrap/>
            <w:hideMark/>
          </w:tcPr>
          <w:p w:rsidR="004259F7" w:rsidRPr="004259F7" w:rsidRDefault="004259F7" w:rsidP="00CE7E83">
            <w:pPr>
              <w:spacing w:after="0" w:line="240" w:lineRule="auto"/>
              <w:jc w:val="right"/>
              <w:rPr>
                <w:rFonts w:eastAsia="Times New Roman" w:cs="Times New Roman"/>
                <w:i/>
                <w:sz w:val="16"/>
                <w:szCs w:val="16"/>
                <w:lang w:eastAsia="en-GB"/>
              </w:rPr>
            </w:pPr>
            <w:r w:rsidRPr="004259F7">
              <w:rPr>
                <w:sz w:val="16"/>
                <w:szCs w:val="16"/>
              </w:rPr>
              <w:t>4.5</w:t>
            </w:r>
          </w:p>
        </w:tc>
      </w:tr>
      <w:tr w:rsidR="004259F7" w:rsidRPr="00D436BC" w:rsidTr="00C86B52">
        <w:trPr>
          <w:trHeight w:val="252"/>
        </w:trPr>
        <w:tc>
          <w:tcPr>
            <w:tcW w:w="1232" w:type="pct"/>
            <w:shd w:val="clear" w:color="auto" w:fill="auto"/>
            <w:noWrap/>
            <w:vAlign w:val="bottom"/>
          </w:tcPr>
          <w:p w:rsidR="004259F7" w:rsidRPr="00B759DB" w:rsidRDefault="004259F7" w:rsidP="00CE7E83">
            <w:pPr>
              <w:spacing w:after="0" w:line="240" w:lineRule="auto"/>
              <w:jc w:val="left"/>
              <w:rPr>
                <w:rFonts w:eastAsia="Times New Roman" w:cs="Times New Roman"/>
                <w:sz w:val="16"/>
                <w:szCs w:val="16"/>
                <w:lang w:eastAsia="en-GB"/>
              </w:rPr>
            </w:pPr>
            <w:r>
              <w:rPr>
                <w:rFonts w:eastAsia="Times New Roman" w:cs="Times New Roman"/>
                <w:sz w:val="16"/>
                <w:szCs w:val="16"/>
                <w:lang w:eastAsia="en-GB"/>
              </w:rPr>
              <w:t>CY</w:t>
            </w:r>
          </w:p>
        </w:tc>
        <w:tc>
          <w:tcPr>
            <w:tcW w:w="533" w:type="pct"/>
            <w:shd w:val="clear" w:color="auto" w:fill="auto"/>
            <w:noWrap/>
            <w:vAlign w:val="bottom"/>
          </w:tcPr>
          <w:p w:rsidR="004259F7" w:rsidRPr="00B759DB" w:rsidRDefault="004259F7" w:rsidP="00CE7E83">
            <w:pPr>
              <w:spacing w:after="0" w:line="240" w:lineRule="auto"/>
              <w:jc w:val="right"/>
              <w:rPr>
                <w:rFonts w:eastAsia="Times New Roman" w:cs="Times New Roman"/>
                <w:sz w:val="16"/>
                <w:szCs w:val="16"/>
                <w:lang w:eastAsia="en-GB"/>
              </w:rPr>
            </w:pPr>
            <w:r>
              <w:rPr>
                <w:rFonts w:eastAsia="Times New Roman" w:cs="Times New Roman"/>
                <w:sz w:val="16"/>
                <w:szCs w:val="16"/>
                <w:lang w:eastAsia="en-GB"/>
              </w:rPr>
              <w:t>7</w:t>
            </w:r>
          </w:p>
        </w:tc>
        <w:tc>
          <w:tcPr>
            <w:tcW w:w="533" w:type="pct"/>
            <w:shd w:val="clear" w:color="auto" w:fill="auto"/>
            <w:noWrap/>
            <w:vAlign w:val="bottom"/>
          </w:tcPr>
          <w:p w:rsidR="004259F7" w:rsidRPr="00B759DB" w:rsidRDefault="004259F7" w:rsidP="00CE7E83">
            <w:pPr>
              <w:spacing w:after="0" w:line="240" w:lineRule="auto"/>
              <w:jc w:val="right"/>
              <w:rPr>
                <w:rFonts w:eastAsia="Times New Roman" w:cs="Times New Roman"/>
                <w:sz w:val="16"/>
                <w:szCs w:val="16"/>
                <w:lang w:eastAsia="en-GB"/>
              </w:rPr>
            </w:pPr>
            <w:r>
              <w:rPr>
                <w:rFonts w:eastAsia="Times New Roman" w:cs="Times New Roman"/>
                <w:sz w:val="16"/>
                <w:szCs w:val="16"/>
                <w:lang w:eastAsia="en-GB"/>
              </w:rPr>
              <w:t>-</w:t>
            </w:r>
          </w:p>
        </w:tc>
        <w:tc>
          <w:tcPr>
            <w:tcW w:w="533" w:type="pct"/>
            <w:shd w:val="clear" w:color="auto" w:fill="auto"/>
            <w:noWrap/>
            <w:vAlign w:val="bottom"/>
          </w:tcPr>
          <w:p w:rsidR="004259F7" w:rsidRPr="00B759DB" w:rsidRDefault="004259F7" w:rsidP="00CE7E83">
            <w:pPr>
              <w:spacing w:after="0" w:line="240" w:lineRule="auto"/>
              <w:jc w:val="right"/>
              <w:rPr>
                <w:rFonts w:eastAsia="Times New Roman" w:cs="Times New Roman"/>
                <w:sz w:val="16"/>
                <w:szCs w:val="16"/>
                <w:lang w:eastAsia="en-GB"/>
              </w:rPr>
            </w:pPr>
            <w:r>
              <w:rPr>
                <w:rFonts w:eastAsia="Times New Roman" w:cs="Times New Roman"/>
                <w:sz w:val="16"/>
                <w:szCs w:val="16"/>
                <w:lang w:eastAsia="en-GB"/>
              </w:rPr>
              <w:t>-</w:t>
            </w:r>
          </w:p>
        </w:tc>
        <w:tc>
          <w:tcPr>
            <w:tcW w:w="534" w:type="pct"/>
            <w:shd w:val="clear" w:color="auto" w:fill="auto"/>
            <w:noWrap/>
            <w:vAlign w:val="bottom"/>
          </w:tcPr>
          <w:p w:rsidR="004259F7" w:rsidRPr="00B759DB" w:rsidRDefault="004259F7" w:rsidP="00CE7E83">
            <w:pPr>
              <w:spacing w:after="0" w:line="240" w:lineRule="auto"/>
              <w:jc w:val="right"/>
              <w:rPr>
                <w:rFonts w:eastAsia="Times New Roman" w:cs="Times New Roman"/>
                <w:sz w:val="16"/>
                <w:szCs w:val="16"/>
                <w:lang w:eastAsia="en-GB"/>
              </w:rPr>
            </w:pPr>
            <w:r>
              <w:rPr>
                <w:rFonts w:eastAsia="Times New Roman" w:cs="Times New Roman"/>
                <w:sz w:val="16"/>
                <w:szCs w:val="16"/>
                <w:lang w:eastAsia="en-GB"/>
              </w:rPr>
              <w:t>-</w:t>
            </w:r>
          </w:p>
        </w:tc>
        <w:tc>
          <w:tcPr>
            <w:tcW w:w="668" w:type="pct"/>
            <w:shd w:val="clear" w:color="auto" w:fill="auto"/>
            <w:noWrap/>
            <w:vAlign w:val="bottom"/>
          </w:tcPr>
          <w:p w:rsidR="004259F7" w:rsidRPr="00B759DB" w:rsidRDefault="004259F7" w:rsidP="00CE7E83">
            <w:pPr>
              <w:spacing w:after="0" w:line="240" w:lineRule="auto"/>
              <w:jc w:val="right"/>
              <w:rPr>
                <w:rFonts w:eastAsia="Times New Roman" w:cs="Times New Roman"/>
                <w:b/>
                <w:sz w:val="16"/>
                <w:szCs w:val="16"/>
                <w:lang w:eastAsia="en-GB"/>
              </w:rPr>
            </w:pPr>
            <w:r>
              <w:rPr>
                <w:rFonts w:eastAsia="Times New Roman" w:cs="Times New Roman"/>
                <w:b/>
                <w:sz w:val="16"/>
                <w:szCs w:val="16"/>
                <w:lang w:eastAsia="en-GB"/>
              </w:rPr>
              <w:t>7</w:t>
            </w:r>
          </w:p>
        </w:tc>
        <w:tc>
          <w:tcPr>
            <w:tcW w:w="966" w:type="pct"/>
            <w:shd w:val="clear" w:color="auto" w:fill="auto"/>
            <w:noWrap/>
          </w:tcPr>
          <w:p w:rsidR="004259F7" w:rsidRPr="004259F7" w:rsidRDefault="004259F7" w:rsidP="00CE7E83">
            <w:pPr>
              <w:spacing w:after="0" w:line="240" w:lineRule="auto"/>
              <w:jc w:val="right"/>
              <w:rPr>
                <w:rFonts w:eastAsia="Times New Roman" w:cs="Times New Roman"/>
                <w:i/>
                <w:sz w:val="16"/>
                <w:szCs w:val="16"/>
                <w:lang w:eastAsia="en-GB"/>
              </w:rPr>
            </w:pPr>
            <w:r w:rsidRPr="004259F7">
              <w:rPr>
                <w:sz w:val="16"/>
                <w:szCs w:val="16"/>
              </w:rPr>
              <w:t>1.3</w:t>
            </w:r>
          </w:p>
        </w:tc>
      </w:tr>
      <w:tr w:rsidR="004259F7" w:rsidRPr="00D436BC" w:rsidTr="00C86B52">
        <w:trPr>
          <w:trHeight w:val="252"/>
        </w:trPr>
        <w:tc>
          <w:tcPr>
            <w:tcW w:w="1232" w:type="pct"/>
            <w:shd w:val="clear" w:color="auto" w:fill="auto"/>
            <w:noWrap/>
            <w:vAlign w:val="bottom"/>
            <w:hideMark/>
          </w:tcPr>
          <w:p w:rsidR="004259F7" w:rsidRPr="00B759DB" w:rsidRDefault="004259F7" w:rsidP="00CE7E83">
            <w:pPr>
              <w:spacing w:after="0" w:line="240" w:lineRule="auto"/>
              <w:jc w:val="left"/>
              <w:rPr>
                <w:rFonts w:eastAsia="Times New Roman" w:cs="Times New Roman"/>
                <w:sz w:val="16"/>
                <w:szCs w:val="16"/>
                <w:lang w:eastAsia="en-GB"/>
              </w:rPr>
            </w:pPr>
            <w:r w:rsidRPr="00B759DB">
              <w:rPr>
                <w:rFonts w:eastAsia="Times New Roman" w:cs="Times New Roman"/>
                <w:sz w:val="16"/>
                <w:szCs w:val="16"/>
                <w:lang w:eastAsia="en-GB"/>
              </w:rPr>
              <w:t>DE</w:t>
            </w:r>
          </w:p>
        </w:tc>
        <w:tc>
          <w:tcPr>
            <w:tcW w:w="533" w:type="pct"/>
            <w:shd w:val="clear" w:color="auto" w:fill="auto"/>
            <w:noWrap/>
            <w:vAlign w:val="bottom"/>
            <w:hideMark/>
          </w:tcPr>
          <w:p w:rsidR="004259F7" w:rsidRPr="00B759DB" w:rsidRDefault="004259F7"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4</w:t>
            </w:r>
          </w:p>
        </w:tc>
        <w:tc>
          <w:tcPr>
            <w:tcW w:w="533" w:type="pct"/>
            <w:shd w:val="clear" w:color="auto" w:fill="auto"/>
            <w:noWrap/>
            <w:vAlign w:val="bottom"/>
            <w:hideMark/>
          </w:tcPr>
          <w:p w:rsidR="004259F7" w:rsidRPr="00B759DB" w:rsidRDefault="004259F7"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4</w:t>
            </w:r>
          </w:p>
        </w:tc>
        <w:tc>
          <w:tcPr>
            <w:tcW w:w="533" w:type="pct"/>
            <w:shd w:val="clear" w:color="auto" w:fill="auto"/>
            <w:noWrap/>
            <w:vAlign w:val="bottom"/>
            <w:hideMark/>
          </w:tcPr>
          <w:p w:rsidR="004259F7" w:rsidRPr="00B759DB" w:rsidRDefault="004259F7"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4</w:t>
            </w:r>
          </w:p>
        </w:tc>
        <w:tc>
          <w:tcPr>
            <w:tcW w:w="534" w:type="pct"/>
            <w:shd w:val="clear" w:color="auto" w:fill="auto"/>
            <w:noWrap/>
            <w:vAlign w:val="bottom"/>
            <w:hideMark/>
          </w:tcPr>
          <w:p w:rsidR="004259F7" w:rsidRPr="00B759DB" w:rsidRDefault="004259F7"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3</w:t>
            </w:r>
          </w:p>
        </w:tc>
        <w:tc>
          <w:tcPr>
            <w:tcW w:w="668" w:type="pct"/>
            <w:shd w:val="clear" w:color="auto" w:fill="auto"/>
            <w:noWrap/>
            <w:vAlign w:val="bottom"/>
            <w:hideMark/>
          </w:tcPr>
          <w:p w:rsidR="004259F7" w:rsidRPr="00B759DB" w:rsidRDefault="004259F7" w:rsidP="00CE7E83">
            <w:pPr>
              <w:spacing w:after="0" w:line="240" w:lineRule="auto"/>
              <w:jc w:val="right"/>
              <w:rPr>
                <w:rFonts w:eastAsia="Times New Roman" w:cs="Times New Roman"/>
                <w:b/>
                <w:sz w:val="16"/>
                <w:szCs w:val="16"/>
                <w:lang w:eastAsia="en-GB"/>
              </w:rPr>
            </w:pPr>
            <w:r w:rsidRPr="00B759DB">
              <w:rPr>
                <w:rFonts w:eastAsia="Times New Roman" w:cs="Times New Roman"/>
                <w:b/>
                <w:sz w:val="16"/>
                <w:szCs w:val="16"/>
                <w:lang w:eastAsia="en-GB"/>
              </w:rPr>
              <w:t>15</w:t>
            </w:r>
          </w:p>
        </w:tc>
        <w:tc>
          <w:tcPr>
            <w:tcW w:w="966" w:type="pct"/>
            <w:shd w:val="clear" w:color="auto" w:fill="auto"/>
            <w:noWrap/>
            <w:hideMark/>
          </w:tcPr>
          <w:p w:rsidR="004259F7" w:rsidRPr="004259F7" w:rsidRDefault="004259F7" w:rsidP="00CE7E83">
            <w:pPr>
              <w:spacing w:after="0" w:line="240" w:lineRule="auto"/>
              <w:jc w:val="right"/>
              <w:rPr>
                <w:rFonts w:eastAsia="Times New Roman" w:cs="Times New Roman"/>
                <w:i/>
                <w:sz w:val="16"/>
                <w:szCs w:val="16"/>
                <w:lang w:eastAsia="en-GB"/>
              </w:rPr>
            </w:pPr>
            <w:r w:rsidRPr="004259F7">
              <w:rPr>
                <w:sz w:val="16"/>
                <w:szCs w:val="16"/>
              </w:rPr>
              <w:t>2.8</w:t>
            </w:r>
          </w:p>
        </w:tc>
      </w:tr>
      <w:tr w:rsidR="004259F7" w:rsidRPr="00D436BC" w:rsidTr="00C86B52">
        <w:trPr>
          <w:trHeight w:val="252"/>
        </w:trPr>
        <w:tc>
          <w:tcPr>
            <w:tcW w:w="1232" w:type="pct"/>
            <w:shd w:val="clear" w:color="auto" w:fill="auto"/>
            <w:noWrap/>
            <w:vAlign w:val="bottom"/>
            <w:hideMark/>
          </w:tcPr>
          <w:p w:rsidR="004259F7" w:rsidRPr="00B759DB" w:rsidRDefault="004259F7" w:rsidP="00CE7E83">
            <w:pPr>
              <w:spacing w:after="0" w:line="240" w:lineRule="auto"/>
              <w:jc w:val="left"/>
              <w:rPr>
                <w:rFonts w:eastAsia="Times New Roman" w:cs="Times New Roman"/>
                <w:sz w:val="16"/>
                <w:szCs w:val="16"/>
                <w:lang w:eastAsia="en-GB"/>
              </w:rPr>
            </w:pPr>
            <w:r w:rsidRPr="00B759DB">
              <w:rPr>
                <w:rFonts w:eastAsia="Times New Roman" w:cs="Times New Roman"/>
                <w:sz w:val="16"/>
                <w:szCs w:val="16"/>
                <w:lang w:eastAsia="en-GB"/>
              </w:rPr>
              <w:t>DK</w:t>
            </w:r>
          </w:p>
        </w:tc>
        <w:tc>
          <w:tcPr>
            <w:tcW w:w="533" w:type="pct"/>
            <w:shd w:val="clear" w:color="auto" w:fill="auto"/>
            <w:noWrap/>
            <w:vAlign w:val="bottom"/>
            <w:hideMark/>
          </w:tcPr>
          <w:p w:rsidR="004259F7" w:rsidRPr="00B759DB" w:rsidRDefault="004259F7"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5</w:t>
            </w:r>
          </w:p>
        </w:tc>
        <w:tc>
          <w:tcPr>
            <w:tcW w:w="533" w:type="pct"/>
            <w:shd w:val="clear" w:color="auto" w:fill="auto"/>
            <w:noWrap/>
            <w:vAlign w:val="bottom"/>
            <w:hideMark/>
          </w:tcPr>
          <w:p w:rsidR="004259F7" w:rsidRPr="00B759DB" w:rsidRDefault="004259F7"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3</w:t>
            </w:r>
          </w:p>
        </w:tc>
        <w:tc>
          <w:tcPr>
            <w:tcW w:w="533" w:type="pct"/>
            <w:shd w:val="clear" w:color="auto" w:fill="auto"/>
            <w:noWrap/>
            <w:vAlign w:val="bottom"/>
            <w:hideMark/>
          </w:tcPr>
          <w:p w:rsidR="004259F7" w:rsidRPr="00B759DB" w:rsidRDefault="004259F7"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3</w:t>
            </w:r>
          </w:p>
        </w:tc>
        <w:tc>
          <w:tcPr>
            <w:tcW w:w="534" w:type="pct"/>
            <w:shd w:val="clear" w:color="auto" w:fill="auto"/>
            <w:noWrap/>
            <w:vAlign w:val="bottom"/>
            <w:hideMark/>
          </w:tcPr>
          <w:p w:rsidR="004259F7" w:rsidRPr="00B759DB" w:rsidRDefault="004259F7"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2</w:t>
            </w:r>
          </w:p>
        </w:tc>
        <w:tc>
          <w:tcPr>
            <w:tcW w:w="668" w:type="pct"/>
            <w:shd w:val="clear" w:color="auto" w:fill="auto"/>
            <w:noWrap/>
            <w:vAlign w:val="bottom"/>
            <w:hideMark/>
          </w:tcPr>
          <w:p w:rsidR="004259F7" w:rsidRPr="00B759DB" w:rsidRDefault="004259F7" w:rsidP="00CE7E83">
            <w:pPr>
              <w:spacing w:after="0" w:line="240" w:lineRule="auto"/>
              <w:jc w:val="right"/>
              <w:rPr>
                <w:rFonts w:eastAsia="Times New Roman" w:cs="Times New Roman"/>
                <w:b/>
                <w:sz w:val="16"/>
                <w:szCs w:val="16"/>
                <w:lang w:eastAsia="en-GB"/>
              </w:rPr>
            </w:pPr>
            <w:r w:rsidRPr="00B759DB">
              <w:rPr>
                <w:rFonts w:eastAsia="Times New Roman" w:cs="Times New Roman"/>
                <w:b/>
                <w:sz w:val="16"/>
                <w:szCs w:val="16"/>
                <w:lang w:eastAsia="en-GB"/>
              </w:rPr>
              <w:t>13</w:t>
            </w:r>
          </w:p>
        </w:tc>
        <w:tc>
          <w:tcPr>
            <w:tcW w:w="966" w:type="pct"/>
            <w:shd w:val="clear" w:color="auto" w:fill="auto"/>
            <w:noWrap/>
            <w:hideMark/>
          </w:tcPr>
          <w:p w:rsidR="004259F7" w:rsidRPr="004259F7" w:rsidRDefault="004259F7" w:rsidP="00CE7E83">
            <w:pPr>
              <w:spacing w:after="0" w:line="240" w:lineRule="auto"/>
              <w:jc w:val="right"/>
              <w:rPr>
                <w:rFonts w:eastAsia="Times New Roman" w:cs="Times New Roman"/>
                <w:i/>
                <w:sz w:val="16"/>
                <w:szCs w:val="16"/>
                <w:lang w:eastAsia="en-GB"/>
              </w:rPr>
            </w:pPr>
            <w:r w:rsidRPr="004259F7">
              <w:rPr>
                <w:sz w:val="16"/>
                <w:szCs w:val="16"/>
              </w:rPr>
              <w:t>2.4</w:t>
            </w:r>
          </w:p>
        </w:tc>
      </w:tr>
      <w:tr w:rsidR="004259F7" w:rsidRPr="00D436BC" w:rsidTr="00C86B52">
        <w:trPr>
          <w:trHeight w:val="252"/>
        </w:trPr>
        <w:tc>
          <w:tcPr>
            <w:tcW w:w="1232" w:type="pct"/>
            <w:shd w:val="clear" w:color="auto" w:fill="auto"/>
            <w:noWrap/>
            <w:vAlign w:val="bottom"/>
            <w:hideMark/>
          </w:tcPr>
          <w:p w:rsidR="004259F7" w:rsidRPr="00B759DB" w:rsidRDefault="004259F7" w:rsidP="00CE7E83">
            <w:pPr>
              <w:spacing w:after="0" w:line="240" w:lineRule="auto"/>
              <w:jc w:val="left"/>
              <w:rPr>
                <w:rFonts w:eastAsia="Times New Roman" w:cs="Times New Roman"/>
                <w:sz w:val="16"/>
                <w:szCs w:val="16"/>
                <w:lang w:eastAsia="en-GB"/>
              </w:rPr>
            </w:pPr>
            <w:r w:rsidRPr="00B759DB">
              <w:rPr>
                <w:rFonts w:eastAsia="Times New Roman" w:cs="Times New Roman"/>
                <w:sz w:val="16"/>
                <w:szCs w:val="16"/>
                <w:lang w:eastAsia="en-GB"/>
              </w:rPr>
              <w:t>EE</w:t>
            </w:r>
          </w:p>
        </w:tc>
        <w:tc>
          <w:tcPr>
            <w:tcW w:w="533" w:type="pct"/>
            <w:shd w:val="clear" w:color="auto" w:fill="auto"/>
            <w:noWrap/>
            <w:vAlign w:val="bottom"/>
            <w:hideMark/>
          </w:tcPr>
          <w:p w:rsidR="004259F7" w:rsidRPr="00B759DB" w:rsidRDefault="004259F7"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5</w:t>
            </w:r>
          </w:p>
        </w:tc>
        <w:tc>
          <w:tcPr>
            <w:tcW w:w="533" w:type="pct"/>
            <w:shd w:val="clear" w:color="auto" w:fill="auto"/>
            <w:noWrap/>
            <w:vAlign w:val="bottom"/>
            <w:hideMark/>
          </w:tcPr>
          <w:p w:rsidR="004259F7" w:rsidRPr="00B759DB" w:rsidRDefault="004259F7"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5</w:t>
            </w:r>
          </w:p>
        </w:tc>
        <w:tc>
          <w:tcPr>
            <w:tcW w:w="533" w:type="pct"/>
            <w:shd w:val="clear" w:color="auto" w:fill="auto"/>
            <w:noWrap/>
            <w:vAlign w:val="bottom"/>
            <w:hideMark/>
          </w:tcPr>
          <w:p w:rsidR="004259F7" w:rsidRPr="00B759DB" w:rsidRDefault="004259F7"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5</w:t>
            </w:r>
          </w:p>
        </w:tc>
        <w:tc>
          <w:tcPr>
            <w:tcW w:w="534" w:type="pct"/>
            <w:shd w:val="clear" w:color="auto" w:fill="auto"/>
            <w:noWrap/>
            <w:vAlign w:val="bottom"/>
            <w:hideMark/>
          </w:tcPr>
          <w:p w:rsidR="004259F7" w:rsidRPr="00B759DB" w:rsidRDefault="004259F7"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3</w:t>
            </w:r>
          </w:p>
        </w:tc>
        <w:tc>
          <w:tcPr>
            <w:tcW w:w="668" w:type="pct"/>
            <w:shd w:val="clear" w:color="auto" w:fill="auto"/>
            <w:noWrap/>
            <w:vAlign w:val="bottom"/>
            <w:hideMark/>
          </w:tcPr>
          <w:p w:rsidR="004259F7" w:rsidRPr="00B759DB" w:rsidRDefault="004259F7" w:rsidP="00CE7E83">
            <w:pPr>
              <w:spacing w:after="0" w:line="240" w:lineRule="auto"/>
              <w:jc w:val="right"/>
              <w:rPr>
                <w:rFonts w:eastAsia="Times New Roman" w:cs="Times New Roman"/>
                <w:b/>
                <w:sz w:val="16"/>
                <w:szCs w:val="16"/>
                <w:lang w:eastAsia="en-GB"/>
              </w:rPr>
            </w:pPr>
            <w:r w:rsidRPr="00B759DB">
              <w:rPr>
                <w:rFonts w:eastAsia="Times New Roman" w:cs="Times New Roman"/>
                <w:b/>
                <w:sz w:val="16"/>
                <w:szCs w:val="16"/>
                <w:lang w:eastAsia="en-GB"/>
              </w:rPr>
              <w:t>18</w:t>
            </w:r>
          </w:p>
        </w:tc>
        <w:tc>
          <w:tcPr>
            <w:tcW w:w="966" w:type="pct"/>
            <w:shd w:val="clear" w:color="auto" w:fill="auto"/>
            <w:noWrap/>
            <w:hideMark/>
          </w:tcPr>
          <w:p w:rsidR="004259F7" w:rsidRPr="004259F7" w:rsidRDefault="004259F7" w:rsidP="00CE7E83">
            <w:pPr>
              <w:spacing w:after="0" w:line="240" w:lineRule="auto"/>
              <w:jc w:val="right"/>
              <w:rPr>
                <w:rFonts w:eastAsia="Times New Roman" w:cs="Times New Roman"/>
                <w:i/>
                <w:sz w:val="16"/>
                <w:szCs w:val="16"/>
                <w:lang w:eastAsia="en-GB"/>
              </w:rPr>
            </w:pPr>
            <w:r w:rsidRPr="004259F7">
              <w:rPr>
                <w:sz w:val="16"/>
                <w:szCs w:val="16"/>
              </w:rPr>
              <w:t>3.4</w:t>
            </w:r>
          </w:p>
        </w:tc>
      </w:tr>
      <w:tr w:rsidR="00C86B52" w:rsidRPr="00D436BC" w:rsidTr="00807960">
        <w:trPr>
          <w:trHeight w:val="252"/>
        </w:trPr>
        <w:tc>
          <w:tcPr>
            <w:tcW w:w="1232" w:type="pct"/>
            <w:shd w:val="clear" w:color="auto" w:fill="auto"/>
            <w:noWrap/>
            <w:vAlign w:val="bottom"/>
            <w:hideMark/>
          </w:tcPr>
          <w:p w:rsidR="00C86B52" w:rsidRPr="00B759DB" w:rsidRDefault="00C86B52" w:rsidP="00CE7E83">
            <w:pPr>
              <w:spacing w:after="0" w:line="240" w:lineRule="auto"/>
              <w:jc w:val="left"/>
              <w:rPr>
                <w:rFonts w:eastAsia="Times New Roman" w:cs="Times New Roman"/>
                <w:sz w:val="16"/>
                <w:szCs w:val="16"/>
                <w:lang w:eastAsia="en-GB"/>
              </w:rPr>
            </w:pPr>
            <w:r w:rsidRPr="00B759DB">
              <w:rPr>
                <w:rFonts w:eastAsia="Times New Roman" w:cs="Times New Roman"/>
                <w:sz w:val="16"/>
                <w:szCs w:val="16"/>
                <w:lang w:eastAsia="en-GB"/>
              </w:rPr>
              <w:t>ES</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8</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9</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8</w:t>
            </w:r>
          </w:p>
        </w:tc>
        <w:tc>
          <w:tcPr>
            <w:tcW w:w="534"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4</w:t>
            </w:r>
          </w:p>
        </w:tc>
        <w:tc>
          <w:tcPr>
            <w:tcW w:w="668" w:type="pct"/>
            <w:shd w:val="clear" w:color="auto" w:fill="auto"/>
            <w:noWrap/>
            <w:vAlign w:val="bottom"/>
            <w:hideMark/>
          </w:tcPr>
          <w:p w:rsidR="00C86B52" w:rsidRPr="00B759DB" w:rsidRDefault="00C86B52" w:rsidP="00CE7E83">
            <w:pPr>
              <w:spacing w:after="0" w:line="240" w:lineRule="auto"/>
              <w:jc w:val="right"/>
              <w:rPr>
                <w:rFonts w:eastAsia="Times New Roman" w:cs="Times New Roman"/>
                <w:b/>
                <w:sz w:val="16"/>
                <w:szCs w:val="16"/>
                <w:lang w:eastAsia="en-GB"/>
              </w:rPr>
            </w:pPr>
            <w:r w:rsidRPr="00B759DB">
              <w:rPr>
                <w:rFonts w:eastAsia="Times New Roman" w:cs="Times New Roman"/>
                <w:b/>
                <w:sz w:val="16"/>
                <w:szCs w:val="16"/>
                <w:lang w:eastAsia="en-GB"/>
              </w:rPr>
              <w:t>29</w:t>
            </w:r>
          </w:p>
        </w:tc>
        <w:tc>
          <w:tcPr>
            <w:tcW w:w="966" w:type="pct"/>
            <w:shd w:val="clear" w:color="auto" w:fill="auto"/>
            <w:noWrap/>
            <w:vAlign w:val="bottom"/>
            <w:hideMark/>
          </w:tcPr>
          <w:p w:rsidR="00C86B52" w:rsidRPr="004259F7" w:rsidRDefault="00C86B52" w:rsidP="00CE7E83">
            <w:pPr>
              <w:spacing w:after="0" w:line="240" w:lineRule="auto"/>
              <w:jc w:val="right"/>
              <w:rPr>
                <w:rFonts w:eastAsia="Times New Roman" w:cs="Times New Roman"/>
                <w:i/>
                <w:sz w:val="16"/>
                <w:szCs w:val="16"/>
                <w:lang w:eastAsia="en-GB"/>
              </w:rPr>
            </w:pPr>
            <w:r>
              <w:rPr>
                <w:rFonts w:ascii="Tahoma" w:hAnsi="Tahoma" w:cs="Tahoma"/>
                <w:color w:val="000000"/>
                <w:sz w:val="16"/>
                <w:szCs w:val="16"/>
              </w:rPr>
              <w:t>5,4</w:t>
            </w:r>
          </w:p>
        </w:tc>
      </w:tr>
      <w:tr w:rsidR="00C86B52" w:rsidRPr="00D436BC" w:rsidTr="00807960">
        <w:trPr>
          <w:trHeight w:val="252"/>
        </w:trPr>
        <w:tc>
          <w:tcPr>
            <w:tcW w:w="1232" w:type="pct"/>
            <w:shd w:val="clear" w:color="auto" w:fill="auto"/>
            <w:noWrap/>
            <w:vAlign w:val="bottom"/>
            <w:hideMark/>
          </w:tcPr>
          <w:p w:rsidR="00C86B52" w:rsidRPr="00B759DB" w:rsidRDefault="00C86B52" w:rsidP="00CE7E83">
            <w:pPr>
              <w:spacing w:after="0" w:line="240" w:lineRule="auto"/>
              <w:jc w:val="left"/>
              <w:rPr>
                <w:rFonts w:eastAsia="Times New Roman" w:cs="Times New Roman"/>
                <w:sz w:val="16"/>
                <w:szCs w:val="16"/>
                <w:lang w:eastAsia="en-GB"/>
              </w:rPr>
            </w:pPr>
            <w:r w:rsidRPr="00B759DB">
              <w:rPr>
                <w:rFonts w:eastAsia="Times New Roman" w:cs="Times New Roman"/>
                <w:sz w:val="16"/>
                <w:szCs w:val="16"/>
                <w:lang w:eastAsia="en-GB"/>
              </w:rPr>
              <w:t>FI</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5</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5</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5</w:t>
            </w:r>
          </w:p>
        </w:tc>
        <w:tc>
          <w:tcPr>
            <w:tcW w:w="534"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4</w:t>
            </w:r>
          </w:p>
        </w:tc>
        <w:tc>
          <w:tcPr>
            <w:tcW w:w="668" w:type="pct"/>
            <w:shd w:val="clear" w:color="auto" w:fill="auto"/>
            <w:noWrap/>
            <w:vAlign w:val="bottom"/>
            <w:hideMark/>
          </w:tcPr>
          <w:p w:rsidR="00C86B52" w:rsidRPr="00B759DB" w:rsidRDefault="00C86B52" w:rsidP="00CE7E83">
            <w:pPr>
              <w:spacing w:after="0" w:line="240" w:lineRule="auto"/>
              <w:jc w:val="right"/>
              <w:rPr>
                <w:rFonts w:eastAsia="Times New Roman" w:cs="Times New Roman"/>
                <w:b/>
                <w:sz w:val="16"/>
                <w:szCs w:val="16"/>
                <w:lang w:eastAsia="en-GB"/>
              </w:rPr>
            </w:pPr>
            <w:r w:rsidRPr="00B759DB">
              <w:rPr>
                <w:rFonts w:eastAsia="Times New Roman" w:cs="Times New Roman"/>
                <w:b/>
                <w:sz w:val="16"/>
                <w:szCs w:val="16"/>
                <w:lang w:eastAsia="en-GB"/>
              </w:rPr>
              <w:t>19</w:t>
            </w:r>
          </w:p>
        </w:tc>
        <w:tc>
          <w:tcPr>
            <w:tcW w:w="966" w:type="pct"/>
            <w:shd w:val="clear" w:color="auto" w:fill="auto"/>
            <w:noWrap/>
            <w:vAlign w:val="bottom"/>
            <w:hideMark/>
          </w:tcPr>
          <w:p w:rsidR="00C86B52" w:rsidRPr="004259F7" w:rsidRDefault="00C86B52" w:rsidP="00CE7E83">
            <w:pPr>
              <w:spacing w:after="0" w:line="240" w:lineRule="auto"/>
              <w:jc w:val="right"/>
              <w:rPr>
                <w:rFonts w:eastAsia="Times New Roman" w:cs="Times New Roman"/>
                <w:i/>
                <w:sz w:val="16"/>
                <w:szCs w:val="16"/>
                <w:lang w:eastAsia="en-GB"/>
              </w:rPr>
            </w:pPr>
            <w:r>
              <w:rPr>
                <w:rFonts w:ascii="Tahoma" w:hAnsi="Tahoma" w:cs="Tahoma"/>
                <w:color w:val="000000"/>
                <w:sz w:val="16"/>
                <w:szCs w:val="16"/>
              </w:rPr>
              <w:t>3,6</w:t>
            </w:r>
          </w:p>
        </w:tc>
      </w:tr>
      <w:tr w:rsidR="00C86B52" w:rsidRPr="00D436BC" w:rsidTr="00807960">
        <w:trPr>
          <w:trHeight w:val="252"/>
        </w:trPr>
        <w:tc>
          <w:tcPr>
            <w:tcW w:w="1232" w:type="pct"/>
            <w:shd w:val="clear" w:color="auto" w:fill="auto"/>
            <w:noWrap/>
            <w:vAlign w:val="bottom"/>
            <w:hideMark/>
          </w:tcPr>
          <w:p w:rsidR="00C86B52" w:rsidRPr="00B759DB" w:rsidRDefault="00C86B52" w:rsidP="00CE7E83">
            <w:pPr>
              <w:spacing w:after="0" w:line="240" w:lineRule="auto"/>
              <w:jc w:val="left"/>
              <w:rPr>
                <w:rFonts w:eastAsia="Times New Roman" w:cs="Times New Roman"/>
                <w:sz w:val="16"/>
                <w:szCs w:val="16"/>
                <w:lang w:eastAsia="en-GB"/>
              </w:rPr>
            </w:pPr>
            <w:r w:rsidRPr="00B759DB">
              <w:rPr>
                <w:rFonts w:eastAsia="Times New Roman" w:cs="Times New Roman"/>
                <w:sz w:val="16"/>
                <w:szCs w:val="16"/>
                <w:lang w:eastAsia="en-GB"/>
              </w:rPr>
              <w:t>FR</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5</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6</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7</w:t>
            </w:r>
          </w:p>
        </w:tc>
        <w:tc>
          <w:tcPr>
            <w:tcW w:w="534"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6</w:t>
            </w:r>
          </w:p>
        </w:tc>
        <w:tc>
          <w:tcPr>
            <w:tcW w:w="668" w:type="pct"/>
            <w:shd w:val="clear" w:color="auto" w:fill="auto"/>
            <w:noWrap/>
            <w:vAlign w:val="bottom"/>
            <w:hideMark/>
          </w:tcPr>
          <w:p w:rsidR="00C86B52" w:rsidRPr="00B759DB" w:rsidRDefault="00C86B52" w:rsidP="00CE7E83">
            <w:pPr>
              <w:spacing w:after="0" w:line="240" w:lineRule="auto"/>
              <w:jc w:val="right"/>
              <w:rPr>
                <w:rFonts w:eastAsia="Times New Roman" w:cs="Times New Roman"/>
                <w:b/>
                <w:sz w:val="16"/>
                <w:szCs w:val="16"/>
                <w:lang w:eastAsia="en-GB"/>
              </w:rPr>
            </w:pPr>
            <w:r w:rsidRPr="00B759DB">
              <w:rPr>
                <w:rFonts w:eastAsia="Times New Roman" w:cs="Times New Roman"/>
                <w:b/>
                <w:sz w:val="16"/>
                <w:szCs w:val="16"/>
                <w:lang w:eastAsia="en-GB"/>
              </w:rPr>
              <w:t>24</w:t>
            </w:r>
          </w:p>
        </w:tc>
        <w:tc>
          <w:tcPr>
            <w:tcW w:w="966" w:type="pct"/>
            <w:shd w:val="clear" w:color="auto" w:fill="auto"/>
            <w:noWrap/>
            <w:vAlign w:val="bottom"/>
            <w:hideMark/>
          </w:tcPr>
          <w:p w:rsidR="00C86B52" w:rsidRPr="004259F7" w:rsidRDefault="00C86B52" w:rsidP="00CE7E83">
            <w:pPr>
              <w:spacing w:after="0" w:line="240" w:lineRule="auto"/>
              <w:jc w:val="right"/>
              <w:rPr>
                <w:rFonts w:eastAsia="Times New Roman" w:cs="Times New Roman"/>
                <w:i/>
                <w:sz w:val="16"/>
                <w:szCs w:val="16"/>
                <w:lang w:eastAsia="en-GB"/>
              </w:rPr>
            </w:pPr>
            <w:r>
              <w:rPr>
                <w:rFonts w:ascii="Tahoma" w:hAnsi="Tahoma" w:cs="Tahoma"/>
                <w:color w:val="000000"/>
                <w:sz w:val="16"/>
                <w:szCs w:val="16"/>
              </w:rPr>
              <w:t>4,5</w:t>
            </w:r>
          </w:p>
        </w:tc>
      </w:tr>
      <w:tr w:rsidR="00C86B52" w:rsidRPr="00D436BC" w:rsidTr="00807960">
        <w:trPr>
          <w:trHeight w:val="252"/>
        </w:trPr>
        <w:tc>
          <w:tcPr>
            <w:tcW w:w="1232" w:type="pct"/>
            <w:shd w:val="clear" w:color="auto" w:fill="auto"/>
            <w:noWrap/>
            <w:vAlign w:val="bottom"/>
            <w:hideMark/>
          </w:tcPr>
          <w:p w:rsidR="00C86B52" w:rsidRPr="00B759DB" w:rsidRDefault="00C86B52" w:rsidP="00CE7E83">
            <w:pPr>
              <w:spacing w:after="0" w:line="240" w:lineRule="auto"/>
              <w:jc w:val="left"/>
              <w:rPr>
                <w:rFonts w:eastAsia="Times New Roman" w:cs="Times New Roman"/>
                <w:sz w:val="16"/>
                <w:szCs w:val="16"/>
                <w:lang w:eastAsia="en-GB"/>
              </w:rPr>
            </w:pPr>
            <w:r w:rsidRPr="00B759DB">
              <w:rPr>
                <w:rFonts w:eastAsia="Times New Roman" w:cs="Times New Roman"/>
                <w:sz w:val="16"/>
                <w:szCs w:val="16"/>
                <w:lang w:eastAsia="en-GB"/>
              </w:rPr>
              <w:t>HR</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D436BC">
              <w:rPr>
                <w:rFonts w:eastAsia="Times New Roman" w:cs="Times New Roman"/>
                <w:sz w:val="16"/>
                <w:szCs w:val="16"/>
                <w:lang w:eastAsia="en-GB"/>
              </w:rPr>
              <w:t>-</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D436BC">
              <w:rPr>
                <w:rFonts w:eastAsia="Times New Roman" w:cs="Times New Roman"/>
                <w:sz w:val="16"/>
                <w:szCs w:val="16"/>
                <w:lang w:eastAsia="en-GB"/>
              </w:rPr>
              <w:t>-</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8</w:t>
            </w:r>
          </w:p>
        </w:tc>
        <w:tc>
          <w:tcPr>
            <w:tcW w:w="534"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6</w:t>
            </w:r>
          </w:p>
        </w:tc>
        <w:tc>
          <w:tcPr>
            <w:tcW w:w="668" w:type="pct"/>
            <w:shd w:val="clear" w:color="auto" w:fill="auto"/>
            <w:noWrap/>
            <w:vAlign w:val="bottom"/>
            <w:hideMark/>
          </w:tcPr>
          <w:p w:rsidR="00C86B52" w:rsidRPr="00B759DB" w:rsidRDefault="00C86B52" w:rsidP="00CE7E83">
            <w:pPr>
              <w:spacing w:after="0" w:line="240" w:lineRule="auto"/>
              <w:jc w:val="right"/>
              <w:rPr>
                <w:rFonts w:eastAsia="Times New Roman" w:cs="Times New Roman"/>
                <w:b/>
                <w:sz w:val="16"/>
                <w:szCs w:val="16"/>
                <w:lang w:eastAsia="en-GB"/>
              </w:rPr>
            </w:pPr>
            <w:r w:rsidRPr="00B759DB">
              <w:rPr>
                <w:rFonts w:eastAsia="Times New Roman" w:cs="Times New Roman"/>
                <w:b/>
                <w:sz w:val="16"/>
                <w:szCs w:val="16"/>
                <w:lang w:eastAsia="en-GB"/>
              </w:rPr>
              <w:t>14</w:t>
            </w:r>
          </w:p>
        </w:tc>
        <w:tc>
          <w:tcPr>
            <w:tcW w:w="966" w:type="pct"/>
            <w:shd w:val="clear" w:color="auto" w:fill="auto"/>
            <w:noWrap/>
            <w:vAlign w:val="bottom"/>
            <w:hideMark/>
          </w:tcPr>
          <w:p w:rsidR="00C86B52" w:rsidRPr="004259F7" w:rsidRDefault="00C86B52" w:rsidP="00CE7E83">
            <w:pPr>
              <w:spacing w:after="0" w:line="240" w:lineRule="auto"/>
              <w:jc w:val="right"/>
              <w:rPr>
                <w:rFonts w:eastAsia="Times New Roman" w:cs="Times New Roman"/>
                <w:i/>
                <w:sz w:val="16"/>
                <w:szCs w:val="16"/>
                <w:lang w:eastAsia="en-GB"/>
              </w:rPr>
            </w:pPr>
            <w:r>
              <w:rPr>
                <w:rFonts w:ascii="Tahoma" w:hAnsi="Tahoma" w:cs="Tahoma"/>
                <w:color w:val="000000"/>
                <w:sz w:val="16"/>
                <w:szCs w:val="16"/>
              </w:rPr>
              <w:t>2,6</w:t>
            </w:r>
          </w:p>
        </w:tc>
      </w:tr>
      <w:tr w:rsidR="00C86B52" w:rsidRPr="00D436BC" w:rsidTr="00807960">
        <w:trPr>
          <w:trHeight w:val="252"/>
        </w:trPr>
        <w:tc>
          <w:tcPr>
            <w:tcW w:w="1232" w:type="pct"/>
            <w:shd w:val="clear" w:color="auto" w:fill="auto"/>
            <w:noWrap/>
            <w:vAlign w:val="bottom"/>
            <w:hideMark/>
          </w:tcPr>
          <w:p w:rsidR="00C86B52" w:rsidRPr="00B759DB" w:rsidRDefault="00C86B52" w:rsidP="00CE7E83">
            <w:pPr>
              <w:spacing w:after="0" w:line="240" w:lineRule="auto"/>
              <w:jc w:val="left"/>
              <w:rPr>
                <w:rFonts w:eastAsia="Times New Roman" w:cs="Times New Roman"/>
                <w:sz w:val="16"/>
                <w:szCs w:val="16"/>
                <w:lang w:eastAsia="en-GB"/>
              </w:rPr>
            </w:pPr>
            <w:r w:rsidRPr="00B759DB">
              <w:rPr>
                <w:rFonts w:eastAsia="Times New Roman" w:cs="Times New Roman"/>
                <w:sz w:val="16"/>
                <w:szCs w:val="16"/>
                <w:lang w:eastAsia="en-GB"/>
              </w:rPr>
              <w:t>HU</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7</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7</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7</w:t>
            </w:r>
          </w:p>
        </w:tc>
        <w:tc>
          <w:tcPr>
            <w:tcW w:w="534"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5</w:t>
            </w:r>
          </w:p>
        </w:tc>
        <w:tc>
          <w:tcPr>
            <w:tcW w:w="668" w:type="pct"/>
            <w:shd w:val="clear" w:color="auto" w:fill="auto"/>
            <w:noWrap/>
            <w:vAlign w:val="bottom"/>
            <w:hideMark/>
          </w:tcPr>
          <w:p w:rsidR="00C86B52" w:rsidRPr="00B759DB" w:rsidRDefault="00C86B52" w:rsidP="00CE7E83">
            <w:pPr>
              <w:spacing w:after="0" w:line="240" w:lineRule="auto"/>
              <w:jc w:val="right"/>
              <w:rPr>
                <w:rFonts w:eastAsia="Times New Roman" w:cs="Times New Roman"/>
                <w:b/>
                <w:sz w:val="16"/>
                <w:szCs w:val="16"/>
                <w:lang w:eastAsia="en-GB"/>
              </w:rPr>
            </w:pPr>
            <w:r w:rsidRPr="00B759DB">
              <w:rPr>
                <w:rFonts w:eastAsia="Times New Roman" w:cs="Times New Roman"/>
                <w:b/>
                <w:sz w:val="16"/>
                <w:szCs w:val="16"/>
                <w:lang w:eastAsia="en-GB"/>
              </w:rPr>
              <w:t>26</w:t>
            </w:r>
          </w:p>
        </w:tc>
        <w:tc>
          <w:tcPr>
            <w:tcW w:w="966" w:type="pct"/>
            <w:shd w:val="clear" w:color="auto" w:fill="auto"/>
            <w:noWrap/>
            <w:vAlign w:val="bottom"/>
            <w:hideMark/>
          </w:tcPr>
          <w:p w:rsidR="00C86B52" w:rsidRPr="004259F7" w:rsidRDefault="00C86B52" w:rsidP="00CE7E83">
            <w:pPr>
              <w:spacing w:after="0" w:line="240" w:lineRule="auto"/>
              <w:jc w:val="right"/>
              <w:rPr>
                <w:rFonts w:eastAsia="Times New Roman" w:cs="Times New Roman"/>
                <w:i/>
                <w:sz w:val="16"/>
                <w:szCs w:val="16"/>
                <w:lang w:eastAsia="en-GB"/>
              </w:rPr>
            </w:pPr>
            <w:r>
              <w:rPr>
                <w:rFonts w:ascii="Tahoma" w:hAnsi="Tahoma" w:cs="Tahoma"/>
                <w:color w:val="000000"/>
                <w:sz w:val="16"/>
                <w:szCs w:val="16"/>
              </w:rPr>
              <w:t>4,9</w:t>
            </w:r>
          </w:p>
        </w:tc>
      </w:tr>
      <w:tr w:rsidR="00C86B52" w:rsidRPr="00D436BC" w:rsidTr="00807960">
        <w:trPr>
          <w:trHeight w:val="252"/>
        </w:trPr>
        <w:tc>
          <w:tcPr>
            <w:tcW w:w="1232" w:type="pct"/>
            <w:shd w:val="clear" w:color="auto" w:fill="auto"/>
            <w:noWrap/>
            <w:vAlign w:val="bottom"/>
            <w:hideMark/>
          </w:tcPr>
          <w:p w:rsidR="00C86B52" w:rsidRPr="00B759DB" w:rsidRDefault="00C86B52" w:rsidP="00CE7E83">
            <w:pPr>
              <w:spacing w:after="0" w:line="240" w:lineRule="auto"/>
              <w:jc w:val="left"/>
              <w:rPr>
                <w:rFonts w:eastAsia="Times New Roman" w:cs="Times New Roman"/>
                <w:sz w:val="16"/>
                <w:szCs w:val="16"/>
                <w:lang w:eastAsia="en-GB"/>
              </w:rPr>
            </w:pPr>
            <w:r w:rsidRPr="00B759DB">
              <w:rPr>
                <w:rFonts w:eastAsia="Times New Roman" w:cs="Times New Roman"/>
                <w:sz w:val="16"/>
                <w:szCs w:val="16"/>
                <w:lang w:eastAsia="en-GB"/>
              </w:rPr>
              <w:t>IE</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D436BC">
              <w:rPr>
                <w:rFonts w:eastAsia="Times New Roman" w:cs="Times New Roman"/>
                <w:sz w:val="16"/>
                <w:szCs w:val="16"/>
                <w:lang w:eastAsia="en-GB"/>
              </w:rPr>
              <w:t>-</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D436BC">
              <w:rPr>
                <w:rFonts w:eastAsia="Times New Roman" w:cs="Times New Roman"/>
                <w:sz w:val="16"/>
                <w:szCs w:val="16"/>
                <w:lang w:eastAsia="en-GB"/>
              </w:rPr>
              <w:t>-</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7</w:t>
            </w:r>
          </w:p>
        </w:tc>
        <w:tc>
          <w:tcPr>
            <w:tcW w:w="534"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3</w:t>
            </w:r>
          </w:p>
        </w:tc>
        <w:tc>
          <w:tcPr>
            <w:tcW w:w="668" w:type="pct"/>
            <w:shd w:val="clear" w:color="auto" w:fill="auto"/>
            <w:noWrap/>
            <w:vAlign w:val="bottom"/>
            <w:hideMark/>
          </w:tcPr>
          <w:p w:rsidR="00C86B52" w:rsidRPr="00B759DB" w:rsidRDefault="00C86B52" w:rsidP="00CE7E83">
            <w:pPr>
              <w:spacing w:after="0" w:line="240" w:lineRule="auto"/>
              <w:jc w:val="right"/>
              <w:rPr>
                <w:rFonts w:eastAsia="Times New Roman" w:cs="Times New Roman"/>
                <w:b/>
                <w:sz w:val="16"/>
                <w:szCs w:val="16"/>
                <w:lang w:eastAsia="en-GB"/>
              </w:rPr>
            </w:pPr>
            <w:r w:rsidRPr="00B759DB">
              <w:rPr>
                <w:rFonts w:eastAsia="Times New Roman" w:cs="Times New Roman"/>
                <w:b/>
                <w:sz w:val="16"/>
                <w:szCs w:val="16"/>
                <w:lang w:eastAsia="en-GB"/>
              </w:rPr>
              <w:t>10</w:t>
            </w:r>
          </w:p>
        </w:tc>
        <w:tc>
          <w:tcPr>
            <w:tcW w:w="966" w:type="pct"/>
            <w:shd w:val="clear" w:color="auto" w:fill="auto"/>
            <w:noWrap/>
            <w:vAlign w:val="bottom"/>
            <w:hideMark/>
          </w:tcPr>
          <w:p w:rsidR="00C86B52" w:rsidRPr="004259F7" w:rsidRDefault="00C86B52" w:rsidP="00CE7E83">
            <w:pPr>
              <w:spacing w:after="0" w:line="240" w:lineRule="auto"/>
              <w:jc w:val="right"/>
              <w:rPr>
                <w:rFonts w:eastAsia="Times New Roman" w:cs="Times New Roman"/>
                <w:i/>
                <w:sz w:val="16"/>
                <w:szCs w:val="16"/>
                <w:lang w:eastAsia="en-GB"/>
              </w:rPr>
            </w:pPr>
            <w:r>
              <w:rPr>
                <w:rFonts w:ascii="Tahoma" w:hAnsi="Tahoma" w:cs="Tahoma"/>
                <w:color w:val="000000"/>
                <w:sz w:val="16"/>
                <w:szCs w:val="16"/>
              </w:rPr>
              <w:t>1,9</w:t>
            </w:r>
          </w:p>
        </w:tc>
      </w:tr>
      <w:tr w:rsidR="00C86B52" w:rsidRPr="00D436BC" w:rsidTr="00807960">
        <w:trPr>
          <w:trHeight w:val="252"/>
        </w:trPr>
        <w:tc>
          <w:tcPr>
            <w:tcW w:w="1232" w:type="pct"/>
            <w:shd w:val="clear" w:color="auto" w:fill="auto"/>
            <w:noWrap/>
            <w:vAlign w:val="bottom"/>
            <w:hideMark/>
          </w:tcPr>
          <w:p w:rsidR="00C86B52" w:rsidRPr="00B759DB" w:rsidRDefault="00C86B52" w:rsidP="00CE7E83">
            <w:pPr>
              <w:spacing w:after="0" w:line="240" w:lineRule="auto"/>
              <w:jc w:val="left"/>
              <w:rPr>
                <w:rFonts w:eastAsia="Times New Roman" w:cs="Times New Roman"/>
                <w:sz w:val="16"/>
                <w:szCs w:val="16"/>
                <w:lang w:eastAsia="en-GB"/>
              </w:rPr>
            </w:pPr>
            <w:r w:rsidRPr="00B759DB">
              <w:rPr>
                <w:rFonts w:eastAsia="Times New Roman" w:cs="Times New Roman"/>
                <w:sz w:val="16"/>
                <w:szCs w:val="16"/>
                <w:lang w:eastAsia="en-GB"/>
              </w:rPr>
              <w:t>IT</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6</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6</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8</w:t>
            </w:r>
          </w:p>
        </w:tc>
        <w:tc>
          <w:tcPr>
            <w:tcW w:w="534"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6</w:t>
            </w:r>
          </w:p>
        </w:tc>
        <w:tc>
          <w:tcPr>
            <w:tcW w:w="668" w:type="pct"/>
            <w:shd w:val="clear" w:color="auto" w:fill="auto"/>
            <w:noWrap/>
            <w:vAlign w:val="bottom"/>
            <w:hideMark/>
          </w:tcPr>
          <w:p w:rsidR="00C86B52" w:rsidRPr="00B759DB" w:rsidRDefault="00C86B52" w:rsidP="00CE7E83">
            <w:pPr>
              <w:spacing w:after="0" w:line="240" w:lineRule="auto"/>
              <w:jc w:val="right"/>
              <w:rPr>
                <w:rFonts w:eastAsia="Times New Roman" w:cs="Times New Roman"/>
                <w:b/>
                <w:sz w:val="16"/>
                <w:szCs w:val="16"/>
                <w:lang w:eastAsia="en-GB"/>
              </w:rPr>
            </w:pPr>
            <w:r w:rsidRPr="00B759DB">
              <w:rPr>
                <w:rFonts w:eastAsia="Times New Roman" w:cs="Times New Roman"/>
                <w:b/>
                <w:sz w:val="16"/>
                <w:szCs w:val="16"/>
                <w:lang w:eastAsia="en-GB"/>
              </w:rPr>
              <w:t>26</w:t>
            </w:r>
          </w:p>
        </w:tc>
        <w:tc>
          <w:tcPr>
            <w:tcW w:w="966" w:type="pct"/>
            <w:shd w:val="clear" w:color="auto" w:fill="auto"/>
            <w:noWrap/>
            <w:vAlign w:val="bottom"/>
            <w:hideMark/>
          </w:tcPr>
          <w:p w:rsidR="00C86B52" w:rsidRPr="004259F7" w:rsidRDefault="00C86B52" w:rsidP="00CE7E83">
            <w:pPr>
              <w:spacing w:after="0" w:line="240" w:lineRule="auto"/>
              <w:jc w:val="right"/>
              <w:rPr>
                <w:rFonts w:eastAsia="Times New Roman" w:cs="Times New Roman"/>
                <w:i/>
                <w:sz w:val="16"/>
                <w:szCs w:val="16"/>
                <w:lang w:eastAsia="en-GB"/>
              </w:rPr>
            </w:pPr>
            <w:r>
              <w:rPr>
                <w:rFonts w:ascii="Tahoma" w:hAnsi="Tahoma" w:cs="Tahoma"/>
                <w:color w:val="000000"/>
                <w:sz w:val="16"/>
                <w:szCs w:val="16"/>
              </w:rPr>
              <w:t>4,9</w:t>
            </w:r>
          </w:p>
        </w:tc>
      </w:tr>
      <w:tr w:rsidR="00C86B52" w:rsidRPr="00D436BC" w:rsidTr="00807960">
        <w:trPr>
          <w:trHeight w:val="252"/>
        </w:trPr>
        <w:tc>
          <w:tcPr>
            <w:tcW w:w="1232" w:type="pct"/>
            <w:shd w:val="clear" w:color="auto" w:fill="auto"/>
            <w:noWrap/>
            <w:vAlign w:val="bottom"/>
            <w:hideMark/>
          </w:tcPr>
          <w:p w:rsidR="00C86B52" w:rsidRPr="00B759DB" w:rsidRDefault="00C86B52" w:rsidP="00CE7E83">
            <w:pPr>
              <w:spacing w:after="0" w:line="240" w:lineRule="auto"/>
              <w:jc w:val="left"/>
              <w:rPr>
                <w:rFonts w:eastAsia="Times New Roman" w:cs="Times New Roman"/>
                <w:sz w:val="16"/>
                <w:szCs w:val="16"/>
                <w:lang w:eastAsia="en-GB"/>
              </w:rPr>
            </w:pPr>
            <w:r w:rsidRPr="00B759DB">
              <w:rPr>
                <w:rFonts w:eastAsia="Times New Roman" w:cs="Times New Roman"/>
                <w:sz w:val="16"/>
                <w:szCs w:val="16"/>
                <w:lang w:eastAsia="en-GB"/>
              </w:rPr>
              <w:t>LT</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6</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6</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6</w:t>
            </w:r>
          </w:p>
        </w:tc>
        <w:tc>
          <w:tcPr>
            <w:tcW w:w="534"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3</w:t>
            </w:r>
          </w:p>
        </w:tc>
        <w:tc>
          <w:tcPr>
            <w:tcW w:w="668" w:type="pct"/>
            <w:shd w:val="clear" w:color="auto" w:fill="auto"/>
            <w:noWrap/>
            <w:vAlign w:val="bottom"/>
            <w:hideMark/>
          </w:tcPr>
          <w:p w:rsidR="00C86B52" w:rsidRPr="00B759DB" w:rsidRDefault="00C86B52" w:rsidP="00CE7E83">
            <w:pPr>
              <w:spacing w:after="0" w:line="240" w:lineRule="auto"/>
              <w:jc w:val="right"/>
              <w:rPr>
                <w:rFonts w:eastAsia="Times New Roman" w:cs="Times New Roman"/>
                <w:b/>
                <w:sz w:val="16"/>
                <w:szCs w:val="16"/>
                <w:lang w:eastAsia="en-GB"/>
              </w:rPr>
            </w:pPr>
            <w:r w:rsidRPr="00B759DB">
              <w:rPr>
                <w:rFonts w:eastAsia="Times New Roman" w:cs="Times New Roman"/>
                <w:b/>
                <w:sz w:val="16"/>
                <w:szCs w:val="16"/>
                <w:lang w:eastAsia="en-GB"/>
              </w:rPr>
              <w:t>21</w:t>
            </w:r>
          </w:p>
        </w:tc>
        <w:tc>
          <w:tcPr>
            <w:tcW w:w="966" w:type="pct"/>
            <w:shd w:val="clear" w:color="auto" w:fill="auto"/>
            <w:noWrap/>
            <w:vAlign w:val="bottom"/>
            <w:hideMark/>
          </w:tcPr>
          <w:p w:rsidR="00C86B52" w:rsidRPr="004259F7" w:rsidRDefault="00C86B52" w:rsidP="00CE7E83">
            <w:pPr>
              <w:spacing w:after="0" w:line="240" w:lineRule="auto"/>
              <w:jc w:val="right"/>
              <w:rPr>
                <w:rFonts w:eastAsia="Times New Roman" w:cs="Times New Roman"/>
                <w:i/>
                <w:sz w:val="16"/>
                <w:szCs w:val="16"/>
                <w:lang w:eastAsia="en-GB"/>
              </w:rPr>
            </w:pPr>
            <w:r>
              <w:rPr>
                <w:rFonts w:ascii="Tahoma" w:hAnsi="Tahoma" w:cs="Tahoma"/>
                <w:color w:val="000000"/>
                <w:sz w:val="16"/>
                <w:szCs w:val="16"/>
              </w:rPr>
              <w:t>3,9</w:t>
            </w:r>
          </w:p>
        </w:tc>
      </w:tr>
      <w:tr w:rsidR="00C86B52" w:rsidRPr="00D436BC" w:rsidTr="00807960">
        <w:trPr>
          <w:trHeight w:val="252"/>
        </w:trPr>
        <w:tc>
          <w:tcPr>
            <w:tcW w:w="1232" w:type="pct"/>
            <w:shd w:val="clear" w:color="auto" w:fill="auto"/>
            <w:noWrap/>
            <w:vAlign w:val="bottom"/>
            <w:hideMark/>
          </w:tcPr>
          <w:p w:rsidR="00C86B52" w:rsidRPr="00B759DB" w:rsidRDefault="00C86B52" w:rsidP="00CE7E83">
            <w:pPr>
              <w:spacing w:after="0" w:line="240" w:lineRule="auto"/>
              <w:jc w:val="left"/>
              <w:rPr>
                <w:rFonts w:eastAsia="Times New Roman" w:cs="Times New Roman"/>
                <w:sz w:val="16"/>
                <w:szCs w:val="16"/>
                <w:lang w:eastAsia="en-GB"/>
              </w:rPr>
            </w:pPr>
            <w:r w:rsidRPr="00B759DB">
              <w:rPr>
                <w:rFonts w:eastAsia="Times New Roman" w:cs="Times New Roman"/>
                <w:sz w:val="16"/>
                <w:szCs w:val="16"/>
                <w:lang w:eastAsia="en-GB"/>
              </w:rPr>
              <w:t>LU</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5</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6</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5</w:t>
            </w:r>
          </w:p>
        </w:tc>
        <w:tc>
          <w:tcPr>
            <w:tcW w:w="534"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3</w:t>
            </w:r>
          </w:p>
        </w:tc>
        <w:tc>
          <w:tcPr>
            <w:tcW w:w="668" w:type="pct"/>
            <w:shd w:val="clear" w:color="auto" w:fill="auto"/>
            <w:noWrap/>
            <w:vAlign w:val="bottom"/>
            <w:hideMark/>
          </w:tcPr>
          <w:p w:rsidR="00C86B52" w:rsidRPr="00B759DB" w:rsidRDefault="00C86B52" w:rsidP="00CE7E83">
            <w:pPr>
              <w:spacing w:after="0" w:line="240" w:lineRule="auto"/>
              <w:jc w:val="right"/>
              <w:rPr>
                <w:rFonts w:eastAsia="Times New Roman" w:cs="Times New Roman"/>
                <w:b/>
                <w:sz w:val="16"/>
                <w:szCs w:val="16"/>
                <w:lang w:eastAsia="en-GB"/>
              </w:rPr>
            </w:pPr>
            <w:r w:rsidRPr="00B759DB">
              <w:rPr>
                <w:rFonts w:eastAsia="Times New Roman" w:cs="Times New Roman"/>
                <w:b/>
                <w:sz w:val="16"/>
                <w:szCs w:val="16"/>
                <w:lang w:eastAsia="en-GB"/>
              </w:rPr>
              <w:t>19</w:t>
            </w:r>
          </w:p>
        </w:tc>
        <w:tc>
          <w:tcPr>
            <w:tcW w:w="966" w:type="pct"/>
            <w:shd w:val="clear" w:color="auto" w:fill="auto"/>
            <w:noWrap/>
            <w:vAlign w:val="bottom"/>
            <w:hideMark/>
          </w:tcPr>
          <w:p w:rsidR="00C86B52" w:rsidRPr="004259F7" w:rsidRDefault="00C86B52" w:rsidP="00CE7E83">
            <w:pPr>
              <w:spacing w:after="0" w:line="240" w:lineRule="auto"/>
              <w:jc w:val="right"/>
              <w:rPr>
                <w:rFonts w:eastAsia="Times New Roman" w:cs="Times New Roman"/>
                <w:i/>
                <w:sz w:val="16"/>
                <w:szCs w:val="16"/>
                <w:lang w:eastAsia="en-GB"/>
              </w:rPr>
            </w:pPr>
            <w:r>
              <w:rPr>
                <w:rFonts w:ascii="Tahoma" w:hAnsi="Tahoma" w:cs="Tahoma"/>
                <w:color w:val="000000"/>
                <w:sz w:val="16"/>
                <w:szCs w:val="16"/>
              </w:rPr>
              <w:t>3,6</w:t>
            </w:r>
          </w:p>
        </w:tc>
      </w:tr>
      <w:tr w:rsidR="00C86B52" w:rsidRPr="00D436BC" w:rsidTr="00807960">
        <w:trPr>
          <w:trHeight w:val="252"/>
        </w:trPr>
        <w:tc>
          <w:tcPr>
            <w:tcW w:w="1232" w:type="pct"/>
            <w:shd w:val="clear" w:color="auto" w:fill="auto"/>
            <w:noWrap/>
            <w:vAlign w:val="bottom"/>
            <w:hideMark/>
          </w:tcPr>
          <w:p w:rsidR="00C86B52" w:rsidRPr="00B759DB" w:rsidRDefault="00C86B52" w:rsidP="00CE7E83">
            <w:pPr>
              <w:spacing w:after="0" w:line="240" w:lineRule="auto"/>
              <w:jc w:val="left"/>
              <w:rPr>
                <w:rFonts w:eastAsia="Times New Roman" w:cs="Times New Roman"/>
                <w:sz w:val="16"/>
                <w:szCs w:val="16"/>
                <w:lang w:eastAsia="en-GB"/>
              </w:rPr>
            </w:pPr>
            <w:r w:rsidRPr="00B759DB">
              <w:rPr>
                <w:rFonts w:eastAsia="Times New Roman" w:cs="Times New Roman"/>
                <w:sz w:val="16"/>
                <w:szCs w:val="16"/>
                <w:lang w:eastAsia="en-GB"/>
              </w:rPr>
              <w:t>LV</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7</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7</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5</w:t>
            </w:r>
          </w:p>
        </w:tc>
        <w:tc>
          <w:tcPr>
            <w:tcW w:w="534"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4</w:t>
            </w:r>
          </w:p>
        </w:tc>
        <w:tc>
          <w:tcPr>
            <w:tcW w:w="668" w:type="pct"/>
            <w:shd w:val="clear" w:color="auto" w:fill="auto"/>
            <w:noWrap/>
            <w:vAlign w:val="bottom"/>
            <w:hideMark/>
          </w:tcPr>
          <w:p w:rsidR="00C86B52" w:rsidRPr="00B759DB" w:rsidRDefault="00C86B52" w:rsidP="00CE7E83">
            <w:pPr>
              <w:spacing w:after="0" w:line="240" w:lineRule="auto"/>
              <w:jc w:val="right"/>
              <w:rPr>
                <w:rFonts w:eastAsia="Times New Roman" w:cs="Times New Roman"/>
                <w:b/>
                <w:sz w:val="16"/>
                <w:szCs w:val="16"/>
                <w:lang w:eastAsia="en-GB"/>
              </w:rPr>
            </w:pPr>
            <w:r w:rsidRPr="00B759DB">
              <w:rPr>
                <w:rFonts w:eastAsia="Times New Roman" w:cs="Times New Roman"/>
                <w:b/>
                <w:sz w:val="16"/>
                <w:szCs w:val="16"/>
                <w:lang w:eastAsia="en-GB"/>
              </w:rPr>
              <w:t>23</w:t>
            </w:r>
          </w:p>
        </w:tc>
        <w:tc>
          <w:tcPr>
            <w:tcW w:w="966" w:type="pct"/>
            <w:shd w:val="clear" w:color="auto" w:fill="auto"/>
            <w:noWrap/>
            <w:vAlign w:val="bottom"/>
            <w:hideMark/>
          </w:tcPr>
          <w:p w:rsidR="00C86B52" w:rsidRPr="004259F7" w:rsidRDefault="00C86B52" w:rsidP="00CE7E83">
            <w:pPr>
              <w:spacing w:after="0" w:line="240" w:lineRule="auto"/>
              <w:jc w:val="right"/>
              <w:rPr>
                <w:rFonts w:eastAsia="Times New Roman" w:cs="Times New Roman"/>
                <w:i/>
                <w:sz w:val="16"/>
                <w:szCs w:val="16"/>
                <w:lang w:eastAsia="en-GB"/>
              </w:rPr>
            </w:pPr>
            <w:r>
              <w:rPr>
                <w:rFonts w:ascii="Tahoma" w:hAnsi="Tahoma" w:cs="Tahoma"/>
                <w:color w:val="000000"/>
                <w:sz w:val="16"/>
                <w:szCs w:val="16"/>
              </w:rPr>
              <w:t>4,3</w:t>
            </w:r>
          </w:p>
        </w:tc>
      </w:tr>
      <w:tr w:rsidR="00C86B52" w:rsidRPr="00D436BC" w:rsidTr="00807960">
        <w:trPr>
          <w:trHeight w:val="252"/>
        </w:trPr>
        <w:tc>
          <w:tcPr>
            <w:tcW w:w="1232" w:type="pct"/>
            <w:shd w:val="clear" w:color="auto" w:fill="auto"/>
            <w:noWrap/>
            <w:vAlign w:val="bottom"/>
            <w:hideMark/>
          </w:tcPr>
          <w:p w:rsidR="00C86B52" w:rsidRPr="00B759DB" w:rsidRDefault="00C86B52" w:rsidP="00CE7E83">
            <w:pPr>
              <w:spacing w:after="0" w:line="240" w:lineRule="auto"/>
              <w:jc w:val="left"/>
              <w:rPr>
                <w:rFonts w:eastAsia="Times New Roman" w:cs="Times New Roman"/>
                <w:sz w:val="16"/>
                <w:szCs w:val="16"/>
                <w:lang w:eastAsia="en-GB"/>
              </w:rPr>
            </w:pPr>
            <w:r w:rsidRPr="00B759DB">
              <w:rPr>
                <w:rFonts w:eastAsia="Times New Roman" w:cs="Times New Roman"/>
                <w:sz w:val="16"/>
                <w:szCs w:val="16"/>
                <w:lang w:eastAsia="en-GB"/>
              </w:rPr>
              <w:t>MT</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6</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5</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5</w:t>
            </w:r>
          </w:p>
        </w:tc>
        <w:tc>
          <w:tcPr>
            <w:tcW w:w="534"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4</w:t>
            </w:r>
          </w:p>
        </w:tc>
        <w:tc>
          <w:tcPr>
            <w:tcW w:w="668" w:type="pct"/>
            <w:shd w:val="clear" w:color="auto" w:fill="auto"/>
            <w:noWrap/>
            <w:vAlign w:val="bottom"/>
            <w:hideMark/>
          </w:tcPr>
          <w:p w:rsidR="00C86B52" w:rsidRPr="00B759DB" w:rsidRDefault="00C86B52" w:rsidP="00CE7E83">
            <w:pPr>
              <w:spacing w:after="0" w:line="240" w:lineRule="auto"/>
              <w:jc w:val="right"/>
              <w:rPr>
                <w:rFonts w:eastAsia="Times New Roman" w:cs="Times New Roman"/>
                <w:b/>
                <w:sz w:val="16"/>
                <w:szCs w:val="16"/>
                <w:lang w:eastAsia="en-GB"/>
              </w:rPr>
            </w:pPr>
            <w:r w:rsidRPr="00B759DB">
              <w:rPr>
                <w:rFonts w:eastAsia="Times New Roman" w:cs="Times New Roman"/>
                <w:b/>
                <w:sz w:val="16"/>
                <w:szCs w:val="16"/>
                <w:lang w:eastAsia="en-GB"/>
              </w:rPr>
              <w:t>20</w:t>
            </w:r>
          </w:p>
        </w:tc>
        <w:tc>
          <w:tcPr>
            <w:tcW w:w="966" w:type="pct"/>
            <w:shd w:val="clear" w:color="auto" w:fill="auto"/>
            <w:noWrap/>
            <w:vAlign w:val="bottom"/>
            <w:hideMark/>
          </w:tcPr>
          <w:p w:rsidR="00C86B52" w:rsidRPr="004259F7" w:rsidRDefault="00C86B52" w:rsidP="00CE7E83">
            <w:pPr>
              <w:spacing w:after="0" w:line="240" w:lineRule="auto"/>
              <w:jc w:val="right"/>
              <w:rPr>
                <w:rFonts w:eastAsia="Times New Roman" w:cs="Times New Roman"/>
                <w:i/>
                <w:sz w:val="16"/>
                <w:szCs w:val="16"/>
                <w:lang w:eastAsia="en-GB"/>
              </w:rPr>
            </w:pPr>
            <w:r>
              <w:rPr>
                <w:rFonts w:ascii="Tahoma" w:hAnsi="Tahoma" w:cs="Tahoma"/>
                <w:color w:val="000000"/>
                <w:sz w:val="16"/>
                <w:szCs w:val="16"/>
              </w:rPr>
              <w:t>3,7</w:t>
            </w:r>
          </w:p>
        </w:tc>
      </w:tr>
      <w:tr w:rsidR="00C86B52" w:rsidRPr="00D436BC" w:rsidTr="00807960">
        <w:trPr>
          <w:trHeight w:val="252"/>
        </w:trPr>
        <w:tc>
          <w:tcPr>
            <w:tcW w:w="1232" w:type="pct"/>
            <w:shd w:val="clear" w:color="auto" w:fill="auto"/>
            <w:noWrap/>
            <w:vAlign w:val="bottom"/>
            <w:hideMark/>
          </w:tcPr>
          <w:p w:rsidR="00C86B52" w:rsidRPr="00B759DB" w:rsidRDefault="00C86B52" w:rsidP="00CE7E83">
            <w:pPr>
              <w:spacing w:after="0" w:line="240" w:lineRule="auto"/>
              <w:jc w:val="left"/>
              <w:rPr>
                <w:rFonts w:eastAsia="Times New Roman" w:cs="Times New Roman"/>
                <w:sz w:val="16"/>
                <w:szCs w:val="16"/>
                <w:lang w:eastAsia="en-GB"/>
              </w:rPr>
            </w:pPr>
            <w:r w:rsidRPr="00B759DB">
              <w:rPr>
                <w:rFonts w:eastAsia="Times New Roman" w:cs="Times New Roman"/>
                <w:sz w:val="16"/>
                <w:szCs w:val="16"/>
                <w:lang w:eastAsia="en-GB"/>
              </w:rPr>
              <w:t>NL</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5</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4</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4</w:t>
            </w:r>
          </w:p>
        </w:tc>
        <w:tc>
          <w:tcPr>
            <w:tcW w:w="534"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3</w:t>
            </w:r>
          </w:p>
        </w:tc>
        <w:tc>
          <w:tcPr>
            <w:tcW w:w="668" w:type="pct"/>
            <w:shd w:val="clear" w:color="auto" w:fill="auto"/>
            <w:noWrap/>
            <w:vAlign w:val="bottom"/>
            <w:hideMark/>
          </w:tcPr>
          <w:p w:rsidR="00C86B52" w:rsidRPr="00B759DB" w:rsidRDefault="00C86B52" w:rsidP="00CE7E83">
            <w:pPr>
              <w:spacing w:after="0" w:line="240" w:lineRule="auto"/>
              <w:jc w:val="right"/>
              <w:rPr>
                <w:rFonts w:eastAsia="Times New Roman" w:cs="Times New Roman"/>
                <w:b/>
                <w:sz w:val="16"/>
                <w:szCs w:val="16"/>
                <w:lang w:eastAsia="en-GB"/>
              </w:rPr>
            </w:pPr>
            <w:r w:rsidRPr="00B759DB">
              <w:rPr>
                <w:rFonts w:eastAsia="Times New Roman" w:cs="Times New Roman"/>
                <w:b/>
                <w:sz w:val="16"/>
                <w:szCs w:val="16"/>
                <w:lang w:eastAsia="en-GB"/>
              </w:rPr>
              <w:t>16</w:t>
            </w:r>
          </w:p>
        </w:tc>
        <w:tc>
          <w:tcPr>
            <w:tcW w:w="966" w:type="pct"/>
            <w:shd w:val="clear" w:color="auto" w:fill="auto"/>
            <w:noWrap/>
            <w:vAlign w:val="bottom"/>
            <w:hideMark/>
          </w:tcPr>
          <w:p w:rsidR="00C86B52" w:rsidRPr="004259F7" w:rsidRDefault="00C86B52" w:rsidP="00CE7E83">
            <w:pPr>
              <w:spacing w:after="0" w:line="240" w:lineRule="auto"/>
              <w:jc w:val="right"/>
              <w:rPr>
                <w:rFonts w:eastAsia="Times New Roman" w:cs="Times New Roman"/>
                <w:i/>
                <w:sz w:val="16"/>
                <w:szCs w:val="16"/>
                <w:lang w:eastAsia="en-GB"/>
              </w:rPr>
            </w:pPr>
            <w:r>
              <w:rPr>
                <w:rFonts w:ascii="Tahoma" w:hAnsi="Tahoma" w:cs="Tahoma"/>
                <w:color w:val="000000"/>
                <w:sz w:val="16"/>
                <w:szCs w:val="16"/>
              </w:rPr>
              <w:t>3,0</w:t>
            </w:r>
          </w:p>
        </w:tc>
      </w:tr>
      <w:tr w:rsidR="00C86B52" w:rsidRPr="00D436BC" w:rsidTr="00807960">
        <w:trPr>
          <w:trHeight w:val="252"/>
        </w:trPr>
        <w:tc>
          <w:tcPr>
            <w:tcW w:w="1232" w:type="pct"/>
            <w:shd w:val="clear" w:color="auto" w:fill="auto"/>
            <w:noWrap/>
            <w:vAlign w:val="bottom"/>
            <w:hideMark/>
          </w:tcPr>
          <w:p w:rsidR="00C86B52" w:rsidRPr="00B759DB" w:rsidRDefault="00C86B52" w:rsidP="00CE7E83">
            <w:pPr>
              <w:spacing w:after="0" w:line="240" w:lineRule="auto"/>
              <w:jc w:val="left"/>
              <w:rPr>
                <w:rFonts w:eastAsia="Times New Roman" w:cs="Times New Roman"/>
                <w:sz w:val="16"/>
                <w:szCs w:val="16"/>
                <w:lang w:eastAsia="en-GB"/>
              </w:rPr>
            </w:pPr>
            <w:r w:rsidRPr="00B759DB">
              <w:rPr>
                <w:rFonts w:eastAsia="Times New Roman" w:cs="Times New Roman"/>
                <w:sz w:val="16"/>
                <w:szCs w:val="16"/>
                <w:lang w:eastAsia="en-GB"/>
              </w:rPr>
              <w:t>PL</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6</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7</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6</w:t>
            </w:r>
          </w:p>
        </w:tc>
        <w:tc>
          <w:tcPr>
            <w:tcW w:w="534"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4</w:t>
            </w:r>
          </w:p>
        </w:tc>
        <w:tc>
          <w:tcPr>
            <w:tcW w:w="668" w:type="pct"/>
            <w:shd w:val="clear" w:color="auto" w:fill="auto"/>
            <w:noWrap/>
            <w:vAlign w:val="bottom"/>
            <w:hideMark/>
          </w:tcPr>
          <w:p w:rsidR="00C86B52" w:rsidRPr="00B759DB" w:rsidRDefault="00C86B52" w:rsidP="00CE7E83">
            <w:pPr>
              <w:spacing w:after="0" w:line="240" w:lineRule="auto"/>
              <w:jc w:val="right"/>
              <w:rPr>
                <w:rFonts w:eastAsia="Times New Roman" w:cs="Times New Roman"/>
                <w:b/>
                <w:sz w:val="16"/>
                <w:szCs w:val="16"/>
                <w:lang w:eastAsia="en-GB"/>
              </w:rPr>
            </w:pPr>
            <w:r w:rsidRPr="00B759DB">
              <w:rPr>
                <w:rFonts w:eastAsia="Times New Roman" w:cs="Times New Roman"/>
                <w:b/>
                <w:sz w:val="16"/>
                <w:szCs w:val="16"/>
                <w:lang w:eastAsia="en-GB"/>
              </w:rPr>
              <w:t>23</w:t>
            </w:r>
          </w:p>
        </w:tc>
        <w:tc>
          <w:tcPr>
            <w:tcW w:w="966" w:type="pct"/>
            <w:shd w:val="clear" w:color="auto" w:fill="auto"/>
            <w:noWrap/>
            <w:vAlign w:val="bottom"/>
            <w:hideMark/>
          </w:tcPr>
          <w:p w:rsidR="00C86B52" w:rsidRPr="004259F7" w:rsidRDefault="00C86B52" w:rsidP="00CE7E83">
            <w:pPr>
              <w:spacing w:after="0" w:line="240" w:lineRule="auto"/>
              <w:jc w:val="right"/>
              <w:rPr>
                <w:rFonts w:eastAsia="Times New Roman" w:cs="Times New Roman"/>
                <w:i/>
                <w:sz w:val="16"/>
                <w:szCs w:val="16"/>
                <w:lang w:eastAsia="en-GB"/>
              </w:rPr>
            </w:pPr>
            <w:r>
              <w:rPr>
                <w:rFonts w:ascii="Tahoma" w:hAnsi="Tahoma" w:cs="Tahoma"/>
                <w:color w:val="000000"/>
                <w:sz w:val="16"/>
                <w:szCs w:val="16"/>
              </w:rPr>
              <w:t>4,3</w:t>
            </w:r>
          </w:p>
        </w:tc>
      </w:tr>
      <w:tr w:rsidR="00C86B52" w:rsidRPr="00D436BC" w:rsidTr="00807960">
        <w:trPr>
          <w:trHeight w:val="252"/>
        </w:trPr>
        <w:tc>
          <w:tcPr>
            <w:tcW w:w="1232" w:type="pct"/>
            <w:shd w:val="clear" w:color="auto" w:fill="auto"/>
            <w:noWrap/>
            <w:vAlign w:val="bottom"/>
            <w:hideMark/>
          </w:tcPr>
          <w:p w:rsidR="00C86B52" w:rsidRPr="00B759DB" w:rsidRDefault="00C86B52" w:rsidP="00CE7E83">
            <w:pPr>
              <w:spacing w:after="0" w:line="240" w:lineRule="auto"/>
              <w:jc w:val="left"/>
              <w:rPr>
                <w:rFonts w:eastAsia="Times New Roman" w:cs="Times New Roman"/>
                <w:sz w:val="16"/>
                <w:szCs w:val="16"/>
                <w:lang w:eastAsia="en-GB"/>
              </w:rPr>
            </w:pPr>
            <w:r w:rsidRPr="00B759DB">
              <w:rPr>
                <w:rFonts w:eastAsia="Times New Roman" w:cs="Times New Roman"/>
                <w:sz w:val="16"/>
                <w:szCs w:val="16"/>
                <w:lang w:eastAsia="en-GB"/>
              </w:rPr>
              <w:t>PT</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D436BC">
              <w:rPr>
                <w:rFonts w:eastAsia="Times New Roman" w:cs="Times New Roman"/>
                <w:sz w:val="16"/>
                <w:szCs w:val="16"/>
                <w:lang w:eastAsia="en-GB"/>
              </w:rPr>
              <w:t>-</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D436BC">
              <w:rPr>
                <w:rFonts w:eastAsia="Times New Roman" w:cs="Times New Roman"/>
                <w:sz w:val="16"/>
                <w:szCs w:val="16"/>
                <w:lang w:eastAsia="en-GB"/>
              </w:rPr>
              <w:t>-</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8</w:t>
            </w:r>
          </w:p>
        </w:tc>
        <w:tc>
          <w:tcPr>
            <w:tcW w:w="534"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5</w:t>
            </w:r>
          </w:p>
        </w:tc>
        <w:tc>
          <w:tcPr>
            <w:tcW w:w="668" w:type="pct"/>
            <w:shd w:val="clear" w:color="auto" w:fill="auto"/>
            <w:noWrap/>
            <w:vAlign w:val="bottom"/>
            <w:hideMark/>
          </w:tcPr>
          <w:p w:rsidR="00C86B52" w:rsidRPr="00B759DB" w:rsidRDefault="00C86B52" w:rsidP="00CE7E83">
            <w:pPr>
              <w:spacing w:after="0" w:line="240" w:lineRule="auto"/>
              <w:jc w:val="right"/>
              <w:rPr>
                <w:rFonts w:eastAsia="Times New Roman" w:cs="Times New Roman"/>
                <w:b/>
                <w:sz w:val="16"/>
                <w:szCs w:val="16"/>
                <w:lang w:eastAsia="en-GB"/>
              </w:rPr>
            </w:pPr>
            <w:r w:rsidRPr="00B759DB">
              <w:rPr>
                <w:rFonts w:eastAsia="Times New Roman" w:cs="Times New Roman"/>
                <w:b/>
                <w:sz w:val="16"/>
                <w:szCs w:val="16"/>
                <w:lang w:eastAsia="en-GB"/>
              </w:rPr>
              <w:t>13</w:t>
            </w:r>
          </w:p>
        </w:tc>
        <w:tc>
          <w:tcPr>
            <w:tcW w:w="966" w:type="pct"/>
            <w:shd w:val="clear" w:color="auto" w:fill="auto"/>
            <w:noWrap/>
            <w:vAlign w:val="bottom"/>
            <w:hideMark/>
          </w:tcPr>
          <w:p w:rsidR="00C86B52" w:rsidRPr="004259F7" w:rsidRDefault="00C86B52" w:rsidP="00CE7E83">
            <w:pPr>
              <w:spacing w:after="0" w:line="240" w:lineRule="auto"/>
              <w:jc w:val="right"/>
              <w:rPr>
                <w:rFonts w:eastAsia="Times New Roman" w:cs="Times New Roman"/>
                <w:i/>
                <w:sz w:val="16"/>
                <w:szCs w:val="16"/>
                <w:lang w:eastAsia="en-GB"/>
              </w:rPr>
            </w:pPr>
            <w:r>
              <w:rPr>
                <w:rFonts w:ascii="Tahoma" w:hAnsi="Tahoma" w:cs="Tahoma"/>
                <w:color w:val="000000"/>
                <w:sz w:val="16"/>
                <w:szCs w:val="16"/>
              </w:rPr>
              <w:t>2,4</w:t>
            </w:r>
          </w:p>
        </w:tc>
      </w:tr>
      <w:tr w:rsidR="00C86B52" w:rsidRPr="00D436BC" w:rsidTr="00807960">
        <w:trPr>
          <w:trHeight w:val="252"/>
        </w:trPr>
        <w:tc>
          <w:tcPr>
            <w:tcW w:w="1232" w:type="pct"/>
            <w:shd w:val="clear" w:color="auto" w:fill="auto"/>
            <w:noWrap/>
            <w:vAlign w:val="bottom"/>
            <w:hideMark/>
          </w:tcPr>
          <w:p w:rsidR="00C86B52" w:rsidRPr="00B759DB" w:rsidRDefault="00C86B52" w:rsidP="00CE7E83">
            <w:pPr>
              <w:spacing w:after="0" w:line="240" w:lineRule="auto"/>
              <w:jc w:val="left"/>
              <w:rPr>
                <w:rFonts w:eastAsia="Times New Roman" w:cs="Times New Roman"/>
                <w:sz w:val="16"/>
                <w:szCs w:val="16"/>
                <w:lang w:eastAsia="en-GB"/>
              </w:rPr>
            </w:pPr>
            <w:r w:rsidRPr="00B759DB">
              <w:rPr>
                <w:rFonts w:eastAsia="Times New Roman" w:cs="Times New Roman"/>
                <w:sz w:val="16"/>
                <w:szCs w:val="16"/>
                <w:lang w:eastAsia="en-GB"/>
              </w:rPr>
              <w:t>RO</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D436BC">
              <w:rPr>
                <w:rFonts w:eastAsia="Times New Roman" w:cs="Times New Roman"/>
                <w:sz w:val="16"/>
                <w:szCs w:val="16"/>
                <w:lang w:eastAsia="en-GB"/>
              </w:rPr>
              <w:t>-</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8</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8</w:t>
            </w:r>
          </w:p>
        </w:tc>
        <w:tc>
          <w:tcPr>
            <w:tcW w:w="534"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4</w:t>
            </w:r>
          </w:p>
        </w:tc>
        <w:tc>
          <w:tcPr>
            <w:tcW w:w="668" w:type="pct"/>
            <w:shd w:val="clear" w:color="auto" w:fill="auto"/>
            <w:noWrap/>
            <w:vAlign w:val="bottom"/>
            <w:hideMark/>
          </w:tcPr>
          <w:p w:rsidR="00C86B52" w:rsidRPr="00B759DB" w:rsidRDefault="00C86B52" w:rsidP="00CE7E83">
            <w:pPr>
              <w:spacing w:after="0" w:line="240" w:lineRule="auto"/>
              <w:jc w:val="right"/>
              <w:rPr>
                <w:rFonts w:eastAsia="Times New Roman" w:cs="Times New Roman"/>
                <w:b/>
                <w:sz w:val="16"/>
                <w:szCs w:val="16"/>
                <w:lang w:eastAsia="en-GB"/>
              </w:rPr>
            </w:pPr>
            <w:r w:rsidRPr="00B759DB">
              <w:rPr>
                <w:rFonts w:eastAsia="Times New Roman" w:cs="Times New Roman"/>
                <w:b/>
                <w:sz w:val="16"/>
                <w:szCs w:val="16"/>
                <w:lang w:eastAsia="en-GB"/>
              </w:rPr>
              <w:t>20</w:t>
            </w:r>
          </w:p>
        </w:tc>
        <w:tc>
          <w:tcPr>
            <w:tcW w:w="966" w:type="pct"/>
            <w:shd w:val="clear" w:color="auto" w:fill="auto"/>
            <w:noWrap/>
            <w:vAlign w:val="bottom"/>
            <w:hideMark/>
          </w:tcPr>
          <w:p w:rsidR="00C86B52" w:rsidRPr="004259F7" w:rsidRDefault="00C86B52" w:rsidP="00CE7E83">
            <w:pPr>
              <w:spacing w:after="0" w:line="240" w:lineRule="auto"/>
              <w:jc w:val="right"/>
              <w:rPr>
                <w:rFonts w:eastAsia="Times New Roman" w:cs="Times New Roman"/>
                <w:i/>
                <w:sz w:val="16"/>
                <w:szCs w:val="16"/>
                <w:lang w:eastAsia="en-GB"/>
              </w:rPr>
            </w:pPr>
            <w:r>
              <w:rPr>
                <w:rFonts w:ascii="Tahoma" w:hAnsi="Tahoma" w:cs="Tahoma"/>
                <w:color w:val="000000"/>
                <w:sz w:val="16"/>
                <w:szCs w:val="16"/>
              </w:rPr>
              <w:t>3,7</w:t>
            </w:r>
          </w:p>
        </w:tc>
      </w:tr>
      <w:tr w:rsidR="00C86B52" w:rsidRPr="00D436BC" w:rsidTr="00807960">
        <w:trPr>
          <w:trHeight w:val="252"/>
        </w:trPr>
        <w:tc>
          <w:tcPr>
            <w:tcW w:w="1232" w:type="pct"/>
            <w:shd w:val="clear" w:color="auto" w:fill="auto"/>
            <w:noWrap/>
            <w:vAlign w:val="bottom"/>
            <w:hideMark/>
          </w:tcPr>
          <w:p w:rsidR="00C86B52" w:rsidRPr="00B759DB" w:rsidRDefault="00C86B52" w:rsidP="00CE7E83">
            <w:pPr>
              <w:spacing w:after="0" w:line="240" w:lineRule="auto"/>
              <w:jc w:val="left"/>
              <w:rPr>
                <w:rFonts w:eastAsia="Times New Roman" w:cs="Times New Roman"/>
                <w:sz w:val="16"/>
                <w:szCs w:val="16"/>
                <w:lang w:eastAsia="en-GB"/>
              </w:rPr>
            </w:pPr>
            <w:r w:rsidRPr="00B759DB">
              <w:rPr>
                <w:rFonts w:eastAsia="Times New Roman" w:cs="Times New Roman"/>
                <w:sz w:val="16"/>
                <w:szCs w:val="16"/>
                <w:lang w:eastAsia="en-GB"/>
              </w:rPr>
              <w:t>SE</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4</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4</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4</w:t>
            </w:r>
          </w:p>
        </w:tc>
        <w:tc>
          <w:tcPr>
            <w:tcW w:w="534"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1</w:t>
            </w:r>
          </w:p>
        </w:tc>
        <w:tc>
          <w:tcPr>
            <w:tcW w:w="668" w:type="pct"/>
            <w:shd w:val="clear" w:color="auto" w:fill="auto"/>
            <w:noWrap/>
            <w:vAlign w:val="bottom"/>
            <w:hideMark/>
          </w:tcPr>
          <w:p w:rsidR="00C86B52" w:rsidRPr="00B759DB" w:rsidRDefault="00C86B52" w:rsidP="00CE7E83">
            <w:pPr>
              <w:spacing w:after="0" w:line="240" w:lineRule="auto"/>
              <w:jc w:val="right"/>
              <w:rPr>
                <w:rFonts w:eastAsia="Times New Roman" w:cs="Times New Roman"/>
                <w:b/>
                <w:sz w:val="16"/>
                <w:szCs w:val="16"/>
                <w:lang w:eastAsia="en-GB"/>
              </w:rPr>
            </w:pPr>
            <w:r w:rsidRPr="00B759DB">
              <w:rPr>
                <w:rFonts w:eastAsia="Times New Roman" w:cs="Times New Roman"/>
                <w:b/>
                <w:sz w:val="16"/>
                <w:szCs w:val="16"/>
                <w:lang w:eastAsia="en-GB"/>
              </w:rPr>
              <w:t>13</w:t>
            </w:r>
          </w:p>
        </w:tc>
        <w:tc>
          <w:tcPr>
            <w:tcW w:w="966" w:type="pct"/>
            <w:shd w:val="clear" w:color="auto" w:fill="auto"/>
            <w:noWrap/>
            <w:vAlign w:val="bottom"/>
            <w:hideMark/>
          </w:tcPr>
          <w:p w:rsidR="00C86B52" w:rsidRPr="004259F7" w:rsidRDefault="00C86B52" w:rsidP="00CE7E83">
            <w:pPr>
              <w:spacing w:after="0" w:line="240" w:lineRule="auto"/>
              <w:jc w:val="right"/>
              <w:rPr>
                <w:rFonts w:eastAsia="Times New Roman" w:cs="Times New Roman"/>
                <w:i/>
                <w:sz w:val="16"/>
                <w:szCs w:val="16"/>
                <w:lang w:eastAsia="en-GB"/>
              </w:rPr>
            </w:pPr>
            <w:r>
              <w:rPr>
                <w:rFonts w:ascii="Tahoma" w:hAnsi="Tahoma" w:cs="Tahoma"/>
                <w:color w:val="000000"/>
                <w:sz w:val="16"/>
                <w:szCs w:val="16"/>
              </w:rPr>
              <w:t>2,4</w:t>
            </w:r>
          </w:p>
        </w:tc>
      </w:tr>
      <w:tr w:rsidR="00C86B52" w:rsidRPr="00D436BC" w:rsidTr="00807960">
        <w:trPr>
          <w:trHeight w:val="252"/>
        </w:trPr>
        <w:tc>
          <w:tcPr>
            <w:tcW w:w="1232" w:type="pct"/>
            <w:shd w:val="clear" w:color="auto" w:fill="auto"/>
            <w:noWrap/>
            <w:vAlign w:val="bottom"/>
            <w:hideMark/>
          </w:tcPr>
          <w:p w:rsidR="00C86B52" w:rsidRPr="00B759DB" w:rsidRDefault="00C86B52" w:rsidP="00CE7E83">
            <w:pPr>
              <w:spacing w:after="0" w:line="240" w:lineRule="auto"/>
              <w:jc w:val="left"/>
              <w:rPr>
                <w:rFonts w:eastAsia="Times New Roman" w:cs="Times New Roman"/>
                <w:sz w:val="16"/>
                <w:szCs w:val="16"/>
                <w:lang w:eastAsia="en-GB"/>
              </w:rPr>
            </w:pPr>
            <w:r w:rsidRPr="00B759DB">
              <w:rPr>
                <w:rFonts w:eastAsia="Times New Roman" w:cs="Times New Roman"/>
                <w:sz w:val="16"/>
                <w:szCs w:val="16"/>
                <w:lang w:eastAsia="en-GB"/>
              </w:rPr>
              <w:t>SI</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7</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9</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8</w:t>
            </w:r>
          </w:p>
        </w:tc>
        <w:tc>
          <w:tcPr>
            <w:tcW w:w="534"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4</w:t>
            </w:r>
          </w:p>
        </w:tc>
        <w:tc>
          <w:tcPr>
            <w:tcW w:w="668" w:type="pct"/>
            <w:shd w:val="clear" w:color="auto" w:fill="auto"/>
            <w:noWrap/>
            <w:vAlign w:val="bottom"/>
            <w:hideMark/>
          </w:tcPr>
          <w:p w:rsidR="00C86B52" w:rsidRPr="00B759DB" w:rsidRDefault="00C86B52" w:rsidP="00CE7E83">
            <w:pPr>
              <w:spacing w:after="0" w:line="240" w:lineRule="auto"/>
              <w:jc w:val="right"/>
              <w:rPr>
                <w:rFonts w:eastAsia="Times New Roman" w:cs="Times New Roman"/>
                <w:b/>
                <w:sz w:val="16"/>
                <w:szCs w:val="16"/>
                <w:lang w:eastAsia="en-GB"/>
              </w:rPr>
            </w:pPr>
            <w:r w:rsidRPr="00B759DB">
              <w:rPr>
                <w:rFonts w:eastAsia="Times New Roman" w:cs="Times New Roman"/>
                <w:b/>
                <w:sz w:val="16"/>
                <w:szCs w:val="16"/>
                <w:lang w:eastAsia="en-GB"/>
              </w:rPr>
              <w:t>28</w:t>
            </w:r>
          </w:p>
        </w:tc>
        <w:tc>
          <w:tcPr>
            <w:tcW w:w="966" w:type="pct"/>
            <w:shd w:val="clear" w:color="auto" w:fill="auto"/>
            <w:noWrap/>
            <w:vAlign w:val="bottom"/>
            <w:hideMark/>
          </w:tcPr>
          <w:p w:rsidR="00C86B52" w:rsidRPr="004259F7" w:rsidRDefault="00C86B52" w:rsidP="00CE7E83">
            <w:pPr>
              <w:spacing w:after="0" w:line="240" w:lineRule="auto"/>
              <w:jc w:val="right"/>
              <w:rPr>
                <w:rFonts w:eastAsia="Times New Roman" w:cs="Times New Roman"/>
                <w:i/>
                <w:sz w:val="16"/>
                <w:szCs w:val="16"/>
                <w:lang w:eastAsia="en-GB"/>
              </w:rPr>
            </w:pPr>
            <w:r>
              <w:rPr>
                <w:rFonts w:ascii="Tahoma" w:hAnsi="Tahoma" w:cs="Tahoma"/>
                <w:color w:val="000000"/>
                <w:sz w:val="16"/>
                <w:szCs w:val="16"/>
              </w:rPr>
              <w:t>5,2</w:t>
            </w:r>
          </w:p>
        </w:tc>
      </w:tr>
      <w:tr w:rsidR="00C86B52" w:rsidRPr="00D436BC" w:rsidTr="00807960">
        <w:trPr>
          <w:trHeight w:val="252"/>
        </w:trPr>
        <w:tc>
          <w:tcPr>
            <w:tcW w:w="1232" w:type="pct"/>
            <w:shd w:val="clear" w:color="auto" w:fill="auto"/>
            <w:noWrap/>
            <w:vAlign w:val="bottom"/>
            <w:hideMark/>
          </w:tcPr>
          <w:p w:rsidR="00C86B52" w:rsidRPr="00B759DB" w:rsidRDefault="00C86B52" w:rsidP="00CE7E83">
            <w:pPr>
              <w:spacing w:after="0" w:line="240" w:lineRule="auto"/>
              <w:jc w:val="left"/>
              <w:rPr>
                <w:rFonts w:eastAsia="Times New Roman" w:cs="Times New Roman"/>
                <w:sz w:val="16"/>
                <w:szCs w:val="16"/>
                <w:lang w:eastAsia="en-GB"/>
              </w:rPr>
            </w:pPr>
            <w:r w:rsidRPr="00B759DB">
              <w:rPr>
                <w:rFonts w:eastAsia="Times New Roman" w:cs="Times New Roman"/>
                <w:sz w:val="16"/>
                <w:szCs w:val="16"/>
                <w:lang w:eastAsia="en-GB"/>
              </w:rPr>
              <w:t>SK</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5</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6</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6</w:t>
            </w:r>
          </w:p>
        </w:tc>
        <w:tc>
          <w:tcPr>
            <w:tcW w:w="534"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4</w:t>
            </w:r>
          </w:p>
        </w:tc>
        <w:tc>
          <w:tcPr>
            <w:tcW w:w="668" w:type="pct"/>
            <w:shd w:val="clear" w:color="auto" w:fill="auto"/>
            <w:noWrap/>
            <w:vAlign w:val="bottom"/>
            <w:hideMark/>
          </w:tcPr>
          <w:p w:rsidR="00C86B52" w:rsidRPr="00B759DB" w:rsidRDefault="00C86B52" w:rsidP="00CE7E83">
            <w:pPr>
              <w:spacing w:after="0" w:line="240" w:lineRule="auto"/>
              <w:jc w:val="right"/>
              <w:rPr>
                <w:rFonts w:eastAsia="Times New Roman" w:cs="Times New Roman"/>
                <w:b/>
                <w:sz w:val="16"/>
                <w:szCs w:val="16"/>
                <w:lang w:eastAsia="en-GB"/>
              </w:rPr>
            </w:pPr>
            <w:r w:rsidRPr="00B759DB">
              <w:rPr>
                <w:rFonts w:eastAsia="Times New Roman" w:cs="Times New Roman"/>
                <w:b/>
                <w:sz w:val="16"/>
                <w:szCs w:val="16"/>
                <w:lang w:eastAsia="en-GB"/>
              </w:rPr>
              <w:t>21</w:t>
            </w:r>
          </w:p>
        </w:tc>
        <w:tc>
          <w:tcPr>
            <w:tcW w:w="966" w:type="pct"/>
            <w:shd w:val="clear" w:color="auto" w:fill="auto"/>
            <w:noWrap/>
            <w:vAlign w:val="bottom"/>
            <w:hideMark/>
          </w:tcPr>
          <w:p w:rsidR="00C86B52" w:rsidRPr="004259F7" w:rsidRDefault="00C86B52" w:rsidP="00CE7E83">
            <w:pPr>
              <w:spacing w:after="0" w:line="240" w:lineRule="auto"/>
              <w:jc w:val="right"/>
              <w:rPr>
                <w:rFonts w:eastAsia="Times New Roman" w:cs="Times New Roman"/>
                <w:i/>
                <w:sz w:val="16"/>
                <w:szCs w:val="16"/>
                <w:lang w:eastAsia="en-GB"/>
              </w:rPr>
            </w:pPr>
            <w:r>
              <w:rPr>
                <w:rFonts w:ascii="Tahoma" w:hAnsi="Tahoma" w:cs="Tahoma"/>
                <w:color w:val="000000"/>
                <w:sz w:val="16"/>
                <w:szCs w:val="16"/>
              </w:rPr>
              <w:t>3,9</w:t>
            </w:r>
          </w:p>
        </w:tc>
      </w:tr>
      <w:tr w:rsidR="00C86B52" w:rsidRPr="00D436BC" w:rsidTr="00807960">
        <w:trPr>
          <w:trHeight w:val="252"/>
        </w:trPr>
        <w:tc>
          <w:tcPr>
            <w:tcW w:w="1232" w:type="pct"/>
            <w:shd w:val="clear" w:color="auto" w:fill="auto"/>
            <w:noWrap/>
            <w:vAlign w:val="bottom"/>
            <w:hideMark/>
          </w:tcPr>
          <w:p w:rsidR="00C86B52" w:rsidRPr="00B759DB" w:rsidRDefault="00C86B52" w:rsidP="00CE7E83">
            <w:pPr>
              <w:spacing w:after="0" w:line="240" w:lineRule="auto"/>
              <w:jc w:val="left"/>
              <w:rPr>
                <w:rFonts w:eastAsia="Times New Roman" w:cs="Times New Roman"/>
                <w:sz w:val="16"/>
                <w:szCs w:val="16"/>
                <w:lang w:eastAsia="en-GB"/>
              </w:rPr>
            </w:pPr>
            <w:r w:rsidRPr="00B759DB">
              <w:rPr>
                <w:rFonts w:eastAsia="Times New Roman" w:cs="Times New Roman"/>
                <w:sz w:val="16"/>
                <w:szCs w:val="16"/>
                <w:lang w:eastAsia="en-GB"/>
              </w:rPr>
              <w:t>UK</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6</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6</w:t>
            </w:r>
          </w:p>
        </w:tc>
        <w:tc>
          <w:tcPr>
            <w:tcW w:w="533"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6</w:t>
            </w:r>
          </w:p>
        </w:tc>
        <w:tc>
          <w:tcPr>
            <w:tcW w:w="534" w:type="pct"/>
            <w:shd w:val="clear" w:color="auto" w:fill="auto"/>
            <w:noWrap/>
            <w:vAlign w:val="bottom"/>
            <w:hideMark/>
          </w:tcPr>
          <w:p w:rsidR="00C86B52" w:rsidRPr="00B759DB" w:rsidRDefault="00C86B52" w:rsidP="00CE7E83">
            <w:pPr>
              <w:spacing w:after="0" w:line="240" w:lineRule="auto"/>
              <w:jc w:val="right"/>
              <w:rPr>
                <w:rFonts w:eastAsia="Times New Roman" w:cs="Times New Roman"/>
                <w:sz w:val="16"/>
                <w:szCs w:val="16"/>
                <w:lang w:eastAsia="en-GB"/>
              </w:rPr>
            </w:pPr>
            <w:r w:rsidRPr="00B759DB">
              <w:rPr>
                <w:rFonts w:eastAsia="Times New Roman" w:cs="Times New Roman"/>
                <w:sz w:val="16"/>
                <w:szCs w:val="16"/>
                <w:lang w:eastAsia="en-GB"/>
              </w:rPr>
              <w:t>3</w:t>
            </w:r>
          </w:p>
        </w:tc>
        <w:tc>
          <w:tcPr>
            <w:tcW w:w="668" w:type="pct"/>
            <w:shd w:val="clear" w:color="auto" w:fill="auto"/>
            <w:noWrap/>
            <w:vAlign w:val="bottom"/>
            <w:hideMark/>
          </w:tcPr>
          <w:p w:rsidR="00C86B52" w:rsidRPr="00B759DB" w:rsidRDefault="00C86B52" w:rsidP="00CE7E83">
            <w:pPr>
              <w:spacing w:after="0" w:line="240" w:lineRule="auto"/>
              <w:jc w:val="right"/>
              <w:rPr>
                <w:rFonts w:eastAsia="Times New Roman" w:cs="Times New Roman"/>
                <w:b/>
                <w:sz w:val="16"/>
                <w:szCs w:val="16"/>
                <w:lang w:eastAsia="en-GB"/>
              </w:rPr>
            </w:pPr>
            <w:r w:rsidRPr="00B759DB">
              <w:rPr>
                <w:rFonts w:eastAsia="Times New Roman" w:cs="Times New Roman"/>
                <w:b/>
                <w:sz w:val="16"/>
                <w:szCs w:val="16"/>
                <w:lang w:eastAsia="en-GB"/>
              </w:rPr>
              <w:t>21</w:t>
            </w:r>
          </w:p>
        </w:tc>
        <w:tc>
          <w:tcPr>
            <w:tcW w:w="966" w:type="pct"/>
            <w:shd w:val="clear" w:color="auto" w:fill="auto"/>
            <w:noWrap/>
            <w:vAlign w:val="bottom"/>
            <w:hideMark/>
          </w:tcPr>
          <w:p w:rsidR="00C86B52" w:rsidRPr="004259F7" w:rsidRDefault="00C86B52" w:rsidP="00CE7E83">
            <w:pPr>
              <w:spacing w:after="0" w:line="240" w:lineRule="auto"/>
              <w:jc w:val="right"/>
              <w:rPr>
                <w:rFonts w:eastAsia="Times New Roman" w:cs="Times New Roman"/>
                <w:i/>
                <w:sz w:val="16"/>
                <w:szCs w:val="16"/>
                <w:lang w:eastAsia="en-GB"/>
              </w:rPr>
            </w:pPr>
            <w:r>
              <w:rPr>
                <w:rFonts w:ascii="Tahoma" w:hAnsi="Tahoma" w:cs="Tahoma"/>
                <w:color w:val="000000"/>
                <w:sz w:val="16"/>
                <w:szCs w:val="16"/>
              </w:rPr>
              <w:t>3,9</w:t>
            </w:r>
          </w:p>
        </w:tc>
      </w:tr>
      <w:tr w:rsidR="004259F7" w:rsidRPr="00D436BC" w:rsidTr="00C86B52">
        <w:trPr>
          <w:trHeight w:val="252"/>
        </w:trPr>
        <w:tc>
          <w:tcPr>
            <w:tcW w:w="1232" w:type="pct"/>
            <w:shd w:val="clear" w:color="auto" w:fill="auto"/>
            <w:noWrap/>
            <w:vAlign w:val="bottom"/>
            <w:hideMark/>
          </w:tcPr>
          <w:p w:rsidR="004259F7" w:rsidRPr="00B759DB" w:rsidRDefault="004259F7" w:rsidP="00CE7E83">
            <w:pPr>
              <w:spacing w:after="0" w:line="240" w:lineRule="auto"/>
              <w:jc w:val="left"/>
              <w:rPr>
                <w:rFonts w:eastAsia="Times New Roman" w:cs="Times New Roman"/>
                <w:b/>
                <w:sz w:val="16"/>
                <w:szCs w:val="16"/>
                <w:lang w:eastAsia="en-GB"/>
              </w:rPr>
            </w:pPr>
            <w:r w:rsidRPr="00B759DB">
              <w:rPr>
                <w:rFonts w:eastAsia="Times New Roman" w:cs="Times New Roman"/>
                <w:b/>
                <w:sz w:val="16"/>
                <w:szCs w:val="16"/>
                <w:lang w:eastAsia="en-GB"/>
              </w:rPr>
              <w:t>Total</w:t>
            </w:r>
          </w:p>
        </w:tc>
        <w:tc>
          <w:tcPr>
            <w:tcW w:w="533" w:type="pct"/>
            <w:shd w:val="clear" w:color="auto" w:fill="auto"/>
            <w:noWrap/>
            <w:vAlign w:val="center"/>
            <w:hideMark/>
          </w:tcPr>
          <w:p w:rsidR="004259F7" w:rsidRPr="004259F7" w:rsidRDefault="004259F7" w:rsidP="008B7841">
            <w:pPr>
              <w:spacing w:after="0" w:line="240" w:lineRule="auto"/>
              <w:jc w:val="right"/>
              <w:rPr>
                <w:rFonts w:eastAsia="Times New Roman" w:cs="Times New Roman"/>
                <w:b/>
                <w:sz w:val="16"/>
                <w:szCs w:val="16"/>
                <w:lang w:eastAsia="en-GB"/>
              </w:rPr>
            </w:pPr>
            <w:r w:rsidRPr="004259F7">
              <w:rPr>
                <w:b/>
                <w:sz w:val="16"/>
                <w:szCs w:val="16"/>
              </w:rPr>
              <w:t>136</w:t>
            </w:r>
          </w:p>
        </w:tc>
        <w:tc>
          <w:tcPr>
            <w:tcW w:w="533" w:type="pct"/>
            <w:shd w:val="clear" w:color="auto" w:fill="auto"/>
            <w:noWrap/>
            <w:vAlign w:val="center"/>
            <w:hideMark/>
          </w:tcPr>
          <w:p w:rsidR="004259F7" w:rsidRPr="004259F7" w:rsidRDefault="004259F7" w:rsidP="008B7841">
            <w:pPr>
              <w:spacing w:after="0" w:line="240" w:lineRule="auto"/>
              <w:jc w:val="right"/>
              <w:rPr>
                <w:rFonts w:eastAsia="Times New Roman" w:cs="Times New Roman"/>
                <w:b/>
                <w:sz w:val="16"/>
                <w:szCs w:val="16"/>
                <w:lang w:eastAsia="en-GB"/>
              </w:rPr>
            </w:pPr>
            <w:r w:rsidRPr="004259F7">
              <w:rPr>
                <w:b/>
                <w:sz w:val="16"/>
                <w:szCs w:val="16"/>
              </w:rPr>
              <w:t>141</w:t>
            </w:r>
          </w:p>
        </w:tc>
        <w:tc>
          <w:tcPr>
            <w:tcW w:w="533" w:type="pct"/>
            <w:shd w:val="clear" w:color="auto" w:fill="auto"/>
            <w:noWrap/>
            <w:vAlign w:val="center"/>
            <w:hideMark/>
          </w:tcPr>
          <w:p w:rsidR="00385225" w:rsidRDefault="004259F7">
            <w:pPr>
              <w:spacing w:after="0" w:line="240" w:lineRule="auto"/>
              <w:jc w:val="right"/>
              <w:rPr>
                <w:rFonts w:eastAsia="Times New Roman" w:cs="Times New Roman"/>
                <w:b/>
                <w:sz w:val="16"/>
                <w:szCs w:val="16"/>
                <w:lang w:eastAsia="en-GB"/>
              </w:rPr>
            </w:pPr>
            <w:r w:rsidRPr="004259F7">
              <w:rPr>
                <w:b/>
                <w:sz w:val="16"/>
                <w:szCs w:val="16"/>
              </w:rPr>
              <w:t>157</w:t>
            </w:r>
          </w:p>
        </w:tc>
        <w:tc>
          <w:tcPr>
            <w:tcW w:w="534" w:type="pct"/>
            <w:shd w:val="clear" w:color="auto" w:fill="auto"/>
            <w:noWrap/>
            <w:vAlign w:val="center"/>
            <w:hideMark/>
          </w:tcPr>
          <w:p w:rsidR="00385225" w:rsidRDefault="004259F7">
            <w:pPr>
              <w:spacing w:after="0" w:line="240" w:lineRule="auto"/>
              <w:jc w:val="right"/>
              <w:rPr>
                <w:rFonts w:eastAsia="Times New Roman" w:cs="Times New Roman"/>
                <w:b/>
                <w:sz w:val="16"/>
                <w:szCs w:val="16"/>
                <w:lang w:eastAsia="en-GB"/>
              </w:rPr>
            </w:pPr>
            <w:r w:rsidRPr="004259F7">
              <w:rPr>
                <w:b/>
                <w:sz w:val="16"/>
                <w:szCs w:val="16"/>
              </w:rPr>
              <w:t>101</w:t>
            </w:r>
          </w:p>
        </w:tc>
        <w:tc>
          <w:tcPr>
            <w:tcW w:w="668" w:type="pct"/>
            <w:shd w:val="clear" w:color="auto" w:fill="auto"/>
            <w:noWrap/>
            <w:vAlign w:val="center"/>
            <w:hideMark/>
          </w:tcPr>
          <w:p w:rsidR="00385225" w:rsidRDefault="004259F7">
            <w:pPr>
              <w:spacing w:after="0" w:line="240" w:lineRule="auto"/>
              <w:jc w:val="right"/>
              <w:rPr>
                <w:rFonts w:eastAsia="Times New Roman" w:cs="Times New Roman"/>
                <w:b/>
                <w:sz w:val="16"/>
                <w:szCs w:val="16"/>
                <w:lang w:eastAsia="en-GB"/>
              </w:rPr>
            </w:pPr>
            <w:r w:rsidRPr="004259F7">
              <w:rPr>
                <w:b/>
                <w:sz w:val="16"/>
                <w:szCs w:val="16"/>
              </w:rPr>
              <w:t>535</w:t>
            </w:r>
          </w:p>
        </w:tc>
        <w:tc>
          <w:tcPr>
            <w:tcW w:w="966" w:type="pct"/>
            <w:shd w:val="clear" w:color="auto" w:fill="auto"/>
            <w:noWrap/>
            <w:vAlign w:val="bottom"/>
            <w:hideMark/>
          </w:tcPr>
          <w:p w:rsidR="004259F7" w:rsidRPr="00B759DB" w:rsidRDefault="004259F7" w:rsidP="00CE7E83">
            <w:pPr>
              <w:spacing w:after="0" w:line="240" w:lineRule="auto"/>
              <w:jc w:val="right"/>
              <w:rPr>
                <w:rFonts w:eastAsia="Times New Roman" w:cs="Times New Roman"/>
                <w:i/>
                <w:sz w:val="16"/>
                <w:szCs w:val="16"/>
                <w:lang w:eastAsia="en-GB"/>
              </w:rPr>
            </w:pPr>
            <w:r w:rsidRPr="00B759DB">
              <w:rPr>
                <w:rFonts w:eastAsia="Times New Roman" w:cs="Times New Roman"/>
                <w:i/>
                <w:sz w:val="16"/>
                <w:szCs w:val="16"/>
                <w:lang w:eastAsia="en-GB"/>
              </w:rPr>
              <w:t>100.0</w:t>
            </w:r>
          </w:p>
        </w:tc>
      </w:tr>
      <w:tr w:rsidR="004259F7" w:rsidRPr="00D436BC" w:rsidTr="00C86B52">
        <w:trPr>
          <w:trHeight w:val="252"/>
        </w:trPr>
        <w:tc>
          <w:tcPr>
            <w:tcW w:w="1232" w:type="pct"/>
            <w:shd w:val="clear" w:color="auto" w:fill="auto"/>
            <w:noWrap/>
            <w:vAlign w:val="bottom"/>
            <w:hideMark/>
          </w:tcPr>
          <w:p w:rsidR="004259F7" w:rsidRPr="00B759DB" w:rsidRDefault="004259F7" w:rsidP="00E347BA">
            <w:pPr>
              <w:spacing w:after="0" w:line="240" w:lineRule="auto"/>
              <w:jc w:val="left"/>
              <w:rPr>
                <w:rFonts w:eastAsia="Times New Roman" w:cs="Times New Roman"/>
                <w:i/>
                <w:sz w:val="16"/>
                <w:szCs w:val="16"/>
                <w:lang w:eastAsia="en-GB"/>
              </w:rPr>
            </w:pPr>
            <w:r w:rsidRPr="00B759DB">
              <w:rPr>
                <w:rFonts w:eastAsia="Times New Roman" w:cs="Times New Roman"/>
                <w:i/>
                <w:sz w:val="16"/>
                <w:szCs w:val="16"/>
                <w:lang w:eastAsia="en-GB"/>
              </w:rPr>
              <w:t>%</w:t>
            </w:r>
            <w:r w:rsidRPr="00D436BC">
              <w:rPr>
                <w:rFonts w:eastAsia="Times New Roman" w:cs="Times New Roman"/>
                <w:i/>
                <w:sz w:val="16"/>
                <w:szCs w:val="16"/>
                <w:lang w:eastAsia="en-GB"/>
              </w:rPr>
              <w:t xml:space="preserve"> </w:t>
            </w:r>
            <w:r>
              <w:rPr>
                <w:rFonts w:eastAsia="Times New Roman" w:cs="Times New Roman"/>
                <w:i/>
                <w:sz w:val="16"/>
                <w:szCs w:val="16"/>
                <w:lang w:eastAsia="en-GB"/>
              </w:rPr>
              <w:t>of t</w:t>
            </w:r>
            <w:r w:rsidRPr="00D436BC">
              <w:rPr>
                <w:rFonts w:eastAsia="Times New Roman" w:cs="Times New Roman"/>
                <w:i/>
                <w:sz w:val="16"/>
                <w:szCs w:val="16"/>
                <w:lang w:eastAsia="en-GB"/>
              </w:rPr>
              <w:t>otal</w:t>
            </w:r>
            <w:r>
              <w:rPr>
                <w:rFonts w:eastAsia="Times New Roman" w:cs="Times New Roman"/>
                <w:i/>
                <w:sz w:val="16"/>
                <w:szCs w:val="16"/>
                <w:lang w:eastAsia="en-GB"/>
              </w:rPr>
              <w:t xml:space="preserve"> 2012-2015</w:t>
            </w:r>
          </w:p>
        </w:tc>
        <w:tc>
          <w:tcPr>
            <w:tcW w:w="533" w:type="pct"/>
            <w:shd w:val="clear" w:color="auto" w:fill="auto"/>
            <w:noWrap/>
            <w:vAlign w:val="center"/>
            <w:hideMark/>
          </w:tcPr>
          <w:p w:rsidR="004259F7" w:rsidRPr="004259F7" w:rsidRDefault="004259F7" w:rsidP="008B7841">
            <w:pPr>
              <w:spacing w:after="0" w:line="240" w:lineRule="auto"/>
              <w:jc w:val="right"/>
              <w:rPr>
                <w:rFonts w:eastAsia="Times New Roman" w:cs="Times New Roman"/>
                <w:i/>
                <w:sz w:val="16"/>
                <w:szCs w:val="16"/>
                <w:lang w:eastAsia="en-GB"/>
              </w:rPr>
            </w:pPr>
            <w:r w:rsidRPr="004259F7">
              <w:rPr>
                <w:i/>
                <w:sz w:val="16"/>
                <w:szCs w:val="16"/>
              </w:rPr>
              <w:t>25.4</w:t>
            </w:r>
          </w:p>
        </w:tc>
        <w:tc>
          <w:tcPr>
            <w:tcW w:w="533" w:type="pct"/>
            <w:shd w:val="clear" w:color="auto" w:fill="auto"/>
            <w:noWrap/>
            <w:vAlign w:val="center"/>
            <w:hideMark/>
          </w:tcPr>
          <w:p w:rsidR="004259F7" w:rsidRPr="004259F7" w:rsidRDefault="004259F7" w:rsidP="008B7841">
            <w:pPr>
              <w:spacing w:after="0" w:line="240" w:lineRule="auto"/>
              <w:jc w:val="right"/>
              <w:rPr>
                <w:rFonts w:eastAsia="Times New Roman" w:cs="Times New Roman"/>
                <w:i/>
                <w:sz w:val="16"/>
                <w:szCs w:val="16"/>
                <w:lang w:eastAsia="en-GB"/>
              </w:rPr>
            </w:pPr>
            <w:r w:rsidRPr="004259F7">
              <w:rPr>
                <w:i/>
                <w:sz w:val="16"/>
                <w:szCs w:val="16"/>
              </w:rPr>
              <w:t>26.4</w:t>
            </w:r>
          </w:p>
        </w:tc>
        <w:tc>
          <w:tcPr>
            <w:tcW w:w="533" w:type="pct"/>
            <w:shd w:val="clear" w:color="auto" w:fill="auto"/>
            <w:noWrap/>
            <w:vAlign w:val="center"/>
            <w:hideMark/>
          </w:tcPr>
          <w:p w:rsidR="00385225" w:rsidRDefault="004259F7">
            <w:pPr>
              <w:spacing w:after="0" w:line="240" w:lineRule="auto"/>
              <w:jc w:val="right"/>
              <w:rPr>
                <w:rFonts w:eastAsia="Times New Roman" w:cs="Times New Roman"/>
                <w:i/>
                <w:sz w:val="16"/>
                <w:szCs w:val="16"/>
                <w:lang w:eastAsia="en-GB"/>
              </w:rPr>
            </w:pPr>
            <w:r w:rsidRPr="004259F7">
              <w:rPr>
                <w:i/>
                <w:sz w:val="16"/>
                <w:szCs w:val="16"/>
              </w:rPr>
              <w:t>29.3</w:t>
            </w:r>
          </w:p>
        </w:tc>
        <w:tc>
          <w:tcPr>
            <w:tcW w:w="534" w:type="pct"/>
            <w:shd w:val="clear" w:color="auto" w:fill="auto"/>
            <w:noWrap/>
            <w:vAlign w:val="center"/>
            <w:hideMark/>
          </w:tcPr>
          <w:p w:rsidR="00385225" w:rsidRDefault="004259F7">
            <w:pPr>
              <w:spacing w:after="0" w:line="240" w:lineRule="auto"/>
              <w:jc w:val="right"/>
              <w:rPr>
                <w:rFonts w:eastAsia="Times New Roman" w:cs="Times New Roman"/>
                <w:i/>
                <w:sz w:val="16"/>
                <w:szCs w:val="16"/>
                <w:lang w:eastAsia="en-GB"/>
              </w:rPr>
            </w:pPr>
            <w:r w:rsidRPr="004259F7">
              <w:rPr>
                <w:i/>
                <w:sz w:val="16"/>
                <w:szCs w:val="16"/>
              </w:rPr>
              <w:t>18.9</w:t>
            </w:r>
          </w:p>
        </w:tc>
        <w:tc>
          <w:tcPr>
            <w:tcW w:w="668" w:type="pct"/>
            <w:shd w:val="clear" w:color="auto" w:fill="auto"/>
            <w:noWrap/>
            <w:vAlign w:val="center"/>
            <w:hideMark/>
          </w:tcPr>
          <w:p w:rsidR="00385225" w:rsidRDefault="004259F7">
            <w:pPr>
              <w:spacing w:after="0" w:line="240" w:lineRule="auto"/>
              <w:jc w:val="right"/>
              <w:rPr>
                <w:rFonts w:eastAsia="Times New Roman" w:cs="Times New Roman"/>
                <w:i/>
                <w:sz w:val="16"/>
                <w:szCs w:val="16"/>
                <w:lang w:eastAsia="en-GB"/>
              </w:rPr>
            </w:pPr>
            <w:r w:rsidRPr="004259F7">
              <w:rPr>
                <w:i/>
                <w:sz w:val="16"/>
                <w:szCs w:val="16"/>
              </w:rPr>
              <w:t>100.0</w:t>
            </w:r>
          </w:p>
        </w:tc>
        <w:tc>
          <w:tcPr>
            <w:tcW w:w="966" w:type="pct"/>
            <w:shd w:val="clear" w:color="auto" w:fill="auto"/>
            <w:noWrap/>
            <w:vAlign w:val="bottom"/>
            <w:hideMark/>
          </w:tcPr>
          <w:p w:rsidR="004259F7" w:rsidRPr="00B759DB" w:rsidRDefault="004259F7" w:rsidP="00CE7E83">
            <w:pPr>
              <w:spacing w:after="0" w:line="240" w:lineRule="auto"/>
              <w:jc w:val="right"/>
              <w:rPr>
                <w:rFonts w:eastAsia="Times New Roman" w:cs="Times New Roman"/>
                <w:i/>
                <w:sz w:val="16"/>
                <w:szCs w:val="16"/>
                <w:lang w:eastAsia="en-GB"/>
              </w:rPr>
            </w:pPr>
          </w:p>
        </w:tc>
      </w:tr>
      <w:tr w:rsidR="004259F7" w:rsidRPr="00D436BC" w:rsidTr="00C86B52">
        <w:trPr>
          <w:trHeight w:val="252"/>
        </w:trPr>
        <w:tc>
          <w:tcPr>
            <w:tcW w:w="1232" w:type="pct"/>
            <w:shd w:val="clear" w:color="auto" w:fill="auto"/>
            <w:noWrap/>
            <w:vAlign w:val="center"/>
            <w:hideMark/>
          </w:tcPr>
          <w:p w:rsidR="004259F7" w:rsidRPr="00B759DB" w:rsidRDefault="004259F7" w:rsidP="00E347BA">
            <w:pPr>
              <w:spacing w:after="0" w:line="240" w:lineRule="auto"/>
              <w:jc w:val="left"/>
              <w:rPr>
                <w:rFonts w:eastAsia="Times New Roman" w:cs="Times New Roman"/>
                <w:i/>
                <w:sz w:val="16"/>
                <w:szCs w:val="16"/>
                <w:lang w:eastAsia="en-GB"/>
              </w:rPr>
            </w:pPr>
            <w:r w:rsidRPr="00B759DB">
              <w:rPr>
                <w:rFonts w:eastAsia="Times New Roman" w:cs="Times New Roman"/>
                <w:i/>
                <w:sz w:val="16"/>
                <w:szCs w:val="16"/>
                <w:lang w:eastAsia="en-GB"/>
              </w:rPr>
              <w:t>EU15</w:t>
            </w:r>
            <w:r>
              <w:rPr>
                <w:rFonts w:eastAsia="Times New Roman" w:cs="Times New Roman"/>
                <w:i/>
                <w:sz w:val="16"/>
                <w:szCs w:val="16"/>
                <w:lang w:eastAsia="en-GB"/>
              </w:rPr>
              <w:t xml:space="preserve"> as </w:t>
            </w:r>
            <w:r w:rsidRPr="00B759DB">
              <w:rPr>
                <w:rFonts w:eastAsia="Times New Roman" w:cs="Times New Roman"/>
                <w:i/>
                <w:sz w:val="16"/>
                <w:szCs w:val="16"/>
                <w:lang w:eastAsia="en-GB"/>
              </w:rPr>
              <w:t>%</w:t>
            </w:r>
            <w:r>
              <w:rPr>
                <w:rFonts w:eastAsia="Times New Roman" w:cs="Times New Roman"/>
                <w:i/>
                <w:sz w:val="16"/>
                <w:szCs w:val="16"/>
                <w:lang w:eastAsia="en-GB"/>
              </w:rPr>
              <w:t xml:space="preserve"> of total</w:t>
            </w:r>
          </w:p>
        </w:tc>
        <w:tc>
          <w:tcPr>
            <w:tcW w:w="533" w:type="pct"/>
            <w:shd w:val="clear" w:color="auto" w:fill="auto"/>
            <w:noWrap/>
            <w:vAlign w:val="center"/>
            <w:hideMark/>
          </w:tcPr>
          <w:p w:rsidR="004259F7" w:rsidRPr="004259F7" w:rsidRDefault="004259F7" w:rsidP="008B7841">
            <w:pPr>
              <w:spacing w:after="0" w:line="240" w:lineRule="auto"/>
              <w:jc w:val="right"/>
              <w:rPr>
                <w:rFonts w:eastAsia="Times New Roman" w:cs="Times New Roman"/>
                <w:i/>
                <w:sz w:val="16"/>
                <w:szCs w:val="16"/>
                <w:lang w:eastAsia="en-GB"/>
              </w:rPr>
            </w:pPr>
            <w:r w:rsidRPr="004259F7">
              <w:rPr>
                <w:i/>
                <w:sz w:val="16"/>
                <w:szCs w:val="16"/>
              </w:rPr>
              <w:t>49.3</w:t>
            </w:r>
          </w:p>
        </w:tc>
        <w:tc>
          <w:tcPr>
            <w:tcW w:w="533" w:type="pct"/>
            <w:shd w:val="clear" w:color="auto" w:fill="auto"/>
            <w:noWrap/>
            <w:vAlign w:val="center"/>
            <w:hideMark/>
          </w:tcPr>
          <w:p w:rsidR="004259F7" w:rsidRPr="004259F7" w:rsidRDefault="004259F7" w:rsidP="008B7841">
            <w:pPr>
              <w:spacing w:after="0" w:line="240" w:lineRule="auto"/>
              <w:jc w:val="right"/>
              <w:rPr>
                <w:rFonts w:eastAsia="Times New Roman" w:cs="Times New Roman"/>
                <w:i/>
                <w:sz w:val="16"/>
                <w:szCs w:val="16"/>
                <w:lang w:eastAsia="en-GB"/>
              </w:rPr>
            </w:pPr>
            <w:r w:rsidRPr="004259F7">
              <w:rPr>
                <w:i/>
                <w:sz w:val="16"/>
                <w:szCs w:val="16"/>
              </w:rPr>
              <w:t>47.5</w:t>
            </w:r>
          </w:p>
        </w:tc>
        <w:tc>
          <w:tcPr>
            <w:tcW w:w="533" w:type="pct"/>
            <w:shd w:val="clear" w:color="auto" w:fill="auto"/>
            <w:noWrap/>
            <w:vAlign w:val="center"/>
            <w:hideMark/>
          </w:tcPr>
          <w:p w:rsidR="00385225" w:rsidRDefault="004259F7">
            <w:pPr>
              <w:spacing w:after="0" w:line="240" w:lineRule="auto"/>
              <w:jc w:val="right"/>
              <w:rPr>
                <w:rFonts w:eastAsia="Times New Roman" w:cs="Times New Roman"/>
                <w:i/>
                <w:sz w:val="16"/>
                <w:szCs w:val="16"/>
                <w:lang w:eastAsia="en-GB"/>
              </w:rPr>
            </w:pPr>
            <w:r w:rsidRPr="004259F7">
              <w:rPr>
                <w:i/>
                <w:sz w:val="16"/>
                <w:szCs w:val="16"/>
              </w:rPr>
              <w:t>51.0</w:t>
            </w:r>
          </w:p>
        </w:tc>
        <w:tc>
          <w:tcPr>
            <w:tcW w:w="534" w:type="pct"/>
            <w:shd w:val="clear" w:color="auto" w:fill="auto"/>
            <w:noWrap/>
            <w:vAlign w:val="center"/>
            <w:hideMark/>
          </w:tcPr>
          <w:p w:rsidR="00385225" w:rsidRDefault="004259F7">
            <w:pPr>
              <w:spacing w:after="0" w:line="240" w:lineRule="auto"/>
              <w:jc w:val="right"/>
              <w:rPr>
                <w:rFonts w:eastAsia="Times New Roman" w:cs="Times New Roman"/>
                <w:i/>
                <w:sz w:val="16"/>
                <w:szCs w:val="16"/>
                <w:lang w:eastAsia="en-GB"/>
              </w:rPr>
            </w:pPr>
            <w:r w:rsidRPr="004259F7">
              <w:rPr>
                <w:i/>
                <w:sz w:val="16"/>
                <w:szCs w:val="16"/>
              </w:rPr>
              <w:t>50.5</w:t>
            </w:r>
          </w:p>
        </w:tc>
        <w:tc>
          <w:tcPr>
            <w:tcW w:w="668" w:type="pct"/>
            <w:shd w:val="clear" w:color="auto" w:fill="auto"/>
            <w:noWrap/>
            <w:vAlign w:val="center"/>
            <w:hideMark/>
          </w:tcPr>
          <w:p w:rsidR="00385225" w:rsidRDefault="004259F7">
            <w:pPr>
              <w:spacing w:after="0" w:line="240" w:lineRule="auto"/>
              <w:jc w:val="right"/>
              <w:rPr>
                <w:rFonts w:eastAsia="Times New Roman" w:cs="Times New Roman"/>
                <w:i/>
                <w:sz w:val="16"/>
                <w:szCs w:val="16"/>
                <w:lang w:eastAsia="en-GB"/>
              </w:rPr>
            </w:pPr>
            <w:r w:rsidRPr="004259F7">
              <w:rPr>
                <w:i/>
                <w:sz w:val="16"/>
                <w:szCs w:val="16"/>
              </w:rPr>
              <w:t>49.5</w:t>
            </w:r>
          </w:p>
        </w:tc>
        <w:tc>
          <w:tcPr>
            <w:tcW w:w="966" w:type="pct"/>
            <w:shd w:val="clear" w:color="auto" w:fill="auto"/>
            <w:noWrap/>
            <w:vAlign w:val="center"/>
            <w:hideMark/>
          </w:tcPr>
          <w:p w:rsidR="004259F7" w:rsidRPr="00B759DB" w:rsidRDefault="004259F7" w:rsidP="00E347BA">
            <w:pPr>
              <w:spacing w:after="0" w:line="240" w:lineRule="auto"/>
              <w:jc w:val="right"/>
              <w:rPr>
                <w:rFonts w:eastAsia="Times New Roman" w:cs="Times New Roman"/>
                <w:i/>
                <w:sz w:val="16"/>
                <w:szCs w:val="16"/>
                <w:lang w:eastAsia="en-GB"/>
              </w:rPr>
            </w:pPr>
          </w:p>
        </w:tc>
      </w:tr>
      <w:tr w:rsidR="004259F7" w:rsidRPr="00D436BC" w:rsidTr="00C86B52">
        <w:trPr>
          <w:trHeight w:val="252"/>
        </w:trPr>
        <w:tc>
          <w:tcPr>
            <w:tcW w:w="1232" w:type="pct"/>
            <w:shd w:val="clear" w:color="auto" w:fill="auto"/>
            <w:noWrap/>
            <w:vAlign w:val="center"/>
            <w:hideMark/>
          </w:tcPr>
          <w:p w:rsidR="004259F7" w:rsidRPr="00B759DB" w:rsidRDefault="004259F7" w:rsidP="00E347BA">
            <w:pPr>
              <w:spacing w:after="0" w:line="240" w:lineRule="auto"/>
              <w:jc w:val="left"/>
              <w:rPr>
                <w:rFonts w:eastAsia="Times New Roman" w:cs="Times New Roman"/>
                <w:i/>
                <w:sz w:val="16"/>
                <w:szCs w:val="16"/>
                <w:lang w:eastAsia="en-GB"/>
              </w:rPr>
            </w:pPr>
            <w:r w:rsidRPr="00B759DB">
              <w:rPr>
                <w:rFonts w:eastAsia="Times New Roman" w:cs="Times New Roman"/>
                <w:i/>
                <w:sz w:val="16"/>
                <w:szCs w:val="16"/>
                <w:lang w:eastAsia="en-GB"/>
              </w:rPr>
              <w:t>EU13</w:t>
            </w:r>
            <w:r>
              <w:rPr>
                <w:rFonts w:eastAsia="Times New Roman" w:cs="Times New Roman"/>
                <w:i/>
                <w:sz w:val="16"/>
                <w:szCs w:val="16"/>
                <w:lang w:eastAsia="en-GB"/>
              </w:rPr>
              <w:t xml:space="preserve"> as </w:t>
            </w:r>
            <w:r w:rsidRPr="00B759DB">
              <w:rPr>
                <w:rFonts w:eastAsia="Times New Roman" w:cs="Times New Roman"/>
                <w:i/>
                <w:sz w:val="16"/>
                <w:szCs w:val="16"/>
                <w:lang w:eastAsia="en-GB"/>
              </w:rPr>
              <w:t>%</w:t>
            </w:r>
            <w:r>
              <w:rPr>
                <w:rFonts w:eastAsia="Times New Roman" w:cs="Times New Roman"/>
                <w:i/>
                <w:sz w:val="16"/>
                <w:szCs w:val="16"/>
                <w:lang w:eastAsia="en-GB"/>
              </w:rPr>
              <w:t xml:space="preserve"> of total</w:t>
            </w:r>
          </w:p>
        </w:tc>
        <w:tc>
          <w:tcPr>
            <w:tcW w:w="533" w:type="pct"/>
            <w:shd w:val="clear" w:color="auto" w:fill="auto"/>
            <w:noWrap/>
            <w:vAlign w:val="center"/>
            <w:hideMark/>
          </w:tcPr>
          <w:p w:rsidR="004259F7" w:rsidRPr="004259F7" w:rsidRDefault="004259F7" w:rsidP="008B7841">
            <w:pPr>
              <w:spacing w:after="0" w:line="240" w:lineRule="auto"/>
              <w:jc w:val="right"/>
              <w:rPr>
                <w:rFonts w:eastAsia="Times New Roman" w:cs="Times New Roman"/>
                <w:i/>
                <w:sz w:val="16"/>
                <w:szCs w:val="16"/>
                <w:lang w:eastAsia="en-GB"/>
              </w:rPr>
            </w:pPr>
            <w:r w:rsidRPr="004259F7">
              <w:rPr>
                <w:i/>
                <w:sz w:val="16"/>
                <w:szCs w:val="16"/>
              </w:rPr>
              <w:t>50.7</w:t>
            </w:r>
          </w:p>
        </w:tc>
        <w:tc>
          <w:tcPr>
            <w:tcW w:w="533" w:type="pct"/>
            <w:shd w:val="clear" w:color="auto" w:fill="auto"/>
            <w:noWrap/>
            <w:vAlign w:val="center"/>
            <w:hideMark/>
          </w:tcPr>
          <w:p w:rsidR="004259F7" w:rsidRPr="004259F7" w:rsidRDefault="004259F7" w:rsidP="008B7841">
            <w:pPr>
              <w:spacing w:after="0" w:line="240" w:lineRule="auto"/>
              <w:jc w:val="right"/>
              <w:rPr>
                <w:rFonts w:eastAsia="Times New Roman" w:cs="Times New Roman"/>
                <w:i/>
                <w:sz w:val="16"/>
                <w:szCs w:val="16"/>
                <w:lang w:eastAsia="en-GB"/>
              </w:rPr>
            </w:pPr>
            <w:r w:rsidRPr="004259F7">
              <w:rPr>
                <w:i/>
                <w:sz w:val="16"/>
                <w:szCs w:val="16"/>
              </w:rPr>
              <w:t>52.5</w:t>
            </w:r>
          </w:p>
        </w:tc>
        <w:tc>
          <w:tcPr>
            <w:tcW w:w="533" w:type="pct"/>
            <w:shd w:val="clear" w:color="auto" w:fill="auto"/>
            <w:noWrap/>
            <w:vAlign w:val="center"/>
            <w:hideMark/>
          </w:tcPr>
          <w:p w:rsidR="00385225" w:rsidRDefault="004259F7">
            <w:pPr>
              <w:spacing w:after="0" w:line="240" w:lineRule="auto"/>
              <w:jc w:val="right"/>
              <w:rPr>
                <w:rFonts w:eastAsia="Times New Roman" w:cs="Times New Roman"/>
                <w:i/>
                <w:sz w:val="16"/>
                <w:szCs w:val="16"/>
                <w:lang w:eastAsia="en-GB"/>
              </w:rPr>
            </w:pPr>
            <w:r w:rsidRPr="004259F7">
              <w:rPr>
                <w:i/>
                <w:sz w:val="16"/>
                <w:szCs w:val="16"/>
              </w:rPr>
              <w:t>49.0</w:t>
            </w:r>
          </w:p>
        </w:tc>
        <w:tc>
          <w:tcPr>
            <w:tcW w:w="534" w:type="pct"/>
            <w:shd w:val="clear" w:color="auto" w:fill="auto"/>
            <w:noWrap/>
            <w:vAlign w:val="center"/>
            <w:hideMark/>
          </w:tcPr>
          <w:p w:rsidR="00385225" w:rsidRDefault="004259F7">
            <w:pPr>
              <w:spacing w:after="0" w:line="240" w:lineRule="auto"/>
              <w:jc w:val="right"/>
              <w:rPr>
                <w:rFonts w:eastAsia="Times New Roman" w:cs="Times New Roman"/>
                <w:i/>
                <w:sz w:val="16"/>
                <w:szCs w:val="16"/>
                <w:lang w:eastAsia="en-GB"/>
              </w:rPr>
            </w:pPr>
            <w:r w:rsidRPr="004259F7">
              <w:rPr>
                <w:i/>
                <w:sz w:val="16"/>
                <w:szCs w:val="16"/>
              </w:rPr>
              <w:t>49.5</w:t>
            </w:r>
          </w:p>
        </w:tc>
        <w:tc>
          <w:tcPr>
            <w:tcW w:w="668" w:type="pct"/>
            <w:shd w:val="clear" w:color="auto" w:fill="auto"/>
            <w:noWrap/>
            <w:vAlign w:val="center"/>
            <w:hideMark/>
          </w:tcPr>
          <w:p w:rsidR="00385225" w:rsidRDefault="004259F7">
            <w:pPr>
              <w:spacing w:after="0" w:line="240" w:lineRule="auto"/>
              <w:jc w:val="right"/>
              <w:rPr>
                <w:rFonts w:eastAsia="Times New Roman" w:cs="Times New Roman"/>
                <w:i/>
                <w:sz w:val="16"/>
                <w:szCs w:val="16"/>
                <w:lang w:eastAsia="en-GB"/>
              </w:rPr>
            </w:pPr>
            <w:r w:rsidRPr="004259F7">
              <w:rPr>
                <w:i/>
                <w:sz w:val="16"/>
                <w:szCs w:val="16"/>
              </w:rPr>
              <w:t>50.5</w:t>
            </w:r>
          </w:p>
        </w:tc>
        <w:tc>
          <w:tcPr>
            <w:tcW w:w="966" w:type="pct"/>
            <w:shd w:val="clear" w:color="auto" w:fill="auto"/>
            <w:noWrap/>
            <w:vAlign w:val="center"/>
            <w:hideMark/>
          </w:tcPr>
          <w:p w:rsidR="004259F7" w:rsidRPr="00B759DB" w:rsidRDefault="004259F7" w:rsidP="00E347BA">
            <w:pPr>
              <w:spacing w:after="0" w:line="240" w:lineRule="auto"/>
              <w:jc w:val="right"/>
              <w:rPr>
                <w:rFonts w:eastAsia="Times New Roman" w:cs="Times New Roman"/>
                <w:i/>
                <w:sz w:val="16"/>
                <w:szCs w:val="16"/>
                <w:lang w:eastAsia="en-GB"/>
              </w:rPr>
            </w:pPr>
          </w:p>
        </w:tc>
      </w:tr>
    </w:tbl>
    <w:p w:rsidR="004259F7" w:rsidRDefault="004259F7" w:rsidP="004259F7">
      <w:r>
        <w:t>*Greece is missing from this table as it did not receive CSR.</w:t>
      </w:r>
    </w:p>
    <w:p w:rsidR="00855E30" w:rsidRDefault="00855E30" w:rsidP="00855E30">
      <w:r>
        <w:t xml:space="preserve">Source: Own elaboration on CSR 2012-2015 mapping. </w:t>
      </w:r>
    </w:p>
    <w:p w:rsidR="002B3BB7" w:rsidRDefault="002B3BB7" w:rsidP="00855E30"/>
    <w:p w:rsidR="00716523" w:rsidRDefault="00B91D98" w:rsidP="00716523">
      <w:pPr>
        <w:pStyle w:val="Heading3"/>
      </w:pPr>
      <w:bookmarkStart w:id="13" w:name="_Toc466826782"/>
      <w:r>
        <w:t>Main trends in s</w:t>
      </w:r>
      <w:r w:rsidR="00716523">
        <w:t>tructural challenges from Country Reports and MoU</w:t>
      </w:r>
      <w:bookmarkEnd w:id="13"/>
    </w:p>
    <w:p w:rsidR="00855E30" w:rsidRDefault="00855E30" w:rsidP="00855E30">
      <w:r>
        <w:t>Parallel to the mapping of CSR, an analysis of Country Reports</w:t>
      </w:r>
      <w:r w:rsidR="004A61C4">
        <w:t xml:space="preserve">/SWD </w:t>
      </w:r>
      <w:r>
        <w:t>or</w:t>
      </w:r>
      <w:r w:rsidR="00E347BA">
        <w:t>,</w:t>
      </w:r>
      <w:r>
        <w:t xml:space="preserve"> where applicable</w:t>
      </w:r>
      <w:r w:rsidR="00E347BA">
        <w:t>,</w:t>
      </w:r>
      <w:r>
        <w:t xml:space="preserve"> MoU, was carried out to identify additional structural challenges not covered by CSR. </w:t>
      </w:r>
      <w:r w:rsidR="008A6070">
        <w:t>A</w:t>
      </w:r>
      <w:r>
        <w:t>ll available 2012-2015 Country Reports and MoU</w:t>
      </w:r>
      <w:r>
        <w:rPr>
          <w:rStyle w:val="FootnoteReference"/>
        </w:rPr>
        <w:footnoteReference w:id="11"/>
      </w:r>
      <w:r>
        <w:t xml:space="preserve"> were examined and the key challenges mentioned, in line with the definition of structural challenges provided in the Methodological Report, </w:t>
      </w:r>
      <w:r w:rsidR="008A6070">
        <w:t xml:space="preserve">and complementary to those underlying CSR </w:t>
      </w:r>
      <w:r>
        <w:t xml:space="preserve">were extracted.   </w:t>
      </w:r>
    </w:p>
    <w:p w:rsidR="00855E30" w:rsidRDefault="00855E30" w:rsidP="00855E30">
      <w:r>
        <w:t>It is worth noting that there is coherence between CSR and challenges identified in Country Reports meaning that the latter cover all challenges underlying CSR but are wider and in most cases identify additional issues and structural reform needs compare</w:t>
      </w:r>
      <w:r w:rsidR="00E347BA">
        <w:t>d</w:t>
      </w:r>
      <w:r>
        <w:t xml:space="preserve"> to those captured by CSR.  </w:t>
      </w:r>
    </w:p>
    <w:p w:rsidR="00855E30" w:rsidRPr="00DB3663" w:rsidRDefault="00855E30" w:rsidP="00855E30">
      <w:r>
        <w:t xml:space="preserve">The following table provides an overview of structural challenges, additional to those underlying CSR, extracted from Country Reports/MoU. In total </w:t>
      </w:r>
      <w:r w:rsidR="00E55819">
        <w:t>504</w:t>
      </w:r>
      <w:r w:rsidR="004A61C4">
        <w:t xml:space="preserve"> </w:t>
      </w:r>
      <w:r>
        <w:t xml:space="preserve">additional challenges were identified. Differently from CSR, the majority of these, roughly </w:t>
      </w:r>
      <w:r w:rsidR="004A61C4">
        <w:t>53</w:t>
      </w:r>
      <w:r>
        <w:t xml:space="preserve">%, concern EU13 countries. The count of complementary challenges ranges from a minimum of 4 in Estonia, to a maximum of </w:t>
      </w:r>
      <w:r w:rsidR="004A61C4">
        <w:t>74 in Greece</w:t>
      </w:r>
      <w:r>
        <w:t xml:space="preserve"> where there are no CSR. Being complementary to CSR, the number of additional challenges identified by country depends mainly on two factors: the depth of the analysis carried out in the Country Reports; the number of CSR, meaning that the more numerous and comprehensive are the CSR for a given year in a certain country,</w:t>
      </w:r>
      <w:r w:rsidR="00E347BA">
        <w:t xml:space="preserve"> </w:t>
      </w:r>
      <w:r w:rsidR="00CF0E32">
        <w:t xml:space="preserve">obviously </w:t>
      </w:r>
      <w:r w:rsidR="00E347BA">
        <w:t>the larger is the overlapping with the Country Report and hence</w:t>
      </w:r>
      <w:r>
        <w:t xml:space="preserve"> the fewer are the additional challenges which can be extracted from </w:t>
      </w:r>
      <w:r w:rsidR="00E347BA">
        <w:t>it</w:t>
      </w:r>
      <w:r>
        <w:t xml:space="preserve">.  </w:t>
      </w:r>
    </w:p>
    <w:p w:rsidR="00855E30" w:rsidRDefault="00855E30" w:rsidP="00855E30">
      <w:pPr>
        <w:pStyle w:val="Caption"/>
      </w:pPr>
      <w:r>
        <w:t xml:space="preserve">Table </w:t>
      </w:r>
      <w:r w:rsidR="00C52F7F">
        <w:fldChar w:fldCharType="begin"/>
      </w:r>
      <w:r w:rsidR="00F62F72">
        <w:instrText xml:space="preserve"> SEQ Table \* ARABIC </w:instrText>
      </w:r>
      <w:r w:rsidR="00C52F7F">
        <w:fldChar w:fldCharType="separate"/>
      </w:r>
      <w:r w:rsidR="00584B95">
        <w:rPr>
          <w:noProof/>
        </w:rPr>
        <w:t>3</w:t>
      </w:r>
      <w:r w:rsidR="00C52F7F">
        <w:rPr>
          <w:noProof/>
        </w:rPr>
        <w:fldChar w:fldCharType="end"/>
      </w:r>
      <w:r>
        <w:t xml:space="preserve"> - Challenges extracted from Country Reports and MoU</w:t>
      </w:r>
      <w:r w:rsidR="005B31C0">
        <w:rPr>
          <w:rStyle w:val="FootnoteReference"/>
        </w:rPr>
        <w:footnoteReference w:id="12"/>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131"/>
        <w:gridCol w:w="1127"/>
        <w:gridCol w:w="1128"/>
        <w:gridCol w:w="1130"/>
        <w:gridCol w:w="1203"/>
        <w:gridCol w:w="1130"/>
      </w:tblGrid>
      <w:tr w:rsidR="006446EB" w:rsidRPr="00BD67B0" w:rsidTr="006446EB">
        <w:trPr>
          <w:trHeight w:val="252"/>
        </w:trPr>
        <w:tc>
          <w:tcPr>
            <w:tcW w:w="1203" w:type="pct"/>
            <w:shd w:val="clear" w:color="auto" w:fill="D9D9D9" w:themeFill="background1" w:themeFillShade="D9"/>
            <w:noWrap/>
            <w:vAlign w:val="bottom"/>
            <w:hideMark/>
          </w:tcPr>
          <w:p w:rsidR="006446EB" w:rsidRPr="00D436BC" w:rsidRDefault="006446EB" w:rsidP="00F635C5">
            <w:pPr>
              <w:spacing w:after="0" w:line="240" w:lineRule="auto"/>
              <w:jc w:val="left"/>
              <w:rPr>
                <w:rFonts w:eastAsia="Times New Roman" w:cs="Times New Roman"/>
                <w:b/>
                <w:sz w:val="16"/>
                <w:szCs w:val="16"/>
                <w:lang w:eastAsia="en-GB"/>
              </w:rPr>
            </w:pPr>
          </w:p>
        </w:tc>
        <w:tc>
          <w:tcPr>
            <w:tcW w:w="634" w:type="pct"/>
            <w:shd w:val="clear" w:color="auto" w:fill="D9D9D9" w:themeFill="background1" w:themeFillShade="D9"/>
            <w:noWrap/>
            <w:vAlign w:val="bottom"/>
            <w:hideMark/>
          </w:tcPr>
          <w:p w:rsidR="006446EB" w:rsidRPr="00B759DB" w:rsidRDefault="006446EB" w:rsidP="006446EB">
            <w:pPr>
              <w:spacing w:after="0" w:line="240" w:lineRule="auto"/>
              <w:jc w:val="right"/>
              <w:rPr>
                <w:rFonts w:eastAsia="Times New Roman" w:cs="Times New Roman"/>
                <w:b/>
                <w:sz w:val="16"/>
                <w:szCs w:val="16"/>
                <w:lang w:eastAsia="en-GB"/>
              </w:rPr>
            </w:pPr>
            <w:r w:rsidRPr="00B759DB">
              <w:rPr>
                <w:rFonts w:eastAsia="Times New Roman" w:cs="Times New Roman"/>
                <w:b/>
                <w:sz w:val="16"/>
                <w:szCs w:val="16"/>
                <w:lang w:eastAsia="en-GB"/>
              </w:rPr>
              <w:t>2012</w:t>
            </w:r>
          </w:p>
        </w:tc>
        <w:tc>
          <w:tcPr>
            <w:tcW w:w="632" w:type="pct"/>
            <w:shd w:val="clear" w:color="auto" w:fill="D9D9D9" w:themeFill="background1" w:themeFillShade="D9"/>
            <w:noWrap/>
            <w:vAlign w:val="bottom"/>
            <w:hideMark/>
          </w:tcPr>
          <w:p w:rsidR="006446EB" w:rsidRPr="00B759DB" w:rsidRDefault="006446EB" w:rsidP="006446EB">
            <w:pPr>
              <w:spacing w:after="0" w:line="240" w:lineRule="auto"/>
              <w:jc w:val="right"/>
              <w:rPr>
                <w:rFonts w:eastAsia="Times New Roman" w:cs="Times New Roman"/>
                <w:b/>
                <w:sz w:val="16"/>
                <w:szCs w:val="16"/>
                <w:lang w:eastAsia="en-GB"/>
              </w:rPr>
            </w:pPr>
            <w:r w:rsidRPr="00B759DB">
              <w:rPr>
                <w:rFonts w:eastAsia="Times New Roman" w:cs="Times New Roman"/>
                <w:b/>
                <w:sz w:val="16"/>
                <w:szCs w:val="16"/>
                <w:lang w:eastAsia="en-GB"/>
              </w:rPr>
              <w:t>2013</w:t>
            </w:r>
          </w:p>
        </w:tc>
        <w:tc>
          <w:tcPr>
            <w:tcW w:w="632" w:type="pct"/>
            <w:shd w:val="clear" w:color="auto" w:fill="D9D9D9" w:themeFill="background1" w:themeFillShade="D9"/>
            <w:noWrap/>
            <w:vAlign w:val="bottom"/>
            <w:hideMark/>
          </w:tcPr>
          <w:p w:rsidR="006446EB" w:rsidRPr="00B759DB" w:rsidRDefault="006446EB" w:rsidP="006446EB">
            <w:pPr>
              <w:spacing w:after="0" w:line="240" w:lineRule="auto"/>
              <w:jc w:val="right"/>
              <w:rPr>
                <w:rFonts w:eastAsia="Times New Roman" w:cs="Times New Roman"/>
                <w:b/>
                <w:sz w:val="16"/>
                <w:szCs w:val="16"/>
                <w:lang w:eastAsia="en-GB"/>
              </w:rPr>
            </w:pPr>
            <w:r w:rsidRPr="00B759DB">
              <w:rPr>
                <w:rFonts w:eastAsia="Times New Roman" w:cs="Times New Roman"/>
                <w:b/>
                <w:sz w:val="16"/>
                <w:szCs w:val="16"/>
                <w:lang w:eastAsia="en-GB"/>
              </w:rPr>
              <w:t>2014</w:t>
            </w:r>
          </w:p>
        </w:tc>
        <w:tc>
          <w:tcPr>
            <w:tcW w:w="633" w:type="pct"/>
            <w:shd w:val="clear" w:color="auto" w:fill="D9D9D9" w:themeFill="background1" w:themeFillShade="D9"/>
            <w:noWrap/>
            <w:vAlign w:val="bottom"/>
            <w:hideMark/>
          </w:tcPr>
          <w:p w:rsidR="006446EB" w:rsidRPr="00B759DB" w:rsidRDefault="006446EB" w:rsidP="006446EB">
            <w:pPr>
              <w:spacing w:after="0" w:line="240" w:lineRule="auto"/>
              <w:jc w:val="right"/>
              <w:rPr>
                <w:rFonts w:eastAsia="Times New Roman" w:cs="Times New Roman"/>
                <w:b/>
                <w:sz w:val="16"/>
                <w:szCs w:val="16"/>
                <w:lang w:eastAsia="en-GB"/>
              </w:rPr>
            </w:pPr>
            <w:r w:rsidRPr="00B759DB">
              <w:rPr>
                <w:rFonts w:eastAsia="Times New Roman" w:cs="Times New Roman"/>
                <w:b/>
                <w:sz w:val="16"/>
                <w:szCs w:val="16"/>
                <w:lang w:eastAsia="en-GB"/>
              </w:rPr>
              <w:t>2015</w:t>
            </w:r>
          </w:p>
        </w:tc>
        <w:tc>
          <w:tcPr>
            <w:tcW w:w="633" w:type="pct"/>
            <w:shd w:val="clear" w:color="auto" w:fill="D9D9D9" w:themeFill="background1" w:themeFillShade="D9"/>
            <w:noWrap/>
            <w:vAlign w:val="bottom"/>
            <w:hideMark/>
          </w:tcPr>
          <w:p w:rsidR="006446EB" w:rsidRPr="00D436BC" w:rsidRDefault="006446EB" w:rsidP="006446EB">
            <w:pPr>
              <w:spacing w:after="0" w:line="240" w:lineRule="auto"/>
              <w:jc w:val="right"/>
              <w:rPr>
                <w:rFonts w:eastAsia="Times New Roman" w:cs="Times New Roman"/>
                <w:b/>
                <w:sz w:val="16"/>
                <w:szCs w:val="16"/>
                <w:lang w:eastAsia="en-GB"/>
              </w:rPr>
            </w:pPr>
            <w:r w:rsidRPr="00B759DB">
              <w:rPr>
                <w:rFonts w:eastAsia="Times New Roman" w:cs="Times New Roman"/>
                <w:b/>
                <w:sz w:val="16"/>
                <w:szCs w:val="16"/>
                <w:lang w:eastAsia="en-GB"/>
              </w:rPr>
              <w:t>Total</w:t>
            </w:r>
            <w:r w:rsidRPr="00D436BC">
              <w:rPr>
                <w:rFonts w:eastAsia="Times New Roman" w:cs="Times New Roman"/>
                <w:b/>
                <w:sz w:val="16"/>
                <w:szCs w:val="16"/>
                <w:lang w:eastAsia="en-GB"/>
              </w:rPr>
              <w:t xml:space="preserve"> </w:t>
            </w:r>
          </w:p>
          <w:p w:rsidR="006446EB" w:rsidRPr="00B759DB" w:rsidRDefault="006446EB" w:rsidP="006446EB">
            <w:pPr>
              <w:spacing w:after="0" w:line="240" w:lineRule="auto"/>
              <w:jc w:val="right"/>
              <w:rPr>
                <w:rFonts w:eastAsia="Times New Roman" w:cs="Times New Roman"/>
                <w:b/>
                <w:sz w:val="16"/>
                <w:szCs w:val="16"/>
                <w:lang w:eastAsia="en-GB"/>
              </w:rPr>
            </w:pPr>
            <w:r w:rsidRPr="00D436BC">
              <w:rPr>
                <w:rFonts w:eastAsia="Times New Roman" w:cs="Times New Roman"/>
                <w:b/>
                <w:sz w:val="16"/>
                <w:szCs w:val="16"/>
                <w:lang w:eastAsia="en-GB"/>
              </w:rPr>
              <w:t>2012-2015</w:t>
            </w:r>
          </w:p>
        </w:tc>
        <w:tc>
          <w:tcPr>
            <w:tcW w:w="633" w:type="pct"/>
            <w:shd w:val="clear" w:color="auto" w:fill="D9D9D9" w:themeFill="background1" w:themeFillShade="D9"/>
            <w:noWrap/>
            <w:vAlign w:val="bottom"/>
            <w:hideMark/>
          </w:tcPr>
          <w:p w:rsidR="006446EB" w:rsidRPr="00D436BC" w:rsidRDefault="006446EB" w:rsidP="006446EB">
            <w:pPr>
              <w:spacing w:after="0" w:line="240" w:lineRule="auto"/>
              <w:jc w:val="right"/>
              <w:rPr>
                <w:rFonts w:eastAsia="Times New Roman" w:cs="Times New Roman"/>
                <w:b/>
                <w:sz w:val="16"/>
                <w:szCs w:val="16"/>
                <w:lang w:eastAsia="en-GB"/>
              </w:rPr>
            </w:pPr>
            <w:r w:rsidRPr="00B759DB">
              <w:rPr>
                <w:rFonts w:eastAsia="Times New Roman" w:cs="Times New Roman"/>
                <w:b/>
                <w:sz w:val="16"/>
                <w:szCs w:val="16"/>
                <w:lang w:eastAsia="en-GB"/>
              </w:rPr>
              <w:t>%</w:t>
            </w:r>
            <w:r w:rsidRPr="00D436BC">
              <w:rPr>
                <w:rFonts w:eastAsia="Times New Roman" w:cs="Times New Roman"/>
                <w:b/>
                <w:sz w:val="16"/>
                <w:szCs w:val="16"/>
                <w:lang w:eastAsia="en-GB"/>
              </w:rPr>
              <w:t xml:space="preserve"> </w:t>
            </w:r>
          </w:p>
          <w:p w:rsidR="006446EB" w:rsidRPr="00B759DB" w:rsidRDefault="006446EB" w:rsidP="006446EB">
            <w:pPr>
              <w:spacing w:after="0" w:line="240" w:lineRule="auto"/>
              <w:jc w:val="right"/>
              <w:rPr>
                <w:rFonts w:eastAsia="Times New Roman" w:cs="Times New Roman"/>
                <w:b/>
                <w:sz w:val="16"/>
                <w:szCs w:val="16"/>
                <w:lang w:eastAsia="en-GB"/>
              </w:rPr>
            </w:pPr>
            <w:r w:rsidRPr="00D436BC">
              <w:rPr>
                <w:rFonts w:eastAsia="Times New Roman" w:cs="Times New Roman"/>
                <w:b/>
                <w:sz w:val="16"/>
                <w:szCs w:val="16"/>
                <w:lang w:eastAsia="en-GB"/>
              </w:rPr>
              <w:t xml:space="preserve">Total EU </w:t>
            </w:r>
          </w:p>
        </w:tc>
      </w:tr>
      <w:tr w:rsidR="00BD67B0" w:rsidRPr="00BD67B0" w:rsidTr="006446EB">
        <w:trPr>
          <w:trHeight w:val="252"/>
        </w:trPr>
        <w:tc>
          <w:tcPr>
            <w:tcW w:w="1203" w:type="pct"/>
            <w:shd w:val="clear" w:color="auto" w:fill="auto"/>
            <w:noWrap/>
            <w:vAlign w:val="bottom"/>
            <w:hideMark/>
          </w:tcPr>
          <w:p w:rsidR="00BD67B0" w:rsidRPr="00BD67B0" w:rsidRDefault="00BD67B0" w:rsidP="00BD67B0">
            <w:pPr>
              <w:spacing w:after="0" w:line="240" w:lineRule="auto"/>
              <w:jc w:val="left"/>
              <w:rPr>
                <w:rFonts w:eastAsia="Times New Roman" w:cs="Times New Roman"/>
                <w:sz w:val="16"/>
                <w:szCs w:val="16"/>
                <w:lang w:eastAsia="en-GB"/>
              </w:rPr>
            </w:pPr>
            <w:r w:rsidRPr="00BD67B0">
              <w:rPr>
                <w:rFonts w:eastAsia="Times New Roman" w:cs="Times New Roman"/>
                <w:sz w:val="16"/>
                <w:szCs w:val="16"/>
                <w:lang w:eastAsia="en-GB"/>
              </w:rPr>
              <w:t>AT</w:t>
            </w:r>
          </w:p>
        </w:tc>
        <w:tc>
          <w:tcPr>
            <w:tcW w:w="634"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2</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2</w:t>
            </w:r>
          </w:p>
        </w:tc>
        <w:tc>
          <w:tcPr>
            <w:tcW w:w="632" w:type="pct"/>
            <w:shd w:val="clear" w:color="auto" w:fill="auto"/>
            <w:noWrap/>
            <w:vAlign w:val="bottom"/>
            <w:hideMark/>
          </w:tcPr>
          <w:p w:rsidR="00BD67B0" w:rsidRPr="00BD67B0" w:rsidRDefault="006446EB" w:rsidP="006446EB">
            <w:pPr>
              <w:spacing w:after="0" w:line="240" w:lineRule="auto"/>
              <w:jc w:val="right"/>
              <w:rPr>
                <w:rFonts w:eastAsia="Times New Roman" w:cs="Times New Roman"/>
                <w:sz w:val="16"/>
                <w:szCs w:val="16"/>
                <w:lang w:eastAsia="en-GB"/>
              </w:rPr>
            </w:pPr>
            <w:r>
              <w:rPr>
                <w:rFonts w:eastAsia="Times New Roman" w:cs="Times New Roman"/>
                <w:sz w:val="16"/>
                <w:szCs w:val="16"/>
                <w:lang w:eastAsia="en-GB"/>
              </w:rPr>
              <w:t>-</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2</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6</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1.2</w:t>
            </w:r>
          </w:p>
        </w:tc>
      </w:tr>
      <w:tr w:rsidR="00BD67B0" w:rsidRPr="00BD67B0" w:rsidTr="006446EB">
        <w:trPr>
          <w:trHeight w:val="252"/>
        </w:trPr>
        <w:tc>
          <w:tcPr>
            <w:tcW w:w="1203" w:type="pct"/>
            <w:shd w:val="clear" w:color="auto" w:fill="auto"/>
            <w:noWrap/>
            <w:vAlign w:val="bottom"/>
            <w:hideMark/>
          </w:tcPr>
          <w:p w:rsidR="00BD67B0" w:rsidRPr="00BD67B0" w:rsidRDefault="00BD67B0" w:rsidP="00BD67B0">
            <w:pPr>
              <w:spacing w:after="0" w:line="240" w:lineRule="auto"/>
              <w:jc w:val="left"/>
              <w:rPr>
                <w:rFonts w:eastAsia="Times New Roman" w:cs="Times New Roman"/>
                <w:sz w:val="16"/>
                <w:szCs w:val="16"/>
                <w:lang w:eastAsia="en-GB"/>
              </w:rPr>
            </w:pPr>
            <w:r w:rsidRPr="00BD67B0">
              <w:rPr>
                <w:rFonts w:eastAsia="Times New Roman" w:cs="Times New Roman"/>
                <w:sz w:val="16"/>
                <w:szCs w:val="16"/>
                <w:lang w:eastAsia="en-GB"/>
              </w:rPr>
              <w:t>BE</w:t>
            </w:r>
          </w:p>
        </w:tc>
        <w:tc>
          <w:tcPr>
            <w:tcW w:w="634"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1</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3</w:t>
            </w:r>
          </w:p>
        </w:tc>
        <w:tc>
          <w:tcPr>
            <w:tcW w:w="632" w:type="pct"/>
            <w:shd w:val="clear" w:color="auto" w:fill="auto"/>
            <w:noWrap/>
            <w:vAlign w:val="bottom"/>
            <w:hideMark/>
          </w:tcPr>
          <w:p w:rsidR="00BD67B0" w:rsidRPr="00BD67B0" w:rsidRDefault="006446EB" w:rsidP="006446EB">
            <w:pPr>
              <w:spacing w:after="0" w:line="240" w:lineRule="auto"/>
              <w:jc w:val="right"/>
              <w:rPr>
                <w:rFonts w:eastAsia="Times New Roman" w:cs="Times New Roman"/>
                <w:sz w:val="16"/>
                <w:szCs w:val="16"/>
                <w:lang w:eastAsia="en-GB"/>
              </w:rPr>
            </w:pPr>
            <w:r>
              <w:rPr>
                <w:rFonts w:eastAsia="Times New Roman" w:cs="Times New Roman"/>
                <w:sz w:val="16"/>
                <w:szCs w:val="16"/>
                <w:lang w:eastAsia="en-GB"/>
              </w:rPr>
              <w:t>-</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1</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5</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1.0</w:t>
            </w:r>
          </w:p>
        </w:tc>
      </w:tr>
      <w:tr w:rsidR="00BD67B0" w:rsidRPr="00BD67B0" w:rsidTr="006446EB">
        <w:trPr>
          <w:trHeight w:val="252"/>
        </w:trPr>
        <w:tc>
          <w:tcPr>
            <w:tcW w:w="1203" w:type="pct"/>
            <w:shd w:val="clear" w:color="auto" w:fill="auto"/>
            <w:noWrap/>
            <w:vAlign w:val="bottom"/>
            <w:hideMark/>
          </w:tcPr>
          <w:p w:rsidR="00BD67B0" w:rsidRPr="00BD67B0" w:rsidRDefault="00BD67B0" w:rsidP="00BD67B0">
            <w:pPr>
              <w:spacing w:after="0" w:line="240" w:lineRule="auto"/>
              <w:jc w:val="left"/>
              <w:rPr>
                <w:rFonts w:eastAsia="Times New Roman" w:cs="Times New Roman"/>
                <w:sz w:val="16"/>
                <w:szCs w:val="16"/>
                <w:lang w:eastAsia="en-GB"/>
              </w:rPr>
            </w:pPr>
            <w:r w:rsidRPr="00BD67B0">
              <w:rPr>
                <w:rFonts w:eastAsia="Times New Roman" w:cs="Times New Roman"/>
                <w:sz w:val="16"/>
                <w:szCs w:val="16"/>
                <w:lang w:eastAsia="en-GB"/>
              </w:rPr>
              <w:t>BG</w:t>
            </w:r>
          </w:p>
        </w:tc>
        <w:tc>
          <w:tcPr>
            <w:tcW w:w="634"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6</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2</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3</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11</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22</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4.4</w:t>
            </w:r>
          </w:p>
        </w:tc>
      </w:tr>
      <w:tr w:rsidR="00BD67B0" w:rsidRPr="00BD67B0" w:rsidTr="006446EB">
        <w:trPr>
          <w:trHeight w:val="252"/>
        </w:trPr>
        <w:tc>
          <w:tcPr>
            <w:tcW w:w="1203" w:type="pct"/>
            <w:shd w:val="clear" w:color="auto" w:fill="auto"/>
            <w:noWrap/>
            <w:vAlign w:val="bottom"/>
            <w:hideMark/>
          </w:tcPr>
          <w:p w:rsidR="00BD67B0" w:rsidRPr="00BD67B0" w:rsidRDefault="00BD67B0" w:rsidP="00BD67B0">
            <w:pPr>
              <w:spacing w:after="0" w:line="240" w:lineRule="auto"/>
              <w:jc w:val="left"/>
              <w:rPr>
                <w:rFonts w:eastAsia="Times New Roman" w:cs="Times New Roman"/>
                <w:sz w:val="16"/>
                <w:szCs w:val="16"/>
                <w:lang w:eastAsia="en-GB"/>
              </w:rPr>
            </w:pPr>
            <w:r w:rsidRPr="00BD67B0">
              <w:rPr>
                <w:rFonts w:eastAsia="Times New Roman" w:cs="Times New Roman"/>
                <w:sz w:val="16"/>
                <w:szCs w:val="16"/>
                <w:lang w:eastAsia="en-GB"/>
              </w:rPr>
              <w:t>CZ</w:t>
            </w:r>
          </w:p>
        </w:tc>
        <w:tc>
          <w:tcPr>
            <w:tcW w:w="634"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5</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3</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2</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8</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18</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3.6</w:t>
            </w:r>
          </w:p>
        </w:tc>
      </w:tr>
      <w:tr w:rsidR="00BD67B0" w:rsidRPr="00BD67B0" w:rsidTr="006446EB">
        <w:trPr>
          <w:trHeight w:val="252"/>
        </w:trPr>
        <w:tc>
          <w:tcPr>
            <w:tcW w:w="1203" w:type="pct"/>
            <w:shd w:val="clear" w:color="auto" w:fill="auto"/>
            <w:noWrap/>
            <w:vAlign w:val="bottom"/>
            <w:hideMark/>
          </w:tcPr>
          <w:p w:rsidR="00BD67B0" w:rsidRPr="00BD67B0" w:rsidRDefault="00BD67B0" w:rsidP="00BD67B0">
            <w:pPr>
              <w:spacing w:after="0" w:line="240" w:lineRule="auto"/>
              <w:jc w:val="left"/>
              <w:rPr>
                <w:rFonts w:eastAsia="Times New Roman" w:cs="Times New Roman"/>
                <w:sz w:val="16"/>
                <w:szCs w:val="16"/>
                <w:lang w:eastAsia="en-GB"/>
              </w:rPr>
            </w:pPr>
            <w:r w:rsidRPr="00BD67B0">
              <w:rPr>
                <w:rFonts w:eastAsia="Times New Roman" w:cs="Times New Roman"/>
                <w:sz w:val="16"/>
                <w:szCs w:val="16"/>
                <w:lang w:eastAsia="en-GB"/>
              </w:rPr>
              <w:t>CY</w:t>
            </w:r>
          </w:p>
        </w:tc>
        <w:tc>
          <w:tcPr>
            <w:tcW w:w="634"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5</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14</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12</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13</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44</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8.7</w:t>
            </w:r>
          </w:p>
        </w:tc>
      </w:tr>
      <w:tr w:rsidR="00BD67B0" w:rsidRPr="00BD67B0" w:rsidTr="006446EB">
        <w:trPr>
          <w:trHeight w:val="252"/>
        </w:trPr>
        <w:tc>
          <w:tcPr>
            <w:tcW w:w="1203" w:type="pct"/>
            <w:shd w:val="clear" w:color="auto" w:fill="auto"/>
            <w:noWrap/>
            <w:vAlign w:val="bottom"/>
            <w:hideMark/>
          </w:tcPr>
          <w:p w:rsidR="00BD67B0" w:rsidRPr="00BD67B0" w:rsidRDefault="00BD67B0" w:rsidP="00BD67B0">
            <w:pPr>
              <w:spacing w:after="0" w:line="240" w:lineRule="auto"/>
              <w:jc w:val="left"/>
              <w:rPr>
                <w:rFonts w:eastAsia="Times New Roman" w:cs="Times New Roman"/>
                <w:sz w:val="16"/>
                <w:szCs w:val="16"/>
                <w:lang w:eastAsia="en-GB"/>
              </w:rPr>
            </w:pPr>
            <w:r w:rsidRPr="00BD67B0">
              <w:rPr>
                <w:rFonts w:eastAsia="Times New Roman" w:cs="Times New Roman"/>
                <w:sz w:val="16"/>
                <w:szCs w:val="16"/>
                <w:lang w:eastAsia="en-GB"/>
              </w:rPr>
              <w:t>DE</w:t>
            </w:r>
          </w:p>
        </w:tc>
        <w:tc>
          <w:tcPr>
            <w:tcW w:w="634"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2</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1</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2</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3</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8</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1.6</w:t>
            </w:r>
          </w:p>
        </w:tc>
      </w:tr>
      <w:tr w:rsidR="00BD67B0" w:rsidRPr="00BD67B0" w:rsidTr="006446EB">
        <w:trPr>
          <w:trHeight w:val="252"/>
        </w:trPr>
        <w:tc>
          <w:tcPr>
            <w:tcW w:w="1203" w:type="pct"/>
            <w:shd w:val="clear" w:color="auto" w:fill="auto"/>
            <w:noWrap/>
            <w:vAlign w:val="bottom"/>
            <w:hideMark/>
          </w:tcPr>
          <w:p w:rsidR="00BD67B0" w:rsidRPr="00BD67B0" w:rsidRDefault="00BD67B0" w:rsidP="00BD67B0">
            <w:pPr>
              <w:spacing w:after="0" w:line="240" w:lineRule="auto"/>
              <w:jc w:val="left"/>
              <w:rPr>
                <w:rFonts w:eastAsia="Times New Roman" w:cs="Times New Roman"/>
                <w:sz w:val="16"/>
                <w:szCs w:val="16"/>
                <w:lang w:eastAsia="en-GB"/>
              </w:rPr>
            </w:pPr>
            <w:r w:rsidRPr="00BD67B0">
              <w:rPr>
                <w:rFonts w:eastAsia="Times New Roman" w:cs="Times New Roman"/>
                <w:sz w:val="16"/>
                <w:szCs w:val="16"/>
                <w:lang w:eastAsia="en-GB"/>
              </w:rPr>
              <w:t>DK</w:t>
            </w:r>
          </w:p>
        </w:tc>
        <w:tc>
          <w:tcPr>
            <w:tcW w:w="634"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3</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1</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1</w:t>
            </w:r>
          </w:p>
        </w:tc>
        <w:tc>
          <w:tcPr>
            <w:tcW w:w="633" w:type="pct"/>
            <w:shd w:val="clear" w:color="auto" w:fill="auto"/>
            <w:noWrap/>
            <w:vAlign w:val="bottom"/>
            <w:hideMark/>
          </w:tcPr>
          <w:p w:rsidR="00BD67B0" w:rsidRPr="00BD67B0" w:rsidRDefault="006446EB" w:rsidP="006446EB">
            <w:pPr>
              <w:spacing w:after="0" w:line="240" w:lineRule="auto"/>
              <w:jc w:val="right"/>
              <w:rPr>
                <w:rFonts w:eastAsia="Times New Roman" w:cs="Times New Roman"/>
                <w:sz w:val="16"/>
                <w:szCs w:val="16"/>
                <w:lang w:eastAsia="en-GB"/>
              </w:rPr>
            </w:pPr>
            <w:r>
              <w:rPr>
                <w:rFonts w:eastAsia="Times New Roman" w:cs="Times New Roman"/>
                <w:sz w:val="16"/>
                <w:szCs w:val="16"/>
                <w:lang w:eastAsia="en-GB"/>
              </w:rPr>
              <w:t>-</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5</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1.0</w:t>
            </w:r>
          </w:p>
        </w:tc>
      </w:tr>
      <w:tr w:rsidR="00BD67B0" w:rsidRPr="00BD67B0" w:rsidTr="006446EB">
        <w:trPr>
          <w:trHeight w:val="252"/>
        </w:trPr>
        <w:tc>
          <w:tcPr>
            <w:tcW w:w="1203" w:type="pct"/>
            <w:shd w:val="clear" w:color="auto" w:fill="auto"/>
            <w:noWrap/>
            <w:vAlign w:val="bottom"/>
            <w:hideMark/>
          </w:tcPr>
          <w:p w:rsidR="00BD67B0" w:rsidRPr="00BD67B0" w:rsidRDefault="00BD67B0" w:rsidP="00BD67B0">
            <w:pPr>
              <w:spacing w:after="0" w:line="240" w:lineRule="auto"/>
              <w:jc w:val="left"/>
              <w:rPr>
                <w:rFonts w:eastAsia="Times New Roman" w:cs="Times New Roman"/>
                <w:sz w:val="16"/>
                <w:szCs w:val="16"/>
                <w:lang w:eastAsia="en-GB"/>
              </w:rPr>
            </w:pPr>
            <w:r w:rsidRPr="00BD67B0">
              <w:rPr>
                <w:rFonts w:eastAsia="Times New Roman" w:cs="Times New Roman"/>
                <w:sz w:val="16"/>
                <w:szCs w:val="16"/>
                <w:lang w:eastAsia="en-GB"/>
              </w:rPr>
              <w:t>EE</w:t>
            </w:r>
          </w:p>
        </w:tc>
        <w:tc>
          <w:tcPr>
            <w:tcW w:w="634"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2</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1</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1</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4</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0.8</w:t>
            </w:r>
          </w:p>
        </w:tc>
      </w:tr>
      <w:tr w:rsidR="00BD67B0" w:rsidRPr="00BD67B0" w:rsidTr="006446EB">
        <w:trPr>
          <w:trHeight w:val="252"/>
        </w:trPr>
        <w:tc>
          <w:tcPr>
            <w:tcW w:w="1203" w:type="pct"/>
            <w:shd w:val="clear" w:color="auto" w:fill="auto"/>
            <w:noWrap/>
            <w:vAlign w:val="bottom"/>
            <w:hideMark/>
          </w:tcPr>
          <w:p w:rsidR="00BD67B0" w:rsidRPr="00BD67B0" w:rsidRDefault="00BD67B0" w:rsidP="00BD67B0">
            <w:pPr>
              <w:spacing w:after="0" w:line="240" w:lineRule="auto"/>
              <w:jc w:val="left"/>
              <w:rPr>
                <w:rFonts w:eastAsia="Times New Roman" w:cs="Times New Roman"/>
                <w:sz w:val="16"/>
                <w:szCs w:val="16"/>
                <w:lang w:eastAsia="en-GB"/>
              </w:rPr>
            </w:pPr>
            <w:r w:rsidRPr="00BD67B0">
              <w:rPr>
                <w:rFonts w:eastAsia="Times New Roman" w:cs="Times New Roman"/>
                <w:sz w:val="16"/>
                <w:szCs w:val="16"/>
                <w:lang w:eastAsia="en-GB"/>
              </w:rPr>
              <w:t>EL</w:t>
            </w:r>
          </w:p>
        </w:tc>
        <w:tc>
          <w:tcPr>
            <w:tcW w:w="634"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17</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19</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22</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16</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74</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14.7</w:t>
            </w:r>
          </w:p>
        </w:tc>
      </w:tr>
      <w:tr w:rsidR="00BD67B0" w:rsidRPr="00BD67B0" w:rsidTr="006446EB">
        <w:trPr>
          <w:trHeight w:val="252"/>
        </w:trPr>
        <w:tc>
          <w:tcPr>
            <w:tcW w:w="1203" w:type="pct"/>
            <w:shd w:val="clear" w:color="auto" w:fill="auto"/>
            <w:noWrap/>
            <w:vAlign w:val="bottom"/>
            <w:hideMark/>
          </w:tcPr>
          <w:p w:rsidR="00BD67B0" w:rsidRPr="00BD67B0" w:rsidRDefault="00BD67B0" w:rsidP="00BD67B0">
            <w:pPr>
              <w:spacing w:after="0" w:line="240" w:lineRule="auto"/>
              <w:jc w:val="left"/>
              <w:rPr>
                <w:rFonts w:eastAsia="Times New Roman" w:cs="Times New Roman"/>
                <w:sz w:val="16"/>
                <w:szCs w:val="16"/>
                <w:lang w:eastAsia="en-GB"/>
              </w:rPr>
            </w:pPr>
            <w:r w:rsidRPr="00BD67B0">
              <w:rPr>
                <w:rFonts w:eastAsia="Times New Roman" w:cs="Times New Roman"/>
                <w:sz w:val="16"/>
                <w:szCs w:val="16"/>
                <w:lang w:eastAsia="en-GB"/>
              </w:rPr>
              <w:t>ES</w:t>
            </w:r>
          </w:p>
        </w:tc>
        <w:tc>
          <w:tcPr>
            <w:tcW w:w="634"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2</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3</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1</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6</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12</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2.4</w:t>
            </w:r>
          </w:p>
        </w:tc>
      </w:tr>
      <w:tr w:rsidR="00BD67B0" w:rsidRPr="00BD67B0" w:rsidTr="006446EB">
        <w:trPr>
          <w:trHeight w:val="252"/>
        </w:trPr>
        <w:tc>
          <w:tcPr>
            <w:tcW w:w="1203" w:type="pct"/>
            <w:shd w:val="clear" w:color="auto" w:fill="auto"/>
            <w:noWrap/>
            <w:vAlign w:val="bottom"/>
            <w:hideMark/>
          </w:tcPr>
          <w:p w:rsidR="00BD67B0" w:rsidRPr="00BD67B0" w:rsidRDefault="00BD67B0" w:rsidP="00BD67B0">
            <w:pPr>
              <w:spacing w:after="0" w:line="240" w:lineRule="auto"/>
              <w:jc w:val="left"/>
              <w:rPr>
                <w:rFonts w:eastAsia="Times New Roman" w:cs="Times New Roman"/>
                <w:sz w:val="16"/>
                <w:szCs w:val="16"/>
                <w:lang w:eastAsia="en-GB"/>
              </w:rPr>
            </w:pPr>
            <w:r w:rsidRPr="00BD67B0">
              <w:rPr>
                <w:rFonts w:eastAsia="Times New Roman" w:cs="Times New Roman"/>
                <w:sz w:val="16"/>
                <w:szCs w:val="16"/>
                <w:lang w:eastAsia="en-GB"/>
              </w:rPr>
              <w:t>FI</w:t>
            </w:r>
          </w:p>
        </w:tc>
        <w:tc>
          <w:tcPr>
            <w:tcW w:w="634"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2</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3</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4</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2</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11</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2.2</w:t>
            </w:r>
          </w:p>
        </w:tc>
      </w:tr>
      <w:tr w:rsidR="00BD67B0" w:rsidRPr="00BD67B0" w:rsidTr="006446EB">
        <w:trPr>
          <w:trHeight w:val="252"/>
        </w:trPr>
        <w:tc>
          <w:tcPr>
            <w:tcW w:w="1203" w:type="pct"/>
            <w:shd w:val="clear" w:color="auto" w:fill="auto"/>
            <w:noWrap/>
            <w:vAlign w:val="bottom"/>
            <w:hideMark/>
          </w:tcPr>
          <w:p w:rsidR="00BD67B0" w:rsidRPr="00BD67B0" w:rsidRDefault="00BD67B0" w:rsidP="00BD67B0">
            <w:pPr>
              <w:spacing w:after="0" w:line="240" w:lineRule="auto"/>
              <w:jc w:val="left"/>
              <w:rPr>
                <w:rFonts w:eastAsia="Times New Roman" w:cs="Times New Roman"/>
                <w:sz w:val="16"/>
                <w:szCs w:val="16"/>
                <w:lang w:eastAsia="en-GB"/>
              </w:rPr>
            </w:pPr>
            <w:r w:rsidRPr="00BD67B0">
              <w:rPr>
                <w:rFonts w:eastAsia="Times New Roman" w:cs="Times New Roman"/>
                <w:sz w:val="16"/>
                <w:szCs w:val="16"/>
                <w:lang w:eastAsia="en-GB"/>
              </w:rPr>
              <w:t>FR</w:t>
            </w:r>
          </w:p>
        </w:tc>
        <w:tc>
          <w:tcPr>
            <w:tcW w:w="634"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2</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3</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3</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4</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12</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2.4</w:t>
            </w:r>
          </w:p>
        </w:tc>
      </w:tr>
      <w:tr w:rsidR="00BD67B0" w:rsidRPr="00BD67B0" w:rsidTr="006446EB">
        <w:trPr>
          <w:trHeight w:val="252"/>
        </w:trPr>
        <w:tc>
          <w:tcPr>
            <w:tcW w:w="1203" w:type="pct"/>
            <w:shd w:val="clear" w:color="auto" w:fill="auto"/>
            <w:noWrap/>
            <w:vAlign w:val="bottom"/>
            <w:hideMark/>
          </w:tcPr>
          <w:p w:rsidR="00BD67B0" w:rsidRPr="00BD67B0" w:rsidRDefault="00BD67B0" w:rsidP="00BD67B0">
            <w:pPr>
              <w:spacing w:after="0" w:line="240" w:lineRule="auto"/>
              <w:jc w:val="left"/>
              <w:rPr>
                <w:rFonts w:eastAsia="Times New Roman" w:cs="Times New Roman"/>
                <w:sz w:val="16"/>
                <w:szCs w:val="16"/>
                <w:lang w:eastAsia="en-GB"/>
              </w:rPr>
            </w:pPr>
            <w:r w:rsidRPr="00BD67B0">
              <w:rPr>
                <w:rFonts w:eastAsia="Times New Roman" w:cs="Times New Roman"/>
                <w:sz w:val="16"/>
                <w:szCs w:val="16"/>
                <w:lang w:eastAsia="en-GB"/>
              </w:rPr>
              <w:t>HR</w:t>
            </w:r>
          </w:p>
        </w:tc>
        <w:tc>
          <w:tcPr>
            <w:tcW w:w="634"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17</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2</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4</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23</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4.6</w:t>
            </w:r>
          </w:p>
        </w:tc>
      </w:tr>
      <w:tr w:rsidR="00BD67B0" w:rsidRPr="00BD67B0" w:rsidTr="006446EB">
        <w:trPr>
          <w:trHeight w:val="252"/>
        </w:trPr>
        <w:tc>
          <w:tcPr>
            <w:tcW w:w="1203" w:type="pct"/>
            <w:shd w:val="clear" w:color="auto" w:fill="auto"/>
            <w:noWrap/>
            <w:vAlign w:val="bottom"/>
            <w:hideMark/>
          </w:tcPr>
          <w:p w:rsidR="00BD67B0" w:rsidRPr="00BD67B0" w:rsidRDefault="00BD67B0" w:rsidP="00BD67B0">
            <w:pPr>
              <w:spacing w:after="0" w:line="240" w:lineRule="auto"/>
              <w:jc w:val="left"/>
              <w:rPr>
                <w:rFonts w:eastAsia="Times New Roman" w:cs="Times New Roman"/>
                <w:sz w:val="16"/>
                <w:szCs w:val="16"/>
                <w:lang w:eastAsia="en-GB"/>
              </w:rPr>
            </w:pPr>
            <w:r w:rsidRPr="00BD67B0">
              <w:rPr>
                <w:rFonts w:eastAsia="Times New Roman" w:cs="Times New Roman"/>
                <w:sz w:val="16"/>
                <w:szCs w:val="16"/>
                <w:lang w:eastAsia="en-GB"/>
              </w:rPr>
              <w:t>HU</w:t>
            </w:r>
          </w:p>
        </w:tc>
        <w:tc>
          <w:tcPr>
            <w:tcW w:w="634"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1</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2</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3</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12</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18</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3.6</w:t>
            </w:r>
          </w:p>
        </w:tc>
      </w:tr>
      <w:tr w:rsidR="00BD67B0" w:rsidRPr="00BD67B0" w:rsidTr="006446EB">
        <w:trPr>
          <w:trHeight w:val="252"/>
        </w:trPr>
        <w:tc>
          <w:tcPr>
            <w:tcW w:w="1203" w:type="pct"/>
            <w:shd w:val="clear" w:color="auto" w:fill="auto"/>
            <w:noWrap/>
            <w:vAlign w:val="bottom"/>
            <w:hideMark/>
          </w:tcPr>
          <w:p w:rsidR="00BD67B0" w:rsidRPr="00BD67B0" w:rsidRDefault="00BD67B0" w:rsidP="00BD67B0">
            <w:pPr>
              <w:spacing w:after="0" w:line="240" w:lineRule="auto"/>
              <w:jc w:val="left"/>
              <w:rPr>
                <w:rFonts w:eastAsia="Times New Roman" w:cs="Times New Roman"/>
                <w:sz w:val="16"/>
                <w:szCs w:val="16"/>
                <w:lang w:eastAsia="en-GB"/>
              </w:rPr>
            </w:pPr>
            <w:r w:rsidRPr="00BD67B0">
              <w:rPr>
                <w:rFonts w:eastAsia="Times New Roman" w:cs="Times New Roman"/>
                <w:sz w:val="16"/>
                <w:szCs w:val="16"/>
                <w:lang w:eastAsia="en-GB"/>
              </w:rPr>
              <w:t>IE</w:t>
            </w:r>
          </w:p>
        </w:tc>
        <w:tc>
          <w:tcPr>
            <w:tcW w:w="634"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6</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9</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3</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6</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24</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4.8</w:t>
            </w:r>
          </w:p>
        </w:tc>
      </w:tr>
      <w:tr w:rsidR="00BD67B0" w:rsidRPr="00BD67B0" w:rsidTr="006446EB">
        <w:trPr>
          <w:trHeight w:val="252"/>
        </w:trPr>
        <w:tc>
          <w:tcPr>
            <w:tcW w:w="1203" w:type="pct"/>
            <w:shd w:val="clear" w:color="auto" w:fill="auto"/>
            <w:noWrap/>
            <w:vAlign w:val="bottom"/>
            <w:hideMark/>
          </w:tcPr>
          <w:p w:rsidR="00BD67B0" w:rsidRPr="00BD67B0" w:rsidRDefault="00BD67B0" w:rsidP="00BD67B0">
            <w:pPr>
              <w:spacing w:after="0" w:line="240" w:lineRule="auto"/>
              <w:jc w:val="left"/>
              <w:rPr>
                <w:rFonts w:eastAsia="Times New Roman" w:cs="Times New Roman"/>
                <w:sz w:val="16"/>
                <w:szCs w:val="16"/>
                <w:lang w:eastAsia="en-GB"/>
              </w:rPr>
            </w:pPr>
            <w:r w:rsidRPr="00BD67B0">
              <w:rPr>
                <w:rFonts w:eastAsia="Times New Roman" w:cs="Times New Roman"/>
                <w:sz w:val="16"/>
                <w:szCs w:val="16"/>
                <w:lang w:eastAsia="en-GB"/>
              </w:rPr>
              <w:t>IT</w:t>
            </w:r>
          </w:p>
        </w:tc>
        <w:tc>
          <w:tcPr>
            <w:tcW w:w="634"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5</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1</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2</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6</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14</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2.8</w:t>
            </w:r>
          </w:p>
        </w:tc>
      </w:tr>
      <w:tr w:rsidR="00BD67B0" w:rsidRPr="00BD67B0" w:rsidTr="006446EB">
        <w:trPr>
          <w:trHeight w:val="252"/>
        </w:trPr>
        <w:tc>
          <w:tcPr>
            <w:tcW w:w="1203" w:type="pct"/>
            <w:shd w:val="clear" w:color="auto" w:fill="auto"/>
            <w:noWrap/>
            <w:vAlign w:val="bottom"/>
            <w:hideMark/>
          </w:tcPr>
          <w:p w:rsidR="00BD67B0" w:rsidRPr="00BD67B0" w:rsidRDefault="00BD67B0" w:rsidP="00BD67B0">
            <w:pPr>
              <w:spacing w:after="0" w:line="240" w:lineRule="auto"/>
              <w:jc w:val="left"/>
              <w:rPr>
                <w:rFonts w:eastAsia="Times New Roman" w:cs="Times New Roman"/>
                <w:sz w:val="16"/>
                <w:szCs w:val="16"/>
                <w:lang w:eastAsia="en-GB"/>
              </w:rPr>
            </w:pPr>
            <w:r w:rsidRPr="00BD67B0">
              <w:rPr>
                <w:rFonts w:eastAsia="Times New Roman" w:cs="Times New Roman"/>
                <w:sz w:val="16"/>
                <w:szCs w:val="16"/>
                <w:lang w:eastAsia="en-GB"/>
              </w:rPr>
              <w:t>LT</w:t>
            </w:r>
          </w:p>
        </w:tc>
        <w:tc>
          <w:tcPr>
            <w:tcW w:w="634"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3</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4</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5</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3</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15</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3.0</w:t>
            </w:r>
          </w:p>
        </w:tc>
      </w:tr>
      <w:tr w:rsidR="00BD67B0" w:rsidRPr="00BD67B0" w:rsidTr="006446EB">
        <w:trPr>
          <w:trHeight w:val="252"/>
        </w:trPr>
        <w:tc>
          <w:tcPr>
            <w:tcW w:w="1203" w:type="pct"/>
            <w:shd w:val="clear" w:color="auto" w:fill="auto"/>
            <w:noWrap/>
            <w:vAlign w:val="bottom"/>
            <w:hideMark/>
          </w:tcPr>
          <w:p w:rsidR="00BD67B0" w:rsidRPr="00BD67B0" w:rsidRDefault="00BD67B0" w:rsidP="00BD67B0">
            <w:pPr>
              <w:spacing w:after="0" w:line="240" w:lineRule="auto"/>
              <w:jc w:val="left"/>
              <w:rPr>
                <w:rFonts w:eastAsia="Times New Roman" w:cs="Times New Roman"/>
                <w:sz w:val="16"/>
                <w:szCs w:val="16"/>
                <w:lang w:eastAsia="en-GB"/>
              </w:rPr>
            </w:pPr>
            <w:r w:rsidRPr="00BD67B0">
              <w:rPr>
                <w:rFonts w:eastAsia="Times New Roman" w:cs="Times New Roman"/>
                <w:sz w:val="16"/>
                <w:szCs w:val="16"/>
                <w:lang w:eastAsia="en-GB"/>
              </w:rPr>
              <w:t>LU</w:t>
            </w:r>
          </w:p>
        </w:tc>
        <w:tc>
          <w:tcPr>
            <w:tcW w:w="634"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3</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1</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1</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7</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12</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2.4</w:t>
            </w:r>
          </w:p>
        </w:tc>
      </w:tr>
      <w:tr w:rsidR="00BD67B0" w:rsidRPr="00BD67B0" w:rsidTr="006446EB">
        <w:trPr>
          <w:trHeight w:val="252"/>
        </w:trPr>
        <w:tc>
          <w:tcPr>
            <w:tcW w:w="1203" w:type="pct"/>
            <w:shd w:val="clear" w:color="auto" w:fill="auto"/>
            <w:noWrap/>
            <w:vAlign w:val="bottom"/>
            <w:hideMark/>
          </w:tcPr>
          <w:p w:rsidR="00BD67B0" w:rsidRPr="00BD67B0" w:rsidRDefault="00BD67B0" w:rsidP="00BD67B0">
            <w:pPr>
              <w:spacing w:after="0" w:line="240" w:lineRule="auto"/>
              <w:jc w:val="left"/>
              <w:rPr>
                <w:rFonts w:eastAsia="Times New Roman" w:cs="Times New Roman"/>
                <w:sz w:val="16"/>
                <w:szCs w:val="16"/>
                <w:lang w:eastAsia="en-GB"/>
              </w:rPr>
            </w:pPr>
            <w:r w:rsidRPr="00BD67B0">
              <w:rPr>
                <w:rFonts w:eastAsia="Times New Roman" w:cs="Times New Roman"/>
                <w:sz w:val="16"/>
                <w:szCs w:val="16"/>
                <w:lang w:eastAsia="en-GB"/>
              </w:rPr>
              <w:t>LV</w:t>
            </w:r>
          </w:p>
        </w:tc>
        <w:tc>
          <w:tcPr>
            <w:tcW w:w="634"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7</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7</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3</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5</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22</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4.4</w:t>
            </w:r>
          </w:p>
        </w:tc>
      </w:tr>
      <w:tr w:rsidR="00BD67B0" w:rsidRPr="00BD67B0" w:rsidTr="006446EB">
        <w:trPr>
          <w:trHeight w:val="252"/>
        </w:trPr>
        <w:tc>
          <w:tcPr>
            <w:tcW w:w="1203" w:type="pct"/>
            <w:shd w:val="clear" w:color="auto" w:fill="auto"/>
            <w:noWrap/>
            <w:vAlign w:val="bottom"/>
            <w:hideMark/>
          </w:tcPr>
          <w:p w:rsidR="00BD67B0" w:rsidRPr="00BD67B0" w:rsidRDefault="00BD67B0" w:rsidP="00BD67B0">
            <w:pPr>
              <w:spacing w:after="0" w:line="240" w:lineRule="auto"/>
              <w:jc w:val="left"/>
              <w:rPr>
                <w:rFonts w:eastAsia="Times New Roman" w:cs="Times New Roman"/>
                <w:sz w:val="16"/>
                <w:szCs w:val="16"/>
                <w:lang w:eastAsia="en-GB"/>
              </w:rPr>
            </w:pPr>
            <w:r w:rsidRPr="00BD67B0">
              <w:rPr>
                <w:rFonts w:eastAsia="Times New Roman" w:cs="Times New Roman"/>
                <w:sz w:val="16"/>
                <w:szCs w:val="16"/>
                <w:lang w:eastAsia="en-GB"/>
              </w:rPr>
              <w:t>MT</w:t>
            </w:r>
          </w:p>
        </w:tc>
        <w:tc>
          <w:tcPr>
            <w:tcW w:w="634"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3</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3</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1</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6</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13</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2.6</w:t>
            </w:r>
          </w:p>
        </w:tc>
      </w:tr>
      <w:tr w:rsidR="00BD67B0" w:rsidRPr="00BD67B0" w:rsidTr="006446EB">
        <w:trPr>
          <w:trHeight w:val="252"/>
        </w:trPr>
        <w:tc>
          <w:tcPr>
            <w:tcW w:w="1203" w:type="pct"/>
            <w:shd w:val="clear" w:color="auto" w:fill="auto"/>
            <w:noWrap/>
            <w:vAlign w:val="bottom"/>
            <w:hideMark/>
          </w:tcPr>
          <w:p w:rsidR="00BD67B0" w:rsidRPr="00BD67B0" w:rsidRDefault="00BD67B0" w:rsidP="00BD67B0">
            <w:pPr>
              <w:spacing w:after="0" w:line="240" w:lineRule="auto"/>
              <w:jc w:val="left"/>
              <w:rPr>
                <w:rFonts w:eastAsia="Times New Roman" w:cs="Times New Roman"/>
                <w:sz w:val="16"/>
                <w:szCs w:val="16"/>
                <w:lang w:eastAsia="en-GB"/>
              </w:rPr>
            </w:pPr>
            <w:r w:rsidRPr="00BD67B0">
              <w:rPr>
                <w:rFonts w:eastAsia="Times New Roman" w:cs="Times New Roman"/>
                <w:sz w:val="16"/>
                <w:szCs w:val="16"/>
                <w:lang w:eastAsia="en-GB"/>
              </w:rPr>
              <w:t>NL</w:t>
            </w:r>
          </w:p>
        </w:tc>
        <w:tc>
          <w:tcPr>
            <w:tcW w:w="634"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3</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2</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6</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5</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16</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3.2</w:t>
            </w:r>
          </w:p>
        </w:tc>
      </w:tr>
      <w:tr w:rsidR="00BD67B0" w:rsidRPr="00BD67B0" w:rsidTr="006446EB">
        <w:trPr>
          <w:trHeight w:val="252"/>
        </w:trPr>
        <w:tc>
          <w:tcPr>
            <w:tcW w:w="1203" w:type="pct"/>
            <w:shd w:val="clear" w:color="auto" w:fill="auto"/>
            <w:noWrap/>
            <w:vAlign w:val="bottom"/>
            <w:hideMark/>
          </w:tcPr>
          <w:p w:rsidR="00BD67B0" w:rsidRPr="00BD67B0" w:rsidRDefault="00BD67B0" w:rsidP="00BD67B0">
            <w:pPr>
              <w:spacing w:after="0" w:line="240" w:lineRule="auto"/>
              <w:jc w:val="left"/>
              <w:rPr>
                <w:rFonts w:eastAsia="Times New Roman" w:cs="Times New Roman"/>
                <w:sz w:val="16"/>
                <w:szCs w:val="16"/>
                <w:lang w:eastAsia="en-GB"/>
              </w:rPr>
            </w:pPr>
            <w:r w:rsidRPr="00BD67B0">
              <w:rPr>
                <w:rFonts w:eastAsia="Times New Roman" w:cs="Times New Roman"/>
                <w:sz w:val="16"/>
                <w:szCs w:val="16"/>
                <w:lang w:eastAsia="en-GB"/>
              </w:rPr>
              <w:t>PL</w:t>
            </w:r>
          </w:p>
        </w:tc>
        <w:tc>
          <w:tcPr>
            <w:tcW w:w="634"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6</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4</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2</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6</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18</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3.6</w:t>
            </w:r>
          </w:p>
        </w:tc>
      </w:tr>
      <w:tr w:rsidR="00BD67B0" w:rsidRPr="00BD67B0" w:rsidTr="006446EB">
        <w:trPr>
          <w:trHeight w:val="252"/>
        </w:trPr>
        <w:tc>
          <w:tcPr>
            <w:tcW w:w="1203" w:type="pct"/>
            <w:shd w:val="clear" w:color="auto" w:fill="auto"/>
            <w:noWrap/>
            <w:vAlign w:val="bottom"/>
            <w:hideMark/>
          </w:tcPr>
          <w:p w:rsidR="00BD67B0" w:rsidRPr="00BD67B0" w:rsidRDefault="00BD67B0" w:rsidP="00BD67B0">
            <w:pPr>
              <w:spacing w:after="0" w:line="240" w:lineRule="auto"/>
              <w:jc w:val="left"/>
              <w:rPr>
                <w:rFonts w:eastAsia="Times New Roman" w:cs="Times New Roman"/>
                <w:sz w:val="16"/>
                <w:szCs w:val="16"/>
                <w:lang w:eastAsia="en-GB"/>
              </w:rPr>
            </w:pPr>
            <w:r w:rsidRPr="00BD67B0">
              <w:rPr>
                <w:rFonts w:eastAsia="Times New Roman" w:cs="Times New Roman"/>
                <w:sz w:val="16"/>
                <w:szCs w:val="16"/>
                <w:lang w:eastAsia="en-GB"/>
              </w:rPr>
              <w:t>PT</w:t>
            </w:r>
          </w:p>
        </w:tc>
        <w:tc>
          <w:tcPr>
            <w:tcW w:w="634"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9</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3</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1</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3</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16</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3.2</w:t>
            </w:r>
          </w:p>
        </w:tc>
      </w:tr>
      <w:tr w:rsidR="00BD67B0" w:rsidRPr="00BD67B0" w:rsidTr="006446EB">
        <w:trPr>
          <w:trHeight w:val="252"/>
        </w:trPr>
        <w:tc>
          <w:tcPr>
            <w:tcW w:w="1203" w:type="pct"/>
            <w:shd w:val="clear" w:color="auto" w:fill="auto"/>
            <w:noWrap/>
            <w:vAlign w:val="bottom"/>
            <w:hideMark/>
          </w:tcPr>
          <w:p w:rsidR="00BD67B0" w:rsidRPr="00BD67B0" w:rsidRDefault="00BD67B0" w:rsidP="00BD67B0">
            <w:pPr>
              <w:spacing w:after="0" w:line="240" w:lineRule="auto"/>
              <w:jc w:val="left"/>
              <w:rPr>
                <w:rFonts w:eastAsia="Times New Roman" w:cs="Times New Roman"/>
                <w:sz w:val="16"/>
                <w:szCs w:val="16"/>
                <w:lang w:eastAsia="en-GB"/>
              </w:rPr>
            </w:pPr>
            <w:r w:rsidRPr="00BD67B0">
              <w:rPr>
                <w:rFonts w:eastAsia="Times New Roman" w:cs="Times New Roman"/>
                <w:sz w:val="16"/>
                <w:szCs w:val="16"/>
                <w:lang w:eastAsia="en-GB"/>
              </w:rPr>
              <w:t>RO</w:t>
            </w:r>
          </w:p>
        </w:tc>
        <w:tc>
          <w:tcPr>
            <w:tcW w:w="634"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13</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2</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5</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8</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28</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5.6</w:t>
            </w:r>
          </w:p>
        </w:tc>
      </w:tr>
      <w:tr w:rsidR="00BD67B0" w:rsidRPr="00BD67B0" w:rsidTr="006446EB">
        <w:trPr>
          <w:trHeight w:val="252"/>
        </w:trPr>
        <w:tc>
          <w:tcPr>
            <w:tcW w:w="1203" w:type="pct"/>
            <w:shd w:val="clear" w:color="auto" w:fill="auto"/>
            <w:noWrap/>
            <w:vAlign w:val="bottom"/>
            <w:hideMark/>
          </w:tcPr>
          <w:p w:rsidR="00BD67B0" w:rsidRPr="00BD67B0" w:rsidRDefault="00BD67B0" w:rsidP="00BD67B0">
            <w:pPr>
              <w:spacing w:after="0" w:line="240" w:lineRule="auto"/>
              <w:jc w:val="left"/>
              <w:rPr>
                <w:rFonts w:eastAsia="Times New Roman" w:cs="Times New Roman"/>
                <w:sz w:val="16"/>
                <w:szCs w:val="16"/>
                <w:lang w:eastAsia="en-GB"/>
              </w:rPr>
            </w:pPr>
            <w:r w:rsidRPr="00BD67B0">
              <w:rPr>
                <w:rFonts w:eastAsia="Times New Roman" w:cs="Times New Roman"/>
                <w:sz w:val="16"/>
                <w:szCs w:val="16"/>
                <w:lang w:eastAsia="en-GB"/>
              </w:rPr>
              <w:t>SE</w:t>
            </w:r>
          </w:p>
        </w:tc>
        <w:tc>
          <w:tcPr>
            <w:tcW w:w="634"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3</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2</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2</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3</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10</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2.0</w:t>
            </w:r>
          </w:p>
        </w:tc>
      </w:tr>
      <w:tr w:rsidR="00BD67B0" w:rsidRPr="00BD67B0" w:rsidTr="006446EB">
        <w:trPr>
          <w:trHeight w:val="252"/>
        </w:trPr>
        <w:tc>
          <w:tcPr>
            <w:tcW w:w="1203" w:type="pct"/>
            <w:shd w:val="clear" w:color="auto" w:fill="auto"/>
            <w:noWrap/>
            <w:vAlign w:val="bottom"/>
            <w:hideMark/>
          </w:tcPr>
          <w:p w:rsidR="00BD67B0" w:rsidRPr="00BD67B0" w:rsidRDefault="00BD67B0" w:rsidP="00BD67B0">
            <w:pPr>
              <w:spacing w:after="0" w:line="240" w:lineRule="auto"/>
              <w:jc w:val="left"/>
              <w:rPr>
                <w:rFonts w:eastAsia="Times New Roman" w:cs="Times New Roman"/>
                <w:sz w:val="16"/>
                <w:szCs w:val="16"/>
                <w:lang w:eastAsia="en-GB"/>
              </w:rPr>
            </w:pPr>
            <w:r w:rsidRPr="00BD67B0">
              <w:rPr>
                <w:rFonts w:eastAsia="Times New Roman" w:cs="Times New Roman"/>
                <w:sz w:val="16"/>
                <w:szCs w:val="16"/>
                <w:lang w:eastAsia="en-GB"/>
              </w:rPr>
              <w:t>SI</w:t>
            </w:r>
          </w:p>
        </w:tc>
        <w:tc>
          <w:tcPr>
            <w:tcW w:w="634"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4</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6</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3</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4</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17</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3.4</w:t>
            </w:r>
          </w:p>
        </w:tc>
      </w:tr>
      <w:tr w:rsidR="00BD67B0" w:rsidRPr="00BD67B0" w:rsidTr="006446EB">
        <w:trPr>
          <w:trHeight w:val="252"/>
        </w:trPr>
        <w:tc>
          <w:tcPr>
            <w:tcW w:w="1203" w:type="pct"/>
            <w:shd w:val="clear" w:color="auto" w:fill="auto"/>
            <w:noWrap/>
            <w:vAlign w:val="bottom"/>
            <w:hideMark/>
          </w:tcPr>
          <w:p w:rsidR="00BD67B0" w:rsidRPr="00BD67B0" w:rsidRDefault="00BD67B0" w:rsidP="00BD67B0">
            <w:pPr>
              <w:spacing w:after="0" w:line="240" w:lineRule="auto"/>
              <w:jc w:val="left"/>
              <w:rPr>
                <w:rFonts w:eastAsia="Times New Roman" w:cs="Times New Roman"/>
                <w:sz w:val="16"/>
                <w:szCs w:val="16"/>
                <w:lang w:eastAsia="en-GB"/>
              </w:rPr>
            </w:pPr>
            <w:r w:rsidRPr="00BD67B0">
              <w:rPr>
                <w:rFonts w:eastAsia="Times New Roman" w:cs="Times New Roman"/>
                <w:sz w:val="16"/>
                <w:szCs w:val="16"/>
                <w:lang w:eastAsia="en-GB"/>
              </w:rPr>
              <w:t>SK</w:t>
            </w:r>
          </w:p>
        </w:tc>
        <w:tc>
          <w:tcPr>
            <w:tcW w:w="634"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9</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5</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6</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7</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27</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5.4</w:t>
            </w:r>
          </w:p>
        </w:tc>
      </w:tr>
      <w:tr w:rsidR="00BD67B0" w:rsidRPr="00BD67B0" w:rsidTr="006446EB">
        <w:trPr>
          <w:trHeight w:val="252"/>
        </w:trPr>
        <w:tc>
          <w:tcPr>
            <w:tcW w:w="1203" w:type="pct"/>
            <w:shd w:val="clear" w:color="auto" w:fill="auto"/>
            <w:noWrap/>
            <w:vAlign w:val="bottom"/>
            <w:hideMark/>
          </w:tcPr>
          <w:p w:rsidR="00BD67B0" w:rsidRPr="00BD67B0" w:rsidRDefault="00BD67B0" w:rsidP="00BD67B0">
            <w:pPr>
              <w:spacing w:after="0" w:line="240" w:lineRule="auto"/>
              <w:jc w:val="left"/>
              <w:rPr>
                <w:rFonts w:eastAsia="Times New Roman" w:cs="Times New Roman"/>
                <w:sz w:val="16"/>
                <w:szCs w:val="16"/>
                <w:lang w:eastAsia="en-GB"/>
              </w:rPr>
            </w:pPr>
            <w:r w:rsidRPr="00BD67B0">
              <w:rPr>
                <w:rFonts w:eastAsia="Times New Roman" w:cs="Times New Roman"/>
                <w:sz w:val="16"/>
                <w:szCs w:val="16"/>
                <w:lang w:eastAsia="en-GB"/>
              </w:rPr>
              <w:t>UK</w:t>
            </w:r>
          </w:p>
        </w:tc>
        <w:tc>
          <w:tcPr>
            <w:tcW w:w="634"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1</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3</w:t>
            </w:r>
          </w:p>
        </w:tc>
        <w:tc>
          <w:tcPr>
            <w:tcW w:w="632"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3</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3</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10</w:t>
            </w:r>
          </w:p>
        </w:tc>
        <w:tc>
          <w:tcPr>
            <w:tcW w:w="633" w:type="pct"/>
            <w:shd w:val="clear" w:color="auto" w:fill="auto"/>
            <w:noWrap/>
            <w:vAlign w:val="bottom"/>
            <w:hideMark/>
          </w:tcPr>
          <w:p w:rsidR="00BD67B0" w:rsidRPr="00BD67B0" w:rsidRDefault="00BD67B0" w:rsidP="006446EB">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2.0</w:t>
            </w:r>
          </w:p>
        </w:tc>
      </w:tr>
      <w:tr w:rsidR="00BD67B0" w:rsidRPr="004A61C4" w:rsidTr="006446EB">
        <w:trPr>
          <w:trHeight w:val="252"/>
        </w:trPr>
        <w:tc>
          <w:tcPr>
            <w:tcW w:w="1203" w:type="pct"/>
            <w:shd w:val="clear" w:color="auto" w:fill="auto"/>
            <w:noWrap/>
            <w:vAlign w:val="bottom"/>
            <w:hideMark/>
          </w:tcPr>
          <w:p w:rsidR="00BD67B0" w:rsidRPr="004A61C4" w:rsidRDefault="00BD67B0" w:rsidP="00BD67B0">
            <w:pPr>
              <w:spacing w:after="0" w:line="240" w:lineRule="auto"/>
              <w:jc w:val="left"/>
              <w:rPr>
                <w:rFonts w:eastAsia="Times New Roman" w:cs="Times New Roman"/>
                <w:b/>
                <w:i/>
                <w:sz w:val="16"/>
                <w:szCs w:val="16"/>
                <w:lang w:eastAsia="en-GB"/>
              </w:rPr>
            </w:pPr>
            <w:r w:rsidRPr="004A61C4">
              <w:rPr>
                <w:rFonts w:eastAsia="Times New Roman" w:cs="Times New Roman"/>
                <w:b/>
                <w:i/>
                <w:sz w:val="16"/>
                <w:szCs w:val="16"/>
                <w:lang w:eastAsia="en-GB"/>
              </w:rPr>
              <w:t>Total</w:t>
            </w:r>
          </w:p>
        </w:tc>
        <w:tc>
          <w:tcPr>
            <w:tcW w:w="634" w:type="pct"/>
            <w:shd w:val="clear" w:color="auto" w:fill="auto"/>
            <w:noWrap/>
            <w:vAlign w:val="bottom"/>
            <w:hideMark/>
          </w:tcPr>
          <w:p w:rsidR="00BD67B0" w:rsidRPr="002B3BB7" w:rsidRDefault="00BD67B0" w:rsidP="006446EB">
            <w:pPr>
              <w:spacing w:after="0" w:line="240" w:lineRule="auto"/>
              <w:jc w:val="right"/>
              <w:rPr>
                <w:rFonts w:eastAsia="Times New Roman" w:cs="Times New Roman"/>
                <w:b/>
                <w:sz w:val="16"/>
                <w:szCs w:val="16"/>
                <w:lang w:eastAsia="en-GB"/>
              </w:rPr>
            </w:pPr>
            <w:r w:rsidRPr="002B3BB7">
              <w:rPr>
                <w:rFonts w:eastAsia="Times New Roman" w:cs="Times New Roman"/>
                <w:b/>
                <w:sz w:val="16"/>
                <w:szCs w:val="16"/>
                <w:lang w:eastAsia="en-GB"/>
              </w:rPr>
              <w:t>125</w:t>
            </w:r>
          </w:p>
        </w:tc>
        <w:tc>
          <w:tcPr>
            <w:tcW w:w="632" w:type="pct"/>
            <w:shd w:val="clear" w:color="auto" w:fill="auto"/>
            <w:noWrap/>
            <w:vAlign w:val="bottom"/>
            <w:hideMark/>
          </w:tcPr>
          <w:p w:rsidR="00BD67B0" w:rsidRPr="002B3BB7" w:rsidRDefault="00BD67B0" w:rsidP="006446EB">
            <w:pPr>
              <w:spacing w:after="0" w:line="240" w:lineRule="auto"/>
              <w:jc w:val="right"/>
              <w:rPr>
                <w:rFonts w:eastAsia="Times New Roman" w:cs="Times New Roman"/>
                <w:b/>
                <w:sz w:val="16"/>
                <w:szCs w:val="16"/>
                <w:lang w:eastAsia="en-GB"/>
              </w:rPr>
            </w:pPr>
            <w:r w:rsidRPr="002B3BB7">
              <w:rPr>
                <w:rFonts w:eastAsia="Times New Roman" w:cs="Times New Roman"/>
                <w:b/>
                <w:sz w:val="16"/>
                <w:szCs w:val="16"/>
                <w:lang w:eastAsia="en-GB"/>
              </w:rPr>
              <w:t>125</w:t>
            </w:r>
          </w:p>
        </w:tc>
        <w:tc>
          <w:tcPr>
            <w:tcW w:w="632" w:type="pct"/>
            <w:shd w:val="clear" w:color="auto" w:fill="auto"/>
            <w:noWrap/>
            <w:vAlign w:val="bottom"/>
            <w:hideMark/>
          </w:tcPr>
          <w:p w:rsidR="00BD67B0" w:rsidRPr="002B3BB7" w:rsidRDefault="00BD67B0" w:rsidP="006446EB">
            <w:pPr>
              <w:spacing w:after="0" w:line="240" w:lineRule="auto"/>
              <w:jc w:val="right"/>
              <w:rPr>
                <w:rFonts w:eastAsia="Times New Roman" w:cs="Times New Roman"/>
                <w:b/>
                <w:sz w:val="16"/>
                <w:szCs w:val="16"/>
                <w:lang w:eastAsia="en-GB"/>
              </w:rPr>
            </w:pPr>
            <w:r w:rsidRPr="002B3BB7">
              <w:rPr>
                <w:rFonts w:eastAsia="Times New Roman" w:cs="Times New Roman"/>
                <w:b/>
                <w:sz w:val="16"/>
                <w:szCs w:val="16"/>
                <w:lang w:eastAsia="en-GB"/>
              </w:rPr>
              <w:t>99</w:t>
            </w:r>
          </w:p>
        </w:tc>
        <w:tc>
          <w:tcPr>
            <w:tcW w:w="633" w:type="pct"/>
            <w:shd w:val="clear" w:color="auto" w:fill="auto"/>
            <w:noWrap/>
            <w:vAlign w:val="bottom"/>
            <w:hideMark/>
          </w:tcPr>
          <w:p w:rsidR="00BD67B0" w:rsidRPr="002B3BB7" w:rsidRDefault="00BD67B0" w:rsidP="006446EB">
            <w:pPr>
              <w:spacing w:after="0" w:line="240" w:lineRule="auto"/>
              <w:jc w:val="right"/>
              <w:rPr>
                <w:rFonts w:eastAsia="Times New Roman" w:cs="Times New Roman"/>
                <w:b/>
                <w:sz w:val="16"/>
                <w:szCs w:val="16"/>
                <w:lang w:eastAsia="en-GB"/>
              </w:rPr>
            </w:pPr>
            <w:r w:rsidRPr="002B3BB7">
              <w:rPr>
                <w:rFonts w:eastAsia="Times New Roman" w:cs="Times New Roman"/>
                <w:b/>
                <w:sz w:val="16"/>
                <w:szCs w:val="16"/>
                <w:lang w:eastAsia="en-GB"/>
              </w:rPr>
              <w:t>155</w:t>
            </w:r>
          </w:p>
        </w:tc>
        <w:tc>
          <w:tcPr>
            <w:tcW w:w="633" w:type="pct"/>
            <w:shd w:val="clear" w:color="auto" w:fill="auto"/>
            <w:noWrap/>
            <w:vAlign w:val="bottom"/>
            <w:hideMark/>
          </w:tcPr>
          <w:p w:rsidR="00BD67B0" w:rsidRPr="002B3BB7" w:rsidRDefault="00BD67B0" w:rsidP="006446EB">
            <w:pPr>
              <w:spacing w:after="0" w:line="240" w:lineRule="auto"/>
              <w:jc w:val="right"/>
              <w:rPr>
                <w:rFonts w:eastAsia="Times New Roman" w:cs="Times New Roman"/>
                <w:b/>
                <w:sz w:val="16"/>
                <w:szCs w:val="16"/>
                <w:lang w:eastAsia="en-GB"/>
              </w:rPr>
            </w:pPr>
            <w:r w:rsidRPr="002B3BB7">
              <w:rPr>
                <w:rFonts w:eastAsia="Times New Roman" w:cs="Times New Roman"/>
                <w:b/>
                <w:sz w:val="16"/>
                <w:szCs w:val="16"/>
                <w:lang w:eastAsia="en-GB"/>
              </w:rPr>
              <w:t>504</w:t>
            </w:r>
          </w:p>
        </w:tc>
        <w:tc>
          <w:tcPr>
            <w:tcW w:w="633" w:type="pct"/>
            <w:shd w:val="clear" w:color="auto" w:fill="auto"/>
            <w:noWrap/>
            <w:vAlign w:val="bottom"/>
            <w:hideMark/>
          </w:tcPr>
          <w:p w:rsidR="00BD67B0" w:rsidRPr="002B3BB7" w:rsidRDefault="00BD67B0" w:rsidP="006446EB">
            <w:pPr>
              <w:spacing w:after="0" w:line="240" w:lineRule="auto"/>
              <w:jc w:val="right"/>
              <w:rPr>
                <w:rFonts w:eastAsia="Times New Roman" w:cs="Times New Roman"/>
                <w:b/>
                <w:sz w:val="16"/>
                <w:szCs w:val="16"/>
                <w:lang w:eastAsia="en-GB"/>
              </w:rPr>
            </w:pPr>
            <w:r w:rsidRPr="002B3BB7">
              <w:rPr>
                <w:rFonts w:eastAsia="Times New Roman" w:cs="Times New Roman"/>
                <w:b/>
                <w:sz w:val="16"/>
                <w:szCs w:val="16"/>
                <w:lang w:eastAsia="en-GB"/>
              </w:rPr>
              <w:t>100.0</w:t>
            </w:r>
          </w:p>
        </w:tc>
      </w:tr>
      <w:tr w:rsidR="00BD67B0" w:rsidRPr="00BD67B0" w:rsidTr="006446EB">
        <w:trPr>
          <w:trHeight w:val="252"/>
        </w:trPr>
        <w:tc>
          <w:tcPr>
            <w:tcW w:w="1203" w:type="pct"/>
            <w:shd w:val="clear" w:color="auto" w:fill="auto"/>
            <w:noWrap/>
            <w:vAlign w:val="bottom"/>
            <w:hideMark/>
          </w:tcPr>
          <w:p w:rsidR="00BD67B0" w:rsidRPr="00B759DB" w:rsidRDefault="00BD67B0" w:rsidP="00BD67B0">
            <w:pPr>
              <w:spacing w:after="0" w:line="240" w:lineRule="auto"/>
              <w:jc w:val="left"/>
              <w:rPr>
                <w:rFonts w:eastAsia="Times New Roman" w:cs="Times New Roman"/>
                <w:i/>
                <w:sz w:val="16"/>
                <w:szCs w:val="16"/>
                <w:lang w:eastAsia="en-GB"/>
              </w:rPr>
            </w:pPr>
            <w:r w:rsidRPr="00B759DB">
              <w:rPr>
                <w:rFonts w:eastAsia="Times New Roman" w:cs="Times New Roman"/>
                <w:i/>
                <w:sz w:val="16"/>
                <w:szCs w:val="16"/>
                <w:lang w:eastAsia="en-GB"/>
              </w:rPr>
              <w:t>%</w:t>
            </w:r>
            <w:r w:rsidRPr="00D436BC">
              <w:rPr>
                <w:rFonts w:eastAsia="Times New Roman" w:cs="Times New Roman"/>
                <w:i/>
                <w:sz w:val="16"/>
                <w:szCs w:val="16"/>
                <w:lang w:eastAsia="en-GB"/>
              </w:rPr>
              <w:t xml:space="preserve"> </w:t>
            </w:r>
            <w:r>
              <w:rPr>
                <w:rFonts w:eastAsia="Times New Roman" w:cs="Times New Roman"/>
                <w:i/>
                <w:sz w:val="16"/>
                <w:szCs w:val="16"/>
                <w:lang w:eastAsia="en-GB"/>
              </w:rPr>
              <w:t>of t</w:t>
            </w:r>
            <w:r w:rsidRPr="00D436BC">
              <w:rPr>
                <w:rFonts w:eastAsia="Times New Roman" w:cs="Times New Roman"/>
                <w:i/>
                <w:sz w:val="16"/>
                <w:szCs w:val="16"/>
                <w:lang w:eastAsia="en-GB"/>
              </w:rPr>
              <w:t>otal</w:t>
            </w:r>
            <w:r>
              <w:rPr>
                <w:rFonts w:eastAsia="Times New Roman" w:cs="Times New Roman"/>
                <w:i/>
                <w:sz w:val="16"/>
                <w:szCs w:val="16"/>
                <w:lang w:eastAsia="en-GB"/>
              </w:rPr>
              <w:t xml:space="preserve"> 2012-2015</w:t>
            </w:r>
          </w:p>
        </w:tc>
        <w:tc>
          <w:tcPr>
            <w:tcW w:w="634" w:type="pct"/>
            <w:shd w:val="clear" w:color="auto" w:fill="auto"/>
            <w:noWrap/>
            <w:vAlign w:val="bottom"/>
            <w:hideMark/>
          </w:tcPr>
          <w:p w:rsidR="00BD67B0" w:rsidRPr="00BD67B0" w:rsidRDefault="00BD67B0" w:rsidP="00BD67B0">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24.8</w:t>
            </w:r>
          </w:p>
        </w:tc>
        <w:tc>
          <w:tcPr>
            <w:tcW w:w="632" w:type="pct"/>
            <w:shd w:val="clear" w:color="auto" w:fill="auto"/>
            <w:noWrap/>
            <w:vAlign w:val="bottom"/>
            <w:hideMark/>
          </w:tcPr>
          <w:p w:rsidR="00BD67B0" w:rsidRPr="00BD67B0" w:rsidRDefault="00BD67B0" w:rsidP="00BD67B0">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24.8</w:t>
            </w:r>
          </w:p>
        </w:tc>
        <w:tc>
          <w:tcPr>
            <w:tcW w:w="632" w:type="pct"/>
            <w:shd w:val="clear" w:color="auto" w:fill="auto"/>
            <w:noWrap/>
            <w:vAlign w:val="bottom"/>
            <w:hideMark/>
          </w:tcPr>
          <w:p w:rsidR="00BD67B0" w:rsidRPr="00BD67B0" w:rsidRDefault="00BD67B0" w:rsidP="00BD67B0">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19.6</w:t>
            </w:r>
          </w:p>
        </w:tc>
        <w:tc>
          <w:tcPr>
            <w:tcW w:w="633" w:type="pct"/>
            <w:shd w:val="clear" w:color="auto" w:fill="auto"/>
            <w:noWrap/>
            <w:vAlign w:val="bottom"/>
            <w:hideMark/>
          </w:tcPr>
          <w:p w:rsidR="00BD67B0" w:rsidRPr="00BD67B0" w:rsidRDefault="00BD67B0" w:rsidP="00BD67B0">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30.8</w:t>
            </w:r>
          </w:p>
        </w:tc>
        <w:tc>
          <w:tcPr>
            <w:tcW w:w="633" w:type="pct"/>
            <w:shd w:val="clear" w:color="auto" w:fill="auto"/>
            <w:noWrap/>
            <w:vAlign w:val="bottom"/>
            <w:hideMark/>
          </w:tcPr>
          <w:p w:rsidR="00BD67B0" w:rsidRPr="00BD67B0" w:rsidRDefault="00BD67B0" w:rsidP="00BD67B0">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100.0</w:t>
            </w:r>
          </w:p>
        </w:tc>
        <w:tc>
          <w:tcPr>
            <w:tcW w:w="633" w:type="pct"/>
            <w:shd w:val="clear" w:color="auto" w:fill="auto"/>
            <w:noWrap/>
            <w:vAlign w:val="bottom"/>
            <w:hideMark/>
          </w:tcPr>
          <w:p w:rsidR="00BD67B0" w:rsidRPr="00BD67B0" w:rsidRDefault="00BD67B0" w:rsidP="00BD67B0">
            <w:pPr>
              <w:spacing w:after="0" w:line="240" w:lineRule="auto"/>
              <w:jc w:val="left"/>
              <w:rPr>
                <w:rFonts w:eastAsia="Times New Roman" w:cs="Times New Roman"/>
                <w:sz w:val="16"/>
                <w:szCs w:val="16"/>
                <w:lang w:eastAsia="en-GB"/>
              </w:rPr>
            </w:pPr>
          </w:p>
        </w:tc>
      </w:tr>
      <w:tr w:rsidR="00BD67B0" w:rsidRPr="00BD67B0" w:rsidTr="006446EB">
        <w:trPr>
          <w:trHeight w:val="252"/>
        </w:trPr>
        <w:tc>
          <w:tcPr>
            <w:tcW w:w="1203" w:type="pct"/>
            <w:shd w:val="clear" w:color="auto" w:fill="auto"/>
            <w:noWrap/>
            <w:vAlign w:val="center"/>
            <w:hideMark/>
          </w:tcPr>
          <w:p w:rsidR="00BD67B0" w:rsidRPr="00B759DB" w:rsidRDefault="00BD67B0" w:rsidP="00BD67B0">
            <w:pPr>
              <w:spacing w:after="0" w:line="240" w:lineRule="auto"/>
              <w:jc w:val="left"/>
              <w:rPr>
                <w:rFonts w:eastAsia="Times New Roman" w:cs="Times New Roman"/>
                <w:i/>
                <w:sz w:val="16"/>
                <w:szCs w:val="16"/>
                <w:lang w:eastAsia="en-GB"/>
              </w:rPr>
            </w:pPr>
            <w:r w:rsidRPr="00B759DB">
              <w:rPr>
                <w:rFonts w:eastAsia="Times New Roman" w:cs="Times New Roman"/>
                <w:i/>
                <w:sz w:val="16"/>
                <w:szCs w:val="16"/>
                <w:lang w:eastAsia="en-GB"/>
              </w:rPr>
              <w:t>EU15</w:t>
            </w:r>
            <w:r>
              <w:rPr>
                <w:rFonts w:eastAsia="Times New Roman" w:cs="Times New Roman"/>
                <w:i/>
                <w:sz w:val="16"/>
                <w:szCs w:val="16"/>
                <w:lang w:eastAsia="en-GB"/>
              </w:rPr>
              <w:t xml:space="preserve"> as </w:t>
            </w:r>
            <w:r w:rsidRPr="00B759DB">
              <w:rPr>
                <w:rFonts w:eastAsia="Times New Roman" w:cs="Times New Roman"/>
                <w:i/>
                <w:sz w:val="16"/>
                <w:szCs w:val="16"/>
                <w:lang w:eastAsia="en-GB"/>
              </w:rPr>
              <w:t>%</w:t>
            </w:r>
            <w:r>
              <w:rPr>
                <w:rFonts w:eastAsia="Times New Roman" w:cs="Times New Roman"/>
                <w:i/>
                <w:sz w:val="16"/>
                <w:szCs w:val="16"/>
                <w:lang w:eastAsia="en-GB"/>
              </w:rPr>
              <w:t xml:space="preserve"> of total</w:t>
            </w:r>
          </w:p>
        </w:tc>
        <w:tc>
          <w:tcPr>
            <w:tcW w:w="634" w:type="pct"/>
            <w:shd w:val="clear" w:color="auto" w:fill="auto"/>
            <w:noWrap/>
            <w:vAlign w:val="bottom"/>
            <w:hideMark/>
          </w:tcPr>
          <w:p w:rsidR="00BD67B0" w:rsidRPr="00BD67B0" w:rsidRDefault="00BD67B0" w:rsidP="00BD67B0">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48.8</w:t>
            </w:r>
          </w:p>
        </w:tc>
        <w:tc>
          <w:tcPr>
            <w:tcW w:w="632" w:type="pct"/>
            <w:shd w:val="clear" w:color="auto" w:fill="auto"/>
            <w:noWrap/>
            <w:vAlign w:val="bottom"/>
            <w:hideMark/>
          </w:tcPr>
          <w:p w:rsidR="00BD67B0" w:rsidRPr="00BD67B0" w:rsidRDefault="00BD67B0" w:rsidP="00BD67B0">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44.8</w:t>
            </w:r>
          </w:p>
        </w:tc>
        <w:tc>
          <w:tcPr>
            <w:tcW w:w="632" w:type="pct"/>
            <w:shd w:val="clear" w:color="auto" w:fill="auto"/>
            <w:noWrap/>
            <w:vAlign w:val="bottom"/>
            <w:hideMark/>
          </w:tcPr>
          <w:p w:rsidR="00BD67B0" w:rsidRPr="00BD67B0" w:rsidRDefault="00BD67B0" w:rsidP="00BD67B0">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51.5</w:t>
            </w:r>
          </w:p>
        </w:tc>
        <w:tc>
          <w:tcPr>
            <w:tcW w:w="633" w:type="pct"/>
            <w:shd w:val="clear" w:color="auto" w:fill="auto"/>
            <w:noWrap/>
            <w:vAlign w:val="bottom"/>
            <w:hideMark/>
          </w:tcPr>
          <w:p w:rsidR="00BD67B0" w:rsidRPr="00BD67B0" w:rsidRDefault="00BD67B0" w:rsidP="00BD67B0">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43.2</w:t>
            </w:r>
          </w:p>
        </w:tc>
        <w:tc>
          <w:tcPr>
            <w:tcW w:w="633" w:type="pct"/>
            <w:shd w:val="clear" w:color="auto" w:fill="auto"/>
            <w:noWrap/>
            <w:vAlign w:val="bottom"/>
            <w:hideMark/>
          </w:tcPr>
          <w:p w:rsidR="00BD67B0" w:rsidRPr="00BD67B0" w:rsidRDefault="00BD67B0" w:rsidP="00BD67B0">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46.6</w:t>
            </w:r>
          </w:p>
        </w:tc>
        <w:tc>
          <w:tcPr>
            <w:tcW w:w="633" w:type="pct"/>
            <w:shd w:val="clear" w:color="auto" w:fill="auto"/>
            <w:noWrap/>
            <w:vAlign w:val="bottom"/>
            <w:hideMark/>
          </w:tcPr>
          <w:p w:rsidR="00BD67B0" w:rsidRPr="00BD67B0" w:rsidRDefault="00BD67B0" w:rsidP="00BD67B0">
            <w:pPr>
              <w:spacing w:after="0" w:line="240" w:lineRule="auto"/>
              <w:jc w:val="left"/>
              <w:rPr>
                <w:rFonts w:eastAsia="Times New Roman" w:cs="Times New Roman"/>
                <w:sz w:val="16"/>
                <w:szCs w:val="16"/>
                <w:lang w:eastAsia="en-GB"/>
              </w:rPr>
            </w:pPr>
          </w:p>
        </w:tc>
      </w:tr>
      <w:tr w:rsidR="00BD67B0" w:rsidRPr="00BD67B0" w:rsidTr="006446EB">
        <w:trPr>
          <w:trHeight w:val="252"/>
        </w:trPr>
        <w:tc>
          <w:tcPr>
            <w:tcW w:w="1203" w:type="pct"/>
            <w:shd w:val="clear" w:color="auto" w:fill="auto"/>
            <w:noWrap/>
            <w:vAlign w:val="center"/>
            <w:hideMark/>
          </w:tcPr>
          <w:p w:rsidR="00BD67B0" w:rsidRPr="00B759DB" w:rsidRDefault="00BD67B0" w:rsidP="00BD67B0">
            <w:pPr>
              <w:spacing w:after="0" w:line="240" w:lineRule="auto"/>
              <w:jc w:val="left"/>
              <w:rPr>
                <w:rFonts w:eastAsia="Times New Roman" w:cs="Times New Roman"/>
                <w:i/>
                <w:sz w:val="16"/>
                <w:szCs w:val="16"/>
                <w:lang w:eastAsia="en-GB"/>
              </w:rPr>
            </w:pPr>
            <w:r w:rsidRPr="00B759DB">
              <w:rPr>
                <w:rFonts w:eastAsia="Times New Roman" w:cs="Times New Roman"/>
                <w:i/>
                <w:sz w:val="16"/>
                <w:szCs w:val="16"/>
                <w:lang w:eastAsia="en-GB"/>
              </w:rPr>
              <w:t>EU13</w:t>
            </w:r>
            <w:r>
              <w:rPr>
                <w:rFonts w:eastAsia="Times New Roman" w:cs="Times New Roman"/>
                <w:i/>
                <w:sz w:val="16"/>
                <w:szCs w:val="16"/>
                <w:lang w:eastAsia="en-GB"/>
              </w:rPr>
              <w:t xml:space="preserve"> as </w:t>
            </w:r>
            <w:r w:rsidRPr="00B759DB">
              <w:rPr>
                <w:rFonts w:eastAsia="Times New Roman" w:cs="Times New Roman"/>
                <w:i/>
                <w:sz w:val="16"/>
                <w:szCs w:val="16"/>
                <w:lang w:eastAsia="en-GB"/>
              </w:rPr>
              <w:t>%</w:t>
            </w:r>
            <w:r>
              <w:rPr>
                <w:rFonts w:eastAsia="Times New Roman" w:cs="Times New Roman"/>
                <w:i/>
                <w:sz w:val="16"/>
                <w:szCs w:val="16"/>
                <w:lang w:eastAsia="en-GB"/>
              </w:rPr>
              <w:t xml:space="preserve"> of total</w:t>
            </w:r>
          </w:p>
        </w:tc>
        <w:tc>
          <w:tcPr>
            <w:tcW w:w="634" w:type="pct"/>
            <w:shd w:val="clear" w:color="auto" w:fill="auto"/>
            <w:noWrap/>
            <w:vAlign w:val="bottom"/>
            <w:hideMark/>
          </w:tcPr>
          <w:p w:rsidR="00BD67B0" w:rsidRPr="00BD67B0" w:rsidRDefault="00BD67B0" w:rsidP="00BD67B0">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51.2</w:t>
            </w:r>
          </w:p>
        </w:tc>
        <w:tc>
          <w:tcPr>
            <w:tcW w:w="632" w:type="pct"/>
            <w:shd w:val="clear" w:color="auto" w:fill="auto"/>
            <w:noWrap/>
            <w:vAlign w:val="bottom"/>
            <w:hideMark/>
          </w:tcPr>
          <w:p w:rsidR="00BD67B0" w:rsidRPr="00BD67B0" w:rsidRDefault="00BD67B0" w:rsidP="00BD67B0">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55.2</w:t>
            </w:r>
          </w:p>
        </w:tc>
        <w:tc>
          <w:tcPr>
            <w:tcW w:w="632" w:type="pct"/>
            <w:shd w:val="clear" w:color="auto" w:fill="auto"/>
            <w:noWrap/>
            <w:vAlign w:val="bottom"/>
            <w:hideMark/>
          </w:tcPr>
          <w:p w:rsidR="00BD67B0" w:rsidRPr="00BD67B0" w:rsidRDefault="00BD67B0" w:rsidP="00BD67B0">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48.5</w:t>
            </w:r>
          </w:p>
        </w:tc>
        <w:tc>
          <w:tcPr>
            <w:tcW w:w="633" w:type="pct"/>
            <w:shd w:val="clear" w:color="auto" w:fill="auto"/>
            <w:noWrap/>
            <w:vAlign w:val="bottom"/>
            <w:hideMark/>
          </w:tcPr>
          <w:p w:rsidR="00BD67B0" w:rsidRPr="00BD67B0" w:rsidRDefault="00BD67B0" w:rsidP="00BD67B0">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56.8</w:t>
            </w:r>
          </w:p>
        </w:tc>
        <w:tc>
          <w:tcPr>
            <w:tcW w:w="633" w:type="pct"/>
            <w:shd w:val="clear" w:color="auto" w:fill="auto"/>
            <w:noWrap/>
            <w:vAlign w:val="bottom"/>
            <w:hideMark/>
          </w:tcPr>
          <w:p w:rsidR="00BD67B0" w:rsidRPr="00BD67B0" w:rsidRDefault="00BD67B0" w:rsidP="00BD67B0">
            <w:pPr>
              <w:spacing w:after="0" w:line="240" w:lineRule="auto"/>
              <w:jc w:val="right"/>
              <w:rPr>
                <w:rFonts w:eastAsia="Times New Roman" w:cs="Times New Roman"/>
                <w:sz w:val="16"/>
                <w:szCs w:val="16"/>
                <w:lang w:eastAsia="en-GB"/>
              </w:rPr>
            </w:pPr>
            <w:r w:rsidRPr="00BD67B0">
              <w:rPr>
                <w:rFonts w:eastAsia="Times New Roman" w:cs="Times New Roman"/>
                <w:sz w:val="16"/>
                <w:szCs w:val="16"/>
                <w:lang w:eastAsia="en-GB"/>
              </w:rPr>
              <w:t>53.4</w:t>
            </w:r>
          </w:p>
        </w:tc>
        <w:tc>
          <w:tcPr>
            <w:tcW w:w="633" w:type="pct"/>
            <w:shd w:val="clear" w:color="auto" w:fill="auto"/>
            <w:noWrap/>
            <w:vAlign w:val="bottom"/>
            <w:hideMark/>
          </w:tcPr>
          <w:p w:rsidR="00BD67B0" w:rsidRPr="00BD67B0" w:rsidRDefault="00BD67B0" w:rsidP="00BD67B0">
            <w:pPr>
              <w:spacing w:after="0" w:line="240" w:lineRule="auto"/>
              <w:jc w:val="left"/>
              <w:rPr>
                <w:rFonts w:eastAsia="Times New Roman" w:cs="Times New Roman"/>
                <w:sz w:val="16"/>
                <w:szCs w:val="16"/>
                <w:lang w:eastAsia="en-GB"/>
              </w:rPr>
            </w:pPr>
          </w:p>
        </w:tc>
      </w:tr>
    </w:tbl>
    <w:p w:rsidR="00A57C67" w:rsidRDefault="00A57C67" w:rsidP="00A57C67">
      <w:r>
        <w:t xml:space="preserve">Source: Own elaboration based on mapping of Country Reports 2012-2015 and MoU </w:t>
      </w:r>
    </w:p>
    <w:p w:rsidR="00E347BA" w:rsidRDefault="00E347BA" w:rsidP="00855E30">
      <w:pPr>
        <w:tabs>
          <w:tab w:val="left" w:pos="7140"/>
        </w:tabs>
      </w:pPr>
    </w:p>
    <w:p w:rsidR="00855E30" w:rsidRDefault="00855E30" w:rsidP="00855E30">
      <w:pPr>
        <w:tabs>
          <w:tab w:val="left" w:pos="7140"/>
        </w:tabs>
      </w:pPr>
      <w:r>
        <w:t xml:space="preserve">The following figures display the 2012-2015 trends of both CSR and additional challenges extracted from Country Reports/MoU. As already known there was a growth in the number of CSR in the first three years considered, from 129 in 2012, to a peak of 157 in 2014. Then, a streamlining took place and the number of CSR dropped to 101 in 2015. </w:t>
      </w:r>
    </w:p>
    <w:p w:rsidR="004A61C4" w:rsidRDefault="00855E30" w:rsidP="00855E30">
      <w:pPr>
        <w:tabs>
          <w:tab w:val="left" w:pos="7140"/>
        </w:tabs>
      </w:pPr>
      <w:r>
        <w:t xml:space="preserve">2015 </w:t>
      </w:r>
      <w:r w:rsidRPr="00B94F73">
        <w:t>was a sort of “fresh start”</w:t>
      </w:r>
      <w:r>
        <w:t xml:space="preserve"> also with respect to the contents of CSR which are</w:t>
      </w:r>
      <w:r w:rsidRPr="00B94F73">
        <w:t xml:space="preserve"> shorter</w:t>
      </w:r>
      <w:r>
        <w:t xml:space="preserve"> and</w:t>
      </w:r>
      <w:r w:rsidRPr="00B94F73">
        <w:t xml:space="preserve"> with fewer sub-parts.</w:t>
      </w:r>
      <w:r w:rsidR="00487353">
        <w:t xml:space="preserve"> These changes aimed at focusing the recommendations on a limited number of key challenges.</w:t>
      </w:r>
      <w:r w:rsidRPr="00B94F73">
        <w:t xml:space="preserve"> In terms of policy areas</w:t>
      </w:r>
      <w:r>
        <w:t xml:space="preserve"> (see below)</w:t>
      </w:r>
      <w:r w:rsidRPr="00B94F73">
        <w:t xml:space="preserve">, fewer employment and social </w:t>
      </w:r>
      <w:r w:rsidR="005374DD">
        <w:t>CSR</w:t>
      </w:r>
      <w:r w:rsidRPr="00B94F73">
        <w:t xml:space="preserve"> were proposed while there is a lack of recommendations in the areas of energy, resource efficiency and environment.</w:t>
      </w:r>
      <w:r>
        <w:t xml:space="preserve"> </w:t>
      </w:r>
      <w:r w:rsidR="006446EB">
        <w:t>The 2015 CSR were not considered in the PA and OPs as these were adopted earlier (2014 or first half of 2015</w:t>
      </w:r>
      <w:r w:rsidR="004A61C4">
        <w:t>)</w:t>
      </w:r>
      <w:r w:rsidR="006446EB">
        <w:t xml:space="preserve">. </w:t>
      </w:r>
      <w:r w:rsidR="004A61C4">
        <w:t xml:space="preserve">Despite this, the </w:t>
      </w:r>
      <w:proofErr w:type="spellStart"/>
      <w:r w:rsidR="004A61C4">
        <w:t>ToR</w:t>
      </w:r>
      <w:proofErr w:type="spellEnd"/>
      <w:r w:rsidR="004A61C4">
        <w:t xml:space="preserve"> requested to map all CSR/structural challenges in the period 2012-2015. </w:t>
      </w:r>
    </w:p>
    <w:p w:rsidR="006446EB" w:rsidRDefault="004A61C4" w:rsidP="00855E30">
      <w:pPr>
        <w:tabs>
          <w:tab w:val="left" w:pos="7140"/>
        </w:tabs>
      </w:pPr>
      <w:r>
        <w:t>Considering the long negotiations, some 2015 CSR</w:t>
      </w:r>
      <w:r w:rsidR="006446EB">
        <w:t xml:space="preserve"> </w:t>
      </w:r>
      <w:r>
        <w:t xml:space="preserve">can be still considered relevant </w:t>
      </w:r>
      <w:r w:rsidR="004E1443">
        <w:t>to OP programming</w:t>
      </w:r>
      <w:r w:rsidR="00B27006">
        <w:t>, in particular for the programmes adopted in 2015</w:t>
      </w:r>
      <w:r>
        <w:t>, also in light of the fact that a significant number of them reiterate recommendations made in previous years</w:t>
      </w:r>
      <w:r w:rsidR="00DA7F9D">
        <w:rPr>
          <w:rStyle w:val="FootnoteReference"/>
        </w:rPr>
        <w:footnoteReference w:id="13"/>
      </w:r>
      <w:r>
        <w:t xml:space="preserve">.. </w:t>
      </w:r>
    </w:p>
    <w:p w:rsidR="00855E30" w:rsidRDefault="00E347BA" w:rsidP="00855E30">
      <w:pPr>
        <w:tabs>
          <w:tab w:val="left" w:pos="7140"/>
        </w:tabs>
      </w:pPr>
      <w:r>
        <w:t xml:space="preserve">Considering the streamlining, </w:t>
      </w:r>
      <w:r w:rsidR="00203D0A">
        <w:t xml:space="preserve">aimed at focusing on key challenges, </w:t>
      </w:r>
      <w:r w:rsidR="00855E30">
        <w:t>the reduction in the number of CSR in 2015 does not necessarily reflect an improvement in the situation of a certain country. On the contrary, the parallel increase in the number of challenges identified in the country reports highlights often a lack of improvements</w:t>
      </w:r>
      <w:r w:rsidR="00133E17">
        <w:t xml:space="preserve"> or at least a persistence of certain challenges</w:t>
      </w:r>
      <w:r w:rsidR="00855E30">
        <w:t xml:space="preserve">. For example, the Bulgarian and Czech </w:t>
      </w:r>
      <w:r w:rsidR="00133E17">
        <w:t xml:space="preserve">2015 </w:t>
      </w:r>
      <w:r w:rsidR="00855E30">
        <w:t xml:space="preserve">country reports explicitly highlight that “[the country] has made </w:t>
      </w:r>
      <w:r w:rsidR="00855E30" w:rsidRPr="00074A87">
        <w:t xml:space="preserve">limited progress </w:t>
      </w:r>
      <w:r w:rsidR="00855E30">
        <w:t>in</w:t>
      </w:r>
      <w:r w:rsidR="00855E30" w:rsidRPr="00074A87">
        <w:t xml:space="preserve"> addressing the 2014 country</w:t>
      </w:r>
      <w:r w:rsidR="00855E30">
        <w:t xml:space="preserve"> </w:t>
      </w:r>
      <w:r w:rsidR="00855E30" w:rsidRPr="00074A87">
        <w:t xml:space="preserve">specific recommendations. This includes </w:t>
      </w:r>
      <w:r w:rsidR="00855E30">
        <w:t xml:space="preserve">[in the case of Czech Republic] </w:t>
      </w:r>
      <w:r w:rsidR="00855E30" w:rsidRPr="00074A87">
        <w:t>recommendations to: reduce taxation on labour; reform the pension and healthcare systems; increase the inclusiveness and quality of education; accelerate the reform of regulated professions; set up an effective research and innovation system; and reinforce the fight against corruption."</w:t>
      </w:r>
    </w:p>
    <w:p w:rsidR="00855E30" w:rsidRDefault="00855E30" w:rsidP="00855E30">
      <w:pPr>
        <w:tabs>
          <w:tab w:val="left" w:pos="7140"/>
        </w:tabs>
      </w:pPr>
      <w:r>
        <w:t xml:space="preserve">Considering that we mapped challenges from Country Reports and MoU which are additional/complementary to those captured by CSR, it is not surprising that the trend of these complementary challenges is specular with </w:t>
      </w:r>
      <w:r w:rsidR="00133E17">
        <w:t>the</w:t>
      </w:r>
      <w:r>
        <w:t xml:space="preserve"> low</w:t>
      </w:r>
      <w:r w:rsidR="00133E17">
        <w:t>est value</w:t>
      </w:r>
      <w:r>
        <w:t xml:space="preserve"> in 2014 and a peak in 2015. </w:t>
      </w:r>
    </w:p>
    <w:p w:rsidR="00855E30" w:rsidRDefault="00855E30" w:rsidP="00855E30">
      <w:pPr>
        <w:tabs>
          <w:tab w:val="left" w:pos="7140"/>
        </w:tabs>
      </w:pPr>
      <w:r>
        <w:t xml:space="preserve">Overall, taking CSR and other challenges together, the total number of challenges is roughly constant over time (see the green dotted line in the graph below). </w:t>
      </w:r>
    </w:p>
    <w:p w:rsidR="00855E30" w:rsidRDefault="00855E30" w:rsidP="00855E30">
      <w:pPr>
        <w:tabs>
          <w:tab w:val="left" w:pos="7140"/>
        </w:tabs>
      </w:pPr>
      <w:r>
        <w:t xml:space="preserve"> </w:t>
      </w:r>
    </w:p>
    <w:p w:rsidR="00855E30" w:rsidRDefault="00855E30" w:rsidP="00855E30">
      <w:pPr>
        <w:pStyle w:val="Caption"/>
        <w:keepNext/>
      </w:pPr>
      <w:r>
        <w:t xml:space="preserve">Figure </w:t>
      </w:r>
      <w:r w:rsidR="00C52F7F">
        <w:fldChar w:fldCharType="begin"/>
      </w:r>
      <w:r w:rsidR="00F62F72">
        <w:instrText xml:space="preserve"> SEQ Figure \* ARABIC </w:instrText>
      </w:r>
      <w:r w:rsidR="00C52F7F">
        <w:fldChar w:fldCharType="separate"/>
      </w:r>
      <w:r w:rsidR="00183DCC">
        <w:rPr>
          <w:noProof/>
        </w:rPr>
        <w:t>1</w:t>
      </w:r>
      <w:r w:rsidR="00C52F7F">
        <w:rPr>
          <w:noProof/>
        </w:rPr>
        <w:fldChar w:fldCharType="end"/>
      </w:r>
      <w:r>
        <w:t xml:space="preserve"> - CSR and other structural challenges: trends 2012-2015</w:t>
      </w:r>
    </w:p>
    <w:p w:rsidR="006446EB" w:rsidRDefault="006446EB" w:rsidP="002B3BB7">
      <w:r>
        <w:rPr>
          <w:noProof/>
          <w:lang w:eastAsia="en-GB"/>
        </w:rPr>
        <w:drawing>
          <wp:inline distT="0" distB="0" distL="0" distR="0" wp14:anchorId="3C3EE70C" wp14:editId="54327BEB">
            <wp:extent cx="5170170" cy="2999740"/>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70170" cy="2999740"/>
                    </a:xfrm>
                    <a:prstGeom prst="rect">
                      <a:avLst/>
                    </a:prstGeom>
                    <a:noFill/>
                  </pic:spPr>
                </pic:pic>
              </a:graphicData>
            </a:graphic>
          </wp:inline>
        </w:drawing>
      </w:r>
    </w:p>
    <w:p w:rsidR="00855E30" w:rsidRDefault="00133E17" w:rsidP="00133E17">
      <w:r w:rsidRPr="00133E17">
        <w:t xml:space="preserve">Source: Own elaboration </w:t>
      </w:r>
      <w:r>
        <w:t>based on mapping of CSR, Country Reports and MoU 2012-2015</w:t>
      </w:r>
      <w:r w:rsidRPr="00133E17">
        <w:t>.</w:t>
      </w:r>
    </w:p>
    <w:p w:rsidR="00133E17" w:rsidRDefault="00133E17" w:rsidP="00855E30"/>
    <w:p w:rsidR="00855E30" w:rsidRDefault="00855E30" w:rsidP="00855E30">
      <w:r>
        <w:t xml:space="preserve">The differences in the trends characterising EU15 and EU13 countries are shown in the figure below. The CSR trends are quite consistent across country groups. The total number of CSR is slightly higher in EU15 in all years except for 2013 but the dynamic is very similar in EU15 and EU13: a growth until 2014 followed by a fall. </w:t>
      </w:r>
    </w:p>
    <w:p w:rsidR="00133E17" w:rsidRDefault="00855E30" w:rsidP="00855E30">
      <w:r>
        <w:t>The trends of the additional challenges extracted from Country Reports and MoU are also consistent across country groups, however</w:t>
      </w:r>
      <w:r w:rsidR="00133E17">
        <w:t>,</w:t>
      </w:r>
      <w:r>
        <w:t xml:space="preserve"> the total number of EU13 additional challenges is significantly higher than in EU15 Member States (see dotted lines in the graph). </w:t>
      </w:r>
    </w:p>
    <w:p w:rsidR="00855E30" w:rsidRDefault="00855E30" w:rsidP="00855E30">
      <w:r>
        <w:t xml:space="preserve">For instance in 2014, 28 challenges were extracted from the EU15 country reports and 36 from the EU13 country reports. In 2015, the difference is even wider: 51 additional challenges in EU15 and 70 in EU13. This difference is mostly explained by the considerable number of cohesion relevant issues listed in the 2015 country reports of some EU13 countries such as Bulgaria, Hungary, Czech Republic, Romania and Slovakia.  </w:t>
      </w:r>
    </w:p>
    <w:p w:rsidR="00855E30" w:rsidRDefault="00855E30" w:rsidP="00855E30">
      <w:pPr>
        <w:pStyle w:val="Caption"/>
        <w:keepNext/>
      </w:pPr>
      <w:r>
        <w:t xml:space="preserve">Figure </w:t>
      </w:r>
      <w:r w:rsidR="00C52F7F">
        <w:fldChar w:fldCharType="begin"/>
      </w:r>
      <w:r w:rsidR="00F62F72">
        <w:instrText xml:space="preserve"> SEQ Figure \* ARABIC </w:instrText>
      </w:r>
      <w:r w:rsidR="00C52F7F">
        <w:fldChar w:fldCharType="separate"/>
      </w:r>
      <w:r w:rsidR="00183DCC">
        <w:rPr>
          <w:noProof/>
        </w:rPr>
        <w:t>2</w:t>
      </w:r>
      <w:r w:rsidR="00C52F7F">
        <w:rPr>
          <w:noProof/>
        </w:rPr>
        <w:fldChar w:fldCharType="end"/>
      </w:r>
      <w:r>
        <w:t xml:space="preserve"> – CSR and other structural challenges: EU15 vs. EU13</w:t>
      </w:r>
    </w:p>
    <w:p w:rsidR="00855E30" w:rsidRDefault="006A313B" w:rsidP="006A313B">
      <w:pPr>
        <w:tabs>
          <w:tab w:val="left" w:pos="3969"/>
        </w:tabs>
      </w:pPr>
      <w:r>
        <w:rPr>
          <w:noProof/>
          <w:lang w:eastAsia="en-GB"/>
        </w:rPr>
        <w:drawing>
          <wp:inline distT="0" distB="0" distL="0" distR="0" wp14:anchorId="2FC8C7EE" wp14:editId="44AABBF8">
            <wp:extent cx="5127171" cy="2995876"/>
            <wp:effectExtent l="0" t="0" r="0" b="0"/>
            <wp:docPr id="14" name="Gra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33E17" w:rsidRDefault="00133E17" w:rsidP="00133E17">
      <w:r w:rsidRPr="00133E17">
        <w:t xml:space="preserve">Source: Own elaboration </w:t>
      </w:r>
      <w:r>
        <w:t>based on mapping of CSR, Country Reports and MoU 2012-2015</w:t>
      </w:r>
      <w:r w:rsidRPr="00133E17">
        <w:t>.</w:t>
      </w:r>
    </w:p>
    <w:p w:rsidR="00855E30" w:rsidRDefault="00855E30" w:rsidP="00855E30">
      <w:pPr>
        <w:tabs>
          <w:tab w:val="left" w:pos="7140"/>
        </w:tabs>
      </w:pPr>
    </w:p>
    <w:p w:rsidR="002B3BB7" w:rsidRDefault="002B3BB7" w:rsidP="00855E30">
      <w:pPr>
        <w:tabs>
          <w:tab w:val="left" w:pos="7140"/>
        </w:tabs>
      </w:pPr>
    </w:p>
    <w:p w:rsidR="00716523" w:rsidRDefault="00716523" w:rsidP="00716523">
      <w:pPr>
        <w:pStyle w:val="Heading3"/>
      </w:pPr>
      <w:bookmarkStart w:id="14" w:name="_Toc466826783"/>
      <w:r>
        <w:t>Single policy recommendations (CSR sub-parts) and other structural challenges by nature</w:t>
      </w:r>
      <w:r w:rsidR="00982393">
        <w:t>: investment choices, regulatory changes or mixed</w:t>
      </w:r>
      <w:bookmarkEnd w:id="14"/>
      <w:r w:rsidR="00982393">
        <w:t xml:space="preserve"> </w:t>
      </w:r>
    </w:p>
    <w:p w:rsidR="00855E30" w:rsidRDefault="00855E30" w:rsidP="00855E30">
      <w:r>
        <w:t xml:space="preserve">In some cases </w:t>
      </w:r>
      <w:r w:rsidR="005374DD">
        <w:t>CSR</w:t>
      </w:r>
      <w:r>
        <w:t xml:space="preserve"> contain a single recommendation or focus on a single policy area but</w:t>
      </w:r>
      <w:r w:rsidR="00133E17">
        <w:t>,</w:t>
      </w:r>
      <w:r>
        <w:t xml:space="preserve"> most of the times</w:t>
      </w:r>
      <w:r w:rsidR="00133E17">
        <w:t>,</w:t>
      </w:r>
      <w:r>
        <w:t xml:space="preserve"> they have sub-parts, each of them being a policy recommendation in itself. These specific policy recommendations or CSR sub-parts are the </w:t>
      </w:r>
      <w:r w:rsidRPr="00E77349">
        <w:rPr>
          <w:b/>
        </w:rPr>
        <w:t>unit of analysis</w:t>
      </w:r>
      <w:r>
        <w:t xml:space="preserve"> for the mapping of challenges by policy area. Indeed it is often the case that the same CSR addresses several topics and can be broken down into multiple sub-challenges. </w:t>
      </w:r>
    </w:p>
    <w:p w:rsidR="00855E30" w:rsidRDefault="00855E30" w:rsidP="00855E30">
      <w:r>
        <w:t xml:space="preserve">In the mapping, the DG ECFIN classification of 2011-2015 CSR was considered as a </w:t>
      </w:r>
      <w:r w:rsidR="008413A7">
        <w:t xml:space="preserve">reference </w:t>
      </w:r>
      <w:r>
        <w:t xml:space="preserve">basis. However, the classification of CSR proposed in this database, in particular the breakdown of CSR into sub-parts which is particularly detailed in relation to public finance and macroeconomic aspects, was  revised to fit our policy areas which are constructed with the aim of exploring the linkage with ESIF programming. Moreover, </w:t>
      </w:r>
      <w:r w:rsidR="008413A7">
        <w:t xml:space="preserve">our </w:t>
      </w:r>
      <w:r>
        <w:t>revision intended to smoothen the different approache</w:t>
      </w:r>
      <w:r w:rsidR="00C9146D">
        <w:t>s</w:t>
      </w:r>
      <w:r>
        <w:t xml:space="preserve"> of breaking down CSR across countries and over time, since in some cases and for certain years the level of detail was great while in other cases CSR were left very much aggregated and comprised multiple topics which are rather separated in our classification.  </w:t>
      </w:r>
    </w:p>
    <w:p w:rsidR="00855E30" w:rsidRDefault="00855E30" w:rsidP="00855E30">
      <w:r>
        <w:t>Overall</w:t>
      </w:r>
      <w:r w:rsidR="008413A7">
        <w:t>,</w:t>
      </w:r>
      <w:r>
        <w:t xml:space="preserve"> we found 9</w:t>
      </w:r>
      <w:r w:rsidR="00626ECE">
        <w:t>99</w:t>
      </w:r>
      <w:r>
        <w:t xml:space="preserve"> single policy recommendations in the period 2012-</w:t>
      </w:r>
      <w:r w:rsidR="00C9146D">
        <w:t xml:space="preserve">2015 </w:t>
      </w:r>
      <w:r>
        <w:t>which result from “breaking down” the CSR. These policy recommendations, CSR or sub-parts of CSR, are complemented</w:t>
      </w:r>
      <w:r w:rsidR="008413A7">
        <w:t>,</w:t>
      </w:r>
      <w:r>
        <w:t xml:space="preserve"> as we have seen, by </w:t>
      </w:r>
      <w:r w:rsidR="001F2908">
        <w:t xml:space="preserve">504 </w:t>
      </w:r>
      <w:r>
        <w:t xml:space="preserve">additional challenges emerging from Country Reports and/or MoU. </w:t>
      </w:r>
    </w:p>
    <w:p w:rsidR="006F7C35" w:rsidRDefault="006F7C35" w:rsidP="00855E30">
      <w:r>
        <w:t xml:space="preserve">If we look at the nature of policy recommendations, we can distinguish between those suggesting to invest in a certain field </w:t>
      </w:r>
      <w:r w:rsidR="008413A7">
        <w:t xml:space="preserve">in order </w:t>
      </w:r>
      <w:r>
        <w:t xml:space="preserve">to achieve a specific </w:t>
      </w:r>
      <w:r w:rsidR="008413A7">
        <w:t xml:space="preserve">policy </w:t>
      </w:r>
      <w:r>
        <w:t>goal, those suggesting the need for a regulatory change and those suggesting the need for combining investment</w:t>
      </w:r>
      <w:r w:rsidR="008413A7">
        <w:t>s</w:t>
      </w:r>
      <w:r>
        <w:t xml:space="preserve"> and regulatory changes.</w:t>
      </w:r>
    </w:p>
    <w:p w:rsidR="00F07884" w:rsidRDefault="006F7C35" w:rsidP="00855E30">
      <w:r>
        <w:t xml:space="preserve">The following figure shows the distribution of </w:t>
      </w:r>
      <w:r w:rsidR="007D3A95">
        <w:t xml:space="preserve">cohesion relevant </w:t>
      </w:r>
      <w:r w:rsidR="00F07884">
        <w:t xml:space="preserve">policy recommendations and additional challenges by their nature, namely the kind of change that they require to be pursued. Most of them, </w:t>
      </w:r>
      <w:r w:rsidR="00A315D3">
        <w:t xml:space="preserve">578 or </w:t>
      </w:r>
      <w:r w:rsidR="007D3A95">
        <w:t>53%</w:t>
      </w:r>
      <w:r w:rsidR="00F07884">
        <w:t xml:space="preserve"> of the total, simultaneously require investments as well as a regulatory change. </w:t>
      </w:r>
      <w:r w:rsidR="00A315D3">
        <w:t xml:space="preserve">372 or </w:t>
      </w:r>
      <w:r w:rsidR="007D3A95">
        <w:t xml:space="preserve">34% of </w:t>
      </w:r>
      <w:r w:rsidR="00F07884">
        <w:t xml:space="preserve">recommendations/structural challenges imply investment choices and </w:t>
      </w:r>
      <w:r w:rsidR="00A315D3">
        <w:t xml:space="preserve">142 or </w:t>
      </w:r>
      <w:r w:rsidR="007D3A95">
        <w:t xml:space="preserve">13% </w:t>
      </w:r>
      <w:r w:rsidR="00F07884">
        <w:t>involv</w:t>
      </w:r>
      <w:r w:rsidR="007D3A95">
        <w:t xml:space="preserve">e </w:t>
      </w:r>
      <w:r w:rsidR="00F07884">
        <w:t xml:space="preserve">only regulatory changes. </w:t>
      </w:r>
    </w:p>
    <w:p w:rsidR="00F07884" w:rsidRDefault="00F07884" w:rsidP="00855E30"/>
    <w:p w:rsidR="006F7C35" w:rsidRDefault="00F07884" w:rsidP="00F07884">
      <w:pPr>
        <w:pStyle w:val="Caption"/>
      </w:pPr>
      <w:r>
        <w:t xml:space="preserve">Figure </w:t>
      </w:r>
      <w:r w:rsidR="00C52F7F">
        <w:fldChar w:fldCharType="begin"/>
      </w:r>
      <w:r w:rsidR="00F62F72">
        <w:instrText xml:space="preserve"> SEQ Figure \* ARABIC </w:instrText>
      </w:r>
      <w:r w:rsidR="00C52F7F">
        <w:fldChar w:fldCharType="separate"/>
      </w:r>
      <w:r w:rsidR="00183DCC">
        <w:rPr>
          <w:noProof/>
        </w:rPr>
        <w:t>3</w:t>
      </w:r>
      <w:r w:rsidR="00C52F7F">
        <w:rPr>
          <w:noProof/>
        </w:rPr>
        <w:fldChar w:fldCharType="end"/>
      </w:r>
      <w:r>
        <w:t xml:space="preserve"> - Nature of </w:t>
      </w:r>
      <w:r w:rsidR="007D3A95">
        <w:t xml:space="preserve">cohesion relevant </w:t>
      </w:r>
      <w:r>
        <w:t>policy recommendations: investment vs. regulatory changes</w:t>
      </w:r>
      <w:r w:rsidR="00D32A6A">
        <w:t xml:space="preserve"> (%)</w:t>
      </w:r>
    </w:p>
    <w:p w:rsidR="007D3A95" w:rsidRDefault="007D3A95" w:rsidP="00807960">
      <w:r>
        <w:rPr>
          <w:noProof/>
          <w:lang w:eastAsia="en-GB"/>
        </w:rPr>
        <w:drawing>
          <wp:inline distT="0" distB="0" distL="0" distR="0" wp14:anchorId="64F9F002" wp14:editId="6379718A">
            <wp:extent cx="4572635" cy="2804160"/>
            <wp:effectExtent l="0" t="0" r="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72635" cy="2804160"/>
                    </a:xfrm>
                    <a:prstGeom prst="rect">
                      <a:avLst/>
                    </a:prstGeom>
                    <a:noFill/>
                  </pic:spPr>
                </pic:pic>
              </a:graphicData>
            </a:graphic>
          </wp:inline>
        </w:drawing>
      </w:r>
    </w:p>
    <w:p w:rsidR="008413A7" w:rsidRDefault="008413A7" w:rsidP="008413A7">
      <w:r w:rsidRPr="00133E17">
        <w:t xml:space="preserve">Source: Own elaboration </w:t>
      </w:r>
      <w:r>
        <w:t>based on mapping of CSR, Country Reports and MoU 2012-2015</w:t>
      </w:r>
      <w:r w:rsidRPr="00133E17">
        <w:t>.</w:t>
      </w:r>
    </w:p>
    <w:p w:rsidR="00982393" w:rsidRDefault="00982393" w:rsidP="008413A7"/>
    <w:p w:rsidR="00982393" w:rsidRDefault="00982393" w:rsidP="00982393">
      <w:pPr>
        <w:pStyle w:val="Heading3"/>
      </w:pPr>
      <w:bookmarkStart w:id="15" w:name="_Toc466826784"/>
      <w:r>
        <w:t>Single policy recommendations (CSR sub-parts) and other structural challenges by policy area</w:t>
      </w:r>
      <w:bookmarkEnd w:id="15"/>
      <w:r>
        <w:t xml:space="preserve"> </w:t>
      </w:r>
    </w:p>
    <w:p w:rsidR="00855E30" w:rsidRDefault="00716523" w:rsidP="00855E30">
      <w:r>
        <w:t>T</w:t>
      </w:r>
      <w:r w:rsidR="00855E30">
        <w:t xml:space="preserve">he analysis of challenges by policy area, which is the basis of the analyses of the following tasks of the study, takes stock of a total of </w:t>
      </w:r>
      <w:r w:rsidR="006A313B">
        <w:t>1,503</w:t>
      </w:r>
      <w:r w:rsidR="00855E30">
        <w:t xml:space="preserve"> single policy recommendations (</w:t>
      </w:r>
      <w:r w:rsidR="006A313B">
        <w:t xml:space="preserve">999 </w:t>
      </w:r>
      <w:r w:rsidR="00855E30">
        <w:t xml:space="preserve">CSR sub-parts + </w:t>
      </w:r>
      <w:r w:rsidR="006A313B">
        <w:t>504</w:t>
      </w:r>
      <w:r w:rsidR="00855E30">
        <w:t xml:space="preserve"> additional challenges</w:t>
      </w:r>
      <w:r w:rsidR="008413A7">
        <w:t xml:space="preserve"> from Country Reports and MoU</w:t>
      </w:r>
      <w:r w:rsidR="00DF2A6E">
        <w:t>; of these</w:t>
      </w:r>
      <w:r w:rsidR="007C6E05">
        <w:t>,</w:t>
      </w:r>
      <w:r w:rsidR="00DF2A6E">
        <w:t xml:space="preserve"> 1,0</w:t>
      </w:r>
      <w:r w:rsidR="007D3A95">
        <w:t>92</w:t>
      </w:r>
      <w:r w:rsidR="00DF2A6E">
        <w:t xml:space="preserve"> are ESIF relevant</w:t>
      </w:r>
      <w:r w:rsidR="00855E30">
        <w:t xml:space="preserve">). </w:t>
      </w:r>
    </w:p>
    <w:p w:rsidR="00855E30" w:rsidRDefault="00855E30" w:rsidP="00855E30">
      <w:r>
        <w:t xml:space="preserve">The distribution of the </w:t>
      </w:r>
      <w:r w:rsidR="006A313B">
        <w:t xml:space="preserve">999 </w:t>
      </w:r>
      <w:r>
        <w:t xml:space="preserve">sub-parts of CSR by policy area is shown in the following figure. The grey bars highlight policy recommendations which cannot be directly linked to Thematic Objectives as they concern public finance and taxation, pension systems, competition and liberalisation, banking reform, corruption and shadow economy, reform of public-owned enterprises. This group of recommendations represents </w:t>
      </w:r>
      <w:r w:rsidR="006A313B">
        <w:t xml:space="preserve">less than </w:t>
      </w:r>
      <w:r>
        <w:t xml:space="preserve">1/3 of the total number of CSR sub-parts. </w:t>
      </w:r>
    </w:p>
    <w:p w:rsidR="00855E30" w:rsidRDefault="00855E30" w:rsidP="00855E30">
      <w:r>
        <w:t>The most important area in this groups is public finance and taxation (13.7% of the total recommendations) followed by pension systems and recommendations encouraging competition as well as liberalisation of services. These areas account respectively for 5.6% and 5.2% of the total.</w:t>
      </w:r>
    </w:p>
    <w:p w:rsidR="00855E30" w:rsidRDefault="00855E30" w:rsidP="00716523">
      <w:r>
        <w:t xml:space="preserve">The blue bars in the graph indicate cohesion relevant recommendations, namely those which can be directly linked to TOs. This group includes </w:t>
      </w:r>
      <w:r w:rsidR="007D3A95">
        <w:t xml:space="preserve">665 </w:t>
      </w:r>
      <w:r>
        <w:t xml:space="preserve">policy recommendations and accounts for approx. </w:t>
      </w:r>
      <w:r w:rsidR="007A13D0">
        <w:t>66</w:t>
      </w:r>
      <w:r>
        <w:t>% of the total. As shown in the graph, the most important category is a</w:t>
      </w:r>
      <w:r w:rsidRPr="00094D4B">
        <w:t>ccess to employment</w:t>
      </w:r>
      <w:r>
        <w:t xml:space="preserve"> and</w:t>
      </w:r>
      <w:r w:rsidRPr="00094D4B">
        <w:t xml:space="preserve"> employability of workers (includ</w:t>
      </w:r>
      <w:r>
        <w:t>ing</w:t>
      </w:r>
      <w:r w:rsidRPr="00094D4B">
        <w:t xml:space="preserve"> activation, LM particip</w:t>
      </w:r>
      <w:r>
        <w:t>ation</w:t>
      </w:r>
      <w:r w:rsidRPr="00094D4B">
        <w:t>, labour tax wedge)</w:t>
      </w:r>
      <w:r>
        <w:t xml:space="preserve"> which represents 11.</w:t>
      </w:r>
      <w:r w:rsidR="007A13D0">
        <w:t>5</w:t>
      </w:r>
      <w:r>
        <w:t>% of the total number of recommendations in Europe. This is followed by: i</w:t>
      </w:r>
      <w:r w:rsidRPr="00094D4B">
        <w:t>nstitutional capacity, public administration and justice systems</w:t>
      </w:r>
      <w:r>
        <w:t xml:space="preserve"> (7.</w:t>
      </w:r>
      <w:r w:rsidR="007A13D0">
        <w:t>1</w:t>
      </w:r>
      <w:r>
        <w:t xml:space="preserve">% of total) and by energy networks, renewable energy sources (RES) and </w:t>
      </w:r>
      <w:r w:rsidR="00716523">
        <w:t>GHG emissions (5.</w:t>
      </w:r>
      <w:r w:rsidR="007A13D0">
        <w:t>7</w:t>
      </w:r>
      <w:r w:rsidR="00716523">
        <w:t xml:space="preserve">% of total). </w:t>
      </w:r>
    </w:p>
    <w:p w:rsidR="008413A7" w:rsidRDefault="008413A7" w:rsidP="00716523"/>
    <w:p w:rsidR="00855E30" w:rsidRDefault="00855E30" w:rsidP="00855E30">
      <w:pPr>
        <w:pStyle w:val="Caption"/>
        <w:keepNext/>
      </w:pPr>
      <w:r>
        <w:t xml:space="preserve">Figure </w:t>
      </w:r>
      <w:r w:rsidR="00C52F7F">
        <w:fldChar w:fldCharType="begin"/>
      </w:r>
      <w:r w:rsidR="00F62F72">
        <w:instrText xml:space="preserve"> SEQ Figure \* ARABIC </w:instrText>
      </w:r>
      <w:r w:rsidR="00C52F7F">
        <w:fldChar w:fldCharType="separate"/>
      </w:r>
      <w:r w:rsidR="00183DCC">
        <w:rPr>
          <w:noProof/>
        </w:rPr>
        <w:t>4</w:t>
      </w:r>
      <w:r w:rsidR="00C52F7F">
        <w:rPr>
          <w:noProof/>
        </w:rPr>
        <w:fldChar w:fldCharType="end"/>
      </w:r>
      <w:r>
        <w:t xml:space="preserve"> - Distribution of policy recommendations (CSR sub-parts) by policy area (% of total)</w:t>
      </w:r>
    </w:p>
    <w:p w:rsidR="006A313B" w:rsidRPr="006A313B" w:rsidRDefault="007A13D0" w:rsidP="002B3BB7">
      <w:r>
        <w:rPr>
          <w:noProof/>
          <w:lang w:eastAsia="en-GB"/>
        </w:rPr>
        <w:drawing>
          <wp:inline distT="0" distB="0" distL="0" distR="0" wp14:anchorId="45059BCA" wp14:editId="03367A5D">
            <wp:extent cx="5684520" cy="4337713"/>
            <wp:effectExtent l="0" t="0" r="0" b="0"/>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688590" cy="4340818"/>
                    </a:xfrm>
                    <a:prstGeom prst="rect">
                      <a:avLst/>
                    </a:prstGeom>
                    <a:noFill/>
                  </pic:spPr>
                </pic:pic>
              </a:graphicData>
            </a:graphic>
          </wp:inline>
        </w:drawing>
      </w:r>
    </w:p>
    <w:p w:rsidR="008413A7" w:rsidRDefault="008413A7" w:rsidP="008413A7">
      <w:r w:rsidRPr="00133E17">
        <w:t xml:space="preserve">Source: Own elaboration </w:t>
      </w:r>
      <w:r>
        <w:t>based on mapping of CSR 2012-2015</w:t>
      </w:r>
      <w:r w:rsidRPr="00133E17">
        <w:t>.</w:t>
      </w:r>
    </w:p>
    <w:p w:rsidR="008413A7" w:rsidRDefault="008413A7" w:rsidP="00855E30">
      <w:pPr>
        <w:tabs>
          <w:tab w:val="left" w:pos="7140"/>
        </w:tabs>
      </w:pPr>
    </w:p>
    <w:p w:rsidR="005614F2" w:rsidRDefault="005614F2" w:rsidP="005614F2">
      <w:pPr>
        <w:tabs>
          <w:tab w:val="left" w:pos="7140"/>
        </w:tabs>
      </w:pPr>
      <w:r>
        <w:t xml:space="preserve">The relative importance of the other policy areas varies considerably. A significant share of policy recommendations concern the labour market. For instance, improving the labour market relevance of education and training systems (including VET systems) represents 4.8% of total recommendations and labour market integration of young people accounts for 4.4% of the total. </w:t>
      </w:r>
    </w:p>
    <w:p w:rsidR="005614F2" w:rsidRDefault="005614F2" w:rsidP="005614F2">
      <w:pPr>
        <w:tabs>
          <w:tab w:val="left" w:pos="7140"/>
        </w:tabs>
      </w:pPr>
      <w:r>
        <w:t xml:space="preserve">On the opposite side of the scale, environmental protection and resource efficiency account altogether for only 0.3% of the total. Obviously the situation is differentiated across countries as illustrated in the country graphs (see paragraph 2.4). </w:t>
      </w:r>
    </w:p>
    <w:p w:rsidR="005614F2" w:rsidRDefault="005614F2" w:rsidP="005614F2">
      <w:pPr>
        <w:tabs>
          <w:tab w:val="left" w:pos="7140"/>
        </w:tabs>
      </w:pPr>
      <w:r>
        <w:t xml:space="preserve">The picture emerging from the Country Reports (see figure below) is considerably different as these documents are much more comprehensive than CSR in terms of policy areas covered. The distribution of these additional challenges by policy area shows a prevalence of cohesion relevant challenges, the red bars in the following graph (85% of the total challenges extracted in addition to CSR), and a significant role of policy areas less frequently targeted by CSR such as transport, resource efficiency, research, technological development and innovation.  </w:t>
      </w:r>
    </w:p>
    <w:p w:rsidR="005614F2" w:rsidRDefault="005614F2" w:rsidP="005614F2">
      <w:pPr>
        <w:tabs>
          <w:tab w:val="left" w:pos="7140"/>
        </w:tabs>
      </w:pPr>
      <w:r>
        <w:t xml:space="preserve">Institutional capacity is the most important cohesion relevant policy area, addressed in 11% of the total number of challenges. This is followed by energy networks, renewable energy sources and emissions (9.7%) and transport (8.9%). The policy areas which are less frequently targeted are housing and other social infrastructure as well as deprived urban and rural communities (0.2% each).     </w:t>
      </w:r>
    </w:p>
    <w:p w:rsidR="005614F2" w:rsidRDefault="005614F2" w:rsidP="005614F2">
      <w:pPr>
        <w:tabs>
          <w:tab w:val="left" w:pos="7140"/>
        </w:tabs>
      </w:pPr>
    </w:p>
    <w:p w:rsidR="005614F2" w:rsidRDefault="005614F2" w:rsidP="005614F2">
      <w:pPr>
        <w:pStyle w:val="Caption"/>
        <w:keepNext/>
      </w:pPr>
      <w:r>
        <w:t xml:space="preserve">Figure </w:t>
      </w:r>
      <w:fldSimple w:instr=" SEQ Figure \* ARABIC ">
        <w:r w:rsidR="00183DCC">
          <w:rPr>
            <w:noProof/>
          </w:rPr>
          <w:t>5</w:t>
        </w:r>
      </w:fldSimple>
      <w:r>
        <w:t xml:space="preserve"> - Distribution of structural challenges from Country Reports/MoU by policy area (% of total)</w:t>
      </w:r>
    </w:p>
    <w:p w:rsidR="005614F2" w:rsidRPr="007A13D0" w:rsidRDefault="005614F2" w:rsidP="005614F2">
      <w:r>
        <w:rPr>
          <w:noProof/>
          <w:lang w:eastAsia="en-GB"/>
        </w:rPr>
        <w:drawing>
          <wp:inline distT="0" distB="0" distL="0" distR="0" wp14:anchorId="5C00FD6D" wp14:editId="2D072EEB">
            <wp:extent cx="5630334" cy="4009900"/>
            <wp:effectExtent l="0" t="0" r="8890" b="0"/>
            <wp:docPr id="44"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36775" cy="4014487"/>
                    </a:xfrm>
                    <a:prstGeom prst="rect">
                      <a:avLst/>
                    </a:prstGeom>
                    <a:noFill/>
                  </pic:spPr>
                </pic:pic>
              </a:graphicData>
            </a:graphic>
          </wp:inline>
        </w:drawing>
      </w:r>
    </w:p>
    <w:p w:rsidR="005614F2" w:rsidRDefault="005614F2" w:rsidP="005614F2">
      <w:r w:rsidRPr="00133E17">
        <w:t xml:space="preserve">Source: Own elaboration </w:t>
      </w:r>
      <w:r>
        <w:t>based on mapping of Country Reports and MoU 2012-2015</w:t>
      </w:r>
      <w:r w:rsidRPr="00133E17">
        <w:t>.</w:t>
      </w:r>
    </w:p>
    <w:p w:rsidR="005614F2" w:rsidRDefault="005614F2" w:rsidP="005614F2">
      <w:pPr>
        <w:jc w:val="left"/>
      </w:pPr>
    </w:p>
    <w:p w:rsidR="005614F2" w:rsidRDefault="005614F2" w:rsidP="005614F2">
      <w:pPr>
        <w:jc w:val="left"/>
      </w:pPr>
      <w:r>
        <w:t>Some key messages emerge from the country analysis of trends and the distribution of recommendations and structural challenges across policy areas:</w:t>
      </w:r>
    </w:p>
    <w:p w:rsidR="005614F2" w:rsidRDefault="005614F2" w:rsidP="005614F2">
      <w:pPr>
        <w:pStyle w:val="Bulletpoint1"/>
      </w:pPr>
      <w:r>
        <w:t>There is an overall consistency of trends over time,</w:t>
      </w:r>
      <w:r w:rsidRPr="00F56064">
        <w:t xml:space="preserve"> </w:t>
      </w:r>
      <w:r>
        <w:t xml:space="preserve">meaning that the number of CSR sub-parts grew until 2014 and then dropped significantly roughly everywhere. </w:t>
      </w:r>
    </w:p>
    <w:p w:rsidR="005614F2" w:rsidRDefault="005614F2" w:rsidP="005614F2">
      <w:pPr>
        <w:pStyle w:val="Bulletpoint1"/>
      </w:pPr>
      <w:r>
        <w:t>The number of policy areas targeted and relative importance of specific areas varies across countries. A wide range of policy are addressed in most EU13 MS  while there is more concentration in EU15.</w:t>
      </w:r>
    </w:p>
    <w:p w:rsidR="005614F2" w:rsidRDefault="005614F2" w:rsidP="005614F2">
      <w:pPr>
        <w:pStyle w:val="Bulletpoint1"/>
      </w:pPr>
      <w:r>
        <w:t xml:space="preserve">While there was a streamlining in the number and contents of CSR since 2015, the scope and depth of the Country Reports was highly detailed throughout the period and deepened in 2015. </w:t>
      </w:r>
    </w:p>
    <w:p w:rsidR="006B3400" w:rsidRDefault="005614F2" w:rsidP="005614F2">
      <w:pPr>
        <w:pStyle w:val="Bulletpoint1"/>
      </w:pPr>
      <w:r>
        <w:t>Institutional capacity and public administration is among the most important policy areas targeted by CSR and/or Country Reports across EU13 MS.</w:t>
      </w:r>
    </w:p>
    <w:p w:rsidR="006B3400" w:rsidRDefault="006B3400" w:rsidP="00855E30">
      <w:pPr>
        <w:tabs>
          <w:tab w:val="left" w:pos="7140"/>
        </w:tabs>
        <w:sectPr w:rsidR="006B3400" w:rsidSect="0061607F">
          <w:footerReference w:type="default" r:id="rId25"/>
          <w:pgSz w:w="11907" w:h="16839" w:code="9"/>
          <w:pgMar w:top="1418" w:right="1418" w:bottom="851" w:left="1701" w:header="567" w:footer="720" w:gutter="0"/>
          <w:cols w:space="720"/>
          <w:docGrid w:linePitch="326"/>
        </w:sectPr>
      </w:pPr>
    </w:p>
    <w:p w:rsidR="00183EE0" w:rsidRPr="00183EE0" w:rsidRDefault="00E71DC1" w:rsidP="00BD271B">
      <w:pPr>
        <w:pStyle w:val="Caption"/>
      </w:pPr>
      <w:r>
        <w:t xml:space="preserve">Table </w:t>
      </w:r>
      <w:r w:rsidR="00C52F7F">
        <w:fldChar w:fldCharType="begin"/>
      </w:r>
      <w:r>
        <w:instrText xml:space="preserve"> SEQ Table \* ARABIC </w:instrText>
      </w:r>
      <w:r w:rsidR="00C52F7F">
        <w:fldChar w:fldCharType="separate"/>
      </w:r>
      <w:r w:rsidR="00584B95">
        <w:rPr>
          <w:noProof/>
        </w:rPr>
        <w:t>4</w:t>
      </w:r>
      <w:r w:rsidR="00C52F7F">
        <w:fldChar w:fldCharType="end"/>
      </w:r>
      <w:r>
        <w:t xml:space="preserve"> </w:t>
      </w:r>
      <w:r w:rsidR="00183EE0">
        <w:t xml:space="preserve">– </w:t>
      </w:r>
      <w:r w:rsidR="00626ECE">
        <w:t xml:space="preserve">ESIF relevant </w:t>
      </w:r>
      <w:r w:rsidRPr="00CD2DE9">
        <w:t xml:space="preserve">CSR (sub-parts) </w:t>
      </w:r>
      <w:r w:rsidR="007D5040">
        <w:t xml:space="preserve">and structural challenges </w:t>
      </w:r>
      <w:r w:rsidRPr="00CD2DE9">
        <w:t>by Member State</w:t>
      </w:r>
      <w:r w:rsidR="007D5040">
        <w:t xml:space="preserve"> and </w:t>
      </w:r>
      <w:r w:rsidRPr="00CD2DE9">
        <w:t>policy area</w:t>
      </w:r>
    </w:p>
    <w:tbl>
      <w:tblPr>
        <w:tblStyle w:val="TableGrid"/>
        <w:tblW w:w="5000" w:type="pct"/>
        <w:tblLayout w:type="fixed"/>
        <w:tblLook w:val="04A0" w:firstRow="1" w:lastRow="0" w:firstColumn="1" w:lastColumn="0" w:noHBand="0" w:noVBand="1"/>
      </w:tblPr>
      <w:tblGrid>
        <w:gridCol w:w="673"/>
        <w:gridCol w:w="706"/>
        <w:gridCol w:w="712"/>
        <w:gridCol w:w="567"/>
        <w:gridCol w:w="565"/>
        <w:gridCol w:w="568"/>
        <w:gridCol w:w="568"/>
        <w:gridCol w:w="568"/>
        <w:gridCol w:w="568"/>
        <w:gridCol w:w="568"/>
        <w:gridCol w:w="565"/>
        <w:gridCol w:w="571"/>
        <w:gridCol w:w="568"/>
        <w:gridCol w:w="556"/>
        <w:gridCol w:w="571"/>
        <w:gridCol w:w="710"/>
        <w:gridCol w:w="568"/>
        <w:gridCol w:w="565"/>
        <w:gridCol w:w="568"/>
        <w:gridCol w:w="568"/>
        <w:gridCol w:w="568"/>
        <w:gridCol w:w="1428"/>
        <w:gridCol w:w="917"/>
      </w:tblGrid>
      <w:tr w:rsidR="00E20723" w:rsidRPr="0025420D" w:rsidTr="00807960">
        <w:tc>
          <w:tcPr>
            <w:tcW w:w="228" w:type="pct"/>
            <w:shd w:val="clear" w:color="auto" w:fill="BFBFBF" w:themeFill="background1" w:themeFillShade="BF"/>
            <w:noWrap/>
            <w:vAlign w:val="center"/>
          </w:tcPr>
          <w:p w:rsidR="007C6E05" w:rsidRPr="0025420D" w:rsidRDefault="007C6E05" w:rsidP="007C6E05">
            <w:pPr>
              <w:tabs>
                <w:tab w:val="left" w:pos="7140"/>
              </w:tabs>
              <w:jc w:val="center"/>
              <w:rPr>
                <w:b/>
                <w:bCs/>
                <w:sz w:val="16"/>
                <w:szCs w:val="16"/>
              </w:rPr>
            </w:pPr>
          </w:p>
        </w:tc>
        <w:tc>
          <w:tcPr>
            <w:tcW w:w="4462" w:type="pct"/>
            <w:gridSpan w:val="21"/>
            <w:shd w:val="clear" w:color="auto" w:fill="BFBFBF" w:themeFill="background1" w:themeFillShade="BF"/>
            <w:noWrap/>
          </w:tcPr>
          <w:p w:rsidR="007C6E05" w:rsidRPr="00E71DC1" w:rsidRDefault="007C6E05" w:rsidP="007C6E05">
            <w:pPr>
              <w:tabs>
                <w:tab w:val="left" w:pos="7140"/>
              </w:tabs>
              <w:jc w:val="left"/>
              <w:rPr>
                <w:b/>
                <w:bCs/>
                <w:szCs w:val="20"/>
              </w:rPr>
            </w:pPr>
            <w:r w:rsidRPr="00E71DC1">
              <w:rPr>
                <w:b/>
                <w:bCs/>
                <w:szCs w:val="20"/>
              </w:rPr>
              <w:t>Policy areas</w:t>
            </w:r>
            <w:r w:rsidRPr="00E71DC1">
              <w:rPr>
                <w:bCs/>
                <w:szCs w:val="20"/>
              </w:rPr>
              <w:t xml:space="preserve"> (see </w:t>
            </w:r>
            <w:r w:rsidR="00E20723">
              <w:rPr>
                <w:bCs/>
                <w:szCs w:val="20"/>
              </w:rPr>
              <w:t xml:space="preserve">detailed </w:t>
            </w:r>
            <w:r w:rsidRPr="00E71DC1">
              <w:rPr>
                <w:bCs/>
                <w:szCs w:val="20"/>
              </w:rPr>
              <w:t>coding below)</w:t>
            </w:r>
          </w:p>
        </w:tc>
        <w:tc>
          <w:tcPr>
            <w:tcW w:w="310" w:type="pct"/>
            <w:shd w:val="clear" w:color="auto" w:fill="BFBFBF" w:themeFill="background1" w:themeFillShade="BF"/>
            <w:noWrap/>
            <w:vAlign w:val="center"/>
          </w:tcPr>
          <w:p w:rsidR="007C6E05" w:rsidRPr="0025420D" w:rsidRDefault="007C6E05" w:rsidP="007C6E05">
            <w:pPr>
              <w:tabs>
                <w:tab w:val="left" w:pos="7140"/>
              </w:tabs>
              <w:jc w:val="center"/>
              <w:rPr>
                <w:b/>
                <w:bCs/>
                <w:sz w:val="16"/>
                <w:szCs w:val="16"/>
              </w:rPr>
            </w:pPr>
            <w:r w:rsidRPr="0025420D">
              <w:rPr>
                <w:b/>
                <w:bCs/>
                <w:sz w:val="16"/>
                <w:szCs w:val="16"/>
              </w:rPr>
              <w:t>TOT</w:t>
            </w:r>
          </w:p>
        </w:tc>
      </w:tr>
      <w:tr w:rsidR="00E20723" w:rsidRPr="0025420D" w:rsidTr="00807960">
        <w:tc>
          <w:tcPr>
            <w:tcW w:w="228" w:type="pct"/>
            <w:shd w:val="clear" w:color="auto" w:fill="BFBFBF" w:themeFill="background1" w:themeFillShade="BF"/>
            <w:noWrap/>
          </w:tcPr>
          <w:p w:rsidR="00E20723" w:rsidRPr="0025420D" w:rsidRDefault="00E20723" w:rsidP="007C6E05">
            <w:pPr>
              <w:tabs>
                <w:tab w:val="left" w:pos="7140"/>
              </w:tabs>
              <w:rPr>
                <w:b/>
                <w:bCs/>
                <w:sz w:val="16"/>
                <w:szCs w:val="16"/>
              </w:rPr>
            </w:pPr>
          </w:p>
        </w:tc>
        <w:tc>
          <w:tcPr>
            <w:tcW w:w="480" w:type="pct"/>
            <w:gridSpan w:val="2"/>
            <w:shd w:val="clear" w:color="auto" w:fill="BFBFBF" w:themeFill="background1" w:themeFillShade="BF"/>
            <w:noWrap/>
            <w:vAlign w:val="center"/>
          </w:tcPr>
          <w:p w:rsidR="00E20723" w:rsidRDefault="00E20723" w:rsidP="00807960">
            <w:pPr>
              <w:tabs>
                <w:tab w:val="left" w:pos="7140"/>
              </w:tabs>
              <w:jc w:val="center"/>
              <w:rPr>
                <w:b/>
                <w:bCs/>
                <w:sz w:val="16"/>
                <w:szCs w:val="16"/>
              </w:rPr>
            </w:pPr>
            <w:r>
              <w:rPr>
                <w:b/>
                <w:bCs/>
                <w:sz w:val="16"/>
                <w:szCs w:val="16"/>
              </w:rPr>
              <w:t>Business and innovation environment</w:t>
            </w:r>
          </w:p>
        </w:tc>
        <w:tc>
          <w:tcPr>
            <w:tcW w:w="959" w:type="pct"/>
            <w:gridSpan w:val="5"/>
            <w:shd w:val="clear" w:color="auto" w:fill="BFBFBF" w:themeFill="background1" w:themeFillShade="BF"/>
            <w:noWrap/>
            <w:vAlign w:val="center"/>
          </w:tcPr>
          <w:p w:rsidR="00E20723" w:rsidRDefault="00E20723" w:rsidP="00807960">
            <w:pPr>
              <w:tabs>
                <w:tab w:val="left" w:pos="7140"/>
              </w:tabs>
              <w:jc w:val="center"/>
              <w:rPr>
                <w:b/>
                <w:bCs/>
                <w:sz w:val="16"/>
                <w:szCs w:val="16"/>
              </w:rPr>
            </w:pPr>
            <w:r>
              <w:rPr>
                <w:b/>
                <w:bCs/>
                <w:sz w:val="16"/>
                <w:szCs w:val="16"/>
              </w:rPr>
              <w:t>Network industries and environment</w:t>
            </w:r>
          </w:p>
        </w:tc>
        <w:tc>
          <w:tcPr>
            <w:tcW w:w="575" w:type="pct"/>
            <w:gridSpan w:val="3"/>
            <w:shd w:val="clear" w:color="auto" w:fill="BFBFBF" w:themeFill="background1" w:themeFillShade="BF"/>
            <w:noWrap/>
            <w:vAlign w:val="center"/>
          </w:tcPr>
          <w:p w:rsidR="00E20723" w:rsidRPr="0025420D" w:rsidRDefault="00E20723" w:rsidP="00807960">
            <w:pPr>
              <w:tabs>
                <w:tab w:val="left" w:pos="7140"/>
              </w:tabs>
              <w:jc w:val="center"/>
              <w:rPr>
                <w:b/>
                <w:bCs/>
                <w:sz w:val="16"/>
                <w:szCs w:val="16"/>
              </w:rPr>
            </w:pPr>
            <w:r w:rsidRPr="00E20723">
              <w:rPr>
                <w:b/>
                <w:bCs/>
                <w:sz w:val="16"/>
                <w:szCs w:val="16"/>
              </w:rPr>
              <w:t>Active labour market and employment</w:t>
            </w:r>
          </w:p>
        </w:tc>
        <w:tc>
          <w:tcPr>
            <w:tcW w:w="766" w:type="pct"/>
            <w:gridSpan w:val="4"/>
            <w:shd w:val="clear" w:color="auto" w:fill="BFBFBF" w:themeFill="background1" w:themeFillShade="BF"/>
            <w:noWrap/>
            <w:vAlign w:val="center"/>
          </w:tcPr>
          <w:p w:rsidR="00E20723" w:rsidRPr="0025420D" w:rsidRDefault="00E20723" w:rsidP="00807960">
            <w:pPr>
              <w:tabs>
                <w:tab w:val="left" w:pos="7140"/>
              </w:tabs>
              <w:jc w:val="center"/>
              <w:rPr>
                <w:b/>
                <w:bCs/>
                <w:sz w:val="16"/>
                <w:szCs w:val="16"/>
              </w:rPr>
            </w:pPr>
            <w:r w:rsidRPr="00E20723">
              <w:rPr>
                <w:b/>
                <w:bCs/>
                <w:sz w:val="16"/>
                <w:szCs w:val="16"/>
              </w:rPr>
              <w:t>Inclusion, discrimination and poverty</w:t>
            </w:r>
          </w:p>
        </w:tc>
        <w:tc>
          <w:tcPr>
            <w:tcW w:w="432" w:type="pct"/>
            <w:gridSpan w:val="2"/>
            <w:shd w:val="clear" w:color="auto" w:fill="BFBFBF" w:themeFill="background1" w:themeFillShade="BF"/>
            <w:noWrap/>
            <w:vAlign w:val="center"/>
          </w:tcPr>
          <w:p w:rsidR="00E20723" w:rsidRPr="0025420D" w:rsidRDefault="00E20723" w:rsidP="00807960">
            <w:pPr>
              <w:tabs>
                <w:tab w:val="left" w:pos="7140"/>
              </w:tabs>
              <w:jc w:val="center"/>
              <w:rPr>
                <w:b/>
                <w:bCs/>
                <w:sz w:val="16"/>
                <w:szCs w:val="16"/>
              </w:rPr>
            </w:pPr>
            <w:r w:rsidRPr="00E20723">
              <w:rPr>
                <w:b/>
                <w:bCs/>
                <w:sz w:val="16"/>
                <w:szCs w:val="16"/>
              </w:rPr>
              <w:t xml:space="preserve">Health </w:t>
            </w:r>
            <w:r>
              <w:rPr>
                <w:b/>
                <w:bCs/>
                <w:sz w:val="16"/>
                <w:szCs w:val="16"/>
              </w:rPr>
              <w:t>and</w:t>
            </w:r>
            <w:r w:rsidRPr="00E20723">
              <w:rPr>
                <w:b/>
                <w:bCs/>
                <w:sz w:val="16"/>
                <w:szCs w:val="16"/>
              </w:rPr>
              <w:t xml:space="preserve"> social infrastructure</w:t>
            </w:r>
          </w:p>
        </w:tc>
        <w:tc>
          <w:tcPr>
            <w:tcW w:w="767" w:type="pct"/>
            <w:gridSpan w:val="4"/>
            <w:shd w:val="clear" w:color="auto" w:fill="BFBFBF" w:themeFill="background1" w:themeFillShade="BF"/>
            <w:noWrap/>
            <w:vAlign w:val="center"/>
          </w:tcPr>
          <w:p w:rsidR="00E20723" w:rsidRPr="0025420D" w:rsidRDefault="00E20723" w:rsidP="00807960">
            <w:pPr>
              <w:tabs>
                <w:tab w:val="left" w:pos="7140"/>
              </w:tabs>
              <w:jc w:val="center"/>
              <w:rPr>
                <w:b/>
                <w:bCs/>
                <w:sz w:val="16"/>
                <w:szCs w:val="16"/>
              </w:rPr>
            </w:pPr>
            <w:r w:rsidRPr="00E20723">
              <w:rPr>
                <w:b/>
                <w:bCs/>
                <w:sz w:val="16"/>
                <w:szCs w:val="16"/>
              </w:rPr>
              <w:t>Education and training</w:t>
            </w:r>
          </w:p>
        </w:tc>
        <w:tc>
          <w:tcPr>
            <w:tcW w:w="483" w:type="pct"/>
            <w:shd w:val="clear" w:color="auto" w:fill="BFBFBF" w:themeFill="background1" w:themeFillShade="BF"/>
            <w:noWrap/>
            <w:vAlign w:val="center"/>
          </w:tcPr>
          <w:p w:rsidR="00E20723" w:rsidRPr="0025420D" w:rsidRDefault="00E20723" w:rsidP="00807960">
            <w:pPr>
              <w:tabs>
                <w:tab w:val="left" w:pos="7140"/>
              </w:tabs>
              <w:jc w:val="center"/>
              <w:rPr>
                <w:b/>
                <w:bCs/>
                <w:sz w:val="16"/>
                <w:szCs w:val="16"/>
              </w:rPr>
            </w:pPr>
            <w:r w:rsidRPr="00E20723">
              <w:rPr>
                <w:b/>
                <w:bCs/>
                <w:sz w:val="16"/>
                <w:szCs w:val="16"/>
              </w:rPr>
              <w:t>Institutional capacity</w:t>
            </w:r>
          </w:p>
        </w:tc>
        <w:tc>
          <w:tcPr>
            <w:tcW w:w="310" w:type="pct"/>
            <w:shd w:val="clear" w:color="auto" w:fill="BFBFBF" w:themeFill="background1" w:themeFillShade="BF"/>
            <w:noWrap/>
          </w:tcPr>
          <w:p w:rsidR="00E20723" w:rsidRPr="0025420D" w:rsidRDefault="00E20723" w:rsidP="007C6E05">
            <w:pPr>
              <w:tabs>
                <w:tab w:val="left" w:pos="7140"/>
              </w:tabs>
              <w:jc w:val="right"/>
              <w:rPr>
                <w:b/>
                <w:bCs/>
                <w:sz w:val="16"/>
                <w:szCs w:val="16"/>
              </w:rPr>
            </w:pPr>
          </w:p>
        </w:tc>
      </w:tr>
      <w:tr w:rsidR="00E47AD0" w:rsidRPr="0025420D" w:rsidTr="00E20723">
        <w:tc>
          <w:tcPr>
            <w:tcW w:w="228" w:type="pct"/>
            <w:shd w:val="clear" w:color="auto" w:fill="BFBFBF" w:themeFill="background1" w:themeFillShade="BF"/>
            <w:noWrap/>
          </w:tcPr>
          <w:p w:rsidR="007C6E05" w:rsidRPr="0025420D" w:rsidRDefault="007C6E05" w:rsidP="007C6E05">
            <w:pPr>
              <w:tabs>
                <w:tab w:val="left" w:pos="7140"/>
              </w:tabs>
              <w:rPr>
                <w:b/>
                <w:bCs/>
                <w:sz w:val="16"/>
                <w:szCs w:val="16"/>
              </w:rPr>
            </w:pPr>
          </w:p>
        </w:tc>
        <w:tc>
          <w:tcPr>
            <w:tcW w:w="239" w:type="pct"/>
            <w:shd w:val="clear" w:color="auto" w:fill="BFBFBF" w:themeFill="background1" w:themeFillShade="BF"/>
            <w:noWrap/>
          </w:tcPr>
          <w:p w:rsidR="007C6E05" w:rsidRPr="0025420D" w:rsidRDefault="007C6E05" w:rsidP="007C6E05">
            <w:pPr>
              <w:tabs>
                <w:tab w:val="left" w:pos="7140"/>
              </w:tabs>
              <w:jc w:val="right"/>
              <w:rPr>
                <w:b/>
                <w:bCs/>
                <w:sz w:val="16"/>
                <w:szCs w:val="16"/>
              </w:rPr>
            </w:pPr>
            <w:r>
              <w:rPr>
                <w:b/>
                <w:bCs/>
                <w:sz w:val="16"/>
                <w:szCs w:val="16"/>
              </w:rPr>
              <w:t>0</w:t>
            </w:r>
            <w:r w:rsidRPr="0025420D">
              <w:rPr>
                <w:b/>
                <w:bCs/>
                <w:sz w:val="16"/>
                <w:szCs w:val="16"/>
              </w:rPr>
              <w:t>1</w:t>
            </w:r>
          </w:p>
        </w:tc>
        <w:tc>
          <w:tcPr>
            <w:tcW w:w="241" w:type="pct"/>
            <w:shd w:val="clear" w:color="auto" w:fill="BFBFBF" w:themeFill="background1" w:themeFillShade="BF"/>
            <w:noWrap/>
          </w:tcPr>
          <w:p w:rsidR="007C6E05" w:rsidRPr="0025420D" w:rsidRDefault="007C6E05" w:rsidP="007C6E05">
            <w:pPr>
              <w:tabs>
                <w:tab w:val="left" w:pos="7140"/>
              </w:tabs>
              <w:jc w:val="right"/>
              <w:rPr>
                <w:b/>
                <w:bCs/>
                <w:sz w:val="16"/>
                <w:szCs w:val="16"/>
              </w:rPr>
            </w:pPr>
            <w:r>
              <w:rPr>
                <w:b/>
                <w:bCs/>
                <w:sz w:val="16"/>
                <w:szCs w:val="16"/>
              </w:rPr>
              <w:t>0</w:t>
            </w:r>
            <w:r w:rsidRPr="0025420D">
              <w:rPr>
                <w:b/>
                <w:bCs/>
                <w:sz w:val="16"/>
                <w:szCs w:val="16"/>
              </w:rPr>
              <w:t>2</w:t>
            </w:r>
          </w:p>
        </w:tc>
        <w:tc>
          <w:tcPr>
            <w:tcW w:w="192" w:type="pct"/>
            <w:shd w:val="clear" w:color="auto" w:fill="BFBFBF" w:themeFill="background1" w:themeFillShade="BF"/>
            <w:noWrap/>
          </w:tcPr>
          <w:p w:rsidR="007C6E05" w:rsidRPr="0025420D" w:rsidRDefault="007C6E05" w:rsidP="007C6E05">
            <w:pPr>
              <w:tabs>
                <w:tab w:val="left" w:pos="7140"/>
              </w:tabs>
              <w:jc w:val="right"/>
              <w:rPr>
                <w:b/>
                <w:bCs/>
                <w:sz w:val="16"/>
                <w:szCs w:val="16"/>
              </w:rPr>
            </w:pPr>
            <w:r>
              <w:rPr>
                <w:b/>
                <w:bCs/>
                <w:sz w:val="16"/>
                <w:szCs w:val="16"/>
              </w:rPr>
              <w:t>0</w:t>
            </w:r>
            <w:r w:rsidRPr="0025420D">
              <w:rPr>
                <w:b/>
                <w:bCs/>
                <w:sz w:val="16"/>
                <w:szCs w:val="16"/>
              </w:rPr>
              <w:t>3</w:t>
            </w:r>
          </w:p>
        </w:tc>
        <w:tc>
          <w:tcPr>
            <w:tcW w:w="191" w:type="pct"/>
            <w:shd w:val="clear" w:color="auto" w:fill="BFBFBF" w:themeFill="background1" w:themeFillShade="BF"/>
            <w:noWrap/>
          </w:tcPr>
          <w:p w:rsidR="007C6E05" w:rsidRPr="0025420D" w:rsidRDefault="007C6E05" w:rsidP="007C6E05">
            <w:pPr>
              <w:tabs>
                <w:tab w:val="left" w:pos="7140"/>
              </w:tabs>
              <w:jc w:val="right"/>
              <w:rPr>
                <w:b/>
                <w:bCs/>
                <w:sz w:val="16"/>
                <w:szCs w:val="16"/>
              </w:rPr>
            </w:pPr>
            <w:r>
              <w:rPr>
                <w:b/>
                <w:bCs/>
                <w:sz w:val="16"/>
                <w:szCs w:val="16"/>
              </w:rPr>
              <w:t>0</w:t>
            </w:r>
            <w:r w:rsidRPr="0025420D">
              <w:rPr>
                <w:b/>
                <w:bCs/>
                <w:sz w:val="16"/>
                <w:szCs w:val="16"/>
              </w:rPr>
              <w:t>4</w:t>
            </w:r>
          </w:p>
        </w:tc>
        <w:tc>
          <w:tcPr>
            <w:tcW w:w="192" w:type="pct"/>
            <w:shd w:val="clear" w:color="auto" w:fill="BFBFBF" w:themeFill="background1" w:themeFillShade="BF"/>
            <w:noWrap/>
          </w:tcPr>
          <w:p w:rsidR="007C6E05" w:rsidRPr="0025420D" w:rsidRDefault="007C6E05" w:rsidP="007C6E05">
            <w:pPr>
              <w:tabs>
                <w:tab w:val="left" w:pos="7140"/>
              </w:tabs>
              <w:jc w:val="right"/>
              <w:rPr>
                <w:b/>
                <w:bCs/>
                <w:sz w:val="16"/>
                <w:szCs w:val="16"/>
              </w:rPr>
            </w:pPr>
            <w:r>
              <w:rPr>
                <w:b/>
                <w:bCs/>
                <w:sz w:val="16"/>
                <w:szCs w:val="16"/>
              </w:rPr>
              <w:t>0</w:t>
            </w:r>
            <w:r w:rsidRPr="0025420D">
              <w:rPr>
                <w:b/>
                <w:bCs/>
                <w:sz w:val="16"/>
                <w:szCs w:val="16"/>
              </w:rPr>
              <w:t>5</w:t>
            </w:r>
          </w:p>
        </w:tc>
        <w:tc>
          <w:tcPr>
            <w:tcW w:w="192" w:type="pct"/>
            <w:shd w:val="clear" w:color="auto" w:fill="BFBFBF" w:themeFill="background1" w:themeFillShade="BF"/>
            <w:noWrap/>
          </w:tcPr>
          <w:p w:rsidR="007C6E05" w:rsidRPr="0025420D" w:rsidRDefault="007C6E05" w:rsidP="007C6E05">
            <w:pPr>
              <w:tabs>
                <w:tab w:val="left" w:pos="7140"/>
              </w:tabs>
              <w:jc w:val="right"/>
              <w:rPr>
                <w:b/>
                <w:bCs/>
                <w:sz w:val="16"/>
                <w:szCs w:val="16"/>
              </w:rPr>
            </w:pPr>
            <w:r>
              <w:rPr>
                <w:b/>
                <w:bCs/>
                <w:sz w:val="16"/>
                <w:szCs w:val="16"/>
              </w:rPr>
              <w:t>0</w:t>
            </w:r>
            <w:r w:rsidRPr="0025420D">
              <w:rPr>
                <w:b/>
                <w:bCs/>
                <w:sz w:val="16"/>
                <w:szCs w:val="16"/>
              </w:rPr>
              <w:t>6</w:t>
            </w:r>
          </w:p>
        </w:tc>
        <w:tc>
          <w:tcPr>
            <w:tcW w:w="192" w:type="pct"/>
            <w:shd w:val="clear" w:color="auto" w:fill="BFBFBF" w:themeFill="background1" w:themeFillShade="BF"/>
            <w:noWrap/>
          </w:tcPr>
          <w:p w:rsidR="007C6E05" w:rsidRPr="0025420D" w:rsidRDefault="007C6E05" w:rsidP="007C6E05">
            <w:pPr>
              <w:tabs>
                <w:tab w:val="left" w:pos="7140"/>
              </w:tabs>
              <w:jc w:val="right"/>
              <w:rPr>
                <w:b/>
                <w:bCs/>
                <w:sz w:val="16"/>
                <w:szCs w:val="16"/>
              </w:rPr>
            </w:pPr>
            <w:r>
              <w:rPr>
                <w:b/>
                <w:bCs/>
                <w:sz w:val="16"/>
                <w:szCs w:val="16"/>
              </w:rPr>
              <w:t>0</w:t>
            </w:r>
            <w:r w:rsidRPr="0025420D">
              <w:rPr>
                <w:b/>
                <w:bCs/>
                <w:sz w:val="16"/>
                <w:szCs w:val="16"/>
              </w:rPr>
              <w:t>7</w:t>
            </w:r>
          </w:p>
        </w:tc>
        <w:tc>
          <w:tcPr>
            <w:tcW w:w="192" w:type="pct"/>
            <w:shd w:val="clear" w:color="auto" w:fill="BFBFBF" w:themeFill="background1" w:themeFillShade="BF"/>
            <w:noWrap/>
          </w:tcPr>
          <w:p w:rsidR="007C6E05" w:rsidRPr="0025420D" w:rsidRDefault="007C6E05" w:rsidP="007C6E05">
            <w:pPr>
              <w:tabs>
                <w:tab w:val="left" w:pos="7140"/>
              </w:tabs>
              <w:jc w:val="right"/>
              <w:rPr>
                <w:b/>
                <w:bCs/>
                <w:sz w:val="16"/>
                <w:szCs w:val="16"/>
              </w:rPr>
            </w:pPr>
            <w:r>
              <w:rPr>
                <w:b/>
                <w:bCs/>
                <w:sz w:val="16"/>
                <w:szCs w:val="16"/>
              </w:rPr>
              <w:t>0</w:t>
            </w:r>
            <w:r w:rsidRPr="0025420D">
              <w:rPr>
                <w:b/>
                <w:bCs/>
                <w:sz w:val="16"/>
                <w:szCs w:val="16"/>
              </w:rPr>
              <w:t>8</w:t>
            </w:r>
          </w:p>
        </w:tc>
        <w:tc>
          <w:tcPr>
            <w:tcW w:w="192" w:type="pct"/>
            <w:shd w:val="clear" w:color="auto" w:fill="BFBFBF" w:themeFill="background1" w:themeFillShade="BF"/>
            <w:noWrap/>
          </w:tcPr>
          <w:p w:rsidR="007C6E05" w:rsidRPr="0025420D" w:rsidRDefault="007C6E05" w:rsidP="007C6E05">
            <w:pPr>
              <w:tabs>
                <w:tab w:val="left" w:pos="7140"/>
              </w:tabs>
              <w:jc w:val="right"/>
              <w:rPr>
                <w:b/>
                <w:bCs/>
                <w:sz w:val="16"/>
                <w:szCs w:val="16"/>
              </w:rPr>
            </w:pPr>
            <w:r>
              <w:rPr>
                <w:b/>
                <w:bCs/>
                <w:sz w:val="16"/>
                <w:szCs w:val="16"/>
              </w:rPr>
              <w:t>0</w:t>
            </w:r>
            <w:r w:rsidRPr="0025420D">
              <w:rPr>
                <w:b/>
                <w:bCs/>
                <w:sz w:val="16"/>
                <w:szCs w:val="16"/>
              </w:rPr>
              <w:t>9</w:t>
            </w:r>
          </w:p>
        </w:tc>
        <w:tc>
          <w:tcPr>
            <w:tcW w:w="191" w:type="pct"/>
            <w:shd w:val="clear" w:color="auto" w:fill="BFBFBF" w:themeFill="background1" w:themeFillShade="BF"/>
            <w:noWrap/>
          </w:tcPr>
          <w:p w:rsidR="007C6E05" w:rsidRPr="0025420D" w:rsidRDefault="007C6E05" w:rsidP="007C6E05">
            <w:pPr>
              <w:tabs>
                <w:tab w:val="left" w:pos="7140"/>
              </w:tabs>
              <w:jc w:val="right"/>
              <w:rPr>
                <w:b/>
                <w:bCs/>
                <w:sz w:val="16"/>
                <w:szCs w:val="16"/>
              </w:rPr>
            </w:pPr>
            <w:r w:rsidRPr="0025420D">
              <w:rPr>
                <w:b/>
                <w:bCs/>
                <w:sz w:val="16"/>
                <w:szCs w:val="16"/>
              </w:rPr>
              <w:t>10</w:t>
            </w:r>
          </w:p>
        </w:tc>
        <w:tc>
          <w:tcPr>
            <w:tcW w:w="193" w:type="pct"/>
            <w:shd w:val="clear" w:color="auto" w:fill="BFBFBF" w:themeFill="background1" w:themeFillShade="BF"/>
            <w:noWrap/>
          </w:tcPr>
          <w:p w:rsidR="007C6E05" w:rsidRPr="0025420D" w:rsidRDefault="007C6E05" w:rsidP="007C6E05">
            <w:pPr>
              <w:tabs>
                <w:tab w:val="left" w:pos="7140"/>
              </w:tabs>
              <w:jc w:val="right"/>
              <w:rPr>
                <w:b/>
                <w:bCs/>
                <w:sz w:val="16"/>
                <w:szCs w:val="16"/>
              </w:rPr>
            </w:pPr>
            <w:r w:rsidRPr="0025420D">
              <w:rPr>
                <w:b/>
                <w:bCs/>
                <w:sz w:val="16"/>
                <w:szCs w:val="16"/>
              </w:rPr>
              <w:t>11</w:t>
            </w:r>
          </w:p>
        </w:tc>
        <w:tc>
          <w:tcPr>
            <w:tcW w:w="192" w:type="pct"/>
            <w:shd w:val="clear" w:color="auto" w:fill="BFBFBF" w:themeFill="background1" w:themeFillShade="BF"/>
            <w:noWrap/>
          </w:tcPr>
          <w:p w:rsidR="007C6E05" w:rsidRPr="0025420D" w:rsidRDefault="007C6E05" w:rsidP="007C6E05">
            <w:pPr>
              <w:tabs>
                <w:tab w:val="left" w:pos="7140"/>
              </w:tabs>
              <w:jc w:val="right"/>
              <w:rPr>
                <w:b/>
                <w:bCs/>
                <w:sz w:val="16"/>
                <w:szCs w:val="16"/>
              </w:rPr>
            </w:pPr>
            <w:r w:rsidRPr="0025420D">
              <w:rPr>
                <w:b/>
                <w:bCs/>
                <w:sz w:val="16"/>
                <w:szCs w:val="16"/>
              </w:rPr>
              <w:t>12</w:t>
            </w:r>
          </w:p>
        </w:tc>
        <w:tc>
          <w:tcPr>
            <w:tcW w:w="188" w:type="pct"/>
            <w:shd w:val="clear" w:color="auto" w:fill="BFBFBF" w:themeFill="background1" w:themeFillShade="BF"/>
            <w:noWrap/>
          </w:tcPr>
          <w:p w:rsidR="007C6E05" w:rsidRPr="0025420D" w:rsidRDefault="007C6E05" w:rsidP="007C6E05">
            <w:pPr>
              <w:tabs>
                <w:tab w:val="left" w:pos="7140"/>
              </w:tabs>
              <w:jc w:val="right"/>
              <w:rPr>
                <w:b/>
                <w:bCs/>
                <w:sz w:val="16"/>
                <w:szCs w:val="16"/>
              </w:rPr>
            </w:pPr>
            <w:r w:rsidRPr="0025420D">
              <w:rPr>
                <w:b/>
                <w:bCs/>
                <w:sz w:val="16"/>
                <w:szCs w:val="16"/>
              </w:rPr>
              <w:t>13</w:t>
            </w:r>
          </w:p>
        </w:tc>
        <w:tc>
          <w:tcPr>
            <w:tcW w:w="193" w:type="pct"/>
            <w:shd w:val="clear" w:color="auto" w:fill="BFBFBF" w:themeFill="background1" w:themeFillShade="BF"/>
            <w:noWrap/>
          </w:tcPr>
          <w:p w:rsidR="007C6E05" w:rsidRPr="0025420D" w:rsidRDefault="007C6E05" w:rsidP="007C6E05">
            <w:pPr>
              <w:tabs>
                <w:tab w:val="left" w:pos="7140"/>
              </w:tabs>
              <w:jc w:val="right"/>
              <w:rPr>
                <w:b/>
                <w:bCs/>
                <w:sz w:val="16"/>
                <w:szCs w:val="16"/>
              </w:rPr>
            </w:pPr>
            <w:r w:rsidRPr="0025420D">
              <w:rPr>
                <w:b/>
                <w:bCs/>
                <w:sz w:val="16"/>
                <w:szCs w:val="16"/>
              </w:rPr>
              <w:t>14</w:t>
            </w:r>
          </w:p>
        </w:tc>
        <w:tc>
          <w:tcPr>
            <w:tcW w:w="240" w:type="pct"/>
            <w:shd w:val="clear" w:color="auto" w:fill="BFBFBF" w:themeFill="background1" w:themeFillShade="BF"/>
            <w:noWrap/>
          </w:tcPr>
          <w:p w:rsidR="007C6E05" w:rsidRPr="0025420D" w:rsidRDefault="007C6E05" w:rsidP="007C6E05">
            <w:pPr>
              <w:tabs>
                <w:tab w:val="left" w:pos="7140"/>
              </w:tabs>
              <w:jc w:val="right"/>
              <w:rPr>
                <w:b/>
                <w:bCs/>
                <w:sz w:val="16"/>
                <w:szCs w:val="16"/>
              </w:rPr>
            </w:pPr>
            <w:r w:rsidRPr="0025420D">
              <w:rPr>
                <w:b/>
                <w:bCs/>
                <w:sz w:val="16"/>
                <w:szCs w:val="16"/>
              </w:rPr>
              <w:t>15</w:t>
            </w:r>
          </w:p>
        </w:tc>
        <w:tc>
          <w:tcPr>
            <w:tcW w:w="192" w:type="pct"/>
            <w:shd w:val="clear" w:color="auto" w:fill="BFBFBF" w:themeFill="background1" w:themeFillShade="BF"/>
            <w:noWrap/>
          </w:tcPr>
          <w:p w:rsidR="007C6E05" w:rsidRPr="0025420D" w:rsidRDefault="007C6E05" w:rsidP="007C6E05">
            <w:pPr>
              <w:tabs>
                <w:tab w:val="left" w:pos="7140"/>
              </w:tabs>
              <w:jc w:val="right"/>
              <w:rPr>
                <w:b/>
                <w:bCs/>
                <w:sz w:val="16"/>
                <w:szCs w:val="16"/>
              </w:rPr>
            </w:pPr>
            <w:r w:rsidRPr="0025420D">
              <w:rPr>
                <w:b/>
                <w:bCs/>
                <w:sz w:val="16"/>
                <w:szCs w:val="16"/>
              </w:rPr>
              <w:t>16</w:t>
            </w:r>
          </w:p>
        </w:tc>
        <w:tc>
          <w:tcPr>
            <w:tcW w:w="191" w:type="pct"/>
            <w:shd w:val="clear" w:color="auto" w:fill="BFBFBF" w:themeFill="background1" w:themeFillShade="BF"/>
            <w:noWrap/>
          </w:tcPr>
          <w:p w:rsidR="007C6E05" w:rsidRPr="0025420D" w:rsidRDefault="007C6E05" w:rsidP="007C6E05">
            <w:pPr>
              <w:tabs>
                <w:tab w:val="left" w:pos="7140"/>
              </w:tabs>
              <w:jc w:val="right"/>
              <w:rPr>
                <w:b/>
                <w:bCs/>
                <w:sz w:val="16"/>
                <w:szCs w:val="16"/>
              </w:rPr>
            </w:pPr>
            <w:r w:rsidRPr="0025420D">
              <w:rPr>
                <w:b/>
                <w:bCs/>
                <w:sz w:val="16"/>
                <w:szCs w:val="16"/>
              </w:rPr>
              <w:t>17</w:t>
            </w:r>
          </w:p>
        </w:tc>
        <w:tc>
          <w:tcPr>
            <w:tcW w:w="192" w:type="pct"/>
            <w:shd w:val="clear" w:color="auto" w:fill="BFBFBF" w:themeFill="background1" w:themeFillShade="BF"/>
            <w:noWrap/>
          </w:tcPr>
          <w:p w:rsidR="007C6E05" w:rsidRPr="0025420D" w:rsidRDefault="007C6E05" w:rsidP="007C6E05">
            <w:pPr>
              <w:tabs>
                <w:tab w:val="left" w:pos="7140"/>
              </w:tabs>
              <w:jc w:val="right"/>
              <w:rPr>
                <w:b/>
                <w:bCs/>
                <w:sz w:val="16"/>
                <w:szCs w:val="16"/>
              </w:rPr>
            </w:pPr>
            <w:r w:rsidRPr="0025420D">
              <w:rPr>
                <w:b/>
                <w:bCs/>
                <w:sz w:val="16"/>
                <w:szCs w:val="16"/>
              </w:rPr>
              <w:t>18</w:t>
            </w:r>
          </w:p>
        </w:tc>
        <w:tc>
          <w:tcPr>
            <w:tcW w:w="192" w:type="pct"/>
            <w:shd w:val="clear" w:color="auto" w:fill="BFBFBF" w:themeFill="background1" w:themeFillShade="BF"/>
            <w:noWrap/>
          </w:tcPr>
          <w:p w:rsidR="007C6E05" w:rsidRPr="0025420D" w:rsidRDefault="007C6E05" w:rsidP="007C6E05">
            <w:pPr>
              <w:tabs>
                <w:tab w:val="left" w:pos="7140"/>
              </w:tabs>
              <w:jc w:val="right"/>
              <w:rPr>
                <w:b/>
                <w:bCs/>
                <w:sz w:val="16"/>
                <w:szCs w:val="16"/>
              </w:rPr>
            </w:pPr>
            <w:r w:rsidRPr="0025420D">
              <w:rPr>
                <w:b/>
                <w:bCs/>
                <w:sz w:val="16"/>
                <w:szCs w:val="16"/>
              </w:rPr>
              <w:t>19</w:t>
            </w:r>
          </w:p>
        </w:tc>
        <w:tc>
          <w:tcPr>
            <w:tcW w:w="192" w:type="pct"/>
            <w:shd w:val="clear" w:color="auto" w:fill="BFBFBF" w:themeFill="background1" w:themeFillShade="BF"/>
            <w:noWrap/>
          </w:tcPr>
          <w:p w:rsidR="007C6E05" w:rsidRPr="0025420D" w:rsidRDefault="007C6E05" w:rsidP="007C6E05">
            <w:pPr>
              <w:tabs>
                <w:tab w:val="left" w:pos="7140"/>
              </w:tabs>
              <w:jc w:val="right"/>
              <w:rPr>
                <w:b/>
                <w:bCs/>
                <w:sz w:val="16"/>
                <w:szCs w:val="16"/>
              </w:rPr>
            </w:pPr>
            <w:r w:rsidRPr="0025420D">
              <w:rPr>
                <w:b/>
                <w:bCs/>
                <w:sz w:val="16"/>
                <w:szCs w:val="16"/>
              </w:rPr>
              <w:t>20</w:t>
            </w:r>
          </w:p>
        </w:tc>
        <w:tc>
          <w:tcPr>
            <w:tcW w:w="483" w:type="pct"/>
            <w:shd w:val="clear" w:color="auto" w:fill="BFBFBF" w:themeFill="background1" w:themeFillShade="BF"/>
            <w:noWrap/>
          </w:tcPr>
          <w:p w:rsidR="007C6E05" w:rsidRPr="0025420D" w:rsidRDefault="007C6E05" w:rsidP="007C6E05">
            <w:pPr>
              <w:tabs>
                <w:tab w:val="left" w:pos="7140"/>
              </w:tabs>
              <w:jc w:val="right"/>
              <w:rPr>
                <w:b/>
                <w:bCs/>
                <w:sz w:val="16"/>
                <w:szCs w:val="16"/>
              </w:rPr>
            </w:pPr>
            <w:r w:rsidRPr="0025420D">
              <w:rPr>
                <w:b/>
                <w:bCs/>
                <w:sz w:val="16"/>
                <w:szCs w:val="16"/>
              </w:rPr>
              <w:t>21</w:t>
            </w:r>
          </w:p>
        </w:tc>
        <w:tc>
          <w:tcPr>
            <w:tcW w:w="310" w:type="pct"/>
            <w:shd w:val="clear" w:color="auto" w:fill="BFBFBF" w:themeFill="background1" w:themeFillShade="BF"/>
            <w:noWrap/>
          </w:tcPr>
          <w:p w:rsidR="007C6E05" w:rsidRPr="0025420D" w:rsidRDefault="007C6E05" w:rsidP="007C6E05">
            <w:pPr>
              <w:tabs>
                <w:tab w:val="left" w:pos="7140"/>
              </w:tabs>
              <w:jc w:val="right"/>
              <w:rPr>
                <w:b/>
                <w:bCs/>
                <w:sz w:val="16"/>
                <w:szCs w:val="16"/>
              </w:rPr>
            </w:pPr>
          </w:p>
        </w:tc>
      </w:tr>
      <w:tr w:rsidR="00E20723" w:rsidRPr="006B3400" w:rsidTr="00807960">
        <w:tc>
          <w:tcPr>
            <w:tcW w:w="228" w:type="pct"/>
            <w:noWrap/>
            <w:hideMark/>
          </w:tcPr>
          <w:p w:rsidR="00DF2A6E" w:rsidRPr="006B3400" w:rsidRDefault="00DF2A6E" w:rsidP="007C6E05">
            <w:pPr>
              <w:tabs>
                <w:tab w:val="left" w:pos="7140"/>
              </w:tabs>
              <w:rPr>
                <w:sz w:val="18"/>
                <w:szCs w:val="18"/>
              </w:rPr>
            </w:pPr>
            <w:r w:rsidRPr="006B3400">
              <w:rPr>
                <w:sz w:val="18"/>
                <w:szCs w:val="18"/>
              </w:rPr>
              <w:t>AT</w:t>
            </w:r>
          </w:p>
        </w:tc>
        <w:tc>
          <w:tcPr>
            <w:tcW w:w="239"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241"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2" w:type="pct"/>
            <w:noWrap/>
            <w:hideMark/>
          </w:tcPr>
          <w:p w:rsidR="00DF2A6E" w:rsidRPr="006B3400" w:rsidRDefault="00DF2A6E" w:rsidP="007C6E05">
            <w:pPr>
              <w:tabs>
                <w:tab w:val="left" w:pos="7140"/>
              </w:tabs>
              <w:jc w:val="right"/>
              <w:rPr>
                <w:sz w:val="18"/>
                <w:szCs w:val="18"/>
              </w:rPr>
            </w:pPr>
          </w:p>
        </w:tc>
        <w:tc>
          <w:tcPr>
            <w:tcW w:w="191"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8</w:t>
            </w:r>
          </w:p>
        </w:tc>
        <w:tc>
          <w:tcPr>
            <w:tcW w:w="192" w:type="pct"/>
            <w:noWrap/>
            <w:hideMark/>
          </w:tcPr>
          <w:p w:rsidR="00DF2A6E" w:rsidRPr="006B3400" w:rsidRDefault="00DF2A6E" w:rsidP="007C6E05">
            <w:pPr>
              <w:tabs>
                <w:tab w:val="left" w:pos="7140"/>
              </w:tabs>
              <w:jc w:val="right"/>
              <w:rPr>
                <w:sz w:val="18"/>
                <w:szCs w:val="18"/>
              </w:rPr>
            </w:pPr>
          </w:p>
        </w:tc>
        <w:tc>
          <w:tcPr>
            <w:tcW w:w="191" w:type="pct"/>
            <w:noWrap/>
            <w:hideMark/>
          </w:tcPr>
          <w:p w:rsidR="00DF2A6E" w:rsidRPr="006B3400" w:rsidRDefault="00DF2A6E" w:rsidP="007C6E05">
            <w:pPr>
              <w:tabs>
                <w:tab w:val="left" w:pos="7140"/>
              </w:tabs>
              <w:jc w:val="right"/>
              <w:rPr>
                <w:sz w:val="18"/>
                <w:szCs w:val="18"/>
              </w:rPr>
            </w:pPr>
          </w:p>
        </w:tc>
        <w:tc>
          <w:tcPr>
            <w:tcW w:w="193"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p>
        </w:tc>
        <w:tc>
          <w:tcPr>
            <w:tcW w:w="188" w:type="pct"/>
            <w:noWrap/>
            <w:hideMark/>
          </w:tcPr>
          <w:p w:rsidR="00DF2A6E" w:rsidRPr="006B3400" w:rsidRDefault="00DF2A6E" w:rsidP="007C6E05">
            <w:pPr>
              <w:tabs>
                <w:tab w:val="left" w:pos="7140"/>
              </w:tabs>
              <w:jc w:val="right"/>
              <w:rPr>
                <w:sz w:val="18"/>
                <w:szCs w:val="18"/>
              </w:rPr>
            </w:pPr>
          </w:p>
        </w:tc>
        <w:tc>
          <w:tcPr>
            <w:tcW w:w="193" w:type="pct"/>
            <w:noWrap/>
            <w:hideMark/>
          </w:tcPr>
          <w:p w:rsidR="00DF2A6E" w:rsidRPr="006B3400" w:rsidRDefault="00DF2A6E" w:rsidP="007C6E05">
            <w:pPr>
              <w:tabs>
                <w:tab w:val="left" w:pos="7140"/>
              </w:tabs>
              <w:jc w:val="right"/>
              <w:rPr>
                <w:sz w:val="18"/>
                <w:szCs w:val="18"/>
              </w:rPr>
            </w:pPr>
          </w:p>
        </w:tc>
        <w:tc>
          <w:tcPr>
            <w:tcW w:w="240"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p>
        </w:tc>
        <w:tc>
          <w:tcPr>
            <w:tcW w:w="483" w:type="pct"/>
            <w:noWrap/>
            <w:hideMark/>
          </w:tcPr>
          <w:p w:rsidR="00DF2A6E" w:rsidRPr="006D0767" w:rsidRDefault="00DF2A6E" w:rsidP="007C6E05">
            <w:pPr>
              <w:jc w:val="right"/>
            </w:pPr>
            <w:r w:rsidRPr="006D0767">
              <w:t>2</w:t>
            </w:r>
          </w:p>
        </w:tc>
        <w:tc>
          <w:tcPr>
            <w:tcW w:w="310" w:type="pct"/>
            <w:noWrap/>
            <w:vAlign w:val="bottom"/>
            <w:hideMark/>
          </w:tcPr>
          <w:p w:rsidR="00DF2A6E" w:rsidRPr="006B3400" w:rsidRDefault="00DF2A6E" w:rsidP="007C6E05">
            <w:pPr>
              <w:tabs>
                <w:tab w:val="left" w:pos="7140"/>
              </w:tabs>
              <w:jc w:val="right"/>
              <w:rPr>
                <w:sz w:val="18"/>
                <w:szCs w:val="18"/>
              </w:rPr>
            </w:pPr>
            <w:r>
              <w:rPr>
                <w:rFonts w:ascii="Calibri" w:hAnsi="Calibri"/>
                <w:color w:val="000000"/>
                <w:sz w:val="22"/>
              </w:rPr>
              <w:t>22</w:t>
            </w:r>
          </w:p>
        </w:tc>
      </w:tr>
      <w:tr w:rsidR="00E20723" w:rsidRPr="006B3400" w:rsidTr="00807960">
        <w:tc>
          <w:tcPr>
            <w:tcW w:w="228" w:type="pct"/>
            <w:noWrap/>
            <w:hideMark/>
          </w:tcPr>
          <w:p w:rsidR="00DF2A6E" w:rsidRPr="006B3400" w:rsidRDefault="00DF2A6E" w:rsidP="007C6E05">
            <w:pPr>
              <w:tabs>
                <w:tab w:val="left" w:pos="7140"/>
              </w:tabs>
              <w:rPr>
                <w:sz w:val="18"/>
                <w:szCs w:val="18"/>
              </w:rPr>
            </w:pPr>
            <w:r w:rsidRPr="006B3400">
              <w:rPr>
                <w:sz w:val="18"/>
                <w:szCs w:val="18"/>
              </w:rPr>
              <w:t>BE</w:t>
            </w:r>
          </w:p>
        </w:tc>
        <w:tc>
          <w:tcPr>
            <w:tcW w:w="239" w:type="pct"/>
            <w:noWrap/>
            <w:hideMark/>
          </w:tcPr>
          <w:p w:rsidR="00DF2A6E" w:rsidRPr="006B3400" w:rsidRDefault="00DF2A6E" w:rsidP="007C6E05">
            <w:pPr>
              <w:tabs>
                <w:tab w:val="left" w:pos="7140"/>
              </w:tabs>
              <w:jc w:val="right"/>
              <w:rPr>
                <w:sz w:val="18"/>
                <w:szCs w:val="18"/>
              </w:rPr>
            </w:pPr>
          </w:p>
        </w:tc>
        <w:tc>
          <w:tcPr>
            <w:tcW w:w="241"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6</w:t>
            </w: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6</w:t>
            </w:r>
          </w:p>
        </w:tc>
        <w:tc>
          <w:tcPr>
            <w:tcW w:w="192" w:type="pct"/>
            <w:noWrap/>
            <w:hideMark/>
          </w:tcPr>
          <w:p w:rsidR="00DF2A6E" w:rsidRPr="006B3400" w:rsidRDefault="00DF2A6E" w:rsidP="007C6E05">
            <w:pPr>
              <w:tabs>
                <w:tab w:val="left" w:pos="7140"/>
              </w:tabs>
              <w:jc w:val="right"/>
              <w:rPr>
                <w:sz w:val="18"/>
                <w:szCs w:val="18"/>
              </w:rPr>
            </w:pP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3"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88" w:type="pct"/>
            <w:noWrap/>
            <w:hideMark/>
          </w:tcPr>
          <w:p w:rsidR="00DF2A6E" w:rsidRPr="006B3400" w:rsidRDefault="00DF2A6E" w:rsidP="007C6E05">
            <w:pPr>
              <w:tabs>
                <w:tab w:val="left" w:pos="7140"/>
              </w:tabs>
              <w:jc w:val="right"/>
              <w:rPr>
                <w:sz w:val="18"/>
                <w:szCs w:val="18"/>
              </w:rPr>
            </w:pPr>
          </w:p>
        </w:tc>
        <w:tc>
          <w:tcPr>
            <w:tcW w:w="193" w:type="pct"/>
            <w:noWrap/>
            <w:hideMark/>
          </w:tcPr>
          <w:p w:rsidR="00DF2A6E" w:rsidRPr="006B3400" w:rsidRDefault="00DF2A6E" w:rsidP="007C6E05">
            <w:pPr>
              <w:tabs>
                <w:tab w:val="left" w:pos="7140"/>
              </w:tabs>
              <w:jc w:val="right"/>
              <w:rPr>
                <w:sz w:val="18"/>
                <w:szCs w:val="18"/>
              </w:rPr>
            </w:pPr>
          </w:p>
        </w:tc>
        <w:tc>
          <w:tcPr>
            <w:tcW w:w="240"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483" w:type="pct"/>
            <w:noWrap/>
            <w:hideMark/>
          </w:tcPr>
          <w:p w:rsidR="00DF2A6E" w:rsidRPr="006D0767" w:rsidRDefault="00DF2A6E" w:rsidP="007C6E05">
            <w:pPr>
              <w:jc w:val="right"/>
            </w:pPr>
            <w:r w:rsidRPr="006D0767">
              <w:t>2</w:t>
            </w:r>
          </w:p>
        </w:tc>
        <w:tc>
          <w:tcPr>
            <w:tcW w:w="310" w:type="pct"/>
            <w:noWrap/>
            <w:vAlign w:val="bottom"/>
            <w:hideMark/>
          </w:tcPr>
          <w:p w:rsidR="00DF2A6E" w:rsidRPr="006B3400" w:rsidRDefault="00DF2A6E" w:rsidP="007C6E05">
            <w:pPr>
              <w:tabs>
                <w:tab w:val="left" w:pos="7140"/>
              </w:tabs>
              <w:jc w:val="right"/>
              <w:rPr>
                <w:sz w:val="18"/>
                <w:szCs w:val="18"/>
              </w:rPr>
            </w:pPr>
            <w:r>
              <w:rPr>
                <w:rFonts w:ascii="Calibri" w:hAnsi="Calibri"/>
                <w:color w:val="000000"/>
                <w:sz w:val="22"/>
              </w:rPr>
              <w:t>33</w:t>
            </w:r>
          </w:p>
        </w:tc>
      </w:tr>
      <w:tr w:rsidR="00E20723" w:rsidRPr="006B3400" w:rsidTr="00807960">
        <w:tc>
          <w:tcPr>
            <w:tcW w:w="228" w:type="pct"/>
            <w:noWrap/>
            <w:hideMark/>
          </w:tcPr>
          <w:p w:rsidR="00DF2A6E" w:rsidRPr="006B3400" w:rsidRDefault="00DF2A6E" w:rsidP="007C6E05">
            <w:pPr>
              <w:tabs>
                <w:tab w:val="left" w:pos="7140"/>
              </w:tabs>
              <w:rPr>
                <w:sz w:val="18"/>
                <w:szCs w:val="18"/>
              </w:rPr>
            </w:pPr>
            <w:r w:rsidRPr="006B3400">
              <w:rPr>
                <w:sz w:val="18"/>
                <w:szCs w:val="18"/>
              </w:rPr>
              <w:t>BG</w:t>
            </w:r>
          </w:p>
        </w:tc>
        <w:tc>
          <w:tcPr>
            <w:tcW w:w="239"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241" w:type="pct"/>
            <w:noWrap/>
            <w:hideMark/>
          </w:tcPr>
          <w:p w:rsidR="00DF2A6E" w:rsidRPr="006B3400" w:rsidRDefault="00DF2A6E" w:rsidP="007C6E05">
            <w:pPr>
              <w:tabs>
                <w:tab w:val="left" w:pos="7140"/>
              </w:tabs>
              <w:jc w:val="right"/>
              <w:rPr>
                <w:sz w:val="18"/>
                <w:szCs w:val="18"/>
              </w:rPr>
            </w:pPr>
            <w:r w:rsidRPr="006B3400">
              <w:rPr>
                <w:sz w:val="18"/>
                <w:szCs w:val="18"/>
              </w:rPr>
              <w:t>5</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3"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88"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3" w:type="pct"/>
            <w:noWrap/>
            <w:hideMark/>
          </w:tcPr>
          <w:p w:rsidR="00DF2A6E" w:rsidRPr="006B3400" w:rsidRDefault="00DF2A6E" w:rsidP="007C6E05">
            <w:pPr>
              <w:tabs>
                <w:tab w:val="left" w:pos="7140"/>
              </w:tabs>
              <w:jc w:val="right"/>
              <w:rPr>
                <w:sz w:val="18"/>
                <w:szCs w:val="18"/>
              </w:rPr>
            </w:pPr>
          </w:p>
        </w:tc>
        <w:tc>
          <w:tcPr>
            <w:tcW w:w="240"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2" w:type="pct"/>
            <w:noWrap/>
            <w:hideMark/>
          </w:tcPr>
          <w:p w:rsidR="00DF2A6E" w:rsidRPr="006B3400" w:rsidRDefault="00DF2A6E" w:rsidP="007C6E05">
            <w:pPr>
              <w:tabs>
                <w:tab w:val="left" w:pos="7140"/>
              </w:tabs>
              <w:jc w:val="right"/>
              <w:rPr>
                <w:sz w:val="18"/>
                <w:szCs w:val="18"/>
              </w:rPr>
            </w:pP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483" w:type="pct"/>
            <w:noWrap/>
            <w:hideMark/>
          </w:tcPr>
          <w:p w:rsidR="00DF2A6E" w:rsidRPr="006D0767" w:rsidRDefault="00DF2A6E" w:rsidP="007C6E05">
            <w:pPr>
              <w:jc w:val="right"/>
            </w:pPr>
            <w:r w:rsidRPr="006D0767">
              <w:t>9</w:t>
            </w:r>
          </w:p>
        </w:tc>
        <w:tc>
          <w:tcPr>
            <w:tcW w:w="310" w:type="pct"/>
            <w:noWrap/>
            <w:vAlign w:val="bottom"/>
            <w:hideMark/>
          </w:tcPr>
          <w:p w:rsidR="00DF2A6E" w:rsidRPr="006B3400" w:rsidRDefault="007D3A95" w:rsidP="007D3A95">
            <w:pPr>
              <w:tabs>
                <w:tab w:val="left" w:pos="7140"/>
              </w:tabs>
              <w:jc w:val="right"/>
              <w:rPr>
                <w:sz w:val="18"/>
                <w:szCs w:val="18"/>
              </w:rPr>
            </w:pPr>
            <w:r>
              <w:rPr>
                <w:rFonts w:ascii="Calibri" w:hAnsi="Calibri"/>
                <w:color w:val="000000"/>
                <w:sz w:val="22"/>
              </w:rPr>
              <w:t>60</w:t>
            </w:r>
          </w:p>
        </w:tc>
      </w:tr>
      <w:tr w:rsidR="00E20723" w:rsidRPr="006B3400" w:rsidTr="00807960">
        <w:tc>
          <w:tcPr>
            <w:tcW w:w="228" w:type="pct"/>
            <w:noWrap/>
            <w:hideMark/>
          </w:tcPr>
          <w:p w:rsidR="00DF2A6E" w:rsidRPr="006B3400" w:rsidRDefault="00DF2A6E" w:rsidP="007C6E05">
            <w:pPr>
              <w:tabs>
                <w:tab w:val="left" w:pos="7140"/>
              </w:tabs>
              <w:rPr>
                <w:sz w:val="18"/>
                <w:szCs w:val="18"/>
              </w:rPr>
            </w:pPr>
            <w:r w:rsidRPr="006B3400">
              <w:rPr>
                <w:sz w:val="18"/>
                <w:szCs w:val="18"/>
              </w:rPr>
              <w:t>CY</w:t>
            </w:r>
          </w:p>
        </w:tc>
        <w:tc>
          <w:tcPr>
            <w:tcW w:w="239"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241"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3"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2" w:type="pct"/>
            <w:noWrap/>
            <w:hideMark/>
          </w:tcPr>
          <w:p w:rsidR="00DF2A6E" w:rsidRPr="006B3400" w:rsidRDefault="00DF2A6E" w:rsidP="007C6E05">
            <w:pPr>
              <w:tabs>
                <w:tab w:val="left" w:pos="7140"/>
              </w:tabs>
              <w:jc w:val="right"/>
              <w:rPr>
                <w:sz w:val="18"/>
                <w:szCs w:val="18"/>
              </w:rPr>
            </w:pPr>
          </w:p>
        </w:tc>
        <w:tc>
          <w:tcPr>
            <w:tcW w:w="188"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3" w:type="pct"/>
            <w:noWrap/>
            <w:hideMark/>
          </w:tcPr>
          <w:p w:rsidR="00DF2A6E" w:rsidRPr="006B3400" w:rsidRDefault="00DF2A6E" w:rsidP="007C6E05">
            <w:pPr>
              <w:tabs>
                <w:tab w:val="left" w:pos="7140"/>
              </w:tabs>
              <w:jc w:val="right"/>
              <w:rPr>
                <w:sz w:val="18"/>
                <w:szCs w:val="18"/>
              </w:rPr>
            </w:pPr>
          </w:p>
        </w:tc>
        <w:tc>
          <w:tcPr>
            <w:tcW w:w="240"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2" w:type="pct"/>
            <w:noWrap/>
            <w:hideMark/>
          </w:tcPr>
          <w:p w:rsidR="00DF2A6E" w:rsidRPr="006B3400" w:rsidRDefault="00DF2A6E" w:rsidP="007C6E05">
            <w:pPr>
              <w:tabs>
                <w:tab w:val="left" w:pos="7140"/>
              </w:tabs>
              <w:jc w:val="right"/>
              <w:rPr>
                <w:sz w:val="18"/>
                <w:szCs w:val="18"/>
              </w:rPr>
            </w:pP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483" w:type="pct"/>
            <w:noWrap/>
            <w:hideMark/>
          </w:tcPr>
          <w:p w:rsidR="00DF2A6E" w:rsidRPr="006D0767" w:rsidRDefault="00DF2A6E" w:rsidP="007C6E05">
            <w:pPr>
              <w:jc w:val="right"/>
            </w:pPr>
            <w:r w:rsidRPr="006D0767">
              <w:t>3</w:t>
            </w:r>
          </w:p>
        </w:tc>
        <w:tc>
          <w:tcPr>
            <w:tcW w:w="310" w:type="pct"/>
            <w:noWrap/>
            <w:vAlign w:val="bottom"/>
            <w:hideMark/>
          </w:tcPr>
          <w:p w:rsidR="00DF2A6E" w:rsidRPr="006B3400" w:rsidRDefault="00DF2A6E" w:rsidP="007C6E05">
            <w:pPr>
              <w:tabs>
                <w:tab w:val="left" w:pos="7140"/>
              </w:tabs>
              <w:jc w:val="right"/>
              <w:rPr>
                <w:sz w:val="18"/>
                <w:szCs w:val="18"/>
              </w:rPr>
            </w:pPr>
            <w:r>
              <w:rPr>
                <w:rFonts w:ascii="Calibri" w:hAnsi="Calibri"/>
                <w:color w:val="000000"/>
                <w:sz w:val="22"/>
              </w:rPr>
              <w:t>30</w:t>
            </w:r>
          </w:p>
        </w:tc>
      </w:tr>
      <w:tr w:rsidR="00E20723" w:rsidRPr="006B3400" w:rsidTr="00807960">
        <w:tc>
          <w:tcPr>
            <w:tcW w:w="228" w:type="pct"/>
            <w:noWrap/>
            <w:hideMark/>
          </w:tcPr>
          <w:p w:rsidR="00DF2A6E" w:rsidRPr="006B3400" w:rsidRDefault="00DF2A6E" w:rsidP="007C6E05">
            <w:pPr>
              <w:tabs>
                <w:tab w:val="left" w:pos="7140"/>
              </w:tabs>
              <w:rPr>
                <w:sz w:val="18"/>
                <w:szCs w:val="18"/>
              </w:rPr>
            </w:pPr>
            <w:r w:rsidRPr="006B3400">
              <w:rPr>
                <w:sz w:val="18"/>
                <w:szCs w:val="18"/>
              </w:rPr>
              <w:t>CZ</w:t>
            </w:r>
          </w:p>
        </w:tc>
        <w:tc>
          <w:tcPr>
            <w:tcW w:w="239"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241"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2" w:type="pct"/>
            <w:noWrap/>
            <w:hideMark/>
          </w:tcPr>
          <w:p w:rsidR="00DF2A6E" w:rsidRPr="006B3400" w:rsidRDefault="00DF2A6E" w:rsidP="007C6E05">
            <w:pPr>
              <w:tabs>
                <w:tab w:val="left" w:pos="7140"/>
              </w:tabs>
              <w:jc w:val="right"/>
              <w:rPr>
                <w:sz w:val="18"/>
                <w:szCs w:val="18"/>
              </w:rPr>
            </w:pP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1" w:type="pct"/>
            <w:noWrap/>
            <w:hideMark/>
          </w:tcPr>
          <w:p w:rsidR="00DF2A6E" w:rsidRPr="006B3400" w:rsidRDefault="00DF2A6E" w:rsidP="007C6E05">
            <w:pPr>
              <w:tabs>
                <w:tab w:val="left" w:pos="7140"/>
              </w:tabs>
              <w:jc w:val="right"/>
              <w:rPr>
                <w:sz w:val="18"/>
                <w:szCs w:val="18"/>
              </w:rPr>
            </w:pPr>
          </w:p>
        </w:tc>
        <w:tc>
          <w:tcPr>
            <w:tcW w:w="193"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88"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3" w:type="pct"/>
            <w:noWrap/>
            <w:hideMark/>
          </w:tcPr>
          <w:p w:rsidR="00DF2A6E" w:rsidRPr="006B3400" w:rsidRDefault="00DF2A6E" w:rsidP="007C6E05">
            <w:pPr>
              <w:tabs>
                <w:tab w:val="left" w:pos="7140"/>
              </w:tabs>
              <w:jc w:val="right"/>
              <w:rPr>
                <w:sz w:val="18"/>
                <w:szCs w:val="18"/>
              </w:rPr>
            </w:pPr>
          </w:p>
        </w:tc>
        <w:tc>
          <w:tcPr>
            <w:tcW w:w="240"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483" w:type="pct"/>
            <w:noWrap/>
            <w:hideMark/>
          </w:tcPr>
          <w:p w:rsidR="00DF2A6E" w:rsidRPr="006D0767" w:rsidRDefault="00DF2A6E" w:rsidP="007C6E05">
            <w:pPr>
              <w:jc w:val="right"/>
            </w:pPr>
            <w:r w:rsidRPr="006D0767">
              <w:t>5</w:t>
            </w:r>
          </w:p>
        </w:tc>
        <w:tc>
          <w:tcPr>
            <w:tcW w:w="310" w:type="pct"/>
            <w:noWrap/>
            <w:vAlign w:val="bottom"/>
            <w:hideMark/>
          </w:tcPr>
          <w:p w:rsidR="00DF2A6E" w:rsidRPr="006B3400" w:rsidRDefault="00DF2A6E" w:rsidP="007C6E05">
            <w:pPr>
              <w:tabs>
                <w:tab w:val="left" w:pos="7140"/>
              </w:tabs>
              <w:jc w:val="right"/>
              <w:rPr>
                <w:sz w:val="18"/>
                <w:szCs w:val="18"/>
              </w:rPr>
            </w:pPr>
            <w:r>
              <w:rPr>
                <w:rFonts w:ascii="Calibri" w:hAnsi="Calibri"/>
                <w:color w:val="000000"/>
                <w:sz w:val="22"/>
              </w:rPr>
              <w:t>44</w:t>
            </w:r>
          </w:p>
        </w:tc>
      </w:tr>
      <w:tr w:rsidR="00E20723" w:rsidRPr="006B3400" w:rsidTr="00807960">
        <w:tc>
          <w:tcPr>
            <w:tcW w:w="228" w:type="pct"/>
            <w:noWrap/>
            <w:hideMark/>
          </w:tcPr>
          <w:p w:rsidR="00DF2A6E" w:rsidRPr="006B3400" w:rsidRDefault="00DF2A6E" w:rsidP="007C6E05">
            <w:pPr>
              <w:tabs>
                <w:tab w:val="left" w:pos="7140"/>
              </w:tabs>
              <w:rPr>
                <w:sz w:val="18"/>
                <w:szCs w:val="18"/>
              </w:rPr>
            </w:pPr>
            <w:r w:rsidRPr="006B3400">
              <w:rPr>
                <w:sz w:val="18"/>
                <w:szCs w:val="18"/>
              </w:rPr>
              <w:t>DE</w:t>
            </w:r>
          </w:p>
        </w:tc>
        <w:tc>
          <w:tcPr>
            <w:tcW w:w="239" w:type="pct"/>
            <w:noWrap/>
            <w:hideMark/>
          </w:tcPr>
          <w:p w:rsidR="00DF2A6E" w:rsidRPr="006B3400" w:rsidRDefault="00DF2A6E" w:rsidP="007C6E05">
            <w:pPr>
              <w:tabs>
                <w:tab w:val="left" w:pos="7140"/>
              </w:tabs>
              <w:jc w:val="right"/>
              <w:rPr>
                <w:sz w:val="18"/>
                <w:szCs w:val="18"/>
              </w:rPr>
            </w:pPr>
            <w:r w:rsidRPr="006B3400">
              <w:rPr>
                <w:sz w:val="18"/>
                <w:szCs w:val="18"/>
              </w:rPr>
              <w:t>5</w:t>
            </w:r>
          </w:p>
        </w:tc>
        <w:tc>
          <w:tcPr>
            <w:tcW w:w="241"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2" w:type="pct"/>
            <w:noWrap/>
            <w:hideMark/>
          </w:tcPr>
          <w:p w:rsidR="00DF2A6E" w:rsidRPr="006B3400" w:rsidRDefault="00DF2A6E" w:rsidP="007C6E05">
            <w:pPr>
              <w:tabs>
                <w:tab w:val="left" w:pos="7140"/>
              </w:tabs>
              <w:jc w:val="right"/>
              <w:rPr>
                <w:sz w:val="18"/>
                <w:szCs w:val="18"/>
              </w:rPr>
            </w:pP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3"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88" w:type="pct"/>
            <w:noWrap/>
            <w:hideMark/>
          </w:tcPr>
          <w:p w:rsidR="00DF2A6E" w:rsidRPr="006B3400" w:rsidRDefault="00DF2A6E" w:rsidP="007C6E05">
            <w:pPr>
              <w:tabs>
                <w:tab w:val="left" w:pos="7140"/>
              </w:tabs>
              <w:jc w:val="right"/>
              <w:rPr>
                <w:sz w:val="18"/>
                <w:szCs w:val="18"/>
              </w:rPr>
            </w:pPr>
          </w:p>
        </w:tc>
        <w:tc>
          <w:tcPr>
            <w:tcW w:w="193" w:type="pct"/>
            <w:noWrap/>
            <w:hideMark/>
          </w:tcPr>
          <w:p w:rsidR="00DF2A6E" w:rsidRPr="006B3400" w:rsidRDefault="00DF2A6E" w:rsidP="007C6E05">
            <w:pPr>
              <w:tabs>
                <w:tab w:val="left" w:pos="7140"/>
              </w:tabs>
              <w:jc w:val="right"/>
              <w:rPr>
                <w:sz w:val="18"/>
                <w:szCs w:val="18"/>
              </w:rPr>
            </w:pPr>
          </w:p>
        </w:tc>
        <w:tc>
          <w:tcPr>
            <w:tcW w:w="240"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2" w:type="pct"/>
            <w:noWrap/>
            <w:hideMark/>
          </w:tcPr>
          <w:p w:rsidR="00DF2A6E" w:rsidRPr="006B3400" w:rsidRDefault="00DF2A6E" w:rsidP="007C6E05">
            <w:pPr>
              <w:tabs>
                <w:tab w:val="left" w:pos="7140"/>
              </w:tabs>
              <w:jc w:val="right"/>
              <w:rPr>
                <w:sz w:val="18"/>
                <w:szCs w:val="18"/>
              </w:rPr>
            </w:pP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p>
        </w:tc>
        <w:tc>
          <w:tcPr>
            <w:tcW w:w="483" w:type="pct"/>
            <w:noWrap/>
            <w:hideMark/>
          </w:tcPr>
          <w:p w:rsidR="00DF2A6E" w:rsidRPr="006D0767" w:rsidRDefault="00DF2A6E" w:rsidP="007C6E05">
            <w:pPr>
              <w:jc w:val="right"/>
            </w:pPr>
            <w:r w:rsidRPr="006D0767">
              <w:t>3</w:t>
            </w:r>
          </w:p>
        </w:tc>
        <w:tc>
          <w:tcPr>
            <w:tcW w:w="310" w:type="pct"/>
            <w:noWrap/>
            <w:vAlign w:val="bottom"/>
            <w:hideMark/>
          </w:tcPr>
          <w:p w:rsidR="00DF2A6E" w:rsidRPr="006B3400" w:rsidRDefault="00DF2A6E" w:rsidP="007C6E05">
            <w:pPr>
              <w:tabs>
                <w:tab w:val="left" w:pos="7140"/>
              </w:tabs>
              <w:jc w:val="right"/>
              <w:rPr>
                <w:sz w:val="18"/>
                <w:szCs w:val="18"/>
              </w:rPr>
            </w:pPr>
            <w:r>
              <w:rPr>
                <w:rFonts w:ascii="Calibri" w:hAnsi="Calibri"/>
                <w:color w:val="000000"/>
                <w:sz w:val="22"/>
              </w:rPr>
              <w:t>30</w:t>
            </w:r>
          </w:p>
        </w:tc>
      </w:tr>
      <w:tr w:rsidR="00E20723" w:rsidRPr="006B3400" w:rsidTr="00807960">
        <w:tc>
          <w:tcPr>
            <w:tcW w:w="228" w:type="pct"/>
            <w:noWrap/>
            <w:hideMark/>
          </w:tcPr>
          <w:p w:rsidR="00DF2A6E" w:rsidRPr="006B3400" w:rsidRDefault="00DF2A6E" w:rsidP="007C6E05">
            <w:pPr>
              <w:tabs>
                <w:tab w:val="left" w:pos="7140"/>
              </w:tabs>
              <w:rPr>
                <w:sz w:val="18"/>
                <w:szCs w:val="18"/>
              </w:rPr>
            </w:pPr>
            <w:r w:rsidRPr="006B3400">
              <w:rPr>
                <w:sz w:val="18"/>
                <w:szCs w:val="18"/>
              </w:rPr>
              <w:t>DK</w:t>
            </w:r>
          </w:p>
        </w:tc>
        <w:tc>
          <w:tcPr>
            <w:tcW w:w="239" w:type="pct"/>
            <w:noWrap/>
            <w:hideMark/>
          </w:tcPr>
          <w:p w:rsidR="00DF2A6E" w:rsidRPr="006B3400" w:rsidRDefault="00DF2A6E" w:rsidP="007C6E05">
            <w:pPr>
              <w:tabs>
                <w:tab w:val="left" w:pos="7140"/>
              </w:tabs>
              <w:jc w:val="right"/>
              <w:rPr>
                <w:sz w:val="18"/>
                <w:szCs w:val="18"/>
              </w:rPr>
            </w:pPr>
          </w:p>
        </w:tc>
        <w:tc>
          <w:tcPr>
            <w:tcW w:w="241"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5</w:t>
            </w:r>
          </w:p>
        </w:tc>
        <w:tc>
          <w:tcPr>
            <w:tcW w:w="192" w:type="pct"/>
            <w:noWrap/>
            <w:hideMark/>
          </w:tcPr>
          <w:p w:rsidR="00DF2A6E" w:rsidRPr="006B3400" w:rsidRDefault="00DF2A6E" w:rsidP="007C6E05">
            <w:pPr>
              <w:tabs>
                <w:tab w:val="left" w:pos="7140"/>
              </w:tabs>
              <w:jc w:val="right"/>
              <w:rPr>
                <w:sz w:val="18"/>
                <w:szCs w:val="18"/>
              </w:rPr>
            </w:pPr>
          </w:p>
        </w:tc>
        <w:tc>
          <w:tcPr>
            <w:tcW w:w="191" w:type="pct"/>
            <w:noWrap/>
            <w:hideMark/>
          </w:tcPr>
          <w:p w:rsidR="00DF2A6E" w:rsidRPr="006B3400" w:rsidRDefault="00DF2A6E" w:rsidP="007C6E05">
            <w:pPr>
              <w:tabs>
                <w:tab w:val="left" w:pos="7140"/>
              </w:tabs>
              <w:jc w:val="right"/>
              <w:rPr>
                <w:sz w:val="18"/>
                <w:szCs w:val="18"/>
              </w:rPr>
            </w:pPr>
          </w:p>
        </w:tc>
        <w:tc>
          <w:tcPr>
            <w:tcW w:w="193"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p>
        </w:tc>
        <w:tc>
          <w:tcPr>
            <w:tcW w:w="188" w:type="pct"/>
            <w:noWrap/>
            <w:hideMark/>
          </w:tcPr>
          <w:p w:rsidR="00DF2A6E" w:rsidRPr="006B3400" w:rsidRDefault="00DF2A6E" w:rsidP="007C6E05">
            <w:pPr>
              <w:tabs>
                <w:tab w:val="left" w:pos="7140"/>
              </w:tabs>
              <w:jc w:val="right"/>
              <w:rPr>
                <w:sz w:val="18"/>
                <w:szCs w:val="18"/>
              </w:rPr>
            </w:pPr>
          </w:p>
        </w:tc>
        <w:tc>
          <w:tcPr>
            <w:tcW w:w="193" w:type="pct"/>
            <w:noWrap/>
            <w:hideMark/>
          </w:tcPr>
          <w:p w:rsidR="00DF2A6E" w:rsidRPr="006B3400" w:rsidRDefault="00DF2A6E" w:rsidP="007C6E05">
            <w:pPr>
              <w:tabs>
                <w:tab w:val="left" w:pos="7140"/>
              </w:tabs>
              <w:jc w:val="right"/>
              <w:rPr>
                <w:sz w:val="18"/>
                <w:szCs w:val="18"/>
              </w:rPr>
            </w:pPr>
          </w:p>
        </w:tc>
        <w:tc>
          <w:tcPr>
            <w:tcW w:w="240"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1"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483" w:type="pct"/>
            <w:noWrap/>
            <w:hideMark/>
          </w:tcPr>
          <w:p w:rsidR="00DF2A6E" w:rsidRPr="006D0767" w:rsidRDefault="00DF2A6E" w:rsidP="007C6E05">
            <w:pPr>
              <w:jc w:val="right"/>
            </w:pPr>
            <w:r w:rsidRPr="006D0767">
              <w:t>1</w:t>
            </w:r>
          </w:p>
        </w:tc>
        <w:tc>
          <w:tcPr>
            <w:tcW w:w="310" w:type="pct"/>
            <w:noWrap/>
            <w:vAlign w:val="bottom"/>
            <w:hideMark/>
          </w:tcPr>
          <w:p w:rsidR="00DF2A6E" w:rsidRPr="006B3400" w:rsidRDefault="00DF2A6E" w:rsidP="007C6E05">
            <w:pPr>
              <w:tabs>
                <w:tab w:val="left" w:pos="7140"/>
              </w:tabs>
              <w:jc w:val="right"/>
              <w:rPr>
                <w:sz w:val="18"/>
                <w:szCs w:val="18"/>
              </w:rPr>
            </w:pPr>
            <w:r>
              <w:rPr>
                <w:rFonts w:ascii="Calibri" w:hAnsi="Calibri"/>
                <w:color w:val="000000"/>
                <w:sz w:val="22"/>
              </w:rPr>
              <w:t>15</w:t>
            </w:r>
          </w:p>
        </w:tc>
      </w:tr>
      <w:tr w:rsidR="00E20723" w:rsidRPr="006B3400" w:rsidTr="00807960">
        <w:tc>
          <w:tcPr>
            <w:tcW w:w="228" w:type="pct"/>
            <w:noWrap/>
            <w:hideMark/>
          </w:tcPr>
          <w:p w:rsidR="00DF2A6E" w:rsidRPr="006B3400" w:rsidRDefault="00DF2A6E" w:rsidP="007C6E05">
            <w:pPr>
              <w:tabs>
                <w:tab w:val="left" w:pos="7140"/>
              </w:tabs>
              <w:rPr>
                <w:sz w:val="18"/>
                <w:szCs w:val="18"/>
              </w:rPr>
            </w:pPr>
            <w:r w:rsidRPr="006B3400">
              <w:rPr>
                <w:sz w:val="18"/>
                <w:szCs w:val="18"/>
              </w:rPr>
              <w:t>EE</w:t>
            </w:r>
          </w:p>
        </w:tc>
        <w:tc>
          <w:tcPr>
            <w:tcW w:w="239"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241"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2" w:type="pct"/>
            <w:noWrap/>
            <w:hideMark/>
          </w:tcPr>
          <w:p w:rsidR="00DF2A6E" w:rsidRPr="006B3400" w:rsidRDefault="00DF2A6E" w:rsidP="007C6E05">
            <w:pPr>
              <w:tabs>
                <w:tab w:val="left" w:pos="7140"/>
              </w:tabs>
              <w:jc w:val="right"/>
              <w:rPr>
                <w:sz w:val="18"/>
                <w:szCs w:val="18"/>
              </w:rPr>
            </w:pP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6</w:t>
            </w: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5</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1" w:type="pct"/>
            <w:noWrap/>
            <w:hideMark/>
          </w:tcPr>
          <w:p w:rsidR="00DF2A6E" w:rsidRPr="006B3400" w:rsidRDefault="00DF2A6E" w:rsidP="007C6E05">
            <w:pPr>
              <w:tabs>
                <w:tab w:val="left" w:pos="7140"/>
              </w:tabs>
              <w:jc w:val="right"/>
              <w:rPr>
                <w:sz w:val="18"/>
                <w:szCs w:val="18"/>
              </w:rPr>
            </w:pPr>
          </w:p>
        </w:tc>
        <w:tc>
          <w:tcPr>
            <w:tcW w:w="193"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2" w:type="pct"/>
            <w:noWrap/>
            <w:hideMark/>
          </w:tcPr>
          <w:p w:rsidR="00DF2A6E" w:rsidRPr="006B3400" w:rsidRDefault="00DF2A6E" w:rsidP="007C6E05">
            <w:pPr>
              <w:tabs>
                <w:tab w:val="left" w:pos="7140"/>
              </w:tabs>
              <w:jc w:val="right"/>
              <w:rPr>
                <w:sz w:val="18"/>
                <w:szCs w:val="18"/>
              </w:rPr>
            </w:pPr>
          </w:p>
        </w:tc>
        <w:tc>
          <w:tcPr>
            <w:tcW w:w="188"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3" w:type="pct"/>
            <w:noWrap/>
            <w:hideMark/>
          </w:tcPr>
          <w:p w:rsidR="00DF2A6E" w:rsidRPr="006B3400" w:rsidRDefault="00DF2A6E" w:rsidP="007C6E05">
            <w:pPr>
              <w:tabs>
                <w:tab w:val="left" w:pos="7140"/>
              </w:tabs>
              <w:jc w:val="right"/>
              <w:rPr>
                <w:sz w:val="18"/>
                <w:szCs w:val="18"/>
              </w:rPr>
            </w:pPr>
          </w:p>
        </w:tc>
        <w:tc>
          <w:tcPr>
            <w:tcW w:w="240"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p>
        </w:tc>
        <w:tc>
          <w:tcPr>
            <w:tcW w:w="191"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483" w:type="pct"/>
            <w:noWrap/>
            <w:hideMark/>
          </w:tcPr>
          <w:p w:rsidR="00DF2A6E" w:rsidRPr="006D0767" w:rsidRDefault="00DF2A6E" w:rsidP="007C6E05">
            <w:pPr>
              <w:jc w:val="right"/>
            </w:pPr>
            <w:r w:rsidRPr="006D0767">
              <w:t>3</w:t>
            </w:r>
          </w:p>
        </w:tc>
        <w:tc>
          <w:tcPr>
            <w:tcW w:w="310" w:type="pct"/>
            <w:noWrap/>
            <w:vAlign w:val="bottom"/>
            <w:hideMark/>
          </w:tcPr>
          <w:p w:rsidR="00DF2A6E" w:rsidRPr="006B3400" w:rsidRDefault="00DF2A6E" w:rsidP="007C6E05">
            <w:pPr>
              <w:tabs>
                <w:tab w:val="left" w:pos="7140"/>
              </w:tabs>
              <w:jc w:val="right"/>
              <w:rPr>
                <w:sz w:val="18"/>
                <w:szCs w:val="18"/>
              </w:rPr>
            </w:pPr>
            <w:r>
              <w:rPr>
                <w:rFonts w:ascii="Calibri" w:hAnsi="Calibri"/>
                <w:color w:val="000000"/>
                <w:sz w:val="22"/>
              </w:rPr>
              <w:t>34</w:t>
            </w:r>
          </w:p>
        </w:tc>
      </w:tr>
      <w:tr w:rsidR="00E20723" w:rsidRPr="006B3400" w:rsidTr="00807960">
        <w:tc>
          <w:tcPr>
            <w:tcW w:w="228" w:type="pct"/>
            <w:noWrap/>
            <w:hideMark/>
          </w:tcPr>
          <w:p w:rsidR="00DF2A6E" w:rsidRPr="006B3400" w:rsidRDefault="00DF2A6E" w:rsidP="007C6E05">
            <w:pPr>
              <w:tabs>
                <w:tab w:val="left" w:pos="7140"/>
              </w:tabs>
              <w:rPr>
                <w:sz w:val="18"/>
                <w:szCs w:val="18"/>
              </w:rPr>
            </w:pPr>
            <w:r w:rsidRPr="006B3400">
              <w:rPr>
                <w:sz w:val="18"/>
                <w:szCs w:val="18"/>
              </w:rPr>
              <w:t>EL</w:t>
            </w:r>
          </w:p>
        </w:tc>
        <w:tc>
          <w:tcPr>
            <w:tcW w:w="239"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241"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2" w:type="pct"/>
            <w:noWrap/>
            <w:hideMark/>
          </w:tcPr>
          <w:p w:rsidR="00DF2A6E" w:rsidRPr="006B3400" w:rsidRDefault="00DF2A6E" w:rsidP="007C6E05">
            <w:pPr>
              <w:tabs>
                <w:tab w:val="left" w:pos="7140"/>
              </w:tabs>
              <w:jc w:val="right"/>
              <w:rPr>
                <w:sz w:val="18"/>
                <w:szCs w:val="18"/>
              </w:rPr>
            </w:pP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3"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p>
        </w:tc>
        <w:tc>
          <w:tcPr>
            <w:tcW w:w="188" w:type="pct"/>
            <w:noWrap/>
            <w:hideMark/>
          </w:tcPr>
          <w:p w:rsidR="00DF2A6E" w:rsidRPr="006B3400" w:rsidRDefault="00DF2A6E" w:rsidP="007C6E05">
            <w:pPr>
              <w:tabs>
                <w:tab w:val="left" w:pos="7140"/>
              </w:tabs>
              <w:jc w:val="right"/>
              <w:rPr>
                <w:sz w:val="18"/>
                <w:szCs w:val="18"/>
              </w:rPr>
            </w:pPr>
            <w:r w:rsidRPr="006B3400">
              <w:rPr>
                <w:sz w:val="18"/>
                <w:szCs w:val="18"/>
              </w:rPr>
              <w:t>5</w:t>
            </w:r>
          </w:p>
        </w:tc>
        <w:tc>
          <w:tcPr>
            <w:tcW w:w="193" w:type="pct"/>
            <w:noWrap/>
            <w:hideMark/>
          </w:tcPr>
          <w:p w:rsidR="00DF2A6E" w:rsidRPr="006B3400" w:rsidRDefault="00DF2A6E" w:rsidP="007C6E05">
            <w:pPr>
              <w:tabs>
                <w:tab w:val="left" w:pos="7140"/>
              </w:tabs>
              <w:jc w:val="right"/>
              <w:rPr>
                <w:sz w:val="18"/>
                <w:szCs w:val="18"/>
              </w:rPr>
            </w:pPr>
          </w:p>
        </w:tc>
        <w:tc>
          <w:tcPr>
            <w:tcW w:w="240"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2" w:type="pct"/>
            <w:noWrap/>
            <w:hideMark/>
          </w:tcPr>
          <w:p w:rsidR="00DF2A6E" w:rsidRPr="006B3400" w:rsidRDefault="00DF2A6E" w:rsidP="007C6E05">
            <w:pPr>
              <w:tabs>
                <w:tab w:val="left" w:pos="7140"/>
              </w:tabs>
              <w:jc w:val="right"/>
              <w:rPr>
                <w:sz w:val="18"/>
                <w:szCs w:val="18"/>
              </w:rPr>
            </w:pP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483" w:type="pct"/>
            <w:noWrap/>
            <w:hideMark/>
          </w:tcPr>
          <w:p w:rsidR="00DF2A6E" w:rsidRPr="006D0767" w:rsidRDefault="00DF2A6E" w:rsidP="007C6E05">
            <w:pPr>
              <w:jc w:val="right"/>
            </w:pPr>
            <w:r w:rsidRPr="006D0767">
              <w:t>12</w:t>
            </w:r>
          </w:p>
        </w:tc>
        <w:tc>
          <w:tcPr>
            <w:tcW w:w="310" w:type="pct"/>
            <w:noWrap/>
            <w:vAlign w:val="bottom"/>
            <w:hideMark/>
          </w:tcPr>
          <w:p w:rsidR="00DF2A6E" w:rsidRPr="006B3400" w:rsidRDefault="00DF2A6E" w:rsidP="007C6E05">
            <w:pPr>
              <w:tabs>
                <w:tab w:val="left" w:pos="7140"/>
              </w:tabs>
              <w:jc w:val="right"/>
              <w:rPr>
                <w:sz w:val="18"/>
                <w:szCs w:val="18"/>
              </w:rPr>
            </w:pPr>
            <w:r>
              <w:rPr>
                <w:rFonts w:ascii="Calibri" w:hAnsi="Calibri"/>
                <w:color w:val="000000"/>
                <w:sz w:val="22"/>
              </w:rPr>
              <w:t>53</w:t>
            </w:r>
          </w:p>
        </w:tc>
      </w:tr>
      <w:tr w:rsidR="00E20723" w:rsidRPr="006B3400" w:rsidTr="00807960">
        <w:tc>
          <w:tcPr>
            <w:tcW w:w="228" w:type="pct"/>
            <w:noWrap/>
            <w:hideMark/>
          </w:tcPr>
          <w:p w:rsidR="00DF2A6E" w:rsidRPr="006B3400" w:rsidRDefault="00DF2A6E" w:rsidP="007C6E05">
            <w:pPr>
              <w:tabs>
                <w:tab w:val="left" w:pos="7140"/>
              </w:tabs>
              <w:rPr>
                <w:sz w:val="18"/>
                <w:szCs w:val="18"/>
              </w:rPr>
            </w:pPr>
            <w:r w:rsidRPr="006B3400">
              <w:rPr>
                <w:sz w:val="18"/>
                <w:szCs w:val="18"/>
              </w:rPr>
              <w:t>ES</w:t>
            </w:r>
          </w:p>
        </w:tc>
        <w:tc>
          <w:tcPr>
            <w:tcW w:w="239"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241"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6</w:t>
            </w: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5</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6</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3"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p>
        </w:tc>
        <w:tc>
          <w:tcPr>
            <w:tcW w:w="188"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3" w:type="pct"/>
            <w:noWrap/>
            <w:hideMark/>
          </w:tcPr>
          <w:p w:rsidR="00DF2A6E" w:rsidRPr="006B3400" w:rsidRDefault="00DF2A6E" w:rsidP="007C6E05">
            <w:pPr>
              <w:tabs>
                <w:tab w:val="left" w:pos="7140"/>
              </w:tabs>
              <w:jc w:val="right"/>
              <w:rPr>
                <w:sz w:val="18"/>
                <w:szCs w:val="18"/>
              </w:rPr>
            </w:pPr>
          </w:p>
        </w:tc>
        <w:tc>
          <w:tcPr>
            <w:tcW w:w="240"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2" w:type="pct"/>
            <w:noWrap/>
            <w:hideMark/>
          </w:tcPr>
          <w:p w:rsidR="00DF2A6E" w:rsidRPr="006B3400" w:rsidRDefault="00DF2A6E" w:rsidP="007C6E05">
            <w:pPr>
              <w:tabs>
                <w:tab w:val="left" w:pos="7140"/>
              </w:tabs>
              <w:jc w:val="right"/>
              <w:rPr>
                <w:sz w:val="18"/>
                <w:szCs w:val="18"/>
              </w:rPr>
            </w:pP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483" w:type="pct"/>
            <w:noWrap/>
            <w:hideMark/>
          </w:tcPr>
          <w:p w:rsidR="00DF2A6E" w:rsidRPr="006D0767" w:rsidRDefault="00DF2A6E" w:rsidP="007C6E05">
            <w:pPr>
              <w:jc w:val="right"/>
            </w:pPr>
            <w:r w:rsidRPr="006D0767">
              <w:t>6</w:t>
            </w:r>
          </w:p>
        </w:tc>
        <w:tc>
          <w:tcPr>
            <w:tcW w:w="310" w:type="pct"/>
            <w:noWrap/>
            <w:vAlign w:val="bottom"/>
            <w:hideMark/>
          </w:tcPr>
          <w:p w:rsidR="00DF2A6E" w:rsidRPr="006B3400" w:rsidRDefault="00DF2A6E" w:rsidP="007C6E05">
            <w:pPr>
              <w:tabs>
                <w:tab w:val="left" w:pos="7140"/>
              </w:tabs>
              <w:jc w:val="right"/>
              <w:rPr>
                <w:sz w:val="18"/>
                <w:szCs w:val="18"/>
              </w:rPr>
            </w:pPr>
            <w:r>
              <w:rPr>
                <w:rFonts w:ascii="Calibri" w:hAnsi="Calibri"/>
                <w:color w:val="000000"/>
                <w:sz w:val="22"/>
              </w:rPr>
              <w:t>46</w:t>
            </w:r>
          </w:p>
        </w:tc>
      </w:tr>
      <w:tr w:rsidR="00E20723" w:rsidRPr="006B3400" w:rsidTr="00807960">
        <w:tc>
          <w:tcPr>
            <w:tcW w:w="228" w:type="pct"/>
            <w:noWrap/>
            <w:hideMark/>
          </w:tcPr>
          <w:p w:rsidR="00DF2A6E" w:rsidRPr="006B3400" w:rsidRDefault="00DF2A6E" w:rsidP="007C6E05">
            <w:pPr>
              <w:tabs>
                <w:tab w:val="left" w:pos="7140"/>
              </w:tabs>
              <w:rPr>
                <w:sz w:val="18"/>
                <w:szCs w:val="18"/>
              </w:rPr>
            </w:pPr>
            <w:r w:rsidRPr="006B3400">
              <w:rPr>
                <w:sz w:val="18"/>
                <w:szCs w:val="18"/>
              </w:rPr>
              <w:t>FI</w:t>
            </w:r>
          </w:p>
        </w:tc>
        <w:tc>
          <w:tcPr>
            <w:tcW w:w="239" w:type="pct"/>
            <w:noWrap/>
            <w:hideMark/>
          </w:tcPr>
          <w:p w:rsidR="00DF2A6E" w:rsidRPr="006B3400" w:rsidRDefault="00DF2A6E" w:rsidP="007C6E05">
            <w:pPr>
              <w:tabs>
                <w:tab w:val="left" w:pos="7140"/>
              </w:tabs>
              <w:jc w:val="right"/>
              <w:rPr>
                <w:sz w:val="18"/>
                <w:szCs w:val="18"/>
              </w:rPr>
            </w:pPr>
          </w:p>
        </w:tc>
        <w:tc>
          <w:tcPr>
            <w:tcW w:w="241"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2" w:type="pct"/>
            <w:noWrap/>
            <w:hideMark/>
          </w:tcPr>
          <w:p w:rsidR="00DF2A6E" w:rsidRPr="006B3400" w:rsidRDefault="00DF2A6E" w:rsidP="007C6E05">
            <w:pPr>
              <w:tabs>
                <w:tab w:val="left" w:pos="7140"/>
              </w:tabs>
              <w:jc w:val="right"/>
              <w:rPr>
                <w:sz w:val="18"/>
                <w:szCs w:val="18"/>
              </w:rPr>
            </w:pP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7</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3"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2" w:type="pct"/>
            <w:noWrap/>
            <w:hideMark/>
          </w:tcPr>
          <w:p w:rsidR="00DF2A6E" w:rsidRPr="006B3400" w:rsidRDefault="00DF2A6E" w:rsidP="007C6E05">
            <w:pPr>
              <w:tabs>
                <w:tab w:val="left" w:pos="7140"/>
              </w:tabs>
              <w:jc w:val="right"/>
              <w:rPr>
                <w:sz w:val="18"/>
                <w:szCs w:val="18"/>
              </w:rPr>
            </w:pPr>
          </w:p>
        </w:tc>
        <w:tc>
          <w:tcPr>
            <w:tcW w:w="188"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3" w:type="pct"/>
            <w:noWrap/>
            <w:hideMark/>
          </w:tcPr>
          <w:p w:rsidR="00DF2A6E" w:rsidRPr="006B3400" w:rsidRDefault="00DF2A6E" w:rsidP="007C6E05">
            <w:pPr>
              <w:tabs>
                <w:tab w:val="left" w:pos="7140"/>
              </w:tabs>
              <w:jc w:val="right"/>
              <w:rPr>
                <w:sz w:val="18"/>
                <w:szCs w:val="18"/>
              </w:rPr>
            </w:pPr>
          </w:p>
        </w:tc>
        <w:tc>
          <w:tcPr>
            <w:tcW w:w="240"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p>
        </w:tc>
        <w:tc>
          <w:tcPr>
            <w:tcW w:w="191"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p>
        </w:tc>
        <w:tc>
          <w:tcPr>
            <w:tcW w:w="483" w:type="pct"/>
            <w:noWrap/>
            <w:hideMark/>
          </w:tcPr>
          <w:p w:rsidR="00DF2A6E" w:rsidRPr="006D0767" w:rsidRDefault="00DF2A6E" w:rsidP="007C6E05">
            <w:pPr>
              <w:jc w:val="right"/>
            </w:pPr>
            <w:r w:rsidRPr="006D0767">
              <w:t>5</w:t>
            </w:r>
          </w:p>
        </w:tc>
        <w:tc>
          <w:tcPr>
            <w:tcW w:w="310" w:type="pct"/>
            <w:noWrap/>
            <w:vAlign w:val="bottom"/>
            <w:hideMark/>
          </w:tcPr>
          <w:p w:rsidR="00DF2A6E" w:rsidRPr="006B3400" w:rsidRDefault="00DF2A6E" w:rsidP="007C6E05">
            <w:pPr>
              <w:tabs>
                <w:tab w:val="left" w:pos="7140"/>
              </w:tabs>
              <w:jc w:val="right"/>
              <w:rPr>
                <w:sz w:val="18"/>
                <w:szCs w:val="18"/>
              </w:rPr>
            </w:pPr>
            <w:r>
              <w:rPr>
                <w:rFonts w:ascii="Calibri" w:hAnsi="Calibri"/>
                <w:color w:val="000000"/>
                <w:sz w:val="22"/>
              </w:rPr>
              <w:t>33</w:t>
            </w:r>
          </w:p>
        </w:tc>
      </w:tr>
      <w:tr w:rsidR="00E20723" w:rsidRPr="006B3400" w:rsidTr="00807960">
        <w:tc>
          <w:tcPr>
            <w:tcW w:w="228" w:type="pct"/>
            <w:noWrap/>
            <w:hideMark/>
          </w:tcPr>
          <w:p w:rsidR="00DF2A6E" w:rsidRPr="006B3400" w:rsidRDefault="00DF2A6E" w:rsidP="007C6E05">
            <w:pPr>
              <w:tabs>
                <w:tab w:val="left" w:pos="7140"/>
              </w:tabs>
              <w:rPr>
                <w:sz w:val="18"/>
                <w:szCs w:val="18"/>
              </w:rPr>
            </w:pPr>
            <w:r w:rsidRPr="006B3400">
              <w:rPr>
                <w:sz w:val="18"/>
                <w:szCs w:val="18"/>
              </w:rPr>
              <w:t>FR</w:t>
            </w:r>
          </w:p>
        </w:tc>
        <w:tc>
          <w:tcPr>
            <w:tcW w:w="239"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241"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6</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8</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3"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p>
        </w:tc>
        <w:tc>
          <w:tcPr>
            <w:tcW w:w="188" w:type="pct"/>
            <w:noWrap/>
            <w:hideMark/>
          </w:tcPr>
          <w:p w:rsidR="00DF2A6E" w:rsidRPr="006B3400" w:rsidRDefault="00DF2A6E" w:rsidP="007C6E05">
            <w:pPr>
              <w:tabs>
                <w:tab w:val="left" w:pos="7140"/>
              </w:tabs>
              <w:jc w:val="right"/>
              <w:rPr>
                <w:sz w:val="18"/>
                <w:szCs w:val="18"/>
              </w:rPr>
            </w:pPr>
          </w:p>
        </w:tc>
        <w:tc>
          <w:tcPr>
            <w:tcW w:w="193"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240"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483" w:type="pct"/>
            <w:noWrap/>
            <w:hideMark/>
          </w:tcPr>
          <w:p w:rsidR="00DF2A6E" w:rsidRPr="006D0767" w:rsidRDefault="00DF2A6E" w:rsidP="007C6E05">
            <w:pPr>
              <w:jc w:val="right"/>
            </w:pPr>
            <w:r w:rsidRPr="006D0767">
              <w:t>5</w:t>
            </w:r>
          </w:p>
        </w:tc>
        <w:tc>
          <w:tcPr>
            <w:tcW w:w="310" w:type="pct"/>
            <w:noWrap/>
            <w:vAlign w:val="bottom"/>
            <w:hideMark/>
          </w:tcPr>
          <w:p w:rsidR="00DF2A6E" w:rsidRPr="006B3400" w:rsidRDefault="00DF2A6E" w:rsidP="007C6E05">
            <w:pPr>
              <w:tabs>
                <w:tab w:val="left" w:pos="7140"/>
              </w:tabs>
              <w:jc w:val="right"/>
              <w:rPr>
                <w:sz w:val="18"/>
                <w:szCs w:val="18"/>
              </w:rPr>
            </w:pPr>
            <w:r>
              <w:rPr>
                <w:rFonts w:ascii="Calibri" w:hAnsi="Calibri"/>
                <w:color w:val="000000"/>
                <w:sz w:val="22"/>
              </w:rPr>
              <w:t>43</w:t>
            </w:r>
          </w:p>
        </w:tc>
      </w:tr>
      <w:tr w:rsidR="00E20723" w:rsidRPr="006B3400" w:rsidTr="00807960">
        <w:tc>
          <w:tcPr>
            <w:tcW w:w="228" w:type="pct"/>
            <w:noWrap/>
            <w:hideMark/>
          </w:tcPr>
          <w:p w:rsidR="00DF2A6E" w:rsidRPr="006B3400" w:rsidRDefault="00DF2A6E" w:rsidP="007C6E05">
            <w:pPr>
              <w:tabs>
                <w:tab w:val="left" w:pos="7140"/>
              </w:tabs>
              <w:rPr>
                <w:sz w:val="18"/>
                <w:szCs w:val="18"/>
              </w:rPr>
            </w:pPr>
            <w:r w:rsidRPr="006B3400">
              <w:rPr>
                <w:sz w:val="18"/>
                <w:szCs w:val="18"/>
              </w:rPr>
              <w:t>HR</w:t>
            </w:r>
          </w:p>
        </w:tc>
        <w:tc>
          <w:tcPr>
            <w:tcW w:w="239"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241" w:type="pct"/>
            <w:noWrap/>
            <w:hideMark/>
          </w:tcPr>
          <w:p w:rsidR="00DF2A6E" w:rsidRPr="006B3400" w:rsidRDefault="00DF2A6E" w:rsidP="007C6E05">
            <w:pPr>
              <w:tabs>
                <w:tab w:val="left" w:pos="7140"/>
              </w:tabs>
              <w:jc w:val="right"/>
              <w:rPr>
                <w:sz w:val="18"/>
                <w:szCs w:val="18"/>
              </w:rPr>
            </w:pPr>
            <w:r w:rsidRPr="006B3400">
              <w:rPr>
                <w:sz w:val="18"/>
                <w:szCs w:val="18"/>
              </w:rPr>
              <w:t>5</w:t>
            </w:r>
          </w:p>
        </w:tc>
        <w:tc>
          <w:tcPr>
            <w:tcW w:w="192" w:type="pct"/>
            <w:noWrap/>
            <w:hideMark/>
          </w:tcPr>
          <w:p w:rsidR="00DF2A6E" w:rsidRPr="006B3400" w:rsidRDefault="00DF2A6E" w:rsidP="007C6E05">
            <w:pPr>
              <w:tabs>
                <w:tab w:val="left" w:pos="7140"/>
              </w:tabs>
              <w:jc w:val="right"/>
              <w:rPr>
                <w:sz w:val="18"/>
                <w:szCs w:val="18"/>
              </w:rPr>
            </w:pP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5</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3"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2" w:type="pct"/>
            <w:noWrap/>
            <w:hideMark/>
          </w:tcPr>
          <w:p w:rsidR="00DF2A6E" w:rsidRPr="006B3400" w:rsidRDefault="00DF2A6E" w:rsidP="007C6E05">
            <w:pPr>
              <w:tabs>
                <w:tab w:val="left" w:pos="7140"/>
              </w:tabs>
              <w:jc w:val="right"/>
              <w:rPr>
                <w:sz w:val="18"/>
                <w:szCs w:val="18"/>
              </w:rPr>
            </w:pPr>
          </w:p>
        </w:tc>
        <w:tc>
          <w:tcPr>
            <w:tcW w:w="188"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3" w:type="pct"/>
            <w:noWrap/>
            <w:hideMark/>
          </w:tcPr>
          <w:p w:rsidR="00DF2A6E" w:rsidRPr="006B3400" w:rsidRDefault="00DF2A6E" w:rsidP="007C6E05">
            <w:pPr>
              <w:tabs>
                <w:tab w:val="left" w:pos="7140"/>
              </w:tabs>
              <w:jc w:val="right"/>
              <w:rPr>
                <w:sz w:val="18"/>
                <w:szCs w:val="18"/>
              </w:rPr>
            </w:pPr>
          </w:p>
        </w:tc>
        <w:tc>
          <w:tcPr>
            <w:tcW w:w="240"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483" w:type="pct"/>
            <w:noWrap/>
            <w:hideMark/>
          </w:tcPr>
          <w:p w:rsidR="00DF2A6E" w:rsidRPr="006D0767" w:rsidRDefault="00DF2A6E" w:rsidP="007C6E05">
            <w:pPr>
              <w:jc w:val="right"/>
            </w:pPr>
            <w:r w:rsidRPr="006D0767">
              <w:t>6</w:t>
            </w:r>
          </w:p>
        </w:tc>
        <w:tc>
          <w:tcPr>
            <w:tcW w:w="310" w:type="pct"/>
            <w:noWrap/>
            <w:vAlign w:val="bottom"/>
            <w:hideMark/>
          </w:tcPr>
          <w:p w:rsidR="00DF2A6E" w:rsidRPr="006B3400" w:rsidRDefault="00DF2A6E" w:rsidP="007C6E05">
            <w:pPr>
              <w:tabs>
                <w:tab w:val="left" w:pos="7140"/>
              </w:tabs>
              <w:jc w:val="right"/>
              <w:rPr>
                <w:sz w:val="18"/>
                <w:szCs w:val="18"/>
              </w:rPr>
            </w:pPr>
            <w:r>
              <w:rPr>
                <w:rFonts w:ascii="Calibri" w:hAnsi="Calibri"/>
                <w:color w:val="000000"/>
                <w:sz w:val="22"/>
              </w:rPr>
              <w:t>39</w:t>
            </w:r>
          </w:p>
        </w:tc>
      </w:tr>
      <w:tr w:rsidR="00E20723" w:rsidRPr="006B3400" w:rsidTr="00807960">
        <w:tc>
          <w:tcPr>
            <w:tcW w:w="228" w:type="pct"/>
            <w:noWrap/>
            <w:hideMark/>
          </w:tcPr>
          <w:p w:rsidR="00DF2A6E" w:rsidRPr="006B3400" w:rsidRDefault="00DF2A6E" w:rsidP="007C6E05">
            <w:pPr>
              <w:tabs>
                <w:tab w:val="left" w:pos="7140"/>
              </w:tabs>
              <w:rPr>
                <w:sz w:val="18"/>
                <w:szCs w:val="18"/>
              </w:rPr>
            </w:pPr>
            <w:r w:rsidRPr="006B3400">
              <w:rPr>
                <w:sz w:val="18"/>
                <w:szCs w:val="18"/>
              </w:rPr>
              <w:t>HU</w:t>
            </w:r>
          </w:p>
        </w:tc>
        <w:tc>
          <w:tcPr>
            <w:tcW w:w="239"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241"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2" w:type="pct"/>
            <w:noWrap/>
            <w:hideMark/>
          </w:tcPr>
          <w:p w:rsidR="00DF2A6E" w:rsidRPr="006B3400" w:rsidRDefault="00DF2A6E" w:rsidP="007C6E05">
            <w:pPr>
              <w:tabs>
                <w:tab w:val="left" w:pos="7140"/>
              </w:tabs>
              <w:jc w:val="right"/>
              <w:rPr>
                <w:sz w:val="18"/>
                <w:szCs w:val="18"/>
              </w:rPr>
            </w:pP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9</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3"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88"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3" w:type="pct"/>
            <w:noWrap/>
            <w:hideMark/>
          </w:tcPr>
          <w:p w:rsidR="00DF2A6E" w:rsidRPr="006B3400" w:rsidRDefault="00DF2A6E" w:rsidP="007C6E05">
            <w:pPr>
              <w:tabs>
                <w:tab w:val="left" w:pos="7140"/>
              </w:tabs>
              <w:jc w:val="right"/>
              <w:rPr>
                <w:sz w:val="18"/>
                <w:szCs w:val="18"/>
              </w:rPr>
            </w:pPr>
          </w:p>
        </w:tc>
        <w:tc>
          <w:tcPr>
            <w:tcW w:w="240"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2" w:type="pct"/>
            <w:noWrap/>
            <w:hideMark/>
          </w:tcPr>
          <w:p w:rsidR="00DF2A6E" w:rsidRPr="006B3400" w:rsidRDefault="00DF2A6E" w:rsidP="007C6E05">
            <w:pPr>
              <w:tabs>
                <w:tab w:val="left" w:pos="7140"/>
              </w:tabs>
              <w:jc w:val="right"/>
              <w:rPr>
                <w:sz w:val="18"/>
                <w:szCs w:val="18"/>
              </w:rPr>
            </w:pP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5</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483" w:type="pct"/>
            <w:noWrap/>
            <w:hideMark/>
          </w:tcPr>
          <w:p w:rsidR="00DF2A6E" w:rsidRPr="006D0767" w:rsidRDefault="00DF2A6E" w:rsidP="007C6E05">
            <w:pPr>
              <w:jc w:val="right"/>
            </w:pPr>
            <w:r w:rsidRPr="006D0767">
              <w:t>7</w:t>
            </w:r>
          </w:p>
        </w:tc>
        <w:tc>
          <w:tcPr>
            <w:tcW w:w="310" w:type="pct"/>
            <w:noWrap/>
            <w:vAlign w:val="bottom"/>
            <w:hideMark/>
          </w:tcPr>
          <w:p w:rsidR="00DF2A6E" w:rsidRPr="006B3400" w:rsidRDefault="00DF2A6E" w:rsidP="007C6E05">
            <w:pPr>
              <w:tabs>
                <w:tab w:val="left" w:pos="7140"/>
              </w:tabs>
              <w:jc w:val="right"/>
              <w:rPr>
                <w:sz w:val="18"/>
                <w:szCs w:val="18"/>
              </w:rPr>
            </w:pPr>
            <w:r>
              <w:rPr>
                <w:rFonts w:ascii="Calibri" w:hAnsi="Calibri"/>
                <w:color w:val="000000"/>
                <w:sz w:val="22"/>
              </w:rPr>
              <w:t>63</w:t>
            </w:r>
          </w:p>
        </w:tc>
      </w:tr>
      <w:tr w:rsidR="00E20723" w:rsidRPr="006B3400" w:rsidTr="00807960">
        <w:tc>
          <w:tcPr>
            <w:tcW w:w="228" w:type="pct"/>
            <w:noWrap/>
            <w:hideMark/>
          </w:tcPr>
          <w:p w:rsidR="00DF2A6E" w:rsidRPr="006B3400" w:rsidRDefault="00DF2A6E" w:rsidP="007C6E05">
            <w:pPr>
              <w:tabs>
                <w:tab w:val="left" w:pos="7140"/>
              </w:tabs>
              <w:rPr>
                <w:sz w:val="18"/>
                <w:szCs w:val="18"/>
              </w:rPr>
            </w:pPr>
            <w:r w:rsidRPr="006B3400">
              <w:rPr>
                <w:sz w:val="18"/>
                <w:szCs w:val="18"/>
              </w:rPr>
              <w:t>IE</w:t>
            </w:r>
          </w:p>
        </w:tc>
        <w:tc>
          <w:tcPr>
            <w:tcW w:w="239"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241"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3"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p>
        </w:tc>
        <w:tc>
          <w:tcPr>
            <w:tcW w:w="188" w:type="pct"/>
            <w:noWrap/>
            <w:hideMark/>
          </w:tcPr>
          <w:p w:rsidR="00DF2A6E" w:rsidRPr="006B3400" w:rsidRDefault="00DF2A6E" w:rsidP="007C6E05">
            <w:pPr>
              <w:tabs>
                <w:tab w:val="left" w:pos="7140"/>
              </w:tabs>
              <w:jc w:val="right"/>
              <w:rPr>
                <w:sz w:val="18"/>
                <w:szCs w:val="18"/>
              </w:rPr>
            </w:pPr>
          </w:p>
        </w:tc>
        <w:tc>
          <w:tcPr>
            <w:tcW w:w="193" w:type="pct"/>
            <w:noWrap/>
            <w:hideMark/>
          </w:tcPr>
          <w:p w:rsidR="00DF2A6E" w:rsidRPr="006B3400" w:rsidRDefault="00DF2A6E" w:rsidP="007C6E05">
            <w:pPr>
              <w:tabs>
                <w:tab w:val="left" w:pos="7140"/>
              </w:tabs>
              <w:jc w:val="right"/>
              <w:rPr>
                <w:sz w:val="18"/>
                <w:szCs w:val="18"/>
              </w:rPr>
            </w:pPr>
          </w:p>
        </w:tc>
        <w:tc>
          <w:tcPr>
            <w:tcW w:w="240"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p>
        </w:tc>
        <w:tc>
          <w:tcPr>
            <w:tcW w:w="191"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483" w:type="pct"/>
            <w:noWrap/>
            <w:hideMark/>
          </w:tcPr>
          <w:p w:rsidR="00DF2A6E" w:rsidRPr="006D0767" w:rsidRDefault="00DF2A6E" w:rsidP="007C6E05">
            <w:pPr>
              <w:jc w:val="right"/>
            </w:pPr>
            <w:r w:rsidRPr="006D0767">
              <w:t>1</w:t>
            </w:r>
          </w:p>
        </w:tc>
        <w:tc>
          <w:tcPr>
            <w:tcW w:w="310" w:type="pct"/>
            <w:noWrap/>
            <w:vAlign w:val="bottom"/>
            <w:hideMark/>
          </w:tcPr>
          <w:p w:rsidR="00DF2A6E" w:rsidRPr="006B3400" w:rsidRDefault="00DF2A6E" w:rsidP="007C6E05">
            <w:pPr>
              <w:tabs>
                <w:tab w:val="left" w:pos="7140"/>
              </w:tabs>
              <w:jc w:val="right"/>
              <w:rPr>
                <w:sz w:val="18"/>
                <w:szCs w:val="18"/>
              </w:rPr>
            </w:pPr>
            <w:r>
              <w:rPr>
                <w:rFonts w:ascii="Calibri" w:hAnsi="Calibri"/>
                <w:color w:val="000000"/>
                <w:sz w:val="22"/>
              </w:rPr>
              <w:t>25</w:t>
            </w:r>
          </w:p>
        </w:tc>
      </w:tr>
      <w:tr w:rsidR="00E20723" w:rsidRPr="006B3400" w:rsidTr="00807960">
        <w:tc>
          <w:tcPr>
            <w:tcW w:w="228" w:type="pct"/>
            <w:noWrap/>
            <w:hideMark/>
          </w:tcPr>
          <w:p w:rsidR="00DF2A6E" w:rsidRPr="006B3400" w:rsidRDefault="00DF2A6E" w:rsidP="007C6E05">
            <w:pPr>
              <w:tabs>
                <w:tab w:val="left" w:pos="7140"/>
              </w:tabs>
              <w:rPr>
                <w:sz w:val="18"/>
                <w:szCs w:val="18"/>
              </w:rPr>
            </w:pPr>
            <w:r w:rsidRPr="006B3400">
              <w:rPr>
                <w:sz w:val="18"/>
                <w:szCs w:val="18"/>
              </w:rPr>
              <w:t>IT</w:t>
            </w:r>
          </w:p>
        </w:tc>
        <w:tc>
          <w:tcPr>
            <w:tcW w:w="239"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241"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7</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3"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2" w:type="pct"/>
            <w:noWrap/>
            <w:hideMark/>
          </w:tcPr>
          <w:p w:rsidR="00DF2A6E" w:rsidRPr="006B3400" w:rsidRDefault="00DF2A6E" w:rsidP="007C6E05">
            <w:pPr>
              <w:tabs>
                <w:tab w:val="left" w:pos="7140"/>
              </w:tabs>
              <w:jc w:val="right"/>
              <w:rPr>
                <w:sz w:val="18"/>
                <w:szCs w:val="18"/>
              </w:rPr>
            </w:pPr>
          </w:p>
        </w:tc>
        <w:tc>
          <w:tcPr>
            <w:tcW w:w="188"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3" w:type="pct"/>
            <w:noWrap/>
            <w:hideMark/>
          </w:tcPr>
          <w:p w:rsidR="00DF2A6E" w:rsidRPr="006B3400" w:rsidRDefault="00DF2A6E" w:rsidP="007C6E05">
            <w:pPr>
              <w:tabs>
                <w:tab w:val="left" w:pos="7140"/>
              </w:tabs>
              <w:jc w:val="right"/>
              <w:rPr>
                <w:sz w:val="18"/>
                <w:szCs w:val="18"/>
              </w:rPr>
            </w:pPr>
          </w:p>
        </w:tc>
        <w:tc>
          <w:tcPr>
            <w:tcW w:w="240"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483" w:type="pct"/>
            <w:noWrap/>
            <w:hideMark/>
          </w:tcPr>
          <w:p w:rsidR="00DF2A6E" w:rsidRPr="006D0767" w:rsidRDefault="00DF2A6E" w:rsidP="007C6E05">
            <w:pPr>
              <w:jc w:val="right"/>
            </w:pPr>
            <w:r w:rsidRPr="006D0767">
              <w:t>12</w:t>
            </w:r>
          </w:p>
        </w:tc>
        <w:tc>
          <w:tcPr>
            <w:tcW w:w="310" w:type="pct"/>
            <w:noWrap/>
            <w:vAlign w:val="bottom"/>
            <w:hideMark/>
          </w:tcPr>
          <w:p w:rsidR="00DF2A6E" w:rsidRPr="006B3400" w:rsidRDefault="00DF2A6E" w:rsidP="007C6E05">
            <w:pPr>
              <w:tabs>
                <w:tab w:val="left" w:pos="7140"/>
              </w:tabs>
              <w:jc w:val="right"/>
              <w:rPr>
                <w:sz w:val="18"/>
                <w:szCs w:val="18"/>
              </w:rPr>
            </w:pPr>
            <w:r>
              <w:rPr>
                <w:rFonts w:ascii="Calibri" w:hAnsi="Calibri"/>
                <w:color w:val="000000"/>
                <w:sz w:val="22"/>
              </w:rPr>
              <w:t>53</w:t>
            </w:r>
          </w:p>
        </w:tc>
      </w:tr>
      <w:tr w:rsidR="00E20723" w:rsidRPr="006B3400" w:rsidTr="00807960">
        <w:tc>
          <w:tcPr>
            <w:tcW w:w="228" w:type="pct"/>
            <w:noWrap/>
            <w:hideMark/>
          </w:tcPr>
          <w:p w:rsidR="00DF2A6E" w:rsidRPr="006B3400" w:rsidRDefault="00DF2A6E" w:rsidP="007C6E05">
            <w:pPr>
              <w:tabs>
                <w:tab w:val="left" w:pos="7140"/>
              </w:tabs>
              <w:rPr>
                <w:sz w:val="18"/>
                <w:szCs w:val="18"/>
              </w:rPr>
            </w:pPr>
            <w:r w:rsidRPr="006B3400">
              <w:rPr>
                <w:sz w:val="18"/>
                <w:szCs w:val="18"/>
              </w:rPr>
              <w:t>LT</w:t>
            </w:r>
          </w:p>
        </w:tc>
        <w:tc>
          <w:tcPr>
            <w:tcW w:w="239"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241"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6</w:t>
            </w: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8</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1" w:type="pct"/>
            <w:noWrap/>
            <w:hideMark/>
          </w:tcPr>
          <w:p w:rsidR="00DF2A6E" w:rsidRPr="006B3400" w:rsidRDefault="00DF2A6E" w:rsidP="007C6E05">
            <w:pPr>
              <w:tabs>
                <w:tab w:val="left" w:pos="7140"/>
              </w:tabs>
              <w:jc w:val="right"/>
              <w:rPr>
                <w:sz w:val="18"/>
                <w:szCs w:val="18"/>
              </w:rPr>
            </w:pPr>
          </w:p>
        </w:tc>
        <w:tc>
          <w:tcPr>
            <w:tcW w:w="193"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p>
        </w:tc>
        <w:tc>
          <w:tcPr>
            <w:tcW w:w="188"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3" w:type="pct"/>
            <w:noWrap/>
            <w:hideMark/>
          </w:tcPr>
          <w:p w:rsidR="00DF2A6E" w:rsidRPr="006B3400" w:rsidRDefault="00DF2A6E" w:rsidP="007C6E05">
            <w:pPr>
              <w:tabs>
                <w:tab w:val="left" w:pos="7140"/>
              </w:tabs>
              <w:jc w:val="right"/>
              <w:rPr>
                <w:sz w:val="18"/>
                <w:szCs w:val="18"/>
              </w:rPr>
            </w:pPr>
          </w:p>
        </w:tc>
        <w:tc>
          <w:tcPr>
            <w:tcW w:w="240"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2" w:type="pct"/>
            <w:noWrap/>
            <w:hideMark/>
          </w:tcPr>
          <w:p w:rsidR="00DF2A6E" w:rsidRPr="006B3400" w:rsidRDefault="00DF2A6E" w:rsidP="007C6E05">
            <w:pPr>
              <w:tabs>
                <w:tab w:val="left" w:pos="7140"/>
              </w:tabs>
              <w:jc w:val="right"/>
              <w:rPr>
                <w:sz w:val="18"/>
                <w:szCs w:val="18"/>
              </w:rPr>
            </w:pPr>
          </w:p>
        </w:tc>
        <w:tc>
          <w:tcPr>
            <w:tcW w:w="191"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483" w:type="pct"/>
            <w:noWrap/>
            <w:hideMark/>
          </w:tcPr>
          <w:p w:rsidR="00DF2A6E" w:rsidRPr="006D0767" w:rsidRDefault="00DF2A6E" w:rsidP="007C6E05">
            <w:pPr>
              <w:jc w:val="right"/>
            </w:pPr>
          </w:p>
        </w:tc>
        <w:tc>
          <w:tcPr>
            <w:tcW w:w="310" w:type="pct"/>
            <w:noWrap/>
            <w:vAlign w:val="bottom"/>
            <w:hideMark/>
          </w:tcPr>
          <w:p w:rsidR="00DF2A6E" w:rsidRPr="006B3400" w:rsidRDefault="00DF2A6E" w:rsidP="007C6E05">
            <w:pPr>
              <w:tabs>
                <w:tab w:val="left" w:pos="7140"/>
              </w:tabs>
              <w:jc w:val="right"/>
              <w:rPr>
                <w:sz w:val="18"/>
                <w:szCs w:val="18"/>
              </w:rPr>
            </w:pPr>
            <w:r>
              <w:rPr>
                <w:rFonts w:ascii="Calibri" w:hAnsi="Calibri"/>
                <w:color w:val="000000"/>
                <w:sz w:val="22"/>
              </w:rPr>
              <w:t>34</w:t>
            </w:r>
          </w:p>
        </w:tc>
      </w:tr>
      <w:tr w:rsidR="00E20723" w:rsidRPr="006B3400" w:rsidTr="00807960">
        <w:tc>
          <w:tcPr>
            <w:tcW w:w="228" w:type="pct"/>
            <w:noWrap/>
            <w:hideMark/>
          </w:tcPr>
          <w:p w:rsidR="00DF2A6E" w:rsidRPr="006B3400" w:rsidRDefault="00DF2A6E" w:rsidP="007C6E05">
            <w:pPr>
              <w:tabs>
                <w:tab w:val="left" w:pos="7140"/>
              </w:tabs>
              <w:rPr>
                <w:sz w:val="18"/>
                <w:szCs w:val="18"/>
              </w:rPr>
            </w:pPr>
            <w:r w:rsidRPr="006B3400">
              <w:rPr>
                <w:sz w:val="18"/>
                <w:szCs w:val="18"/>
              </w:rPr>
              <w:t>LU</w:t>
            </w:r>
          </w:p>
        </w:tc>
        <w:tc>
          <w:tcPr>
            <w:tcW w:w="239"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241"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6</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3"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p>
        </w:tc>
        <w:tc>
          <w:tcPr>
            <w:tcW w:w="188" w:type="pct"/>
            <w:noWrap/>
            <w:hideMark/>
          </w:tcPr>
          <w:p w:rsidR="00DF2A6E" w:rsidRPr="006B3400" w:rsidRDefault="00DF2A6E" w:rsidP="007C6E05">
            <w:pPr>
              <w:tabs>
                <w:tab w:val="left" w:pos="7140"/>
              </w:tabs>
              <w:jc w:val="right"/>
              <w:rPr>
                <w:sz w:val="18"/>
                <w:szCs w:val="18"/>
              </w:rPr>
            </w:pPr>
          </w:p>
        </w:tc>
        <w:tc>
          <w:tcPr>
            <w:tcW w:w="193" w:type="pct"/>
            <w:noWrap/>
            <w:hideMark/>
          </w:tcPr>
          <w:p w:rsidR="00DF2A6E" w:rsidRPr="006B3400" w:rsidRDefault="00DF2A6E" w:rsidP="007C6E05">
            <w:pPr>
              <w:tabs>
                <w:tab w:val="left" w:pos="7140"/>
              </w:tabs>
              <w:jc w:val="right"/>
              <w:rPr>
                <w:sz w:val="18"/>
                <w:szCs w:val="18"/>
              </w:rPr>
            </w:pPr>
          </w:p>
        </w:tc>
        <w:tc>
          <w:tcPr>
            <w:tcW w:w="240"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2" w:type="pct"/>
            <w:noWrap/>
            <w:hideMark/>
          </w:tcPr>
          <w:p w:rsidR="00DF2A6E" w:rsidRPr="006B3400" w:rsidRDefault="00DF2A6E" w:rsidP="007C6E05">
            <w:pPr>
              <w:tabs>
                <w:tab w:val="left" w:pos="7140"/>
              </w:tabs>
              <w:jc w:val="right"/>
              <w:rPr>
                <w:sz w:val="18"/>
                <w:szCs w:val="18"/>
              </w:rPr>
            </w:pPr>
          </w:p>
        </w:tc>
        <w:tc>
          <w:tcPr>
            <w:tcW w:w="191"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483" w:type="pct"/>
            <w:noWrap/>
            <w:hideMark/>
          </w:tcPr>
          <w:p w:rsidR="00DF2A6E" w:rsidRPr="006D0767" w:rsidRDefault="00DF2A6E" w:rsidP="007C6E05">
            <w:pPr>
              <w:jc w:val="right"/>
            </w:pPr>
          </w:p>
        </w:tc>
        <w:tc>
          <w:tcPr>
            <w:tcW w:w="310" w:type="pct"/>
            <w:noWrap/>
            <w:vAlign w:val="bottom"/>
            <w:hideMark/>
          </w:tcPr>
          <w:p w:rsidR="00DF2A6E" w:rsidRPr="006B3400" w:rsidRDefault="00DF2A6E" w:rsidP="007C6E05">
            <w:pPr>
              <w:tabs>
                <w:tab w:val="left" w:pos="7140"/>
              </w:tabs>
              <w:jc w:val="right"/>
              <w:rPr>
                <w:sz w:val="18"/>
                <w:szCs w:val="18"/>
              </w:rPr>
            </w:pPr>
            <w:r>
              <w:rPr>
                <w:rFonts w:ascii="Calibri" w:hAnsi="Calibri"/>
                <w:color w:val="000000"/>
                <w:sz w:val="22"/>
              </w:rPr>
              <w:t>36</w:t>
            </w:r>
          </w:p>
        </w:tc>
      </w:tr>
      <w:tr w:rsidR="00E20723" w:rsidRPr="006B3400" w:rsidTr="00807960">
        <w:tc>
          <w:tcPr>
            <w:tcW w:w="228" w:type="pct"/>
            <w:noWrap/>
            <w:hideMark/>
          </w:tcPr>
          <w:p w:rsidR="00DF2A6E" w:rsidRPr="006B3400" w:rsidRDefault="00DF2A6E" w:rsidP="007C6E05">
            <w:pPr>
              <w:tabs>
                <w:tab w:val="left" w:pos="7140"/>
              </w:tabs>
              <w:rPr>
                <w:sz w:val="18"/>
                <w:szCs w:val="18"/>
              </w:rPr>
            </w:pPr>
            <w:r w:rsidRPr="006B3400">
              <w:rPr>
                <w:sz w:val="18"/>
                <w:szCs w:val="18"/>
              </w:rPr>
              <w:t>LV</w:t>
            </w:r>
          </w:p>
        </w:tc>
        <w:tc>
          <w:tcPr>
            <w:tcW w:w="239"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241"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5</w:t>
            </w: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3"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2" w:type="pct"/>
            <w:noWrap/>
            <w:hideMark/>
          </w:tcPr>
          <w:p w:rsidR="00DF2A6E" w:rsidRPr="006B3400" w:rsidRDefault="00DF2A6E" w:rsidP="007C6E05">
            <w:pPr>
              <w:tabs>
                <w:tab w:val="left" w:pos="7140"/>
              </w:tabs>
              <w:jc w:val="right"/>
              <w:rPr>
                <w:sz w:val="18"/>
                <w:szCs w:val="18"/>
              </w:rPr>
            </w:pPr>
          </w:p>
        </w:tc>
        <w:tc>
          <w:tcPr>
            <w:tcW w:w="188"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3" w:type="pct"/>
            <w:noWrap/>
            <w:hideMark/>
          </w:tcPr>
          <w:p w:rsidR="00DF2A6E" w:rsidRPr="006B3400" w:rsidRDefault="00DF2A6E" w:rsidP="007C6E05">
            <w:pPr>
              <w:tabs>
                <w:tab w:val="left" w:pos="7140"/>
              </w:tabs>
              <w:jc w:val="right"/>
              <w:rPr>
                <w:sz w:val="18"/>
                <w:szCs w:val="18"/>
              </w:rPr>
            </w:pPr>
          </w:p>
        </w:tc>
        <w:tc>
          <w:tcPr>
            <w:tcW w:w="240"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483" w:type="pct"/>
            <w:noWrap/>
            <w:hideMark/>
          </w:tcPr>
          <w:p w:rsidR="00DF2A6E" w:rsidRPr="006D0767" w:rsidRDefault="00DF2A6E" w:rsidP="007C6E05">
            <w:pPr>
              <w:jc w:val="right"/>
            </w:pPr>
            <w:r w:rsidRPr="006D0767">
              <w:t>7</w:t>
            </w:r>
          </w:p>
        </w:tc>
        <w:tc>
          <w:tcPr>
            <w:tcW w:w="310" w:type="pct"/>
            <w:noWrap/>
            <w:vAlign w:val="bottom"/>
            <w:hideMark/>
          </w:tcPr>
          <w:p w:rsidR="00DF2A6E" w:rsidRPr="006B3400" w:rsidRDefault="00DF2A6E" w:rsidP="007C6E05">
            <w:pPr>
              <w:tabs>
                <w:tab w:val="left" w:pos="7140"/>
              </w:tabs>
              <w:jc w:val="right"/>
              <w:rPr>
                <w:sz w:val="18"/>
                <w:szCs w:val="18"/>
              </w:rPr>
            </w:pPr>
            <w:r>
              <w:rPr>
                <w:rFonts w:ascii="Calibri" w:hAnsi="Calibri"/>
                <w:color w:val="000000"/>
                <w:sz w:val="22"/>
              </w:rPr>
              <w:t>47</w:t>
            </w:r>
          </w:p>
        </w:tc>
      </w:tr>
      <w:tr w:rsidR="00E20723" w:rsidRPr="006B3400" w:rsidTr="00807960">
        <w:tc>
          <w:tcPr>
            <w:tcW w:w="228" w:type="pct"/>
            <w:noWrap/>
            <w:hideMark/>
          </w:tcPr>
          <w:p w:rsidR="00DF2A6E" w:rsidRPr="006B3400" w:rsidRDefault="00DF2A6E" w:rsidP="007C6E05">
            <w:pPr>
              <w:tabs>
                <w:tab w:val="left" w:pos="7140"/>
              </w:tabs>
              <w:rPr>
                <w:sz w:val="18"/>
                <w:szCs w:val="18"/>
              </w:rPr>
            </w:pPr>
            <w:r w:rsidRPr="006B3400">
              <w:rPr>
                <w:sz w:val="18"/>
                <w:szCs w:val="18"/>
              </w:rPr>
              <w:t>MT</w:t>
            </w:r>
          </w:p>
        </w:tc>
        <w:tc>
          <w:tcPr>
            <w:tcW w:w="239"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241"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2" w:type="pct"/>
            <w:noWrap/>
            <w:hideMark/>
          </w:tcPr>
          <w:p w:rsidR="00DF2A6E" w:rsidRPr="006B3400" w:rsidRDefault="00DF2A6E" w:rsidP="007C6E05">
            <w:pPr>
              <w:tabs>
                <w:tab w:val="left" w:pos="7140"/>
              </w:tabs>
              <w:jc w:val="right"/>
              <w:rPr>
                <w:sz w:val="18"/>
                <w:szCs w:val="18"/>
              </w:rPr>
            </w:pP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3"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2" w:type="pct"/>
            <w:noWrap/>
            <w:hideMark/>
          </w:tcPr>
          <w:p w:rsidR="00DF2A6E" w:rsidRPr="006B3400" w:rsidRDefault="00DF2A6E" w:rsidP="007C6E05">
            <w:pPr>
              <w:tabs>
                <w:tab w:val="left" w:pos="7140"/>
              </w:tabs>
              <w:jc w:val="right"/>
              <w:rPr>
                <w:sz w:val="18"/>
                <w:szCs w:val="18"/>
              </w:rPr>
            </w:pPr>
          </w:p>
        </w:tc>
        <w:tc>
          <w:tcPr>
            <w:tcW w:w="188"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3" w:type="pct"/>
            <w:noWrap/>
            <w:hideMark/>
          </w:tcPr>
          <w:p w:rsidR="00DF2A6E" w:rsidRPr="006B3400" w:rsidRDefault="00DF2A6E" w:rsidP="007C6E05">
            <w:pPr>
              <w:tabs>
                <w:tab w:val="left" w:pos="7140"/>
              </w:tabs>
              <w:jc w:val="right"/>
              <w:rPr>
                <w:sz w:val="18"/>
                <w:szCs w:val="18"/>
              </w:rPr>
            </w:pPr>
          </w:p>
        </w:tc>
        <w:tc>
          <w:tcPr>
            <w:tcW w:w="240"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483" w:type="pct"/>
            <w:noWrap/>
            <w:hideMark/>
          </w:tcPr>
          <w:p w:rsidR="00DF2A6E" w:rsidRPr="006D0767" w:rsidRDefault="00DF2A6E" w:rsidP="007C6E05">
            <w:pPr>
              <w:jc w:val="right"/>
            </w:pPr>
            <w:r w:rsidRPr="006D0767">
              <w:t>6</w:t>
            </w:r>
          </w:p>
        </w:tc>
        <w:tc>
          <w:tcPr>
            <w:tcW w:w="310" w:type="pct"/>
            <w:noWrap/>
            <w:vAlign w:val="bottom"/>
            <w:hideMark/>
          </w:tcPr>
          <w:p w:rsidR="00DF2A6E" w:rsidRPr="006B3400" w:rsidRDefault="00DF2A6E" w:rsidP="007C6E05">
            <w:pPr>
              <w:tabs>
                <w:tab w:val="left" w:pos="7140"/>
              </w:tabs>
              <w:jc w:val="right"/>
              <w:rPr>
                <w:sz w:val="18"/>
                <w:szCs w:val="18"/>
              </w:rPr>
            </w:pPr>
            <w:r>
              <w:rPr>
                <w:rFonts w:ascii="Calibri" w:hAnsi="Calibri"/>
                <w:color w:val="000000"/>
                <w:sz w:val="22"/>
              </w:rPr>
              <w:t>37</w:t>
            </w:r>
          </w:p>
        </w:tc>
      </w:tr>
      <w:tr w:rsidR="00E20723" w:rsidRPr="006B3400" w:rsidTr="00807960">
        <w:tc>
          <w:tcPr>
            <w:tcW w:w="228" w:type="pct"/>
            <w:noWrap/>
            <w:hideMark/>
          </w:tcPr>
          <w:p w:rsidR="00DF2A6E" w:rsidRPr="006B3400" w:rsidRDefault="00DF2A6E" w:rsidP="007C6E05">
            <w:pPr>
              <w:tabs>
                <w:tab w:val="left" w:pos="7140"/>
              </w:tabs>
              <w:rPr>
                <w:sz w:val="18"/>
                <w:szCs w:val="18"/>
              </w:rPr>
            </w:pPr>
            <w:r w:rsidRPr="006B3400">
              <w:rPr>
                <w:sz w:val="18"/>
                <w:szCs w:val="18"/>
              </w:rPr>
              <w:t>NL</w:t>
            </w:r>
          </w:p>
        </w:tc>
        <w:tc>
          <w:tcPr>
            <w:tcW w:w="239"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241"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6</w:t>
            </w:r>
          </w:p>
        </w:tc>
        <w:tc>
          <w:tcPr>
            <w:tcW w:w="192" w:type="pct"/>
            <w:noWrap/>
            <w:hideMark/>
          </w:tcPr>
          <w:p w:rsidR="00DF2A6E" w:rsidRPr="006B3400" w:rsidRDefault="00DF2A6E" w:rsidP="007C6E05">
            <w:pPr>
              <w:tabs>
                <w:tab w:val="left" w:pos="7140"/>
              </w:tabs>
              <w:jc w:val="right"/>
              <w:rPr>
                <w:sz w:val="18"/>
                <w:szCs w:val="18"/>
              </w:rPr>
            </w:pP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3"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p>
        </w:tc>
        <w:tc>
          <w:tcPr>
            <w:tcW w:w="188" w:type="pct"/>
            <w:noWrap/>
            <w:hideMark/>
          </w:tcPr>
          <w:p w:rsidR="00DF2A6E" w:rsidRPr="006B3400" w:rsidRDefault="00DF2A6E" w:rsidP="007C6E05">
            <w:pPr>
              <w:tabs>
                <w:tab w:val="left" w:pos="7140"/>
              </w:tabs>
              <w:jc w:val="right"/>
              <w:rPr>
                <w:sz w:val="18"/>
                <w:szCs w:val="18"/>
              </w:rPr>
            </w:pPr>
          </w:p>
        </w:tc>
        <w:tc>
          <w:tcPr>
            <w:tcW w:w="193" w:type="pct"/>
            <w:noWrap/>
            <w:hideMark/>
          </w:tcPr>
          <w:p w:rsidR="00DF2A6E" w:rsidRPr="006B3400" w:rsidRDefault="00DF2A6E" w:rsidP="007C6E05">
            <w:pPr>
              <w:tabs>
                <w:tab w:val="left" w:pos="7140"/>
              </w:tabs>
              <w:jc w:val="right"/>
              <w:rPr>
                <w:sz w:val="18"/>
                <w:szCs w:val="18"/>
              </w:rPr>
            </w:pPr>
          </w:p>
        </w:tc>
        <w:tc>
          <w:tcPr>
            <w:tcW w:w="240"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483" w:type="pct"/>
            <w:noWrap/>
            <w:hideMark/>
          </w:tcPr>
          <w:p w:rsidR="00DF2A6E" w:rsidRPr="006D0767" w:rsidRDefault="00DF2A6E" w:rsidP="007C6E05">
            <w:pPr>
              <w:jc w:val="right"/>
            </w:pPr>
            <w:r w:rsidRPr="006D0767">
              <w:t>3</w:t>
            </w:r>
          </w:p>
        </w:tc>
        <w:tc>
          <w:tcPr>
            <w:tcW w:w="310" w:type="pct"/>
            <w:noWrap/>
            <w:vAlign w:val="bottom"/>
            <w:hideMark/>
          </w:tcPr>
          <w:p w:rsidR="00DF2A6E" w:rsidRPr="006B3400" w:rsidRDefault="00DF2A6E" w:rsidP="007C6E05">
            <w:pPr>
              <w:tabs>
                <w:tab w:val="left" w:pos="7140"/>
              </w:tabs>
              <w:jc w:val="right"/>
              <w:rPr>
                <w:sz w:val="18"/>
                <w:szCs w:val="18"/>
              </w:rPr>
            </w:pPr>
            <w:r>
              <w:rPr>
                <w:rFonts w:ascii="Calibri" w:hAnsi="Calibri"/>
                <w:color w:val="000000"/>
                <w:sz w:val="22"/>
              </w:rPr>
              <w:t>30</w:t>
            </w:r>
          </w:p>
        </w:tc>
      </w:tr>
      <w:tr w:rsidR="00E20723" w:rsidRPr="006B3400" w:rsidTr="00807960">
        <w:tc>
          <w:tcPr>
            <w:tcW w:w="228" w:type="pct"/>
            <w:noWrap/>
            <w:hideMark/>
          </w:tcPr>
          <w:p w:rsidR="00DF2A6E" w:rsidRPr="006B3400" w:rsidRDefault="00DF2A6E" w:rsidP="007C6E05">
            <w:pPr>
              <w:tabs>
                <w:tab w:val="left" w:pos="7140"/>
              </w:tabs>
              <w:rPr>
                <w:sz w:val="18"/>
                <w:szCs w:val="18"/>
              </w:rPr>
            </w:pPr>
            <w:r w:rsidRPr="006B3400">
              <w:rPr>
                <w:sz w:val="18"/>
                <w:szCs w:val="18"/>
              </w:rPr>
              <w:t>PL</w:t>
            </w:r>
          </w:p>
        </w:tc>
        <w:tc>
          <w:tcPr>
            <w:tcW w:w="239"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241"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5</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6</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6</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1" w:type="pct"/>
            <w:noWrap/>
            <w:hideMark/>
          </w:tcPr>
          <w:p w:rsidR="00DF2A6E" w:rsidRPr="006B3400" w:rsidRDefault="00DF2A6E" w:rsidP="007C6E05">
            <w:pPr>
              <w:tabs>
                <w:tab w:val="left" w:pos="7140"/>
              </w:tabs>
              <w:jc w:val="right"/>
              <w:rPr>
                <w:sz w:val="18"/>
                <w:szCs w:val="18"/>
              </w:rPr>
            </w:pPr>
          </w:p>
        </w:tc>
        <w:tc>
          <w:tcPr>
            <w:tcW w:w="193"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2" w:type="pct"/>
            <w:noWrap/>
            <w:hideMark/>
          </w:tcPr>
          <w:p w:rsidR="00DF2A6E" w:rsidRPr="006B3400" w:rsidRDefault="00DF2A6E" w:rsidP="007C6E05">
            <w:pPr>
              <w:tabs>
                <w:tab w:val="left" w:pos="7140"/>
              </w:tabs>
              <w:jc w:val="right"/>
              <w:rPr>
                <w:sz w:val="18"/>
                <w:szCs w:val="18"/>
              </w:rPr>
            </w:pPr>
          </w:p>
        </w:tc>
        <w:tc>
          <w:tcPr>
            <w:tcW w:w="188" w:type="pct"/>
            <w:noWrap/>
            <w:hideMark/>
          </w:tcPr>
          <w:p w:rsidR="00DF2A6E" w:rsidRPr="006B3400" w:rsidRDefault="00DF2A6E" w:rsidP="007C6E05">
            <w:pPr>
              <w:tabs>
                <w:tab w:val="left" w:pos="7140"/>
              </w:tabs>
              <w:jc w:val="right"/>
              <w:rPr>
                <w:sz w:val="18"/>
                <w:szCs w:val="18"/>
              </w:rPr>
            </w:pPr>
          </w:p>
        </w:tc>
        <w:tc>
          <w:tcPr>
            <w:tcW w:w="193" w:type="pct"/>
            <w:noWrap/>
            <w:hideMark/>
          </w:tcPr>
          <w:p w:rsidR="00DF2A6E" w:rsidRPr="006B3400" w:rsidRDefault="00DF2A6E" w:rsidP="007C6E05">
            <w:pPr>
              <w:tabs>
                <w:tab w:val="left" w:pos="7140"/>
              </w:tabs>
              <w:jc w:val="right"/>
              <w:rPr>
                <w:sz w:val="18"/>
                <w:szCs w:val="18"/>
              </w:rPr>
            </w:pPr>
          </w:p>
        </w:tc>
        <w:tc>
          <w:tcPr>
            <w:tcW w:w="240"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2" w:type="pct"/>
            <w:noWrap/>
            <w:hideMark/>
          </w:tcPr>
          <w:p w:rsidR="00DF2A6E" w:rsidRPr="006B3400" w:rsidRDefault="00DF2A6E" w:rsidP="007C6E05">
            <w:pPr>
              <w:tabs>
                <w:tab w:val="left" w:pos="7140"/>
              </w:tabs>
              <w:jc w:val="right"/>
              <w:rPr>
                <w:sz w:val="18"/>
                <w:szCs w:val="18"/>
              </w:rPr>
            </w:pP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483" w:type="pct"/>
            <w:noWrap/>
            <w:hideMark/>
          </w:tcPr>
          <w:p w:rsidR="00DF2A6E" w:rsidRPr="006D0767" w:rsidRDefault="00DF2A6E" w:rsidP="007C6E05">
            <w:pPr>
              <w:jc w:val="right"/>
            </w:pPr>
            <w:r w:rsidRPr="006D0767">
              <w:t>3</w:t>
            </w:r>
          </w:p>
        </w:tc>
        <w:tc>
          <w:tcPr>
            <w:tcW w:w="310" w:type="pct"/>
            <w:noWrap/>
            <w:vAlign w:val="bottom"/>
            <w:hideMark/>
          </w:tcPr>
          <w:p w:rsidR="00DF2A6E" w:rsidRPr="006B3400" w:rsidRDefault="00DF2A6E" w:rsidP="007C6E05">
            <w:pPr>
              <w:tabs>
                <w:tab w:val="left" w:pos="7140"/>
              </w:tabs>
              <w:jc w:val="right"/>
              <w:rPr>
                <w:sz w:val="18"/>
                <w:szCs w:val="18"/>
              </w:rPr>
            </w:pPr>
            <w:r>
              <w:rPr>
                <w:rFonts w:ascii="Calibri" w:hAnsi="Calibri"/>
                <w:color w:val="000000"/>
                <w:sz w:val="22"/>
              </w:rPr>
              <w:t>46</w:t>
            </w:r>
          </w:p>
        </w:tc>
      </w:tr>
      <w:tr w:rsidR="00E20723" w:rsidRPr="006B3400" w:rsidTr="00807960">
        <w:tc>
          <w:tcPr>
            <w:tcW w:w="228" w:type="pct"/>
            <w:noWrap/>
            <w:hideMark/>
          </w:tcPr>
          <w:p w:rsidR="00DF2A6E" w:rsidRPr="006B3400" w:rsidRDefault="00DF2A6E" w:rsidP="007C6E05">
            <w:pPr>
              <w:tabs>
                <w:tab w:val="left" w:pos="7140"/>
              </w:tabs>
              <w:rPr>
                <w:sz w:val="18"/>
                <w:szCs w:val="18"/>
              </w:rPr>
            </w:pPr>
            <w:r w:rsidRPr="006B3400">
              <w:rPr>
                <w:sz w:val="18"/>
                <w:szCs w:val="18"/>
              </w:rPr>
              <w:t>PT</w:t>
            </w:r>
          </w:p>
        </w:tc>
        <w:tc>
          <w:tcPr>
            <w:tcW w:w="239"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241"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2" w:type="pct"/>
            <w:noWrap/>
            <w:hideMark/>
          </w:tcPr>
          <w:p w:rsidR="00DF2A6E" w:rsidRPr="006B3400" w:rsidRDefault="00DF2A6E" w:rsidP="007C6E05">
            <w:pPr>
              <w:tabs>
                <w:tab w:val="left" w:pos="7140"/>
              </w:tabs>
              <w:jc w:val="right"/>
              <w:rPr>
                <w:sz w:val="18"/>
                <w:szCs w:val="18"/>
              </w:rPr>
            </w:pP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3"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p>
        </w:tc>
        <w:tc>
          <w:tcPr>
            <w:tcW w:w="188"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3" w:type="pct"/>
            <w:noWrap/>
            <w:hideMark/>
          </w:tcPr>
          <w:p w:rsidR="00DF2A6E" w:rsidRPr="006B3400" w:rsidRDefault="00DF2A6E" w:rsidP="007C6E05">
            <w:pPr>
              <w:tabs>
                <w:tab w:val="left" w:pos="7140"/>
              </w:tabs>
              <w:jc w:val="right"/>
              <w:rPr>
                <w:sz w:val="18"/>
                <w:szCs w:val="18"/>
              </w:rPr>
            </w:pPr>
          </w:p>
        </w:tc>
        <w:tc>
          <w:tcPr>
            <w:tcW w:w="240"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483" w:type="pct"/>
            <w:noWrap/>
            <w:hideMark/>
          </w:tcPr>
          <w:p w:rsidR="00DF2A6E" w:rsidRPr="006D0767" w:rsidRDefault="00DF2A6E" w:rsidP="007C6E05">
            <w:pPr>
              <w:jc w:val="right"/>
            </w:pPr>
            <w:r w:rsidRPr="006D0767">
              <w:t>5</w:t>
            </w:r>
          </w:p>
        </w:tc>
        <w:tc>
          <w:tcPr>
            <w:tcW w:w="310" w:type="pct"/>
            <w:noWrap/>
            <w:vAlign w:val="bottom"/>
            <w:hideMark/>
          </w:tcPr>
          <w:p w:rsidR="00DF2A6E" w:rsidRPr="006B3400" w:rsidRDefault="00DF2A6E" w:rsidP="007C6E05">
            <w:pPr>
              <w:tabs>
                <w:tab w:val="left" w:pos="7140"/>
              </w:tabs>
              <w:jc w:val="right"/>
              <w:rPr>
                <w:sz w:val="18"/>
                <w:szCs w:val="18"/>
              </w:rPr>
            </w:pPr>
            <w:r>
              <w:rPr>
                <w:rFonts w:ascii="Calibri" w:hAnsi="Calibri"/>
                <w:color w:val="000000"/>
                <w:sz w:val="22"/>
              </w:rPr>
              <w:t>28</w:t>
            </w:r>
          </w:p>
        </w:tc>
      </w:tr>
      <w:tr w:rsidR="00E20723" w:rsidRPr="006B3400" w:rsidTr="00807960">
        <w:tc>
          <w:tcPr>
            <w:tcW w:w="228" w:type="pct"/>
            <w:noWrap/>
            <w:hideMark/>
          </w:tcPr>
          <w:p w:rsidR="00DF2A6E" w:rsidRPr="006B3400" w:rsidRDefault="00DF2A6E" w:rsidP="007C6E05">
            <w:pPr>
              <w:tabs>
                <w:tab w:val="left" w:pos="7140"/>
              </w:tabs>
              <w:rPr>
                <w:sz w:val="18"/>
                <w:szCs w:val="18"/>
              </w:rPr>
            </w:pPr>
            <w:r w:rsidRPr="006B3400">
              <w:rPr>
                <w:sz w:val="18"/>
                <w:szCs w:val="18"/>
              </w:rPr>
              <w:t>RO</w:t>
            </w:r>
          </w:p>
        </w:tc>
        <w:tc>
          <w:tcPr>
            <w:tcW w:w="239"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241"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6</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3"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p>
        </w:tc>
        <w:tc>
          <w:tcPr>
            <w:tcW w:w="188"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3" w:type="pct"/>
            <w:noWrap/>
            <w:hideMark/>
          </w:tcPr>
          <w:p w:rsidR="00DF2A6E" w:rsidRPr="006B3400" w:rsidRDefault="00DF2A6E" w:rsidP="007C6E05">
            <w:pPr>
              <w:tabs>
                <w:tab w:val="left" w:pos="7140"/>
              </w:tabs>
              <w:jc w:val="right"/>
              <w:rPr>
                <w:sz w:val="18"/>
                <w:szCs w:val="18"/>
              </w:rPr>
            </w:pPr>
          </w:p>
        </w:tc>
        <w:tc>
          <w:tcPr>
            <w:tcW w:w="240"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2" w:type="pct"/>
            <w:noWrap/>
            <w:hideMark/>
          </w:tcPr>
          <w:p w:rsidR="00DF2A6E" w:rsidRPr="006B3400" w:rsidRDefault="00DF2A6E" w:rsidP="007C6E05">
            <w:pPr>
              <w:tabs>
                <w:tab w:val="left" w:pos="7140"/>
              </w:tabs>
              <w:jc w:val="right"/>
              <w:rPr>
                <w:sz w:val="18"/>
                <w:szCs w:val="18"/>
              </w:rPr>
            </w:pP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483" w:type="pct"/>
            <w:noWrap/>
            <w:hideMark/>
          </w:tcPr>
          <w:p w:rsidR="00DF2A6E" w:rsidRPr="006D0767" w:rsidRDefault="00DF2A6E" w:rsidP="007C6E05">
            <w:pPr>
              <w:jc w:val="right"/>
            </w:pPr>
            <w:r w:rsidRPr="006D0767">
              <w:t>12</w:t>
            </w:r>
          </w:p>
        </w:tc>
        <w:tc>
          <w:tcPr>
            <w:tcW w:w="310" w:type="pct"/>
            <w:noWrap/>
            <w:vAlign w:val="bottom"/>
            <w:hideMark/>
          </w:tcPr>
          <w:p w:rsidR="00DF2A6E" w:rsidRPr="006B3400" w:rsidRDefault="007D3A95" w:rsidP="007D3A95">
            <w:pPr>
              <w:tabs>
                <w:tab w:val="left" w:pos="7140"/>
              </w:tabs>
              <w:jc w:val="right"/>
              <w:rPr>
                <w:sz w:val="18"/>
                <w:szCs w:val="18"/>
              </w:rPr>
            </w:pPr>
            <w:r>
              <w:rPr>
                <w:rFonts w:ascii="Calibri" w:hAnsi="Calibri"/>
                <w:color w:val="000000"/>
                <w:sz w:val="22"/>
              </w:rPr>
              <w:t xml:space="preserve"> 55</w:t>
            </w:r>
          </w:p>
        </w:tc>
      </w:tr>
      <w:tr w:rsidR="00E20723" w:rsidRPr="006B3400" w:rsidTr="00807960">
        <w:tc>
          <w:tcPr>
            <w:tcW w:w="228" w:type="pct"/>
            <w:noWrap/>
            <w:hideMark/>
          </w:tcPr>
          <w:p w:rsidR="00DF2A6E" w:rsidRPr="006B3400" w:rsidRDefault="00DF2A6E" w:rsidP="007C6E05">
            <w:pPr>
              <w:tabs>
                <w:tab w:val="left" w:pos="7140"/>
              </w:tabs>
              <w:rPr>
                <w:sz w:val="18"/>
                <w:szCs w:val="18"/>
              </w:rPr>
            </w:pPr>
            <w:r w:rsidRPr="006B3400">
              <w:rPr>
                <w:sz w:val="18"/>
                <w:szCs w:val="18"/>
              </w:rPr>
              <w:t>SE</w:t>
            </w:r>
          </w:p>
        </w:tc>
        <w:tc>
          <w:tcPr>
            <w:tcW w:w="239"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241"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2" w:type="pct"/>
            <w:noWrap/>
            <w:hideMark/>
          </w:tcPr>
          <w:p w:rsidR="00DF2A6E" w:rsidRPr="006B3400" w:rsidRDefault="00DF2A6E" w:rsidP="007C6E05">
            <w:pPr>
              <w:tabs>
                <w:tab w:val="left" w:pos="7140"/>
              </w:tabs>
              <w:jc w:val="right"/>
              <w:rPr>
                <w:sz w:val="18"/>
                <w:szCs w:val="18"/>
              </w:rPr>
            </w:pP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6</w:t>
            </w:r>
          </w:p>
        </w:tc>
        <w:tc>
          <w:tcPr>
            <w:tcW w:w="191" w:type="pct"/>
            <w:noWrap/>
            <w:hideMark/>
          </w:tcPr>
          <w:p w:rsidR="00DF2A6E" w:rsidRPr="006B3400" w:rsidRDefault="00DF2A6E" w:rsidP="007C6E05">
            <w:pPr>
              <w:tabs>
                <w:tab w:val="left" w:pos="7140"/>
              </w:tabs>
              <w:jc w:val="right"/>
              <w:rPr>
                <w:sz w:val="18"/>
                <w:szCs w:val="18"/>
              </w:rPr>
            </w:pPr>
          </w:p>
        </w:tc>
        <w:tc>
          <w:tcPr>
            <w:tcW w:w="193"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p>
        </w:tc>
        <w:tc>
          <w:tcPr>
            <w:tcW w:w="188"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3" w:type="pct"/>
            <w:noWrap/>
            <w:hideMark/>
          </w:tcPr>
          <w:p w:rsidR="00DF2A6E" w:rsidRPr="006B3400" w:rsidRDefault="00DF2A6E" w:rsidP="007C6E05">
            <w:pPr>
              <w:tabs>
                <w:tab w:val="left" w:pos="7140"/>
              </w:tabs>
              <w:jc w:val="right"/>
              <w:rPr>
                <w:sz w:val="18"/>
                <w:szCs w:val="18"/>
              </w:rPr>
            </w:pPr>
          </w:p>
        </w:tc>
        <w:tc>
          <w:tcPr>
            <w:tcW w:w="240"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1"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p>
        </w:tc>
        <w:tc>
          <w:tcPr>
            <w:tcW w:w="483" w:type="pct"/>
            <w:noWrap/>
            <w:hideMark/>
          </w:tcPr>
          <w:p w:rsidR="00DF2A6E" w:rsidRPr="006D0767" w:rsidRDefault="00DF2A6E" w:rsidP="007C6E05">
            <w:pPr>
              <w:jc w:val="right"/>
            </w:pPr>
          </w:p>
        </w:tc>
        <w:tc>
          <w:tcPr>
            <w:tcW w:w="310" w:type="pct"/>
            <w:noWrap/>
            <w:vAlign w:val="bottom"/>
            <w:hideMark/>
          </w:tcPr>
          <w:p w:rsidR="00DF2A6E" w:rsidRPr="006B3400" w:rsidRDefault="00DF2A6E" w:rsidP="007C6E05">
            <w:pPr>
              <w:tabs>
                <w:tab w:val="left" w:pos="7140"/>
              </w:tabs>
              <w:jc w:val="right"/>
              <w:rPr>
                <w:sz w:val="18"/>
                <w:szCs w:val="18"/>
              </w:rPr>
            </w:pPr>
            <w:r>
              <w:rPr>
                <w:rFonts w:ascii="Calibri" w:hAnsi="Calibri"/>
                <w:color w:val="000000"/>
                <w:sz w:val="22"/>
              </w:rPr>
              <w:t>23</w:t>
            </w:r>
          </w:p>
        </w:tc>
      </w:tr>
      <w:tr w:rsidR="00E20723" w:rsidRPr="006B3400" w:rsidTr="00807960">
        <w:tc>
          <w:tcPr>
            <w:tcW w:w="228" w:type="pct"/>
            <w:noWrap/>
            <w:hideMark/>
          </w:tcPr>
          <w:p w:rsidR="00DF2A6E" w:rsidRPr="006B3400" w:rsidRDefault="00DF2A6E" w:rsidP="007C6E05">
            <w:pPr>
              <w:tabs>
                <w:tab w:val="left" w:pos="7140"/>
              </w:tabs>
              <w:rPr>
                <w:sz w:val="18"/>
                <w:szCs w:val="18"/>
              </w:rPr>
            </w:pPr>
            <w:r w:rsidRPr="006B3400">
              <w:rPr>
                <w:sz w:val="18"/>
                <w:szCs w:val="18"/>
              </w:rPr>
              <w:t>SI</w:t>
            </w:r>
          </w:p>
        </w:tc>
        <w:tc>
          <w:tcPr>
            <w:tcW w:w="239"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241"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5</w:t>
            </w: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3"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p>
        </w:tc>
        <w:tc>
          <w:tcPr>
            <w:tcW w:w="188"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3" w:type="pct"/>
            <w:noWrap/>
            <w:hideMark/>
          </w:tcPr>
          <w:p w:rsidR="00DF2A6E" w:rsidRPr="006B3400" w:rsidRDefault="00DF2A6E" w:rsidP="007C6E05">
            <w:pPr>
              <w:tabs>
                <w:tab w:val="left" w:pos="7140"/>
              </w:tabs>
              <w:jc w:val="right"/>
              <w:rPr>
                <w:sz w:val="18"/>
                <w:szCs w:val="18"/>
              </w:rPr>
            </w:pPr>
          </w:p>
        </w:tc>
        <w:tc>
          <w:tcPr>
            <w:tcW w:w="240"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2" w:type="pct"/>
            <w:noWrap/>
            <w:hideMark/>
          </w:tcPr>
          <w:p w:rsidR="00DF2A6E" w:rsidRPr="006B3400" w:rsidRDefault="00DF2A6E" w:rsidP="007C6E05">
            <w:pPr>
              <w:tabs>
                <w:tab w:val="left" w:pos="7140"/>
              </w:tabs>
              <w:jc w:val="right"/>
              <w:rPr>
                <w:sz w:val="18"/>
                <w:szCs w:val="18"/>
              </w:rPr>
            </w:pPr>
          </w:p>
        </w:tc>
        <w:tc>
          <w:tcPr>
            <w:tcW w:w="191"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483" w:type="pct"/>
            <w:noWrap/>
            <w:hideMark/>
          </w:tcPr>
          <w:p w:rsidR="00DF2A6E" w:rsidRPr="006D0767" w:rsidRDefault="00DF2A6E" w:rsidP="007C6E05">
            <w:pPr>
              <w:jc w:val="right"/>
            </w:pPr>
            <w:r w:rsidRPr="006D0767">
              <w:t>6</w:t>
            </w:r>
          </w:p>
        </w:tc>
        <w:tc>
          <w:tcPr>
            <w:tcW w:w="310" w:type="pct"/>
            <w:noWrap/>
            <w:vAlign w:val="bottom"/>
            <w:hideMark/>
          </w:tcPr>
          <w:p w:rsidR="00DF2A6E" w:rsidRPr="006B3400" w:rsidRDefault="00DF2A6E" w:rsidP="007C6E05">
            <w:pPr>
              <w:tabs>
                <w:tab w:val="left" w:pos="7140"/>
              </w:tabs>
              <w:jc w:val="right"/>
              <w:rPr>
                <w:sz w:val="18"/>
                <w:szCs w:val="18"/>
              </w:rPr>
            </w:pPr>
            <w:r>
              <w:rPr>
                <w:rFonts w:ascii="Calibri" w:hAnsi="Calibri"/>
                <w:color w:val="000000"/>
                <w:sz w:val="22"/>
              </w:rPr>
              <w:t>41</w:t>
            </w:r>
          </w:p>
        </w:tc>
      </w:tr>
      <w:tr w:rsidR="00E20723" w:rsidRPr="006B3400" w:rsidTr="00807960">
        <w:tc>
          <w:tcPr>
            <w:tcW w:w="228" w:type="pct"/>
            <w:noWrap/>
            <w:hideMark/>
          </w:tcPr>
          <w:p w:rsidR="00DF2A6E" w:rsidRPr="006B3400" w:rsidRDefault="00DF2A6E" w:rsidP="007C6E05">
            <w:pPr>
              <w:tabs>
                <w:tab w:val="left" w:pos="7140"/>
              </w:tabs>
              <w:rPr>
                <w:sz w:val="18"/>
                <w:szCs w:val="18"/>
              </w:rPr>
            </w:pPr>
            <w:r w:rsidRPr="006B3400">
              <w:rPr>
                <w:sz w:val="18"/>
                <w:szCs w:val="18"/>
              </w:rPr>
              <w:t>SK</w:t>
            </w:r>
          </w:p>
        </w:tc>
        <w:tc>
          <w:tcPr>
            <w:tcW w:w="239"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241"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1" w:type="pct"/>
            <w:noWrap/>
            <w:hideMark/>
          </w:tcPr>
          <w:p w:rsidR="00DF2A6E" w:rsidRPr="006B3400" w:rsidRDefault="00DF2A6E" w:rsidP="007C6E05">
            <w:pPr>
              <w:tabs>
                <w:tab w:val="left" w:pos="7140"/>
              </w:tabs>
              <w:jc w:val="right"/>
              <w:rPr>
                <w:sz w:val="18"/>
                <w:szCs w:val="18"/>
              </w:rPr>
            </w:pPr>
          </w:p>
        </w:tc>
        <w:tc>
          <w:tcPr>
            <w:tcW w:w="193"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88"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3" w:type="pct"/>
            <w:noWrap/>
            <w:hideMark/>
          </w:tcPr>
          <w:p w:rsidR="00DF2A6E" w:rsidRPr="006B3400" w:rsidRDefault="00DF2A6E" w:rsidP="007C6E05">
            <w:pPr>
              <w:tabs>
                <w:tab w:val="left" w:pos="7140"/>
              </w:tabs>
              <w:jc w:val="right"/>
              <w:rPr>
                <w:sz w:val="18"/>
                <w:szCs w:val="18"/>
              </w:rPr>
            </w:pPr>
          </w:p>
        </w:tc>
        <w:tc>
          <w:tcPr>
            <w:tcW w:w="240"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483" w:type="pct"/>
            <w:noWrap/>
            <w:hideMark/>
          </w:tcPr>
          <w:p w:rsidR="00DF2A6E" w:rsidRPr="006D0767" w:rsidRDefault="00DF2A6E" w:rsidP="007C6E05">
            <w:pPr>
              <w:jc w:val="right"/>
            </w:pPr>
            <w:r w:rsidRPr="006D0767">
              <w:t>4</w:t>
            </w:r>
          </w:p>
        </w:tc>
        <w:tc>
          <w:tcPr>
            <w:tcW w:w="310" w:type="pct"/>
            <w:noWrap/>
            <w:vAlign w:val="bottom"/>
            <w:hideMark/>
          </w:tcPr>
          <w:p w:rsidR="00DF2A6E" w:rsidRPr="006B3400" w:rsidRDefault="00DF2A6E" w:rsidP="007C6E05">
            <w:pPr>
              <w:tabs>
                <w:tab w:val="left" w:pos="7140"/>
              </w:tabs>
              <w:jc w:val="right"/>
              <w:rPr>
                <w:sz w:val="18"/>
                <w:szCs w:val="18"/>
              </w:rPr>
            </w:pPr>
            <w:r>
              <w:rPr>
                <w:rFonts w:ascii="Calibri" w:hAnsi="Calibri"/>
                <w:color w:val="000000"/>
                <w:sz w:val="22"/>
              </w:rPr>
              <w:t>51</w:t>
            </w:r>
          </w:p>
        </w:tc>
      </w:tr>
      <w:tr w:rsidR="00E20723" w:rsidRPr="006B3400" w:rsidTr="00807960">
        <w:tc>
          <w:tcPr>
            <w:tcW w:w="228" w:type="pct"/>
            <w:noWrap/>
            <w:hideMark/>
          </w:tcPr>
          <w:p w:rsidR="00DF2A6E" w:rsidRPr="006B3400" w:rsidRDefault="00DF2A6E" w:rsidP="007C6E05">
            <w:pPr>
              <w:tabs>
                <w:tab w:val="left" w:pos="7140"/>
              </w:tabs>
              <w:rPr>
                <w:sz w:val="18"/>
                <w:szCs w:val="18"/>
              </w:rPr>
            </w:pPr>
            <w:r w:rsidRPr="006B3400">
              <w:rPr>
                <w:sz w:val="18"/>
                <w:szCs w:val="18"/>
              </w:rPr>
              <w:t>UK</w:t>
            </w:r>
          </w:p>
        </w:tc>
        <w:tc>
          <w:tcPr>
            <w:tcW w:w="239"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241"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2" w:type="pct"/>
            <w:noWrap/>
            <w:hideMark/>
          </w:tcPr>
          <w:p w:rsidR="00DF2A6E" w:rsidRPr="006B3400" w:rsidRDefault="00DF2A6E" w:rsidP="007C6E05">
            <w:pPr>
              <w:tabs>
                <w:tab w:val="left" w:pos="7140"/>
              </w:tabs>
              <w:jc w:val="right"/>
              <w:rPr>
                <w:sz w:val="18"/>
                <w:szCs w:val="18"/>
              </w:rPr>
            </w:pPr>
          </w:p>
        </w:tc>
        <w:tc>
          <w:tcPr>
            <w:tcW w:w="191"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2</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5</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1" w:type="pct"/>
            <w:noWrap/>
            <w:hideMark/>
          </w:tcPr>
          <w:p w:rsidR="00DF2A6E" w:rsidRPr="006B3400" w:rsidRDefault="00DF2A6E" w:rsidP="007C6E05">
            <w:pPr>
              <w:tabs>
                <w:tab w:val="left" w:pos="7140"/>
              </w:tabs>
              <w:jc w:val="right"/>
              <w:rPr>
                <w:sz w:val="18"/>
                <w:szCs w:val="18"/>
              </w:rPr>
            </w:pPr>
          </w:p>
        </w:tc>
        <w:tc>
          <w:tcPr>
            <w:tcW w:w="193"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2" w:type="pct"/>
            <w:noWrap/>
            <w:hideMark/>
          </w:tcPr>
          <w:p w:rsidR="00DF2A6E" w:rsidRPr="006B3400" w:rsidRDefault="00DF2A6E" w:rsidP="007C6E05">
            <w:pPr>
              <w:tabs>
                <w:tab w:val="left" w:pos="7140"/>
              </w:tabs>
              <w:jc w:val="right"/>
              <w:rPr>
                <w:sz w:val="18"/>
                <w:szCs w:val="18"/>
              </w:rPr>
            </w:pPr>
          </w:p>
        </w:tc>
        <w:tc>
          <w:tcPr>
            <w:tcW w:w="188" w:type="pct"/>
            <w:noWrap/>
            <w:hideMark/>
          </w:tcPr>
          <w:p w:rsidR="00DF2A6E" w:rsidRPr="006B3400" w:rsidRDefault="00DF2A6E" w:rsidP="007C6E05">
            <w:pPr>
              <w:tabs>
                <w:tab w:val="left" w:pos="7140"/>
              </w:tabs>
              <w:jc w:val="right"/>
              <w:rPr>
                <w:sz w:val="18"/>
                <w:szCs w:val="18"/>
              </w:rPr>
            </w:pPr>
            <w:r w:rsidRPr="006B3400">
              <w:rPr>
                <w:sz w:val="18"/>
                <w:szCs w:val="18"/>
              </w:rPr>
              <w:t>3</w:t>
            </w:r>
          </w:p>
        </w:tc>
        <w:tc>
          <w:tcPr>
            <w:tcW w:w="193" w:type="pct"/>
            <w:noWrap/>
            <w:hideMark/>
          </w:tcPr>
          <w:p w:rsidR="00DF2A6E" w:rsidRPr="006B3400" w:rsidRDefault="00DF2A6E" w:rsidP="007C6E05">
            <w:pPr>
              <w:tabs>
                <w:tab w:val="left" w:pos="7140"/>
              </w:tabs>
              <w:jc w:val="right"/>
              <w:rPr>
                <w:sz w:val="18"/>
                <w:szCs w:val="18"/>
              </w:rPr>
            </w:pPr>
          </w:p>
        </w:tc>
        <w:tc>
          <w:tcPr>
            <w:tcW w:w="240"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1"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4</w:t>
            </w:r>
          </w:p>
        </w:tc>
        <w:tc>
          <w:tcPr>
            <w:tcW w:w="192" w:type="pct"/>
            <w:noWrap/>
            <w:hideMark/>
          </w:tcPr>
          <w:p w:rsidR="00DF2A6E" w:rsidRPr="006B3400" w:rsidRDefault="00DF2A6E" w:rsidP="007C6E05">
            <w:pPr>
              <w:tabs>
                <w:tab w:val="left" w:pos="7140"/>
              </w:tabs>
              <w:jc w:val="right"/>
              <w:rPr>
                <w:sz w:val="18"/>
                <w:szCs w:val="18"/>
              </w:rPr>
            </w:pPr>
            <w:r w:rsidRPr="006B3400">
              <w:rPr>
                <w:sz w:val="18"/>
                <w:szCs w:val="18"/>
              </w:rPr>
              <w:t>1</w:t>
            </w:r>
          </w:p>
        </w:tc>
        <w:tc>
          <w:tcPr>
            <w:tcW w:w="483" w:type="pct"/>
            <w:noWrap/>
            <w:hideMark/>
          </w:tcPr>
          <w:p w:rsidR="00DF2A6E" w:rsidRPr="006D0767" w:rsidRDefault="00DF2A6E" w:rsidP="007C6E05">
            <w:pPr>
              <w:jc w:val="right"/>
            </w:pPr>
            <w:r w:rsidRPr="006D0767">
              <w:t>2</w:t>
            </w:r>
          </w:p>
        </w:tc>
        <w:tc>
          <w:tcPr>
            <w:tcW w:w="310" w:type="pct"/>
            <w:noWrap/>
            <w:vAlign w:val="bottom"/>
            <w:hideMark/>
          </w:tcPr>
          <w:p w:rsidR="00DF2A6E" w:rsidRPr="006B3400" w:rsidRDefault="00DF2A6E" w:rsidP="007C6E05">
            <w:pPr>
              <w:tabs>
                <w:tab w:val="left" w:pos="7140"/>
              </w:tabs>
              <w:jc w:val="right"/>
              <w:rPr>
                <w:sz w:val="18"/>
                <w:szCs w:val="18"/>
              </w:rPr>
            </w:pPr>
            <w:r>
              <w:rPr>
                <w:rFonts w:ascii="Calibri" w:hAnsi="Calibri"/>
                <w:color w:val="000000"/>
                <w:sz w:val="22"/>
              </w:rPr>
              <w:t>41</w:t>
            </w:r>
          </w:p>
        </w:tc>
      </w:tr>
      <w:tr w:rsidR="00E20723" w:rsidRPr="00183EE0" w:rsidTr="00807960">
        <w:tc>
          <w:tcPr>
            <w:tcW w:w="228" w:type="pct"/>
            <w:noWrap/>
          </w:tcPr>
          <w:p w:rsidR="00DF2A6E" w:rsidRPr="00183EE0" w:rsidRDefault="00DF2A6E" w:rsidP="007C6E05">
            <w:pPr>
              <w:tabs>
                <w:tab w:val="left" w:pos="7140"/>
              </w:tabs>
              <w:rPr>
                <w:b/>
                <w:bCs/>
                <w:sz w:val="16"/>
                <w:szCs w:val="16"/>
              </w:rPr>
            </w:pPr>
            <w:r w:rsidRPr="00183EE0">
              <w:rPr>
                <w:b/>
                <w:bCs/>
                <w:sz w:val="16"/>
                <w:szCs w:val="16"/>
              </w:rPr>
              <w:t>TOT</w:t>
            </w:r>
          </w:p>
        </w:tc>
        <w:tc>
          <w:tcPr>
            <w:tcW w:w="239" w:type="pct"/>
            <w:noWrap/>
            <w:hideMark/>
          </w:tcPr>
          <w:p w:rsidR="00DF2A6E" w:rsidRPr="00183EE0" w:rsidRDefault="00DF2A6E" w:rsidP="007C6E05">
            <w:pPr>
              <w:tabs>
                <w:tab w:val="left" w:pos="7140"/>
              </w:tabs>
              <w:jc w:val="right"/>
              <w:rPr>
                <w:b/>
                <w:bCs/>
                <w:sz w:val="16"/>
                <w:szCs w:val="16"/>
              </w:rPr>
            </w:pPr>
            <w:r w:rsidRPr="00183EE0">
              <w:rPr>
                <w:b/>
                <w:bCs/>
                <w:sz w:val="16"/>
                <w:szCs w:val="16"/>
              </w:rPr>
              <w:t>69</w:t>
            </w:r>
          </w:p>
        </w:tc>
        <w:tc>
          <w:tcPr>
            <w:tcW w:w="241" w:type="pct"/>
            <w:noWrap/>
            <w:hideMark/>
          </w:tcPr>
          <w:p w:rsidR="00DF2A6E" w:rsidRPr="00183EE0" w:rsidRDefault="00DF2A6E" w:rsidP="007C6E05">
            <w:pPr>
              <w:tabs>
                <w:tab w:val="left" w:pos="7140"/>
              </w:tabs>
              <w:jc w:val="right"/>
              <w:rPr>
                <w:b/>
                <w:bCs/>
                <w:sz w:val="16"/>
                <w:szCs w:val="16"/>
              </w:rPr>
            </w:pPr>
            <w:r w:rsidRPr="00183EE0">
              <w:rPr>
                <w:b/>
                <w:bCs/>
                <w:sz w:val="16"/>
                <w:szCs w:val="16"/>
              </w:rPr>
              <w:t>56</w:t>
            </w:r>
          </w:p>
        </w:tc>
        <w:tc>
          <w:tcPr>
            <w:tcW w:w="192" w:type="pct"/>
            <w:noWrap/>
            <w:hideMark/>
          </w:tcPr>
          <w:p w:rsidR="00DF2A6E" w:rsidRPr="00183EE0" w:rsidRDefault="00DF2A6E" w:rsidP="007C6E05">
            <w:pPr>
              <w:tabs>
                <w:tab w:val="left" w:pos="7140"/>
              </w:tabs>
              <w:jc w:val="right"/>
              <w:rPr>
                <w:b/>
                <w:bCs/>
                <w:sz w:val="16"/>
                <w:szCs w:val="16"/>
              </w:rPr>
            </w:pPr>
            <w:r w:rsidRPr="00183EE0">
              <w:rPr>
                <w:b/>
                <w:bCs/>
                <w:sz w:val="16"/>
                <w:szCs w:val="16"/>
              </w:rPr>
              <w:t>19</w:t>
            </w:r>
          </w:p>
        </w:tc>
        <w:tc>
          <w:tcPr>
            <w:tcW w:w="191" w:type="pct"/>
            <w:noWrap/>
            <w:hideMark/>
          </w:tcPr>
          <w:p w:rsidR="00DF2A6E" w:rsidRPr="00183EE0" w:rsidRDefault="00DF2A6E" w:rsidP="007C6E05">
            <w:pPr>
              <w:tabs>
                <w:tab w:val="left" w:pos="7140"/>
              </w:tabs>
              <w:jc w:val="right"/>
              <w:rPr>
                <w:b/>
                <w:bCs/>
                <w:sz w:val="16"/>
                <w:szCs w:val="16"/>
              </w:rPr>
            </w:pPr>
            <w:r w:rsidRPr="00183EE0">
              <w:rPr>
                <w:b/>
                <w:bCs/>
                <w:sz w:val="16"/>
                <w:szCs w:val="16"/>
              </w:rPr>
              <w:t>106</w:t>
            </w:r>
          </w:p>
        </w:tc>
        <w:tc>
          <w:tcPr>
            <w:tcW w:w="192" w:type="pct"/>
            <w:noWrap/>
            <w:hideMark/>
          </w:tcPr>
          <w:p w:rsidR="00DF2A6E" w:rsidRPr="00183EE0" w:rsidRDefault="00DF2A6E" w:rsidP="007C6E05">
            <w:pPr>
              <w:tabs>
                <w:tab w:val="left" w:pos="7140"/>
              </w:tabs>
              <w:jc w:val="right"/>
              <w:rPr>
                <w:b/>
                <w:bCs/>
                <w:sz w:val="16"/>
                <w:szCs w:val="16"/>
              </w:rPr>
            </w:pPr>
            <w:r w:rsidRPr="00183EE0">
              <w:rPr>
                <w:b/>
                <w:bCs/>
                <w:sz w:val="16"/>
                <w:szCs w:val="16"/>
              </w:rPr>
              <w:t>7</w:t>
            </w:r>
          </w:p>
        </w:tc>
        <w:tc>
          <w:tcPr>
            <w:tcW w:w="192" w:type="pct"/>
            <w:noWrap/>
            <w:hideMark/>
          </w:tcPr>
          <w:p w:rsidR="00DF2A6E" w:rsidRPr="00183EE0" w:rsidRDefault="00DF2A6E" w:rsidP="007C6E05">
            <w:pPr>
              <w:tabs>
                <w:tab w:val="left" w:pos="7140"/>
              </w:tabs>
              <w:jc w:val="right"/>
              <w:rPr>
                <w:b/>
                <w:bCs/>
                <w:sz w:val="16"/>
                <w:szCs w:val="16"/>
              </w:rPr>
            </w:pPr>
            <w:r w:rsidRPr="00183EE0">
              <w:rPr>
                <w:b/>
                <w:bCs/>
                <w:sz w:val="16"/>
                <w:szCs w:val="16"/>
              </w:rPr>
              <w:t>41</w:t>
            </w:r>
          </w:p>
        </w:tc>
        <w:tc>
          <w:tcPr>
            <w:tcW w:w="192" w:type="pct"/>
            <w:noWrap/>
            <w:hideMark/>
          </w:tcPr>
          <w:p w:rsidR="00DF2A6E" w:rsidRPr="00183EE0" w:rsidRDefault="00DF2A6E" w:rsidP="007C6E05">
            <w:pPr>
              <w:tabs>
                <w:tab w:val="left" w:pos="7140"/>
              </w:tabs>
              <w:jc w:val="right"/>
              <w:rPr>
                <w:b/>
                <w:bCs/>
                <w:sz w:val="16"/>
                <w:szCs w:val="16"/>
              </w:rPr>
            </w:pPr>
            <w:r w:rsidRPr="00183EE0">
              <w:rPr>
                <w:b/>
                <w:bCs/>
                <w:sz w:val="16"/>
                <w:szCs w:val="16"/>
              </w:rPr>
              <w:t>69</w:t>
            </w:r>
          </w:p>
        </w:tc>
        <w:tc>
          <w:tcPr>
            <w:tcW w:w="192" w:type="pct"/>
            <w:noWrap/>
            <w:hideMark/>
          </w:tcPr>
          <w:p w:rsidR="00DF2A6E" w:rsidRPr="00183EE0" w:rsidRDefault="00DF2A6E" w:rsidP="007C6E05">
            <w:pPr>
              <w:tabs>
                <w:tab w:val="left" w:pos="7140"/>
              </w:tabs>
              <w:jc w:val="right"/>
              <w:rPr>
                <w:b/>
                <w:bCs/>
                <w:sz w:val="16"/>
                <w:szCs w:val="16"/>
              </w:rPr>
            </w:pPr>
            <w:r w:rsidRPr="00183EE0">
              <w:rPr>
                <w:b/>
                <w:bCs/>
                <w:sz w:val="16"/>
                <w:szCs w:val="16"/>
              </w:rPr>
              <w:t>139</w:t>
            </w:r>
          </w:p>
        </w:tc>
        <w:tc>
          <w:tcPr>
            <w:tcW w:w="192" w:type="pct"/>
            <w:noWrap/>
            <w:hideMark/>
          </w:tcPr>
          <w:p w:rsidR="00DF2A6E" w:rsidRPr="00183EE0" w:rsidRDefault="00DF2A6E" w:rsidP="007C6E05">
            <w:pPr>
              <w:tabs>
                <w:tab w:val="left" w:pos="7140"/>
              </w:tabs>
              <w:jc w:val="right"/>
              <w:rPr>
                <w:b/>
                <w:bCs/>
                <w:sz w:val="16"/>
                <w:szCs w:val="16"/>
              </w:rPr>
            </w:pPr>
            <w:r w:rsidRPr="00183EE0">
              <w:rPr>
                <w:b/>
                <w:bCs/>
                <w:sz w:val="16"/>
                <w:szCs w:val="16"/>
              </w:rPr>
              <w:t>60</w:t>
            </w:r>
          </w:p>
        </w:tc>
        <w:tc>
          <w:tcPr>
            <w:tcW w:w="191" w:type="pct"/>
            <w:noWrap/>
            <w:hideMark/>
          </w:tcPr>
          <w:p w:rsidR="00DF2A6E" w:rsidRPr="00183EE0" w:rsidRDefault="00DF2A6E" w:rsidP="007C6E05">
            <w:pPr>
              <w:tabs>
                <w:tab w:val="left" w:pos="7140"/>
              </w:tabs>
              <w:jc w:val="right"/>
              <w:rPr>
                <w:b/>
                <w:bCs/>
                <w:sz w:val="16"/>
                <w:szCs w:val="16"/>
              </w:rPr>
            </w:pPr>
            <w:r w:rsidRPr="00183EE0">
              <w:rPr>
                <w:b/>
                <w:bCs/>
                <w:sz w:val="16"/>
                <w:szCs w:val="16"/>
              </w:rPr>
              <w:t>53</w:t>
            </w:r>
          </w:p>
        </w:tc>
        <w:tc>
          <w:tcPr>
            <w:tcW w:w="193" w:type="pct"/>
            <w:noWrap/>
            <w:hideMark/>
          </w:tcPr>
          <w:p w:rsidR="00DF2A6E" w:rsidRPr="00183EE0" w:rsidRDefault="00DF2A6E" w:rsidP="007C6E05">
            <w:pPr>
              <w:tabs>
                <w:tab w:val="left" w:pos="7140"/>
              </w:tabs>
              <w:jc w:val="right"/>
              <w:rPr>
                <w:b/>
                <w:bCs/>
                <w:sz w:val="16"/>
                <w:szCs w:val="16"/>
              </w:rPr>
            </w:pPr>
            <w:r w:rsidRPr="00183EE0">
              <w:rPr>
                <w:b/>
                <w:bCs/>
                <w:sz w:val="16"/>
                <w:szCs w:val="16"/>
              </w:rPr>
              <w:t>46</w:t>
            </w:r>
          </w:p>
        </w:tc>
        <w:tc>
          <w:tcPr>
            <w:tcW w:w="192" w:type="pct"/>
            <w:noWrap/>
            <w:hideMark/>
          </w:tcPr>
          <w:p w:rsidR="00DF2A6E" w:rsidRPr="00183EE0" w:rsidRDefault="00DF2A6E" w:rsidP="007C6E05">
            <w:pPr>
              <w:tabs>
                <w:tab w:val="left" w:pos="7140"/>
              </w:tabs>
              <w:jc w:val="right"/>
              <w:rPr>
                <w:b/>
                <w:bCs/>
                <w:sz w:val="16"/>
                <w:szCs w:val="16"/>
              </w:rPr>
            </w:pPr>
            <w:r w:rsidRPr="00183EE0">
              <w:rPr>
                <w:b/>
                <w:bCs/>
                <w:sz w:val="16"/>
                <w:szCs w:val="16"/>
              </w:rPr>
              <w:t>21</w:t>
            </w:r>
          </w:p>
        </w:tc>
        <w:tc>
          <w:tcPr>
            <w:tcW w:w="188" w:type="pct"/>
            <w:noWrap/>
            <w:hideMark/>
          </w:tcPr>
          <w:p w:rsidR="00DF2A6E" w:rsidRPr="00183EE0" w:rsidRDefault="00DF2A6E" w:rsidP="007C6E05">
            <w:pPr>
              <w:tabs>
                <w:tab w:val="left" w:pos="7140"/>
              </w:tabs>
              <w:jc w:val="right"/>
              <w:rPr>
                <w:b/>
                <w:bCs/>
                <w:sz w:val="16"/>
                <w:szCs w:val="16"/>
              </w:rPr>
            </w:pPr>
            <w:r w:rsidRPr="00183EE0">
              <w:rPr>
                <w:b/>
                <w:bCs/>
                <w:sz w:val="16"/>
                <w:szCs w:val="16"/>
              </w:rPr>
              <w:t>50</w:t>
            </w:r>
          </w:p>
        </w:tc>
        <w:tc>
          <w:tcPr>
            <w:tcW w:w="193" w:type="pct"/>
            <w:noWrap/>
            <w:hideMark/>
          </w:tcPr>
          <w:p w:rsidR="00DF2A6E" w:rsidRPr="00183EE0" w:rsidRDefault="00DF2A6E" w:rsidP="007C6E05">
            <w:pPr>
              <w:tabs>
                <w:tab w:val="left" w:pos="7140"/>
              </w:tabs>
              <w:jc w:val="right"/>
              <w:rPr>
                <w:b/>
                <w:bCs/>
                <w:sz w:val="16"/>
                <w:szCs w:val="16"/>
              </w:rPr>
            </w:pPr>
            <w:r w:rsidRPr="00183EE0">
              <w:rPr>
                <w:b/>
                <w:bCs/>
                <w:sz w:val="16"/>
                <w:szCs w:val="16"/>
              </w:rPr>
              <w:t>1</w:t>
            </w:r>
          </w:p>
        </w:tc>
        <w:tc>
          <w:tcPr>
            <w:tcW w:w="240" w:type="pct"/>
            <w:noWrap/>
            <w:hideMark/>
          </w:tcPr>
          <w:p w:rsidR="00DF2A6E" w:rsidRPr="00183EE0" w:rsidRDefault="00DF2A6E" w:rsidP="007C6E05">
            <w:pPr>
              <w:tabs>
                <w:tab w:val="left" w:pos="7140"/>
              </w:tabs>
              <w:jc w:val="right"/>
              <w:rPr>
                <w:b/>
                <w:bCs/>
                <w:sz w:val="16"/>
                <w:szCs w:val="16"/>
              </w:rPr>
            </w:pPr>
            <w:r w:rsidRPr="00183EE0">
              <w:rPr>
                <w:b/>
                <w:bCs/>
                <w:sz w:val="16"/>
                <w:szCs w:val="16"/>
              </w:rPr>
              <w:t>51</w:t>
            </w:r>
          </w:p>
        </w:tc>
        <w:tc>
          <w:tcPr>
            <w:tcW w:w="192" w:type="pct"/>
            <w:noWrap/>
            <w:hideMark/>
          </w:tcPr>
          <w:p w:rsidR="00DF2A6E" w:rsidRPr="00183EE0" w:rsidRDefault="00DF2A6E" w:rsidP="007C6E05">
            <w:pPr>
              <w:tabs>
                <w:tab w:val="left" w:pos="7140"/>
              </w:tabs>
              <w:jc w:val="right"/>
              <w:rPr>
                <w:b/>
                <w:bCs/>
                <w:sz w:val="16"/>
                <w:szCs w:val="16"/>
              </w:rPr>
            </w:pPr>
            <w:r w:rsidRPr="00183EE0">
              <w:rPr>
                <w:b/>
                <w:bCs/>
                <w:sz w:val="16"/>
                <w:szCs w:val="16"/>
              </w:rPr>
              <w:t>17</w:t>
            </w:r>
          </w:p>
        </w:tc>
        <w:tc>
          <w:tcPr>
            <w:tcW w:w="191" w:type="pct"/>
            <w:noWrap/>
            <w:hideMark/>
          </w:tcPr>
          <w:p w:rsidR="00DF2A6E" w:rsidRPr="00183EE0" w:rsidRDefault="00DF2A6E" w:rsidP="007C6E05">
            <w:pPr>
              <w:tabs>
                <w:tab w:val="left" w:pos="7140"/>
              </w:tabs>
              <w:jc w:val="right"/>
              <w:rPr>
                <w:b/>
                <w:bCs/>
                <w:sz w:val="16"/>
                <w:szCs w:val="16"/>
              </w:rPr>
            </w:pPr>
            <w:r w:rsidRPr="00183EE0">
              <w:rPr>
                <w:b/>
                <w:bCs/>
                <w:sz w:val="16"/>
                <w:szCs w:val="16"/>
              </w:rPr>
              <w:t>46</w:t>
            </w:r>
          </w:p>
        </w:tc>
        <w:tc>
          <w:tcPr>
            <w:tcW w:w="192" w:type="pct"/>
            <w:noWrap/>
            <w:hideMark/>
          </w:tcPr>
          <w:p w:rsidR="00DF2A6E" w:rsidRPr="00183EE0" w:rsidRDefault="00DF2A6E" w:rsidP="007C6E05">
            <w:pPr>
              <w:tabs>
                <w:tab w:val="left" w:pos="7140"/>
              </w:tabs>
              <w:jc w:val="right"/>
              <w:rPr>
                <w:b/>
                <w:bCs/>
                <w:sz w:val="16"/>
                <w:szCs w:val="16"/>
              </w:rPr>
            </w:pPr>
            <w:r w:rsidRPr="00183EE0">
              <w:rPr>
                <w:b/>
                <w:bCs/>
                <w:sz w:val="16"/>
                <w:szCs w:val="16"/>
              </w:rPr>
              <w:t>26</w:t>
            </w:r>
          </w:p>
        </w:tc>
        <w:tc>
          <w:tcPr>
            <w:tcW w:w="192" w:type="pct"/>
            <w:noWrap/>
            <w:hideMark/>
          </w:tcPr>
          <w:p w:rsidR="00DF2A6E" w:rsidRPr="00183EE0" w:rsidRDefault="00DF2A6E" w:rsidP="007C6E05">
            <w:pPr>
              <w:tabs>
                <w:tab w:val="left" w:pos="7140"/>
              </w:tabs>
              <w:jc w:val="right"/>
              <w:rPr>
                <w:b/>
                <w:bCs/>
                <w:sz w:val="16"/>
                <w:szCs w:val="16"/>
              </w:rPr>
            </w:pPr>
            <w:r w:rsidRPr="00183EE0">
              <w:rPr>
                <w:b/>
                <w:bCs/>
                <w:sz w:val="16"/>
                <w:szCs w:val="16"/>
              </w:rPr>
              <w:t>22</w:t>
            </w:r>
          </w:p>
        </w:tc>
        <w:tc>
          <w:tcPr>
            <w:tcW w:w="192" w:type="pct"/>
            <w:noWrap/>
            <w:hideMark/>
          </w:tcPr>
          <w:p w:rsidR="00DF2A6E" w:rsidRPr="00183EE0" w:rsidRDefault="00DF2A6E" w:rsidP="007C6E05">
            <w:pPr>
              <w:tabs>
                <w:tab w:val="left" w:pos="7140"/>
              </w:tabs>
              <w:jc w:val="right"/>
              <w:rPr>
                <w:b/>
                <w:bCs/>
                <w:sz w:val="16"/>
                <w:szCs w:val="16"/>
              </w:rPr>
            </w:pPr>
            <w:r w:rsidRPr="00183EE0">
              <w:rPr>
                <w:b/>
                <w:bCs/>
                <w:sz w:val="16"/>
                <w:szCs w:val="16"/>
              </w:rPr>
              <w:t>63</w:t>
            </w:r>
          </w:p>
        </w:tc>
        <w:tc>
          <w:tcPr>
            <w:tcW w:w="483" w:type="pct"/>
            <w:noWrap/>
            <w:hideMark/>
          </w:tcPr>
          <w:p w:rsidR="00DF2A6E" w:rsidRPr="00BD271B" w:rsidRDefault="00DF2A6E" w:rsidP="007C6E05">
            <w:pPr>
              <w:tabs>
                <w:tab w:val="left" w:pos="7140"/>
              </w:tabs>
              <w:jc w:val="right"/>
              <w:rPr>
                <w:b/>
                <w:bCs/>
                <w:sz w:val="16"/>
                <w:szCs w:val="16"/>
              </w:rPr>
            </w:pPr>
            <w:r w:rsidRPr="00BD271B">
              <w:rPr>
                <w:b/>
                <w:bCs/>
                <w:sz w:val="16"/>
                <w:szCs w:val="16"/>
              </w:rPr>
              <w:t>130</w:t>
            </w:r>
          </w:p>
        </w:tc>
        <w:tc>
          <w:tcPr>
            <w:tcW w:w="310" w:type="pct"/>
            <w:noWrap/>
            <w:hideMark/>
          </w:tcPr>
          <w:p w:rsidR="00DF2A6E" w:rsidRPr="00183EE0" w:rsidRDefault="00DF2A6E" w:rsidP="00E55819">
            <w:pPr>
              <w:tabs>
                <w:tab w:val="left" w:pos="7140"/>
              </w:tabs>
              <w:jc w:val="right"/>
              <w:rPr>
                <w:b/>
                <w:bCs/>
                <w:sz w:val="16"/>
                <w:szCs w:val="16"/>
              </w:rPr>
            </w:pPr>
            <w:r w:rsidRPr="00183EE0">
              <w:rPr>
                <w:b/>
                <w:bCs/>
                <w:sz w:val="16"/>
                <w:szCs w:val="16"/>
              </w:rPr>
              <w:t>1,</w:t>
            </w:r>
            <w:r w:rsidR="00E55819">
              <w:rPr>
                <w:b/>
                <w:bCs/>
                <w:sz w:val="16"/>
                <w:szCs w:val="16"/>
              </w:rPr>
              <w:t>092</w:t>
            </w:r>
          </w:p>
        </w:tc>
      </w:tr>
    </w:tbl>
    <w:p w:rsidR="00BD271B" w:rsidRDefault="00BD271B" w:rsidP="006B3400">
      <w:pPr>
        <w:tabs>
          <w:tab w:val="left" w:pos="7140"/>
        </w:tabs>
        <w:spacing w:after="0"/>
        <w:rPr>
          <w:sz w:val="16"/>
          <w:szCs w:val="16"/>
        </w:rPr>
      </w:pPr>
    </w:p>
    <w:p w:rsidR="00BD271B" w:rsidRDefault="00BD271B">
      <w:pPr>
        <w:jc w:val="left"/>
        <w:rPr>
          <w:sz w:val="16"/>
          <w:szCs w:val="16"/>
        </w:rPr>
      </w:pPr>
    </w:p>
    <w:p w:rsidR="0025420D" w:rsidRDefault="00C52D5A" w:rsidP="006B3400">
      <w:pPr>
        <w:tabs>
          <w:tab w:val="left" w:pos="7140"/>
        </w:tabs>
        <w:spacing w:after="0"/>
        <w:rPr>
          <w:sz w:val="16"/>
          <w:szCs w:val="16"/>
        </w:rPr>
      </w:pPr>
      <w:r>
        <w:rPr>
          <w:sz w:val="16"/>
          <w:szCs w:val="16"/>
        </w:rPr>
        <w:t xml:space="preserve">Policy area coding: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7732"/>
      </w:tblGrid>
      <w:tr w:rsidR="0025420D" w:rsidTr="0025420D">
        <w:tc>
          <w:tcPr>
            <w:tcW w:w="7054" w:type="dxa"/>
          </w:tcPr>
          <w:p w:rsidR="0025420D" w:rsidRPr="006B3400" w:rsidRDefault="0025420D" w:rsidP="0025420D">
            <w:pPr>
              <w:tabs>
                <w:tab w:val="left" w:pos="7140"/>
              </w:tabs>
              <w:rPr>
                <w:sz w:val="16"/>
                <w:szCs w:val="16"/>
              </w:rPr>
            </w:pPr>
            <w:r w:rsidRPr="006B3400">
              <w:rPr>
                <w:sz w:val="16"/>
                <w:szCs w:val="16"/>
              </w:rPr>
              <w:t>01 - Research, technology development and innovation (RTDI)</w:t>
            </w:r>
            <w:r w:rsidRPr="006B3400">
              <w:rPr>
                <w:sz w:val="16"/>
                <w:szCs w:val="16"/>
              </w:rPr>
              <w:tab/>
            </w:r>
          </w:p>
          <w:p w:rsidR="0025420D" w:rsidRPr="006B3400" w:rsidRDefault="0025420D" w:rsidP="0025420D">
            <w:pPr>
              <w:tabs>
                <w:tab w:val="left" w:pos="7140"/>
              </w:tabs>
              <w:rPr>
                <w:sz w:val="16"/>
                <w:szCs w:val="16"/>
              </w:rPr>
            </w:pPr>
            <w:r w:rsidRPr="006B3400">
              <w:rPr>
                <w:sz w:val="16"/>
                <w:szCs w:val="16"/>
              </w:rPr>
              <w:t>02 - Business environment (Enterprise support, business creation and develop</w:t>
            </w:r>
            <w:r w:rsidR="00E71DC1">
              <w:rPr>
                <w:sz w:val="16"/>
                <w:szCs w:val="16"/>
              </w:rPr>
              <w:t>.</w:t>
            </w:r>
            <w:r w:rsidRPr="006B3400">
              <w:rPr>
                <w:sz w:val="16"/>
                <w:szCs w:val="16"/>
              </w:rPr>
              <w:tab/>
            </w:r>
          </w:p>
          <w:p w:rsidR="0025420D" w:rsidRPr="006B3400" w:rsidRDefault="0025420D" w:rsidP="0025420D">
            <w:pPr>
              <w:tabs>
                <w:tab w:val="left" w:pos="7140"/>
              </w:tabs>
              <w:rPr>
                <w:sz w:val="16"/>
                <w:szCs w:val="16"/>
              </w:rPr>
            </w:pPr>
            <w:r w:rsidRPr="006B3400">
              <w:rPr>
                <w:sz w:val="16"/>
                <w:szCs w:val="16"/>
              </w:rPr>
              <w:t>03 - Digital infrastructure and services</w:t>
            </w:r>
            <w:r w:rsidRPr="006B3400">
              <w:rPr>
                <w:sz w:val="16"/>
                <w:szCs w:val="16"/>
              </w:rPr>
              <w:tab/>
            </w:r>
          </w:p>
          <w:p w:rsidR="0025420D" w:rsidRPr="006B3400" w:rsidRDefault="0025420D" w:rsidP="0025420D">
            <w:pPr>
              <w:tabs>
                <w:tab w:val="left" w:pos="7140"/>
              </w:tabs>
              <w:rPr>
                <w:sz w:val="16"/>
                <w:szCs w:val="16"/>
              </w:rPr>
            </w:pPr>
            <w:r w:rsidRPr="006B3400">
              <w:rPr>
                <w:sz w:val="16"/>
                <w:szCs w:val="16"/>
              </w:rPr>
              <w:t>04 - Energy networks, RES and emissions</w:t>
            </w:r>
            <w:r w:rsidRPr="006B3400">
              <w:rPr>
                <w:sz w:val="16"/>
                <w:szCs w:val="16"/>
              </w:rPr>
              <w:tab/>
            </w:r>
          </w:p>
          <w:p w:rsidR="0025420D" w:rsidRPr="006B3400" w:rsidRDefault="0025420D" w:rsidP="0025420D">
            <w:pPr>
              <w:tabs>
                <w:tab w:val="left" w:pos="7140"/>
              </w:tabs>
              <w:rPr>
                <w:sz w:val="16"/>
                <w:szCs w:val="16"/>
              </w:rPr>
            </w:pPr>
            <w:r w:rsidRPr="006B3400">
              <w:rPr>
                <w:sz w:val="16"/>
                <w:szCs w:val="16"/>
              </w:rPr>
              <w:t>05 - Environmental protection and adaptation to climate change</w:t>
            </w:r>
            <w:r w:rsidRPr="006B3400">
              <w:rPr>
                <w:sz w:val="16"/>
                <w:szCs w:val="16"/>
              </w:rPr>
              <w:tab/>
            </w:r>
          </w:p>
          <w:p w:rsidR="0025420D" w:rsidRPr="006B3400" w:rsidRDefault="0025420D" w:rsidP="0025420D">
            <w:pPr>
              <w:tabs>
                <w:tab w:val="left" w:pos="7140"/>
              </w:tabs>
              <w:rPr>
                <w:sz w:val="16"/>
                <w:szCs w:val="16"/>
              </w:rPr>
            </w:pPr>
            <w:r w:rsidRPr="006B3400">
              <w:rPr>
                <w:sz w:val="16"/>
                <w:szCs w:val="16"/>
              </w:rPr>
              <w:t>06 - Resources efficiency (water and waste)</w:t>
            </w:r>
            <w:r w:rsidRPr="006B3400">
              <w:rPr>
                <w:sz w:val="16"/>
                <w:szCs w:val="16"/>
              </w:rPr>
              <w:tab/>
            </w:r>
          </w:p>
          <w:p w:rsidR="0025420D" w:rsidRPr="006B3400" w:rsidRDefault="0025420D" w:rsidP="0025420D">
            <w:pPr>
              <w:tabs>
                <w:tab w:val="left" w:pos="7140"/>
              </w:tabs>
              <w:rPr>
                <w:sz w:val="16"/>
                <w:szCs w:val="16"/>
              </w:rPr>
            </w:pPr>
            <w:r w:rsidRPr="006B3400">
              <w:rPr>
                <w:sz w:val="16"/>
                <w:szCs w:val="16"/>
              </w:rPr>
              <w:t>07 - Transport (rail, road networks and other transport infrastructure)</w:t>
            </w:r>
          </w:p>
          <w:p w:rsidR="0025420D" w:rsidRPr="006B3400" w:rsidRDefault="0025420D" w:rsidP="0025420D">
            <w:pPr>
              <w:tabs>
                <w:tab w:val="left" w:pos="7140"/>
              </w:tabs>
              <w:rPr>
                <w:sz w:val="16"/>
                <w:szCs w:val="16"/>
              </w:rPr>
            </w:pPr>
            <w:r w:rsidRPr="006B3400">
              <w:rPr>
                <w:sz w:val="16"/>
                <w:szCs w:val="16"/>
              </w:rPr>
              <w:t>08 - Access to employment and employability of workers (including activation, LM participation and labour tax wedge)</w:t>
            </w:r>
            <w:r w:rsidRPr="006B3400">
              <w:rPr>
                <w:sz w:val="16"/>
                <w:szCs w:val="16"/>
              </w:rPr>
              <w:tab/>
            </w:r>
          </w:p>
          <w:p w:rsidR="0025420D" w:rsidRPr="006B3400" w:rsidRDefault="0025420D" w:rsidP="0025420D">
            <w:pPr>
              <w:tabs>
                <w:tab w:val="left" w:pos="7140"/>
              </w:tabs>
              <w:rPr>
                <w:sz w:val="16"/>
                <w:szCs w:val="16"/>
              </w:rPr>
            </w:pPr>
            <w:r w:rsidRPr="006B3400">
              <w:rPr>
                <w:sz w:val="16"/>
                <w:szCs w:val="16"/>
              </w:rPr>
              <w:t>09 - LM integration of young people</w:t>
            </w:r>
            <w:r w:rsidRPr="006B3400">
              <w:rPr>
                <w:sz w:val="16"/>
                <w:szCs w:val="16"/>
              </w:rPr>
              <w:tab/>
            </w:r>
          </w:p>
          <w:p w:rsidR="0025420D" w:rsidRPr="006B3400" w:rsidRDefault="0025420D" w:rsidP="0025420D">
            <w:pPr>
              <w:tabs>
                <w:tab w:val="left" w:pos="7140"/>
              </w:tabs>
              <w:rPr>
                <w:sz w:val="16"/>
                <w:szCs w:val="16"/>
              </w:rPr>
            </w:pPr>
            <w:r w:rsidRPr="006B3400">
              <w:rPr>
                <w:sz w:val="16"/>
                <w:szCs w:val="16"/>
              </w:rPr>
              <w:t>10 - Wage setting (wage in line with productivity; minimum wage)</w:t>
            </w:r>
            <w:r w:rsidRPr="006B3400">
              <w:rPr>
                <w:sz w:val="16"/>
                <w:szCs w:val="16"/>
              </w:rPr>
              <w:tab/>
            </w:r>
          </w:p>
          <w:p w:rsidR="0025420D" w:rsidRPr="006B3400" w:rsidRDefault="0025420D" w:rsidP="0025420D">
            <w:pPr>
              <w:tabs>
                <w:tab w:val="left" w:pos="7140"/>
              </w:tabs>
              <w:rPr>
                <w:sz w:val="16"/>
                <w:szCs w:val="16"/>
              </w:rPr>
            </w:pPr>
            <w:r w:rsidRPr="006B3400">
              <w:rPr>
                <w:sz w:val="16"/>
                <w:szCs w:val="16"/>
              </w:rPr>
              <w:t>11 - Gender equality (including reconciliation of work and private life)</w:t>
            </w:r>
            <w:r w:rsidRPr="006B3400">
              <w:rPr>
                <w:sz w:val="16"/>
                <w:szCs w:val="16"/>
              </w:rPr>
              <w:tab/>
            </w:r>
          </w:p>
          <w:p w:rsidR="0025420D" w:rsidRPr="006B3400" w:rsidRDefault="0025420D" w:rsidP="0025420D">
            <w:pPr>
              <w:tabs>
                <w:tab w:val="left" w:pos="7140"/>
              </w:tabs>
              <w:rPr>
                <w:sz w:val="16"/>
                <w:szCs w:val="16"/>
              </w:rPr>
            </w:pPr>
            <w:r w:rsidRPr="006B3400">
              <w:rPr>
                <w:sz w:val="16"/>
                <w:szCs w:val="16"/>
              </w:rPr>
              <w:t>12 - Integration of marginalized groups</w:t>
            </w:r>
            <w:r w:rsidRPr="006B3400">
              <w:rPr>
                <w:sz w:val="16"/>
                <w:szCs w:val="16"/>
              </w:rPr>
              <w:tab/>
            </w:r>
          </w:p>
          <w:p w:rsidR="0025420D" w:rsidRDefault="0025420D" w:rsidP="0025420D">
            <w:pPr>
              <w:tabs>
                <w:tab w:val="left" w:pos="7140"/>
              </w:tabs>
              <w:rPr>
                <w:sz w:val="16"/>
                <w:szCs w:val="16"/>
              </w:rPr>
            </w:pPr>
            <w:r w:rsidRPr="006B3400">
              <w:rPr>
                <w:sz w:val="16"/>
                <w:szCs w:val="16"/>
              </w:rPr>
              <w:t>13 - Contrasting discrimination and poverty</w:t>
            </w:r>
          </w:p>
          <w:p w:rsidR="0025420D" w:rsidRDefault="0025420D" w:rsidP="0025420D">
            <w:pPr>
              <w:tabs>
                <w:tab w:val="left" w:pos="7140"/>
              </w:tabs>
              <w:rPr>
                <w:sz w:val="16"/>
                <w:szCs w:val="16"/>
              </w:rPr>
            </w:pPr>
            <w:r w:rsidRPr="006B3400">
              <w:rPr>
                <w:sz w:val="16"/>
                <w:szCs w:val="16"/>
              </w:rPr>
              <w:t>14 - Deprived urban and rural communities</w:t>
            </w:r>
          </w:p>
        </w:tc>
        <w:tc>
          <w:tcPr>
            <w:tcW w:w="7732" w:type="dxa"/>
          </w:tcPr>
          <w:p w:rsidR="0025420D" w:rsidRPr="006B3400" w:rsidRDefault="0025420D" w:rsidP="0025420D">
            <w:pPr>
              <w:tabs>
                <w:tab w:val="left" w:pos="7140"/>
              </w:tabs>
              <w:rPr>
                <w:sz w:val="16"/>
                <w:szCs w:val="16"/>
              </w:rPr>
            </w:pPr>
            <w:r w:rsidRPr="006B3400">
              <w:rPr>
                <w:sz w:val="16"/>
                <w:szCs w:val="16"/>
              </w:rPr>
              <w:t>15 - Health and long-term care</w:t>
            </w:r>
            <w:r w:rsidRPr="006B3400">
              <w:rPr>
                <w:sz w:val="16"/>
                <w:szCs w:val="16"/>
              </w:rPr>
              <w:tab/>
            </w:r>
          </w:p>
          <w:p w:rsidR="0025420D" w:rsidRPr="006B3400" w:rsidRDefault="0025420D" w:rsidP="0025420D">
            <w:pPr>
              <w:tabs>
                <w:tab w:val="left" w:pos="7140"/>
              </w:tabs>
              <w:rPr>
                <w:sz w:val="16"/>
                <w:szCs w:val="16"/>
              </w:rPr>
            </w:pPr>
            <w:r w:rsidRPr="006B3400">
              <w:rPr>
                <w:sz w:val="16"/>
                <w:szCs w:val="16"/>
              </w:rPr>
              <w:t>16 - Housing and other social infrastructure</w:t>
            </w:r>
            <w:r w:rsidRPr="006B3400">
              <w:rPr>
                <w:sz w:val="16"/>
                <w:szCs w:val="16"/>
              </w:rPr>
              <w:tab/>
            </w:r>
          </w:p>
          <w:p w:rsidR="0025420D" w:rsidRPr="006B3400" w:rsidRDefault="0025420D" w:rsidP="0025420D">
            <w:pPr>
              <w:tabs>
                <w:tab w:val="left" w:pos="7140"/>
              </w:tabs>
              <w:rPr>
                <w:sz w:val="16"/>
                <w:szCs w:val="16"/>
              </w:rPr>
            </w:pPr>
            <w:r w:rsidRPr="006B3400">
              <w:rPr>
                <w:sz w:val="16"/>
                <w:szCs w:val="16"/>
              </w:rPr>
              <w:t>17 - Improving access to quality education and training (ECEC, primary, secondary and tertiary education) including disadvantaged learners</w:t>
            </w:r>
            <w:r w:rsidRPr="006B3400">
              <w:rPr>
                <w:sz w:val="16"/>
                <w:szCs w:val="16"/>
              </w:rPr>
              <w:tab/>
            </w:r>
          </w:p>
          <w:p w:rsidR="0025420D" w:rsidRPr="006B3400" w:rsidRDefault="0025420D" w:rsidP="0025420D">
            <w:pPr>
              <w:tabs>
                <w:tab w:val="left" w:pos="7140"/>
              </w:tabs>
              <w:rPr>
                <w:sz w:val="16"/>
                <w:szCs w:val="16"/>
              </w:rPr>
            </w:pPr>
            <w:r w:rsidRPr="006B3400">
              <w:rPr>
                <w:sz w:val="16"/>
                <w:szCs w:val="16"/>
              </w:rPr>
              <w:t>18 - Reducing and preventing early school leaving</w:t>
            </w:r>
            <w:r w:rsidRPr="006B3400">
              <w:rPr>
                <w:sz w:val="16"/>
                <w:szCs w:val="16"/>
              </w:rPr>
              <w:tab/>
            </w:r>
          </w:p>
          <w:p w:rsidR="0025420D" w:rsidRPr="006B3400" w:rsidRDefault="0025420D" w:rsidP="0025420D">
            <w:pPr>
              <w:tabs>
                <w:tab w:val="left" w:pos="7140"/>
              </w:tabs>
              <w:rPr>
                <w:sz w:val="16"/>
                <w:szCs w:val="16"/>
              </w:rPr>
            </w:pPr>
            <w:r w:rsidRPr="006B3400">
              <w:rPr>
                <w:sz w:val="16"/>
                <w:szCs w:val="16"/>
              </w:rPr>
              <w:t>19 - Improving life-long learning for all age groups (e.g. by providing flexible learning pathways, guidance, validation of competences)</w:t>
            </w:r>
            <w:r w:rsidRPr="006B3400">
              <w:rPr>
                <w:sz w:val="16"/>
                <w:szCs w:val="16"/>
              </w:rPr>
              <w:tab/>
            </w:r>
          </w:p>
          <w:p w:rsidR="0025420D" w:rsidRPr="006B3400" w:rsidRDefault="0025420D" w:rsidP="0025420D">
            <w:pPr>
              <w:tabs>
                <w:tab w:val="left" w:pos="7140"/>
              </w:tabs>
              <w:rPr>
                <w:sz w:val="16"/>
                <w:szCs w:val="16"/>
              </w:rPr>
            </w:pPr>
            <w:r w:rsidRPr="006B3400">
              <w:rPr>
                <w:sz w:val="16"/>
                <w:szCs w:val="16"/>
              </w:rPr>
              <w:t>20 - Improving the LM relevance of education &amp; training systems (including VET systems)</w:t>
            </w:r>
          </w:p>
          <w:p w:rsidR="0025420D" w:rsidRPr="006B3400" w:rsidRDefault="0025420D" w:rsidP="0025420D">
            <w:pPr>
              <w:tabs>
                <w:tab w:val="left" w:pos="7140"/>
              </w:tabs>
              <w:rPr>
                <w:sz w:val="16"/>
                <w:szCs w:val="16"/>
              </w:rPr>
            </w:pPr>
            <w:r w:rsidRPr="006B3400">
              <w:rPr>
                <w:sz w:val="16"/>
                <w:szCs w:val="16"/>
              </w:rPr>
              <w:t xml:space="preserve">21 - Institutional capacity, public administration and justice systems </w:t>
            </w:r>
            <w:r w:rsidRPr="006B3400">
              <w:rPr>
                <w:sz w:val="16"/>
                <w:szCs w:val="16"/>
              </w:rPr>
              <w:tab/>
            </w:r>
          </w:p>
          <w:p w:rsidR="0025420D" w:rsidRDefault="0025420D" w:rsidP="006B3400">
            <w:pPr>
              <w:tabs>
                <w:tab w:val="left" w:pos="7140"/>
              </w:tabs>
              <w:rPr>
                <w:sz w:val="16"/>
                <w:szCs w:val="16"/>
              </w:rPr>
            </w:pPr>
          </w:p>
        </w:tc>
      </w:tr>
    </w:tbl>
    <w:p w:rsidR="0025420D" w:rsidRDefault="0025420D" w:rsidP="006B3400">
      <w:pPr>
        <w:tabs>
          <w:tab w:val="left" w:pos="7140"/>
        </w:tabs>
        <w:spacing w:after="0"/>
        <w:rPr>
          <w:sz w:val="16"/>
          <w:szCs w:val="16"/>
        </w:rPr>
      </w:pPr>
    </w:p>
    <w:p w:rsidR="006B3400" w:rsidRPr="006B3400" w:rsidRDefault="006B3400" w:rsidP="006B3400">
      <w:pPr>
        <w:tabs>
          <w:tab w:val="left" w:pos="7140"/>
        </w:tabs>
        <w:spacing w:after="0"/>
        <w:rPr>
          <w:sz w:val="16"/>
          <w:szCs w:val="16"/>
        </w:rPr>
      </w:pPr>
      <w:r w:rsidRPr="006B3400">
        <w:rPr>
          <w:sz w:val="16"/>
          <w:szCs w:val="16"/>
        </w:rPr>
        <w:tab/>
      </w:r>
    </w:p>
    <w:p w:rsidR="006B3400" w:rsidRDefault="006B3400" w:rsidP="00855E30">
      <w:pPr>
        <w:tabs>
          <w:tab w:val="left" w:pos="7140"/>
        </w:tabs>
        <w:sectPr w:rsidR="006B3400" w:rsidSect="006B3400">
          <w:pgSz w:w="16839" w:h="11907" w:orient="landscape" w:code="9"/>
          <w:pgMar w:top="1701" w:right="1418" w:bottom="1418" w:left="851" w:header="567" w:footer="720" w:gutter="0"/>
          <w:cols w:space="720"/>
          <w:docGrid w:linePitch="326"/>
        </w:sectPr>
      </w:pPr>
    </w:p>
    <w:p w:rsidR="00982393" w:rsidRDefault="00982393" w:rsidP="00982393">
      <w:pPr>
        <w:pStyle w:val="Heading3"/>
      </w:pPr>
      <w:bookmarkStart w:id="16" w:name="_Toc466826785"/>
      <w:r>
        <w:t>Reiteration of policy recommendations and other structural challenges over time</w:t>
      </w:r>
      <w:bookmarkEnd w:id="16"/>
    </w:p>
    <w:p w:rsidR="00982393" w:rsidRDefault="00982393" w:rsidP="00982393">
      <w:r>
        <w:t xml:space="preserve">A significant share of the </w:t>
      </w:r>
      <w:r w:rsidR="00013278">
        <w:t xml:space="preserve">CSR </w:t>
      </w:r>
      <w:r>
        <w:t xml:space="preserve">and the challenges identified in country reports are recursive, meaning that they repeat fully or in part, often with different wording, the recommendations made or the challenges highlighted in previous years. </w:t>
      </w:r>
    </w:p>
    <w:p w:rsidR="00013278" w:rsidRDefault="00982393" w:rsidP="00982393">
      <w:r>
        <w:t xml:space="preserve">The following table shows that approx. </w:t>
      </w:r>
      <w:r w:rsidR="00563D5D">
        <w:t>52</w:t>
      </w:r>
      <w:r w:rsidR="00013278">
        <w:t xml:space="preserve">% </w:t>
      </w:r>
      <w:r>
        <w:t xml:space="preserve">of all the </w:t>
      </w:r>
      <w:r w:rsidR="00563D5D">
        <w:t xml:space="preserve">ESIF relevant </w:t>
      </w:r>
      <w:r>
        <w:t xml:space="preserve">recommendations made in </w:t>
      </w:r>
      <w:r w:rsidR="00013278">
        <w:t>2012-2015</w:t>
      </w:r>
      <w:r>
        <w:t xml:space="preserve"> (CSR sub-parts as well as challenges from Country Reports and MoU) </w:t>
      </w:r>
      <w:r w:rsidR="00303A98">
        <w:t xml:space="preserve">are </w:t>
      </w:r>
      <w:r w:rsidR="00013278">
        <w:t>in part</w:t>
      </w:r>
      <w:r w:rsidR="00B77A24">
        <w:t xml:space="preserve"> reiterate</w:t>
      </w:r>
      <w:r w:rsidR="00303A98">
        <w:t>d</w:t>
      </w:r>
      <w:r w:rsidR="00013278">
        <w:t xml:space="preserve">. The share of total challenges that repeat fully or in part challenges of other years vary across countries from a minimum of </w:t>
      </w:r>
      <w:r w:rsidR="00563D5D">
        <w:t>37.8% in Malta</w:t>
      </w:r>
      <w:r w:rsidR="00013278">
        <w:t xml:space="preserve"> to a maximum of </w:t>
      </w:r>
      <w:r w:rsidR="00DD712A">
        <w:t>66.7</w:t>
      </w:r>
      <w:r w:rsidR="00013278">
        <w:t xml:space="preserve">% in </w:t>
      </w:r>
      <w:r w:rsidR="00563D5D">
        <w:t>Bulgaria</w:t>
      </w:r>
      <w:r w:rsidR="00013278">
        <w:t xml:space="preserve">. </w:t>
      </w:r>
    </w:p>
    <w:p w:rsidR="00456FC8" w:rsidRPr="00807960" w:rsidRDefault="00456FC8" w:rsidP="00807960">
      <w:r w:rsidRPr="00C52D5A">
        <w:t xml:space="preserve">This is important </w:t>
      </w:r>
      <w:r w:rsidR="00C52D5A">
        <w:t xml:space="preserve">for the analysis </w:t>
      </w:r>
      <w:r w:rsidRPr="00C52D5A">
        <w:t>because</w:t>
      </w:r>
      <w:r w:rsidR="00C52D5A">
        <w:t xml:space="preserve"> it pro</w:t>
      </w:r>
      <w:r w:rsidRPr="00C52D5A">
        <w:t xml:space="preserve">vides information on </w:t>
      </w:r>
      <w:r w:rsidR="00C52D5A">
        <w:t xml:space="preserve">the </w:t>
      </w:r>
      <w:r w:rsidRPr="00C52D5A">
        <w:t>relative</w:t>
      </w:r>
      <w:r w:rsidR="00C52D5A">
        <w:t xml:space="preserve"> </w:t>
      </w:r>
      <w:r w:rsidRPr="00C52D5A">
        <w:t>importance of CSR</w:t>
      </w:r>
      <w:r w:rsidR="00C52D5A">
        <w:t xml:space="preserve">/structural challenges. Those that are repeated are likely to reflect important and still unresolved issues. The distribution by policy areas displayed in Figure 6 shows in which fields the repeated challenges are concentrated (see commentary below). </w:t>
      </w:r>
    </w:p>
    <w:p w:rsidR="00982393" w:rsidRDefault="00982393" w:rsidP="00982393">
      <w:pPr>
        <w:pStyle w:val="Caption"/>
        <w:keepNext/>
      </w:pPr>
      <w:r>
        <w:t xml:space="preserve">Table </w:t>
      </w:r>
      <w:r w:rsidR="00C52F7F">
        <w:fldChar w:fldCharType="begin"/>
      </w:r>
      <w:r w:rsidR="00F62F72">
        <w:instrText xml:space="preserve"> SEQ Table \* ARABIC </w:instrText>
      </w:r>
      <w:r w:rsidR="00C52F7F">
        <w:fldChar w:fldCharType="separate"/>
      </w:r>
      <w:r w:rsidR="00584B95">
        <w:rPr>
          <w:noProof/>
        </w:rPr>
        <w:t>5</w:t>
      </w:r>
      <w:r w:rsidR="00C52F7F">
        <w:rPr>
          <w:noProof/>
        </w:rPr>
        <w:fldChar w:fldCharType="end"/>
      </w:r>
      <w:r>
        <w:t xml:space="preserve"> </w:t>
      </w:r>
      <w:r w:rsidR="00013278">
        <w:t>–</w:t>
      </w:r>
      <w:r>
        <w:t xml:space="preserve"> </w:t>
      </w:r>
      <w:r w:rsidR="00303A98">
        <w:t xml:space="preserve">Reiteration </w:t>
      </w:r>
      <w:r w:rsidR="005B0FDF">
        <w:t>of</w:t>
      </w:r>
      <w:r w:rsidR="00013278">
        <w:t xml:space="preserve"> </w:t>
      </w:r>
      <w:r w:rsidR="00766B4F">
        <w:t>ESIF-relevant CSR</w:t>
      </w:r>
      <w:r>
        <w:t>/</w:t>
      </w:r>
      <w:r w:rsidR="00766B4F">
        <w:t xml:space="preserve">other structural </w:t>
      </w:r>
      <w:r>
        <w:t xml:space="preserve">challenges identified </w:t>
      </w:r>
      <w:r w:rsidR="00013278">
        <w:t>in 2012-2015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3176"/>
        <w:gridCol w:w="2403"/>
        <w:gridCol w:w="1997"/>
      </w:tblGrid>
      <w:tr w:rsidR="00766B4F" w:rsidRPr="00563D5D" w:rsidTr="00563D5D">
        <w:trPr>
          <w:trHeight w:val="288"/>
        </w:trPr>
        <w:tc>
          <w:tcPr>
            <w:tcW w:w="1242" w:type="pct"/>
            <w:shd w:val="clear" w:color="auto" w:fill="auto"/>
            <w:noWrap/>
            <w:vAlign w:val="center"/>
          </w:tcPr>
          <w:p w:rsidR="00563D5D" w:rsidRPr="00563D5D" w:rsidRDefault="00563D5D" w:rsidP="00563D5D">
            <w:pPr>
              <w:spacing w:after="0" w:line="240" w:lineRule="auto"/>
              <w:jc w:val="left"/>
              <w:rPr>
                <w:rFonts w:eastAsia="Times New Roman" w:cs="Times New Roman"/>
                <w:b/>
                <w:color w:val="000000"/>
                <w:sz w:val="16"/>
                <w:szCs w:val="16"/>
                <w:lang w:eastAsia="en-GB"/>
              </w:rPr>
            </w:pPr>
            <w:r w:rsidRPr="00563D5D">
              <w:rPr>
                <w:rFonts w:eastAsia="Times New Roman" w:cs="Times New Roman"/>
                <w:b/>
                <w:color w:val="000000"/>
                <w:sz w:val="16"/>
                <w:szCs w:val="16"/>
                <w:lang w:eastAsia="en-GB"/>
              </w:rPr>
              <w:t>Member State</w:t>
            </w:r>
          </w:p>
        </w:tc>
        <w:tc>
          <w:tcPr>
            <w:tcW w:w="1378" w:type="pct"/>
            <w:shd w:val="clear" w:color="auto" w:fill="auto"/>
            <w:noWrap/>
            <w:vAlign w:val="bottom"/>
          </w:tcPr>
          <w:p w:rsidR="00563D5D" w:rsidRDefault="00563D5D" w:rsidP="009A200C">
            <w:pPr>
              <w:spacing w:after="0" w:line="240" w:lineRule="auto"/>
              <w:jc w:val="right"/>
              <w:rPr>
                <w:rFonts w:eastAsia="Times New Roman" w:cs="Times New Roman"/>
                <w:b/>
                <w:color w:val="000000"/>
                <w:sz w:val="16"/>
                <w:szCs w:val="16"/>
                <w:lang w:eastAsia="en-GB"/>
              </w:rPr>
            </w:pPr>
            <w:r>
              <w:rPr>
                <w:rFonts w:eastAsia="Times New Roman" w:cs="Times New Roman"/>
                <w:b/>
                <w:color w:val="000000"/>
                <w:sz w:val="16"/>
                <w:szCs w:val="16"/>
                <w:lang w:eastAsia="en-GB"/>
              </w:rPr>
              <w:t>“overlapping”</w:t>
            </w:r>
            <w:r w:rsidRPr="00B533AF">
              <w:rPr>
                <w:rFonts w:eastAsia="Times New Roman" w:cs="Times New Roman"/>
                <w:b/>
                <w:color w:val="000000"/>
                <w:sz w:val="16"/>
                <w:szCs w:val="16"/>
                <w:lang w:eastAsia="en-GB"/>
              </w:rPr>
              <w:t xml:space="preserve"> </w:t>
            </w:r>
            <w:r w:rsidR="00766B4F">
              <w:rPr>
                <w:rFonts w:eastAsia="Times New Roman" w:cs="Times New Roman"/>
                <w:b/>
                <w:color w:val="000000"/>
                <w:sz w:val="16"/>
                <w:szCs w:val="16"/>
                <w:lang w:eastAsia="en-GB"/>
              </w:rPr>
              <w:t xml:space="preserve">CSR and </w:t>
            </w:r>
            <w:r w:rsidRPr="00B533AF">
              <w:rPr>
                <w:rFonts w:eastAsia="Times New Roman" w:cs="Times New Roman"/>
                <w:b/>
                <w:color w:val="000000"/>
                <w:sz w:val="16"/>
                <w:szCs w:val="16"/>
                <w:lang w:eastAsia="en-GB"/>
              </w:rPr>
              <w:t>challenges</w:t>
            </w:r>
          </w:p>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Pr>
                <w:rFonts w:eastAsia="Times New Roman" w:cs="Times New Roman"/>
                <w:b/>
                <w:color w:val="000000"/>
                <w:sz w:val="16"/>
                <w:szCs w:val="16"/>
                <w:lang w:eastAsia="en-GB"/>
              </w:rPr>
              <w:t>2013-2015</w:t>
            </w:r>
          </w:p>
        </w:tc>
        <w:tc>
          <w:tcPr>
            <w:tcW w:w="1237" w:type="pct"/>
            <w:shd w:val="clear" w:color="auto" w:fill="auto"/>
            <w:noWrap/>
            <w:vAlign w:val="bottom"/>
          </w:tcPr>
          <w:p w:rsidR="00563D5D" w:rsidRDefault="00563D5D" w:rsidP="009A200C">
            <w:pPr>
              <w:spacing w:after="0" w:line="240" w:lineRule="auto"/>
              <w:jc w:val="right"/>
              <w:rPr>
                <w:rFonts w:eastAsia="Times New Roman" w:cs="Times New Roman"/>
                <w:b/>
                <w:color w:val="000000"/>
                <w:sz w:val="16"/>
                <w:szCs w:val="16"/>
                <w:lang w:eastAsia="en-GB"/>
              </w:rPr>
            </w:pPr>
            <w:r w:rsidRPr="00B533AF">
              <w:rPr>
                <w:rFonts w:eastAsia="Times New Roman" w:cs="Times New Roman"/>
                <w:b/>
                <w:color w:val="000000"/>
                <w:sz w:val="16"/>
                <w:szCs w:val="16"/>
                <w:lang w:eastAsia="en-GB"/>
              </w:rPr>
              <w:t xml:space="preserve">Total </w:t>
            </w:r>
            <w:r w:rsidR="00766B4F">
              <w:rPr>
                <w:rFonts w:eastAsia="Times New Roman" w:cs="Times New Roman"/>
                <w:b/>
                <w:color w:val="000000"/>
                <w:sz w:val="16"/>
                <w:szCs w:val="16"/>
                <w:lang w:eastAsia="en-GB"/>
              </w:rPr>
              <w:t xml:space="preserve">CSR and </w:t>
            </w:r>
            <w:r w:rsidRPr="00B533AF">
              <w:rPr>
                <w:rFonts w:eastAsia="Times New Roman" w:cs="Times New Roman"/>
                <w:b/>
                <w:color w:val="000000"/>
                <w:sz w:val="16"/>
                <w:szCs w:val="16"/>
                <w:lang w:eastAsia="en-GB"/>
              </w:rPr>
              <w:t>challenges</w:t>
            </w:r>
          </w:p>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Pr>
                <w:rFonts w:eastAsia="Times New Roman" w:cs="Times New Roman"/>
                <w:b/>
                <w:color w:val="000000"/>
                <w:sz w:val="16"/>
                <w:szCs w:val="16"/>
                <w:lang w:eastAsia="en-GB"/>
              </w:rPr>
              <w:t>2012-2015</w:t>
            </w:r>
          </w:p>
        </w:tc>
        <w:tc>
          <w:tcPr>
            <w:tcW w:w="1143" w:type="pct"/>
            <w:shd w:val="clear" w:color="auto" w:fill="auto"/>
            <w:noWrap/>
            <w:vAlign w:val="bottom"/>
          </w:tcPr>
          <w:p w:rsidR="00563D5D" w:rsidRDefault="00563D5D" w:rsidP="009A200C">
            <w:pPr>
              <w:spacing w:after="0" w:line="240" w:lineRule="auto"/>
              <w:jc w:val="right"/>
              <w:rPr>
                <w:rFonts w:eastAsia="Times New Roman" w:cs="Times New Roman"/>
                <w:b/>
                <w:color w:val="000000"/>
                <w:sz w:val="16"/>
                <w:szCs w:val="16"/>
                <w:lang w:eastAsia="en-GB"/>
              </w:rPr>
            </w:pPr>
            <w:r w:rsidRPr="00B533AF">
              <w:rPr>
                <w:rFonts w:eastAsia="Times New Roman" w:cs="Times New Roman"/>
                <w:b/>
                <w:color w:val="000000"/>
                <w:sz w:val="16"/>
                <w:szCs w:val="16"/>
                <w:lang w:eastAsia="en-GB"/>
              </w:rPr>
              <w:t xml:space="preserve">% of </w:t>
            </w:r>
          </w:p>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Pr>
                <w:rFonts w:eastAsia="Times New Roman" w:cs="Times New Roman"/>
                <w:b/>
                <w:color w:val="000000"/>
                <w:sz w:val="16"/>
                <w:szCs w:val="16"/>
                <w:lang w:eastAsia="en-GB"/>
              </w:rPr>
              <w:t>Overlapping on total</w:t>
            </w:r>
          </w:p>
        </w:tc>
      </w:tr>
      <w:tr w:rsidR="00766B4F" w:rsidRPr="00563D5D" w:rsidTr="00563D5D">
        <w:trPr>
          <w:trHeight w:val="288"/>
        </w:trPr>
        <w:tc>
          <w:tcPr>
            <w:tcW w:w="1242" w:type="pct"/>
            <w:shd w:val="clear" w:color="auto" w:fill="auto"/>
            <w:noWrap/>
            <w:vAlign w:val="bottom"/>
            <w:hideMark/>
          </w:tcPr>
          <w:p w:rsidR="00563D5D" w:rsidRPr="00563D5D" w:rsidRDefault="00563D5D" w:rsidP="00563D5D">
            <w:pPr>
              <w:spacing w:after="0" w:line="240" w:lineRule="auto"/>
              <w:jc w:val="lef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AT</w:t>
            </w:r>
          </w:p>
        </w:tc>
        <w:tc>
          <w:tcPr>
            <w:tcW w:w="1378"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13</w:t>
            </w:r>
          </w:p>
        </w:tc>
        <w:tc>
          <w:tcPr>
            <w:tcW w:w="1237"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22</w:t>
            </w:r>
          </w:p>
        </w:tc>
        <w:tc>
          <w:tcPr>
            <w:tcW w:w="1143"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59.1</w:t>
            </w:r>
          </w:p>
        </w:tc>
      </w:tr>
      <w:tr w:rsidR="00766B4F" w:rsidRPr="00563D5D" w:rsidTr="00563D5D">
        <w:trPr>
          <w:trHeight w:val="288"/>
        </w:trPr>
        <w:tc>
          <w:tcPr>
            <w:tcW w:w="1242" w:type="pct"/>
            <w:shd w:val="clear" w:color="auto" w:fill="auto"/>
            <w:noWrap/>
            <w:vAlign w:val="bottom"/>
            <w:hideMark/>
          </w:tcPr>
          <w:p w:rsidR="00563D5D" w:rsidRPr="00563D5D" w:rsidRDefault="00563D5D" w:rsidP="00563D5D">
            <w:pPr>
              <w:spacing w:after="0" w:line="240" w:lineRule="auto"/>
              <w:jc w:val="lef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BE</w:t>
            </w:r>
          </w:p>
        </w:tc>
        <w:tc>
          <w:tcPr>
            <w:tcW w:w="1378"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15</w:t>
            </w:r>
          </w:p>
        </w:tc>
        <w:tc>
          <w:tcPr>
            <w:tcW w:w="1237"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33</w:t>
            </w:r>
          </w:p>
        </w:tc>
        <w:tc>
          <w:tcPr>
            <w:tcW w:w="1143"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45.5</w:t>
            </w:r>
          </w:p>
        </w:tc>
      </w:tr>
      <w:tr w:rsidR="00766B4F" w:rsidRPr="00563D5D" w:rsidTr="00563D5D">
        <w:trPr>
          <w:trHeight w:val="288"/>
        </w:trPr>
        <w:tc>
          <w:tcPr>
            <w:tcW w:w="1242" w:type="pct"/>
            <w:shd w:val="clear" w:color="auto" w:fill="auto"/>
            <w:noWrap/>
            <w:vAlign w:val="bottom"/>
            <w:hideMark/>
          </w:tcPr>
          <w:p w:rsidR="00563D5D" w:rsidRPr="00563D5D" w:rsidRDefault="00563D5D" w:rsidP="00563D5D">
            <w:pPr>
              <w:spacing w:after="0" w:line="240" w:lineRule="auto"/>
              <w:jc w:val="lef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BG</w:t>
            </w:r>
          </w:p>
        </w:tc>
        <w:tc>
          <w:tcPr>
            <w:tcW w:w="1378"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40</w:t>
            </w:r>
          </w:p>
        </w:tc>
        <w:tc>
          <w:tcPr>
            <w:tcW w:w="1237" w:type="pct"/>
            <w:shd w:val="clear" w:color="auto" w:fill="auto"/>
            <w:noWrap/>
            <w:vAlign w:val="bottom"/>
            <w:hideMark/>
          </w:tcPr>
          <w:p w:rsidR="00563D5D" w:rsidRPr="00563D5D" w:rsidRDefault="00C50D1B" w:rsidP="00563D5D">
            <w:pPr>
              <w:spacing w:after="0" w:line="240" w:lineRule="auto"/>
              <w:jc w:val="right"/>
              <w:rPr>
                <w:rFonts w:ascii="Calibri" w:eastAsia="Times New Roman" w:hAnsi="Calibri" w:cs="Times New Roman"/>
                <w:color w:val="000000"/>
                <w:sz w:val="22"/>
                <w:lang w:eastAsia="en-GB"/>
              </w:rPr>
            </w:pPr>
            <w:r>
              <w:rPr>
                <w:rFonts w:ascii="Calibri" w:eastAsia="Times New Roman" w:hAnsi="Calibri" w:cs="Times New Roman"/>
                <w:color w:val="000000"/>
                <w:sz w:val="22"/>
                <w:lang w:eastAsia="en-GB"/>
              </w:rPr>
              <w:t>60</w:t>
            </w:r>
          </w:p>
        </w:tc>
        <w:tc>
          <w:tcPr>
            <w:tcW w:w="1143" w:type="pct"/>
            <w:shd w:val="clear" w:color="auto" w:fill="auto"/>
            <w:noWrap/>
            <w:vAlign w:val="bottom"/>
            <w:hideMark/>
          </w:tcPr>
          <w:p w:rsidR="00563D5D" w:rsidRPr="00563D5D" w:rsidRDefault="00563D5D" w:rsidP="00C50D1B">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6</w:t>
            </w:r>
            <w:r w:rsidR="00C50D1B">
              <w:rPr>
                <w:rFonts w:ascii="Calibri" w:eastAsia="Times New Roman" w:hAnsi="Calibri" w:cs="Times New Roman"/>
                <w:color w:val="000000"/>
                <w:sz w:val="22"/>
                <w:lang w:eastAsia="en-GB"/>
              </w:rPr>
              <w:t>6.7</w:t>
            </w:r>
          </w:p>
        </w:tc>
      </w:tr>
      <w:tr w:rsidR="00766B4F" w:rsidRPr="00563D5D" w:rsidTr="00563D5D">
        <w:trPr>
          <w:trHeight w:val="288"/>
        </w:trPr>
        <w:tc>
          <w:tcPr>
            <w:tcW w:w="1242" w:type="pct"/>
            <w:shd w:val="clear" w:color="auto" w:fill="auto"/>
            <w:noWrap/>
            <w:vAlign w:val="bottom"/>
            <w:hideMark/>
          </w:tcPr>
          <w:p w:rsidR="00563D5D" w:rsidRPr="00563D5D" w:rsidRDefault="00563D5D" w:rsidP="00563D5D">
            <w:pPr>
              <w:spacing w:after="0" w:line="240" w:lineRule="auto"/>
              <w:jc w:val="lef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CY</w:t>
            </w:r>
          </w:p>
        </w:tc>
        <w:tc>
          <w:tcPr>
            <w:tcW w:w="1378"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15</w:t>
            </w:r>
          </w:p>
        </w:tc>
        <w:tc>
          <w:tcPr>
            <w:tcW w:w="1237"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30</w:t>
            </w:r>
          </w:p>
        </w:tc>
        <w:tc>
          <w:tcPr>
            <w:tcW w:w="1143"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50.0</w:t>
            </w:r>
          </w:p>
        </w:tc>
      </w:tr>
      <w:tr w:rsidR="00766B4F" w:rsidRPr="00563D5D" w:rsidTr="00563D5D">
        <w:trPr>
          <w:trHeight w:val="288"/>
        </w:trPr>
        <w:tc>
          <w:tcPr>
            <w:tcW w:w="1242" w:type="pct"/>
            <w:shd w:val="clear" w:color="auto" w:fill="auto"/>
            <w:noWrap/>
            <w:vAlign w:val="bottom"/>
            <w:hideMark/>
          </w:tcPr>
          <w:p w:rsidR="00563D5D" w:rsidRPr="00563D5D" w:rsidRDefault="00563D5D" w:rsidP="00563D5D">
            <w:pPr>
              <w:spacing w:after="0" w:line="240" w:lineRule="auto"/>
              <w:jc w:val="lef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CZ</w:t>
            </w:r>
          </w:p>
        </w:tc>
        <w:tc>
          <w:tcPr>
            <w:tcW w:w="1378"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22</w:t>
            </w:r>
          </w:p>
        </w:tc>
        <w:tc>
          <w:tcPr>
            <w:tcW w:w="1237"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44</w:t>
            </w:r>
          </w:p>
        </w:tc>
        <w:tc>
          <w:tcPr>
            <w:tcW w:w="1143"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50.0</w:t>
            </w:r>
          </w:p>
        </w:tc>
      </w:tr>
      <w:tr w:rsidR="00766B4F" w:rsidRPr="00563D5D" w:rsidTr="00563D5D">
        <w:trPr>
          <w:trHeight w:val="288"/>
        </w:trPr>
        <w:tc>
          <w:tcPr>
            <w:tcW w:w="1242" w:type="pct"/>
            <w:shd w:val="clear" w:color="auto" w:fill="auto"/>
            <w:noWrap/>
            <w:vAlign w:val="bottom"/>
            <w:hideMark/>
          </w:tcPr>
          <w:p w:rsidR="00563D5D" w:rsidRPr="00563D5D" w:rsidRDefault="00563D5D" w:rsidP="00563D5D">
            <w:pPr>
              <w:spacing w:after="0" w:line="240" w:lineRule="auto"/>
              <w:jc w:val="lef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DE</w:t>
            </w:r>
          </w:p>
        </w:tc>
        <w:tc>
          <w:tcPr>
            <w:tcW w:w="1378"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20</w:t>
            </w:r>
          </w:p>
        </w:tc>
        <w:tc>
          <w:tcPr>
            <w:tcW w:w="1237"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30</w:t>
            </w:r>
          </w:p>
        </w:tc>
        <w:tc>
          <w:tcPr>
            <w:tcW w:w="1143"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66.7</w:t>
            </w:r>
          </w:p>
        </w:tc>
      </w:tr>
      <w:tr w:rsidR="00766B4F" w:rsidRPr="00563D5D" w:rsidTr="00563D5D">
        <w:trPr>
          <w:trHeight w:val="288"/>
        </w:trPr>
        <w:tc>
          <w:tcPr>
            <w:tcW w:w="1242" w:type="pct"/>
            <w:shd w:val="clear" w:color="auto" w:fill="auto"/>
            <w:noWrap/>
            <w:vAlign w:val="bottom"/>
            <w:hideMark/>
          </w:tcPr>
          <w:p w:rsidR="00563D5D" w:rsidRPr="00563D5D" w:rsidRDefault="00563D5D" w:rsidP="00563D5D">
            <w:pPr>
              <w:spacing w:after="0" w:line="240" w:lineRule="auto"/>
              <w:jc w:val="lef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DK</w:t>
            </w:r>
          </w:p>
        </w:tc>
        <w:tc>
          <w:tcPr>
            <w:tcW w:w="1378"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7</w:t>
            </w:r>
          </w:p>
        </w:tc>
        <w:tc>
          <w:tcPr>
            <w:tcW w:w="1237"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15</w:t>
            </w:r>
          </w:p>
        </w:tc>
        <w:tc>
          <w:tcPr>
            <w:tcW w:w="1143"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46.7</w:t>
            </w:r>
          </w:p>
        </w:tc>
      </w:tr>
      <w:tr w:rsidR="00766B4F" w:rsidRPr="00563D5D" w:rsidTr="00563D5D">
        <w:trPr>
          <w:trHeight w:val="288"/>
        </w:trPr>
        <w:tc>
          <w:tcPr>
            <w:tcW w:w="1242" w:type="pct"/>
            <w:shd w:val="clear" w:color="auto" w:fill="auto"/>
            <w:noWrap/>
            <w:vAlign w:val="bottom"/>
            <w:hideMark/>
          </w:tcPr>
          <w:p w:rsidR="00563D5D" w:rsidRPr="00563D5D" w:rsidRDefault="00563D5D" w:rsidP="00563D5D">
            <w:pPr>
              <w:spacing w:after="0" w:line="240" w:lineRule="auto"/>
              <w:jc w:val="lef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EE</w:t>
            </w:r>
          </w:p>
        </w:tc>
        <w:tc>
          <w:tcPr>
            <w:tcW w:w="1378"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20</w:t>
            </w:r>
          </w:p>
        </w:tc>
        <w:tc>
          <w:tcPr>
            <w:tcW w:w="1237"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34</w:t>
            </w:r>
          </w:p>
        </w:tc>
        <w:tc>
          <w:tcPr>
            <w:tcW w:w="1143"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58.8</w:t>
            </w:r>
          </w:p>
        </w:tc>
      </w:tr>
      <w:tr w:rsidR="00766B4F" w:rsidRPr="00563D5D" w:rsidTr="00563D5D">
        <w:trPr>
          <w:trHeight w:val="288"/>
        </w:trPr>
        <w:tc>
          <w:tcPr>
            <w:tcW w:w="1242" w:type="pct"/>
            <w:shd w:val="clear" w:color="auto" w:fill="auto"/>
            <w:noWrap/>
            <w:vAlign w:val="bottom"/>
            <w:hideMark/>
          </w:tcPr>
          <w:p w:rsidR="00563D5D" w:rsidRPr="00563D5D" w:rsidRDefault="00563D5D" w:rsidP="00563D5D">
            <w:pPr>
              <w:spacing w:after="0" w:line="240" w:lineRule="auto"/>
              <w:jc w:val="lef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EL</w:t>
            </w:r>
          </w:p>
        </w:tc>
        <w:tc>
          <w:tcPr>
            <w:tcW w:w="1378"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29</w:t>
            </w:r>
          </w:p>
        </w:tc>
        <w:tc>
          <w:tcPr>
            <w:tcW w:w="1237"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53</w:t>
            </w:r>
          </w:p>
        </w:tc>
        <w:tc>
          <w:tcPr>
            <w:tcW w:w="1143"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54.7</w:t>
            </w:r>
          </w:p>
        </w:tc>
      </w:tr>
      <w:tr w:rsidR="00766B4F" w:rsidRPr="00563D5D" w:rsidTr="00563D5D">
        <w:trPr>
          <w:trHeight w:val="288"/>
        </w:trPr>
        <w:tc>
          <w:tcPr>
            <w:tcW w:w="1242" w:type="pct"/>
            <w:shd w:val="clear" w:color="auto" w:fill="auto"/>
            <w:noWrap/>
            <w:vAlign w:val="bottom"/>
            <w:hideMark/>
          </w:tcPr>
          <w:p w:rsidR="00563D5D" w:rsidRPr="00563D5D" w:rsidRDefault="00563D5D" w:rsidP="00563D5D">
            <w:pPr>
              <w:spacing w:after="0" w:line="240" w:lineRule="auto"/>
              <w:jc w:val="lef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ES</w:t>
            </w:r>
          </w:p>
        </w:tc>
        <w:tc>
          <w:tcPr>
            <w:tcW w:w="1378"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21</w:t>
            </w:r>
          </w:p>
        </w:tc>
        <w:tc>
          <w:tcPr>
            <w:tcW w:w="1237"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46</w:t>
            </w:r>
          </w:p>
        </w:tc>
        <w:tc>
          <w:tcPr>
            <w:tcW w:w="1143"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45.7</w:t>
            </w:r>
          </w:p>
        </w:tc>
      </w:tr>
      <w:tr w:rsidR="00766B4F" w:rsidRPr="00563D5D" w:rsidTr="00563D5D">
        <w:trPr>
          <w:trHeight w:val="288"/>
        </w:trPr>
        <w:tc>
          <w:tcPr>
            <w:tcW w:w="1242" w:type="pct"/>
            <w:shd w:val="clear" w:color="auto" w:fill="auto"/>
            <w:noWrap/>
            <w:vAlign w:val="bottom"/>
            <w:hideMark/>
          </w:tcPr>
          <w:p w:rsidR="00563D5D" w:rsidRPr="00563D5D" w:rsidRDefault="00563D5D" w:rsidP="00563D5D">
            <w:pPr>
              <w:spacing w:after="0" w:line="240" w:lineRule="auto"/>
              <w:jc w:val="lef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FI</w:t>
            </w:r>
          </w:p>
        </w:tc>
        <w:tc>
          <w:tcPr>
            <w:tcW w:w="1378"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15</w:t>
            </w:r>
          </w:p>
        </w:tc>
        <w:tc>
          <w:tcPr>
            <w:tcW w:w="1237"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33</w:t>
            </w:r>
          </w:p>
        </w:tc>
        <w:tc>
          <w:tcPr>
            <w:tcW w:w="1143"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45.5</w:t>
            </w:r>
          </w:p>
        </w:tc>
      </w:tr>
      <w:tr w:rsidR="00766B4F" w:rsidRPr="00563D5D" w:rsidTr="00563D5D">
        <w:trPr>
          <w:trHeight w:val="288"/>
        </w:trPr>
        <w:tc>
          <w:tcPr>
            <w:tcW w:w="1242" w:type="pct"/>
            <w:shd w:val="clear" w:color="auto" w:fill="auto"/>
            <w:noWrap/>
            <w:vAlign w:val="bottom"/>
            <w:hideMark/>
          </w:tcPr>
          <w:p w:rsidR="00563D5D" w:rsidRPr="00563D5D" w:rsidRDefault="00563D5D" w:rsidP="00563D5D">
            <w:pPr>
              <w:spacing w:after="0" w:line="240" w:lineRule="auto"/>
              <w:jc w:val="lef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FR</w:t>
            </w:r>
          </w:p>
        </w:tc>
        <w:tc>
          <w:tcPr>
            <w:tcW w:w="1378"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20</w:t>
            </w:r>
          </w:p>
        </w:tc>
        <w:tc>
          <w:tcPr>
            <w:tcW w:w="1237"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43</w:t>
            </w:r>
          </w:p>
        </w:tc>
        <w:tc>
          <w:tcPr>
            <w:tcW w:w="1143"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46.5</w:t>
            </w:r>
          </w:p>
        </w:tc>
      </w:tr>
      <w:tr w:rsidR="00766B4F" w:rsidRPr="00563D5D" w:rsidTr="00563D5D">
        <w:trPr>
          <w:trHeight w:val="288"/>
        </w:trPr>
        <w:tc>
          <w:tcPr>
            <w:tcW w:w="1242" w:type="pct"/>
            <w:shd w:val="clear" w:color="auto" w:fill="auto"/>
            <w:noWrap/>
            <w:vAlign w:val="bottom"/>
            <w:hideMark/>
          </w:tcPr>
          <w:p w:rsidR="00563D5D" w:rsidRPr="00563D5D" w:rsidRDefault="00563D5D" w:rsidP="00563D5D">
            <w:pPr>
              <w:spacing w:after="0" w:line="240" w:lineRule="auto"/>
              <w:jc w:val="lef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HR</w:t>
            </w:r>
          </w:p>
        </w:tc>
        <w:tc>
          <w:tcPr>
            <w:tcW w:w="1378"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22</w:t>
            </w:r>
          </w:p>
        </w:tc>
        <w:tc>
          <w:tcPr>
            <w:tcW w:w="1237"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39</w:t>
            </w:r>
          </w:p>
        </w:tc>
        <w:tc>
          <w:tcPr>
            <w:tcW w:w="1143"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56.4</w:t>
            </w:r>
          </w:p>
        </w:tc>
      </w:tr>
      <w:tr w:rsidR="00766B4F" w:rsidRPr="00563D5D" w:rsidTr="00563D5D">
        <w:trPr>
          <w:trHeight w:val="288"/>
        </w:trPr>
        <w:tc>
          <w:tcPr>
            <w:tcW w:w="1242" w:type="pct"/>
            <w:shd w:val="clear" w:color="auto" w:fill="auto"/>
            <w:noWrap/>
            <w:vAlign w:val="bottom"/>
            <w:hideMark/>
          </w:tcPr>
          <w:p w:rsidR="00563D5D" w:rsidRPr="00563D5D" w:rsidRDefault="00563D5D" w:rsidP="00563D5D">
            <w:pPr>
              <w:spacing w:after="0" w:line="240" w:lineRule="auto"/>
              <w:jc w:val="lef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HU</w:t>
            </w:r>
          </w:p>
        </w:tc>
        <w:tc>
          <w:tcPr>
            <w:tcW w:w="1378"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38</w:t>
            </w:r>
          </w:p>
        </w:tc>
        <w:tc>
          <w:tcPr>
            <w:tcW w:w="1237"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63</w:t>
            </w:r>
          </w:p>
        </w:tc>
        <w:tc>
          <w:tcPr>
            <w:tcW w:w="1143"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60.3</w:t>
            </w:r>
          </w:p>
        </w:tc>
      </w:tr>
      <w:tr w:rsidR="00766B4F" w:rsidRPr="00563D5D" w:rsidTr="00563D5D">
        <w:trPr>
          <w:trHeight w:val="288"/>
        </w:trPr>
        <w:tc>
          <w:tcPr>
            <w:tcW w:w="1242" w:type="pct"/>
            <w:shd w:val="clear" w:color="auto" w:fill="auto"/>
            <w:noWrap/>
            <w:vAlign w:val="bottom"/>
            <w:hideMark/>
          </w:tcPr>
          <w:p w:rsidR="00563D5D" w:rsidRPr="00563D5D" w:rsidRDefault="00563D5D" w:rsidP="00563D5D">
            <w:pPr>
              <w:spacing w:after="0" w:line="240" w:lineRule="auto"/>
              <w:jc w:val="lef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IE</w:t>
            </w:r>
          </w:p>
        </w:tc>
        <w:tc>
          <w:tcPr>
            <w:tcW w:w="1378"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14</w:t>
            </w:r>
          </w:p>
        </w:tc>
        <w:tc>
          <w:tcPr>
            <w:tcW w:w="1237"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25</w:t>
            </w:r>
          </w:p>
        </w:tc>
        <w:tc>
          <w:tcPr>
            <w:tcW w:w="1143"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56.0</w:t>
            </w:r>
          </w:p>
        </w:tc>
      </w:tr>
      <w:tr w:rsidR="00766B4F" w:rsidRPr="00563D5D" w:rsidTr="00563D5D">
        <w:trPr>
          <w:trHeight w:val="288"/>
        </w:trPr>
        <w:tc>
          <w:tcPr>
            <w:tcW w:w="1242" w:type="pct"/>
            <w:shd w:val="clear" w:color="auto" w:fill="auto"/>
            <w:noWrap/>
            <w:vAlign w:val="bottom"/>
            <w:hideMark/>
          </w:tcPr>
          <w:p w:rsidR="00563D5D" w:rsidRPr="00563D5D" w:rsidRDefault="00563D5D" w:rsidP="00563D5D">
            <w:pPr>
              <w:spacing w:after="0" w:line="240" w:lineRule="auto"/>
              <w:jc w:val="lef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IT</w:t>
            </w:r>
          </w:p>
        </w:tc>
        <w:tc>
          <w:tcPr>
            <w:tcW w:w="1378"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23</w:t>
            </w:r>
          </w:p>
        </w:tc>
        <w:tc>
          <w:tcPr>
            <w:tcW w:w="1237"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53</w:t>
            </w:r>
          </w:p>
        </w:tc>
        <w:tc>
          <w:tcPr>
            <w:tcW w:w="1143"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43.4</w:t>
            </w:r>
          </w:p>
        </w:tc>
      </w:tr>
      <w:tr w:rsidR="00766B4F" w:rsidRPr="00563D5D" w:rsidTr="00563D5D">
        <w:trPr>
          <w:trHeight w:val="288"/>
        </w:trPr>
        <w:tc>
          <w:tcPr>
            <w:tcW w:w="1242" w:type="pct"/>
            <w:shd w:val="clear" w:color="auto" w:fill="auto"/>
            <w:noWrap/>
            <w:vAlign w:val="bottom"/>
            <w:hideMark/>
          </w:tcPr>
          <w:p w:rsidR="00563D5D" w:rsidRPr="00563D5D" w:rsidRDefault="00563D5D" w:rsidP="00563D5D">
            <w:pPr>
              <w:spacing w:after="0" w:line="240" w:lineRule="auto"/>
              <w:jc w:val="lef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LT</w:t>
            </w:r>
          </w:p>
        </w:tc>
        <w:tc>
          <w:tcPr>
            <w:tcW w:w="1378"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21</w:t>
            </w:r>
          </w:p>
        </w:tc>
        <w:tc>
          <w:tcPr>
            <w:tcW w:w="1237"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34</w:t>
            </w:r>
          </w:p>
        </w:tc>
        <w:tc>
          <w:tcPr>
            <w:tcW w:w="1143"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61.8</w:t>
            </w:r>
          </w:p>
        </w:tc>
      </w:tr>
      <w:tr w:rsidR="00766B4F" w:rsidRPr="00563D5D" w:rsidTr="00563D5D">
        <w:trPr>
          <w:trHeight w:val="288"/>
        </w:trPr>
        <w:tc>
          <w:tcPr>
            <w:tcW w:w="1242" w:type="pct"/>
            <w:shd w:val="clear" w:color="auto" w:fill="auto"/>
            <w:noWrap/>
            <w:vAlign w:val="bottom"/>
            <w:hideMark/>
          </w:tcPr>
          <w:p w:rsidR="00563D5D" w:rsidRPr="00563D5D" w:rsidRDefault="00563D5D" w:rsidP="00563D5D">
            <w:pPr>
              <w:spacing w:after="0" w:line="240" w:lineRule="auto"/>
              <w:jc w:val="lef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LU</w:t>
            </w:r>
          </w:p>
        </w:tc>
        <w:tc>
          <w:tcPr>
            <w:tcW w:w="1378"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24</w:t>
            </w:r>
          </w:p>
        </w:tc>
        <w:tc>
          <w:tcPr>
            <w:tcW w:w="1237"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36</w:t>
            </w:r>
          </w:p>
        </w:tc>
        <w:tc>
          <w:tcPr>
            <w:tcW w:w="1143"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66.7</w:t>
            </w:r>
          </w:p>
        </w:tc>
      </w:tr>
      <w:tr w:rsidR="00766B4F" w:rsidRPr="00563D5D" w:rsidTr="00563D5D">
        <w:trPr>
          <w:trHeight w:val="288"/>
        </w:trPr>
        <w:tc>
          <w:tcPr>
            <w:tcW w:w="1242" w:type="pct"/>
            <w:shd w:val="clear" w:color="auto" w:fill="auto"/>
            <w:noWrap/>
            <w:vAlign w:val="bottom"/>
            <w:hideMark/>
          </w:tcPr>
          <w:p w:rsidR="00563D5D" w:rsidRPr="00563D5D" w:rsidRDefault="00563D5D" w:rsidP="00563D5D">
            <w:pPr>
              <w:spacing w:after="0" w:line="240" w:lineRule="auto"/>
              <w:jc w:val="lef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LV</w:t>
            </w:r>
          </w:p>
        </w:tc>
        <w:tc>
          <w:tcPr>
            <w:tcW w:w="1378"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24</w:t>
            </w:r>
          </w:p>
        </w:tc>
        <w:tc>
          <w:tcPr>
            <w:tcW w:w="1237"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47</w:t>
            </w:r>
          </w:p>
        </w:tc>
        <w:tc>
          <w:tcPr>
            <w:tcW w:w="1143"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51.1</w:t>
            </w:r>
          </w:p>
        </w:tc>
      </w:tr>
      <w:tr w:rsidR="00766B4F" w:rsidRPr="00563D5D" w:rsidTr="00563D5D">
        <w:trPr>
          <w:trHeight w:val="288"/>
        </w:trPr>
        <w:tc>
          <w:tcPr>
            <w:tcW w:w="1242" w:type="pct"/>
            <w:shd w:val="clear" w:color="auto" w:fill="auto"/>
            <w:noWrap/>
            <w:vAlign w:val="bottom"/>
            <w:hideMark/>
          </w:tcPr>
          <w:p w:rsidR="00563D5D" w:rsidRPr="00563D5D" w:rsidRDefault="00563D5D" w:rsidP="00563D5D">
            <w:pPr>
              <w:spacing w:after="0" w:line="240" w:lineRule="auto"/>
              <w:jc w:val="lef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MT</w:t>
            </w:r>
          </w:p>
        </w:tc>
        <w:tc>
          <w:tcPr>
            <w:tcW w:w="1378"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14</w:t>
            </w:r>
          </w:p>
        </w:tc>
        <w:tc>
          <w:tcPr>
            <w:tcW w:w="1237"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37</w:t>
            </w:r>
          </w:p>
        </w:tc>
        <w:tc>
          <w:tcPr>
            <w:tcW w:w="1143"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37.8</w:t>
            </w:r>
          </w:p>
        </w:tc>
      </w:tr>
      <w:tr w:rsidR="00766B4F" w:rsidRPr="00563D5D" w:rsidTr="00563D5D">
        <w:trPr>
          <w:trHeight w:val="288"/>
        </w:trPr>
        <w:tc>
          <w:tcPr>
            <w:tcW w:w="1242" w:type="pct"/>
            <w:shd w:val="clear" w:color="auto" w:fill="auto"/>
            <w:noWrap/>
            <w:vAlign w:val="bottom"/>
            <w:hideMark/>
          </w:tcPr>
          <w:p w:rsidR="00563D5D" w:rsidRPr="00563D5D" w:rsidRDefault="00563D5D" w:rsidP="00563D5D">
            <w:pPr>
              <w:spacing w:after="0" w:line="240" w:lineRule="auto"/>
              <w:jc w:val="lef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NL</w:t>
            </w:r>
          </w:p>
        </w:tc>
        <w:tc>
          <w:tcPr>
            <w:tcW w:w="1378"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13</w:t>
            </w:r>
          </w:p>
        </w:tc>
        <w:tc>
          <w:tcPr>
            <w:tcW w:w="1237"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30</w:t>
            </w:r>
          </w:p>
        </w:tc>
        <w:tc>
          <w:tcPr>
            <w:tcW w:w="1143"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43.3</w:t>
            </w:r>
          </w:p>
        </w:tc>
      </w:tr>
      <w:tr w:rsidR="00766B4F" w:rsidRPr="00563D5D" w:rsidTr="00563D5D">
        <w:trPr>
          <w:trHeight w:val="288"/>
        </w:trPr>
        <w:tc>
          <w:tcPr>
            <w:tcW w:w="1242" w:type="pct"/>
            <w:shd w:val="clear" w:color="auto" w:fill="auto"/>
            <w:noWrap/>
            <w:vAlign w:val="bottom"/>
            <w:hideMark/>
          </w:tcPr>
          <w:p w:rsidR="00563D5D" w:rsidRPr="00563D5D" w:rsidRDefault="00563D5D" w:rsidP="00563D5D">
            <w:pPr>
              <w:spacing w:after="0" w:line="240" w:lineRule="auto"/>
              <w:jc w:val="lef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PL</w:t>
            </w:r>
          </w:p>
        </w:tc>
        <w:tc>
          <w:tcPr>
            <w:tcW w:w="1378"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24</w:t>
            </w:r>
          </w:p>
        </w:tc>
        <w:tc>
          <w:tcPr>
            <w:tcW w:w="1237"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46</w:t>
            </w:r>
          </w:p>
        </w:tc>
        <w:tc>
          <w:tcPr>
            <w:tcW w:w="1143"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52.2</w:t>
            </w:r>
          </w:p>
        </w:tc>
      </w:tr>
      <w:tr w:rsidR="00766B4F" w:rsidRPr="00563D5D" w:rsidTr="00563D5D">
        <w:trPr>
          <w:trHeight w:val="288"/>
        </w:trPr>
        <w:tc>
          <w:tcPr>
            <w:tcW w:w="1242" w:type="pct"/>
            <w:shd w:val="clear" w:color="auto" w:fill="auto"/>
            <w:noWrap/>
            <w:vAlign w:val="bottom"/>
            <w:hideMark/>
          </w:tcPr>
          <w:p w:rsidR="00563D5D" w:rsidRPr="00563D5D" w:rsidRDefault="00563D5D" w:rsidP="00563D5D">
            <w:pPr>
              <w:spacing w:after="0" w:line="240" w:lineRule="auto"/>
              <w:jc w:val="lef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PT</w:t>
            </w:r>
          </w:p>
        </w:tc>
        <w:tc>
          <w:tcPr>
            <w:tcW w:w="1378"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12</w:t>
            </w:r>
          </w:p>
        </w:tc>
        <w:tc>
          <w:tcPr>
            <w:tcW w:w="1237"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28</w:t>
            </w:r>
          </w:p>
        </w:tc>
        <w:tc>
          <w:tcPr>
            <w:tcW w:w="1143"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42.9</w:t>
            </w:r>
          </w:p>
        </w:tc>
      </w:tr>
      <w:tr w:rsidR="00766B4F" w:rsidRPr="00563D5D" w:rsidTr="00563D5D">
        <w:trPr>
          <w:trHeight w:val="288"/>
        </w:trPr>
        <w:tc>
          <w:tcPr>
            <w:tcW w:w="1242" w:type="pct"/>
            <w:shd w:val="clear" w:color="auto" w:fill="auto"/>
            <w:noWrap/>
            <w:vAlign w:val="bottom"/>
            <w:hideMark/>
          </w:tcPr>
          <w:p w:rsidR="00563D5D" w:rsidRPr="00563D5D" w:rsidRDefault="00563D5D" w:rsidP="00563D5D">
            <w:pPr>
              <w:spacing w:after="0" w:line="240" w:lineRule="auto"/>
              <w:jc w:val="lef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RO</w:t>
            </w:r>
          </w:p>
        </w:tc>
        <w:tc>
          <w:tcPr>
            <w:tcW w:w="1378"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22</w:t>
            </w:r>
          </w:p>
        </w:tc>
        <w:tc>
          <w:tcPr>
            <w:tcW w:w="1237" w:type="pct"/>
            <w:shd w:val="clear" w:color="auto" w:fill="auto"/>
            <w:noWrap/>
            <w:vAlign w:val="bottom"/>
            <w:hideMark/>
          </w:tcPr>
          <w:p w:rsidR="00563D5D" w:rsidRPr="00563D5D" w:rsidRDefault="00563D5D" w:rsidP="00C50D1B">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5</w:t>
            </w:r>
            <w:r w:rsidR="00C50D1B">
              <w:rPr>
                <w:rFonts w:ascii="Calibri" w:eastAsia="Times New Roman" w:hAnsi="Calibri" w:cs="Times New Roman"/>
                <w:color w:val="000000"/>
                <w:sz w:val="22"/>
                <w:lang w:eastAsia="en-GB"/>
              </w:rPr>
              <w:t>5</w:t>
            </w:r>
          </w:p>
        </w:tc>
        <w:tc>
          <w:tcPr>
            <w:tcW w:w="1143" w:type="pct"/>
            <w:shd w:val="clear" w:color="auto" w:fill="auto"/>
            <w:noWrap/>
            <w:vAlign w:val="bottom"/>
            <w:hideMark/>
          </w:tcPr>
          <w:p w:rsidR="00563D5D" w:rsidRPr="00563D5D" w:rsidRDefault="00563D5D" w:rsidP="00C50D1B">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40.</w:t>
            </w:r>
            <w:r w:rsidR="00C50D1B">
              <w:rPr>
                <w:rFonts w:ascii="Calibri" w:eastAsia="Times New Roman" w:hAnsi="Calibri" w:cs="Times New Roman"/>
                <w:color w:val="000000"/>
                <w:sz w:val="22"/>
                <w:lang w:eastAsia="en-GB"/>
              </w:rPr>
              <w:t>0</w:t>
            </w:r>
          </w:p>
        </w:tc>
      </w:tr>
      <w:tr w:rsidR="00766B4F" w:rsidRPr="00563D5D" w:rsidTr="00563D5D">
        <w:trPr>
          <w:trHeight w:val="288"/>
        </w:trPr>
        <w:tc>
          <w:tcPr>
            <w:tcW w:w="1242" w:type="pct"/>
            <w:shd w:val="clear" w:color="auto" w:fill="auto"/>
            <w:noWrap/>
            <w:vAlign w:val="bottom"/>
            <w:hideMark/>
          </w:tcPr>
          <w:p w:rsidR="00563D5D" w:rsidRPr="00563D5D" w:rsidRDefault="00563D5D" w:rsidP="00563D5D">
            <w:pPr>
              <w:spacing w:after="0" w:line="240" w:lineRule="auto"/>
              <w:jc w:val="lef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SE</w:t>
            </w:r>
          </w:p>
        </w:tc>
        <w:tc>
          <w:tcPr>
            <w:tcW w:w="1378"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10</w:t>
            </w:r>
          </w:p>
        </w:tc>
        <w:tc>
          <w:tcPr>
            <w:tcW w:w="1237"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23</w:t>
            </w:r>
          </w:p>
        </w:tc>
        <w:tc>
          <w:tcPr>
            <w:tcW w:w="1143"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43.5</w:t>
            </w:r>
          </w:p>
        </w:tc>
      </w:tr>
      <w:tr w:rsidR="00766B4F" w:rsidRPr="00563D5D" w:rsidTr="00563D5D">
        <w:trPr>
          <w:trHeight w:val="288"/>
        </w:trPr>
        <w:tc>
          <w:tcPr>
            <w:tcW w:w="1242" w:type="pct"/>
            <w:shd w:val="clear" w:color="auto" w:fill="auto"/>
            <w:noWrap/>
            <w:vAlign w:val="bottom"/>
            <w:hideMark/>
          </w:tcPr>
          <w:p w:rsidR="00563D5D" w:rsidRPr="00563D5D" w:rsidRDefault="00563D5D" w:rsidP="00563D5D">
            <w:pPr>
              <w:spacing w:after="0" w:line="240" w:lineRule="auto"/>
              <w:jc w:val="lef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SI</w:t>
            </w:r>
          </w:p>
        </w:tc>
        <w:tc>
          <w:tcPr>
            <w:tcW w:w="1378"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16</w:t>
            </w:r>
          </w:p>
        </w:tc>
        <w:tc>
          <w:tcPr>
            <w:tcW w:w="1237"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41</w:t>
            </w:r>
          </w:p>
        </w:tc>
        <w:tc>
          <w:tcPr>
            <w:tcW w:w="1143"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39.0</w:t>
            </w:r>
          </w:p>
        </w:tc>
      </w:tr>
      <w:tr w:rsidR="00766B4F" w:rsidRPr="00563D5D" w:rsidTr="00563D5D">
        <w:trPr>
          <w:trHeight w:val="288"/>
        </w:trPr>
        <w:tc>
          <w:tcPr>
            <w:tcW w:w="1242" w:type="pct"/>
            <w:shd w:val="clear" w:color="auto" w:fill="auto"/>
            <w:noWrap/>
            <w:vAlign w:val="bottom"/>
            <w:hideMark/>
          </w:tcPr>
          <w:p w:rsidR="00563D5D" w:rsidRPr="00563D5D" w:rsidRDefault="00563D5D" w:rsidP="00563D5D">
            <w:pPr>
              <w:spacing w:after="0" w:line="240" w:lineRule="auto"/>
              <w:jc w:val="lef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SK</w:t>
            </w:r>
          </w:p>
        </w:tc>
        <w:tc>
          <w:tcPr>
            <w:tcW w:w="1378"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32</w:t>
            </w:r>
          </w:p>
        </w:tc>
        <w:tc>
          <w:tcPr>
            <w:tcW w:w="1237"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51</w:t>
            </w:r>
          </w:p>
        </w:tc>
        <w:tc>
          <w:tcPr>
            <w:tcW w:w="1143"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62.7</w:t>
            </w:r>
          </w:p>
        </w:tc>
      </w:tr>
      <w:tr w:rsidR="00766B4F" w:rsidRPr="00563D5D" w:rsidTr="00563D5D">
        <w:trPr>
          <w:trHeight w:val="288"/>
        </w:trPr>
        <w:tc>
          <w:tcPr>
            <w:tcW w:w="1242" w:type="pct"/>
            <w:shd w:val="clear" w:color="auto" w:fill="auto"/>
            <w:noWrap/>
            <w:vAlign w:val="bottom"/>
            <w:hideMark/>
          </w:tcPr>
          <w:p w:rsidR="00563D5D" w:rsidRPr="00563D5D" w:rsidRDefault="00563D5D" w:rsidP="00563D5D">
            <w:pPr>
              <w:spacing w:after="0" w:line="240" w:lineRule="auto"/>
              <w:jc w:val="lef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UK</w:t>
            </w:r>
          </w:p>
        </w:tc>
        <w:tc>
          <w:tcPr>
            <w:tcW w:w="1378"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20</w:t>
            </w:r>
          </w:p>
        </w:tc>
        <w:tc>
          <w:tcPr>
            <w:tcW w:w="1237"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41</w:t>
            </w:r>
          </w:p>
        </w:tc>
        <w:tc>
          <w:tcPr>
            <w:tcW w:w="1143" w:type="pct"/>
            <w:shd w:val="clear" w:color="auto" w:fill="auto"/>
            <w:noWrap/>
            <w:vAlign w:val="bottom"/>
            <w:hideMark/>
          </w:tcPr>
          <w:p w:rsidR="00563D5D" w:rsidRPr="00563D5D" w:rsidRDefault="00563D5D" w:rsidP="00563D5D">
            <w:pPr>
              <w:spacing w:after="0" w:line="240" w:lineRule="auto"/>
              <w:jc w:val="right"/>
              <w:rPr>
                <w:rFonts w:ascii="Calibri" w:eastAsia="Times New Roman" w:hAnsi="Calibri" w:cs="Times New Roman"/>
                <w:color w:val="000000"/>
                <w:sz w:val="22"/>
                <w:lang w:eastAsia="en-GB"/>
              </w:rPr>
            </w:pPr>
            <w:r w:rsidRPr="00563D5D">
              <w:rPr>
                <w:rFonts w:ascii="Calibri" w:eastAsia="Times New Roman" w:hAnsi="Calibri" w:cs="Times New Roman"/>
                <w:color w:val="000000"/>
                <w:sz w:val="22"/>
                <w:lang w:eastAsia="en-GB"/>
              </w:rPr>
              <w:t>48.8</w:t>
            </w:r>
          </w:p>
        </w:tc>
      </w:tr>
      <w:tr w:rsidR="00766B4F" w:rsidRPr="00563D5D" w:rsidTr="00563D5D">
        <w:trPr>
          <w:trHeight w:val="288"/>
        </w:trPr>
        <w:tc>
          <w:tcPr>
            <w:tcW w:w="1242" w:type="pct"/>
            <w:shd w:val="clear" w:color="DCE6F1" w:fill="DCE6F1"/>
            <w:noWrap/>
            <w:vAlign w:val="bottom"/>
            <w:hideMark/>
          </w:tcPr>
          <w:p w:rsidR="00563D5D" w:rsidRPr="00563D5D" w:rsidRDefault="00563D5D" w:rsidP="00563D5D">
            <w:pPr>
              <w:spacing w:after="0" w:line="240" w:lineRule="auto"/>
              <w:jc w:val="left"/>
              <w:rPr>
                <w:rFonts w:ascii="Calibri" w:eastAsia="Times New Roman" w:hAnsi="Calibri" w:cs="Times New Roman"/>
                <w:b/>
                <w:bCs/>
                <w:color w:val="000000"/>
                <w:sz w:val="22"/>
                <w:lang w:eastAsia="en-GB"/>
              </w:rPr>
            </w:pPr>
            <w:r w:rsidRPr="00563D5D">
              <w:rPr>
                <w:rFonts w:ascii="Calibri" w:eastAsia="Times New Roman" w:hAnsi="Calibri" w:cs="Times New Roman"/>
                <w:b/>
                <w:bCs/>
                <w:color w:val="000000"/>
                <w:sz w:val="22"/>
                <w:lang w:eastAsia="en-GB"/>
              </w:rPr>
              <w:t>Total</w:t>
            </w:r>
          </w:p>
        </w:tc>
        <w:tc>
          <w:tcPr>
            <w:tcW w:w="1378" w:type="pct"/>
            <w:shd w:val="clear" w:color="DCE6F1" w:fill="DCE6F1"/>
            <w:noWrap/>
            <w:vAlign w:val="bottom"/>
            <w:hideMark/>
          </w:tcPr>
          <w:p w:rsidR="00563D5D" w:rsidRPr="00563D5D" w:rsidRDefault="00563D5D" w:rsidP="00563D5D">
            <w:pPr>
              <w:spacing w:after="0" w:line="240" w:lineRule="auto"/>
              <w:jc w:val="right"/>
              <w:rPr>
                <w:rFonts w:ascii="Calibri" w:eastAsia="Times New Roman" w:hAnsi="Calibri" w:cs="Times New Roman"/>
                <w:b/>
                <w:bCs/>
                <w:color w:val="000000"/>
                <w:sz w:val="22"/>
                <w:lang w:eastAsia="en-GB"/>
              </w:rPr>
            </w:pPr>
            <w:r w:rsidRPr="00563D5D">
              <w:rPr>
                <w:rFonts w:ascii="Calibri" w:eastAsia="Times New Roman" w:hAnsi="Calibri" w:cs="Times New Roman"/>
                <w:b/>
                <w:bCs/>
                <w:color w:val="000000"/>
                <w:sz w:val="22"/>
                <w:lang w:eastAsia="en-GB"/>
              </w:rPr>
              <w:t>566</w:t>
            </w:r>
          </w:p>
        </w:tc>
        <w:tc>
          <w:tcPr>
            <w:tcW w:w="1237" w:type="pct"/>
            <w:shd w:val="clear" w:color="auto" w:fill="auto"/>
            <w:noWrap/>
            <w:vAlign w:val="bottom"/>
            <w:hideMark/>
          </w:tcPr>
          <w:p w:rsidR="00563D5D" w:rsidRPr="00807960" w:rsidRDefault="00563D5D" w:rsidP="00C50D1B">
            <w:pPr>
              <w:spacing w:after="0" w:line="240" w:lineRule="auto"/>
              <w:jc w:val="right"/>
              <w:rPr>
                <w:rFonts w:ascii="Calibri" w:eastAsia="Times New Roman" w:hAnsi="Calibri" w:cs="Times New Roman"/>
                <w:b/>
                <w:color w:val="000000"/>
                <w:sz w:val="22"/>
                <w:lang w:eastAsia="en-GB"/>
              </w:rPr>
            </w:pPr>
            <w:r w:rsidRPr="00807960">
              <w:rPr>
                <w:rFonts w:ascii="Calibri" w:eastAsia="Times New Roman" w:hAnsi="Calibri" w:cs="Times New Roman"/>
                <w:b/>
                <w:color w:val="000000"/>
                <w:sz w:val="22"/>
                <w:lang w:eastAsia="en-GB"/>
              </w:rPr>
              <w:t>1,0</w:t>
            </w:r>
            <w:r w:rsidR="00C50D1B">
              <w:rPr>
                <w:rFonts w:ascii="Calibri" w:eastAsia="Times New Roman" w:hAnsi="Calibri" w:cs="Times New Roman"/>
                <w:b/>
                <w:color w:val="000000"/>
                <w:sz w:val="22"/>
                <w:lang w:eastAsia="en-GB"/>
              </w:rPr>
              <w:t>92</w:t>
            </w:r>
          </w:p>
        </w:tc>
        <w:tc>
          <w:tcPr>
            <w:tcW w:w="1143" w:type="pct"/>
            <w:shd w:val="clear" w:color="auto" w:fill="auto"/>
            <w:noWrap/>
            <w:vAlign w:val="bottom"/>
            <w:hideMark/>
          </w:tcPr>
          <w:p w:rsidR="00563D5D" w:rsidRPr="00807960" w:rsidRDefault="00563D5D" w:rsidP="00C50D1B">
            <w:pPr>
              <w:spacing w:after="0" w:line="240" w:lineRule="auto"/>
              <w:jc w:val="right"/>
              <w:rPr>
                <w:rFonts w:ascii="Calibri" w:eastAsia="Times New Roman" w:hAnsi="Calibri" w:cs="Times New Roman"/>
                <w:b/>
                <w:color w:val="000000"/>
                <w:sz w:val="22"/>
                <w:lang w:eastAsia="en-GB"/>
              </w:rPr>
            </w:pPr>
            <w:r w:rsidRPr="00807960">
              <w:rPr>
                <w:rFonts w:ascii="Calibri" w:eastAsia="Times New Roman" w:hAnsi="Calibri" w:cs="Times New Roman"/>
                <w:b/>
                <w:color w:val="000000"/>
                <w:sz w:val="22"/>
                <w:lang w:eastAsia="en-GB"/>
              </w:rPr>
              <w:t>5</w:t>
            </w:r>
            <w:r w:rsidR="00C50D1B">
              <w:rPr>
                <w:rFonts w:ascii="Calibri" w:eastAsia="Times New Roman" w:hAnsi="Calibri" w:cs="Times New Roman"/>
                <w:b/>
                <w:color w:val="000000"/>
                <w:sz w:val="22"/>
                <w:lang w:eastAsia="en-GB"/>
              </w:rPr>
              <w:t>1</w:t>
            </w:r>
            <w:r w:rsidRPr="00807960">
              <w:rPr>
                <w:rFonts w:ascii="Calibri" w:eastAsia="Times New Roman" w:hAnsi="Calibri" w:cs="Times New Roman"/>
                <w:b/>
                <w:color w:val="000000"/>
                <w:sz w:val="22"/>
                <w:lang w:eastAsia="en-GB"/>
              </w:rPr>
              <w:t>.</w:t>
            </w:r>
            <w:r w:rsidR="00C50D1B">
              <w:rPr>
                <w:rFonts w:ascii="Calibri" w:eastAsia="Times New Roman" w:hAnsi="Calibri" w:cs="Times New Roman"/>
                <w:b/>
                <w:color w:val="000000"/>
                <w:sz w:val="22"/>
                <w:lang w:eastAsia="en-GB"/>
              </w:rPr>
              <w:t>8</w:t>
            </w:r>
          </w:p>
        </w:tc>
      </w:tr>
    </w:tbl>
    <w:p w:rsidR="00563D5D" w:rsidRDefault="00563D5D" w:rsidP="00807960"/>
    <w:p w:rsidR="00563D5D" w:rsidRPr="00563D5D" w:rsidRDefault="00563D5D" w:rsidP="00807960"/>
    <w:p w:rsidR="00982393" w:rsidRDefault="00982393" w:rsidP="00982393">
      <w:r w:rsidRPr="00133E17">
        <w:t xml:space="preserve">Source: Own elaboration </w:t>
      </w:r>
      <w:r>
        <w:t>based on mapping of CSR, Country Reports and MoU 2012-2015</w:t>
      </w:r>
      <w:r w:rsidRPr="00133E17">
        <w:t>.</w:t>
      </w:r>
    </w:p>
    <w:p w:rsidR="002B3BB7" w:rsidRDefault="002B3BB7" w:rsidP="00855E30"/>
    <w:p w:rsidR="00855E30" w:rsidRDefault="00855E30" w:rsidP="00855E30">
      <w:r>
        <w:t xml:space="preserve">The following figure shows the distribution of </w:t>
      </w:r>
      <w:r w:rsidR="00563D5D">
        <w:t>ESIF relevant</w:t>
      </w:r>
      <w:r>
        <w:t xml:space="preserve"> policy recommendations and challenges that are reiterated over the years by policy area. The repetition of CSR and other challenges over time characterises all policy areas and in a significant number of cases (1</w:t>
      </w:r>
      <w:r w:rsidR="00491CA5">
        <w:t>4</w:t>
      </w:r>
      <w:r>
        <w:t xml:space="preserve"> </w:t>
      </w:r>
      <w:r w:rsidR="00270A53">
        <w:t xml:space="preserve">cohesion relevant </w:t>
      </w:r>
      <w:r>
        <w:t xml:space="preserve">policy areas), between 50% and 70% of the recommendations made as well as </w:t>
      </w:r>
      <w:r w:rsidR="00B21451">
        <w:t xml:space="preserve">of </w:t>
      </w:r>
      <w:r>
        <w:t>the challenges identified in 2012-201</w:t>
      </w:r>
      <w:r w:rsidR="00B21451">
        <w:t>5</w:t>
      </w:r>
      <w:r>
        <w:t xml:space="preserve"> </w:t>
      </w:r>
      <w:r w:rsidR="00303A98">
        <w:t xml:space="preserve">are </w:t>
      </w:r>
      <w:r w:rsidR="00716288">
        <w:t>reiterate</w:t>
      </w:r>
      <w:r w:rsidR="00303A98">
        <w:t>d</w:t>
      </w:r>
      <w:r w:rsidR="00716288">
        <w:t xml:space="preserve"> </w:t>
      </w:r>
      <w:r>
        <w:t xml:space="preserve">in full or partially. The areas where the reiteration is more frequent are those concerning: integration of marginalized groups (nearly 70% are repeated), </w:t>
      </w:r>
      <w:r w:rsidR="00623E27">
        <w:t xml:space="preserve">housing and other social infrastructure, </w:t>
      </w:r>
      <w:r>
        <w:t xml:space="preserve">gender equality (including reconciliation of work and private life), </w:t>
      </w:r>
      <w:r w:rsidR="002C73E1">
        <w:t xml:space="preserve">LM integration of young people, health and long-term care, </w:t>
      </w:r>
      <w:r w:rsidR="00623E27">
        <w:t xml:space="preserve">energy (including RES and GHG emissions), </w:t>
      </w:r>
      <w:r>
        <w:t xml:space="preserve">labour market relevance of education &amp; training systems (including VET systems), </w:t>
      </w:r>
      <w:r w:rsidR="002C73E1">
        <w:t xml:space="preserve">access to employment and employability of workers (including activation, LM participation and labour tax wedge), RTDI, </w:t>
      </w:r>
      <w:r w:rsidR="00623E27">
        <w:t xml:space="preserve">improving access to quality education and training, transport, </w:t>
      </w:r>
      <w:r>
        <w:t>reducing and preventing early school leaving</w:t>
      </w:r>
      <w:r w:rsidR="002C73E1">
        <w:t>, contrasting discrimination and poverty</w:t>
      </w:r>
      <w:r>
        <w:t xml:space="preserve">. </w:t>
      </w:r>
    </w:p>
    <w:p w:rsidR="00B21451" w:rsidRDefault="00855E30" w:rsidP="00855E30">
      <w:r>
        <w:t xml:space="preserve">For other </w:t>
      </w:r>
      <w:r w:rsidR="00270A53">
        <w:t>5 cohesion relevant</w:t>
      </w:r>
      <w:r>
        <w:t xml:space="preserve"> policy areas, a share of the challenges ranging from </w:t>
      </w:r>
      <w:r w:rsidR="00491CA5">
        <w:t>39</w:t>
      </w:r>
      <w:r>
        <w:t xml:space="preserve">% of total in the case of </w:t>
      </w:r>
      <w:r w:rsidR="00491CA5">
        <w:t>business environment</w:t>
      </w:r>
      <w:r w:rsidR="009F4B4D">
        <w:t xml:space="preserve"> to 47%</w:t>
      </w:r>
      <w:r>
        <w:t xml:space="preserve"> of total in relation to </w:t>
      </w:r>
      <w:r w:rsidR="009F4B4D">
        <w:t>digital infrastructure and services</w:t>
      </w:r>
      <w:r>
        <w:t xml:space="preserve"> </w:t>
      </w:r>
      <w:r w:rsidR="00623E27">
        <w:t>overlap</w:t>
      </w:r>
      <w:r w:rsidR="009F4B4D">
        <w:t xml:space="preserve"> across years</w:t>
      </w:r>
      <w:r>
        <w:t xml:space="preserve">. </w:t>
      </w:r>
    </w:p>
    <w:p w:rsidR="00855E30" w:rsidRDefault="00855E30" w:rsidP="00855E30">
      <w:r>
        <w:t xml:space="preserve">Finally, the </w:t>
      </w:r>
      <w:r w:rsidR="00F464DA">
        <w:t xml:space="preserve">CSR/CR/MoU structural </w:t>
      </w:r>
      <w:r>
        <w:t xml:space="preserve">challenges concerning deprived urban and rural communities and environmental protection are more rarely evidenced in the first place and never repeated over the years. </w:t>
      </w:r>
    </w:p>
    <w:p w:rsidR="00855E30" w:rsidRDefault="00855E30" w:rsidP="00855E30"/>
    <w:p w:rsidR="00855E30" w:rsidRDefault="00855E30" w:rsidP="00855E30">
      <w:pPr>
        <w:pStyle w:val="Caption"/>
        <w:keepNext/>
      </w:pPr>
      <w:r>
        <w:t xml:space="preserve">Figure </w:t>
      </w:r>
      <w:r w:rsidR="00C52F7F">
        <w:fldChar w:fldCharType="begin"/>
      </w:r>
      <w:r w:rsidR="00F62F72">
        <w:instrText xml:space="preserve"> SEQ Figure \* ARABIC </w:instrText>
      </w:r>
      <w:r w:rsidR="00C52F7F">
        <w:fldChar w:fldCharType="separate"/>
      </w:r>
      <w:r w:rsidR="00183DCC">
        <w:rPr>
          <w:noProof/>
        </w:rPr>
        <w:t>6</w:t>
      </w:r>
      <w:r w:rsidR="00C52F7F">
        <w:rPr>
          <w:noProof/>
        </w:rPr>
        <w:fldChar w:fldCharType="end"/>
      </w:r>
      <w:r>
        <w:t xml:space="preserve"> - Share of challenges that are repeated</w:t>
      </w:r>
      <w:r w:rsidR="005B31C0">
        <w:t>,</w:t>
      </w:r>
      <w:r>
        <w:t xml:space="preserve"> once or more than once</w:t>
      </w:r>
      <w:r w:rsidR="005B31C0">
        <w:t>,</w:t>
      </w:r>
      <w:r>
        <w:t xml:space="preserve"> in 2012-2015 (</w:t>
      </w:r>
      <w:r w:rsidR="005B31C0">
        <w:t xml:space="preserve">as </w:t>
      </w:r>
      <w:r>
        <w:t>% o</w:t>
      </w:r>
      <w:r w:rsidR="005B31C0">
        <w:t>f</w:t>
      </w:r>
      <w:r>
        <w:t xml:space="preserve"> total challenges in a policy area)</w:t>
      </w:r>
    </w:p>
    <w:p w:rsidR="00563D5D" w:rsidRDefault="00563D5D" w:rsidP="00807960">
      <w:r>
        <w:rPr>
          <w:noProof/>
          <w:lang w:eastAsia="en-GB"/>
        </w:rPr>
        <w:drawing>
          <wp:inline distT="0" distB="0" distL="0" distR="0" wp14:anchorId="079FC291" wp14:editId="16F7FC4F">
            <wp:extent cx="5657850" cy="5462241"/>
            <wp:effectExtent l="0" t="0" r="0" b="5715"/>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60319" cy="5464625"/>
                    </a:xfrm>
                    <a:prstGeom prst="rect">
                      <a:avLst/>
                    </a:prstGeom>
                    <a:noFill/>
                  </pic:spPr>
                </pic:pic>
              </a:graphicData>
            </a:graphic>
          </wp:inline>
        </w:drawing>
      </w:r>
    </w:p>
    <w:p w:rsidR="00B21451" w:rsidRDefault="00B21451" w:rsidP="00B21451">
      <w:r w:rsidRPr="00133E17">
        <w:t xml:space="preserve">Source: Own elaboration </w:t>
      </w:r>
      <w:r>
        <w:t>based on mapping of CSR, Country Reports and MoU 2012-2015</w:t>
      </w:r>
      <w:r w:rsidRPr="00133E17">
        <w:t>.</w:t>
      </w:r>
    </w:p>
    <w:p w:rsidR="00982393" w:rsidRDefault="00982393" w:rsidP="00B21451"/>
    <w:p w:rsidR="002B3BB7" w:rsidRDefault="002B3BB7" w:rsidP="00B21451"/>
    <w:p w:rsidR="00982393" w:rsidRDefault="00982393" w:rsidP="00982393">
      <w:pPr>
        <w:pStyle w:val="Heading3"/>
      </w:pPr>
      <w:bookmarkStart w:id="17" w:name="_Toc466826786"/>
      <w:r>
        <w:t>Distribution of policy recommendations and other challenges by target group</w:t>
      </w:r>
      <w:bookmarkEnd w:id="17"/>
    </w:p>
    <w:p w:rsidR="00855E30" w:rsidRDefault="00855E30" w:rsidP="00855E30">
      <w:r>
        <w:t xml:space="preserve">In the mapping of CSR and additional structural challenges, the mentioning of specific target groups was also considered. Target groups are made explicit in 23% of the </w:t>
      </w:r>
      <w:r w:rsidR="002C73E1">
        <w:t>policy recommendations/challenges</w:t>
      </w:r>
      <w:r>
        <w:t>. Sometimes a single target group can be associated to a certain recommendation but, most of the times, several targets can be relevant to the same CSR/challenge</w:t>
      </w:r>
      <w:r w:rsidR="00B21451">
        <w:t>. For instance a recommendation</w:t>
      </w:r>
      <w:r>
        <w:t xml:space="preserve"> which concerns poverty and social exclusion can target all at once several vulnerable groups, including Roma, migrants, people living in deprived areas etc. </w:t>
      </w:r>
    </w:p>
    <w:p w:rsidR="00B21451" w:rsidRDefault="00855E30" w:rsidP="00855E30">
      <w:r>
        <w:t>The following figure shows the relative importance of different groups targeted in CSR and other structural challenges for which a target was made explicit. Young people are targeted in over 30% of the cases. The groups of older workers and women follow suit wi</w:t>
      </w:r>
      <w:r w:rsidR="00B21451">
        <w:t>th 13% of cases each. The “</w:t>
      </w:r>
      <w:r>
        <w:t>women</w:t>
      </w:r>
      <w:r w:rsidR="00B21451">
        <w:t>”</w:t>
      </w:r>
      <w:r>
        <w:t xml:space="preserve"> </w:t>
      </w:r>
      <w:r w:rsidR="00B21451">
        <w:t xml:space="preserve">group </w:t>
      </w:r>
      <w:r>
        <w:t xml:space="preserve">is relevant in all recommendations on gender equality, </w:t>
      </w:r>
      <w:r w:rsidRPr="00AE5D8F">
        <w:t>reconciliation of work and private life</w:t>
      </w:r>
      <w:r>
        <w:t xml:space="preserve">, child care. </w:t>
      </w:r>
    </w:p>
    <w:p w:rsidR="00855E30" w:rsidRDefault="00855E30" w:rsidP="00855E30">
      <w:r>
        <w:t>Migrants are targeted in 9% of the cases</w:t>
      </w:r>
      <w:r w:rsidR="00B21451">
        <w:t xml:space="preserve"> and their importance grew over the years</w:t>
      </w:r>
      <w:r>
        <w:t xml:space="preserve">, low educated people in around 8% of the total cases. Roma and other vulnerable segments at risk of exclusion (e.g. </w:t>
      </w:r>
      <w:r w:rsidRPr="00AE5D8F">
        <w:t>low income households</w:t>
      </w:r>
      <w:r>
        <w:t xml:space="preserve">, </w:t>
      </w:r>
      <w:r w:rsidRPr="00AE5D8F">
        <w:t xml:space="preserve">people living in urban deprived areas, </w:t>
      </w:r>
      <w:r>
        <w:t xml:space="preserve">including non-EU nationals </w:t>
      </w:r>
      <w:r w:rsidRPr="00AE5D8F">
        <w:t>etc.</w:t>
      </w:r>
      <w:r>
        <w:t xml:space="preserve">) count for 13% of the targets or 6.6% each. </w:t>
      </w:r>
    </w:p>
    <w:p w:rsidR="00855E30" w:rsidRDefault="00855E30" w:rsidP="00855E30">
      <w:r>
        <w:t xml:space="preserve">The elderly are targeted in nearly 6% of cases, long term unemployed in 5% of the cases and disabled persons in 3% of the circumstances. </w:t>
      </w:r>
    </w:p>
    <w:p w:rsidR="00441F37" w:rsidRDefault="00441F37" w:rsidP="00441F37">
      <w:r>
        <w:t xml:space="preserve">Only in 9 cases (of structural challenges), “migrants” are identified as the specific and only target group. In most cases, 30 in total, migrants are targeted together with other groups such as Roma, long-term unemployment, women, low educated and other groups at risk of exclusion. </w:t>
      </w:r>
    </w:p>
    <w:p w:rsidR="00855E30" w:rsidRDefault="00855E30" w:rsidP="00855E30"/>
    <w:p w:rsidR="00855E30" w:rsidRDefault="00855E30" w:rsidP="00855E30">
      <w:pPr>
        <w:pStyle w:val="Caption"/>
        <w:keepNext/>
      </w:pPr>
      <w:r>
        <w:t xml:space="preserve">Figure </w:t>
      </w:r>
      <w:r w:rsidR="00C52F7F">
        <w:fldChar w:fldCharType="begin"/>
      </w:r>
      <w:r w:rsidR="00F62F72">
        <w:instrText xml:space="preserve"> SEQ Figure \* ARABIC </w:instrText>
      </w:r>
      <w:r w:rsidR="00C52F7F">
        <w:fldChar w:fldCharType="separate"/>
      </w:r>
      <w:r w:rsidR="00183DCC">
        <w:rPr>
          <w:noProof/>
        </w:rPr>
        <w:t>7</w:t>
      </w:r>
      <w:r w:rsidR="00C52F7F">
        <w:rPr>
          <w:noProof/>
        </w:rPr>
        <w:fldChar w:fldCharType="end"/>
      </w:r>
      <w:r>
        <w:t xml:space="preserve"> – Relative importance of different categories of target groups</w:t>
      </w:r>
      <w:r w:rsidR="00D32A6A">
        <w:t xml:space="preserve"> (% of total groups targeted)</w:t>
      </w:r>
      <w:r>
        <w:t xml:space="preserve"> </w:t>
      </w:r>
    </w:p>
    <w:p w:rsidR="00855E30" w:rsidRDefault="00855E30" w:rsidP="00855E30">
      <w:r>
        <w:rPr>
          <w:noProof/>
          <w:lang w:eastAsia="en-GB"/>
        </w:rPr>
        <w:drawing>
          <wp:inline distT="0" distB="0" distL="0" distR="0" wp14:anchorId="42972F0D" wp14:editId="3CF4E315">
            <wp:extent cx="4495713" cy="3032760"/>
            <wp:effectExtent l="0" t="0" r="635"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494142" cy="3031700"/>
                    </a:xfrm>
                    <a:prstGeom prst="rect">
                      <a:avLst/>
                    </a:prstGeom>
                    <a:noFill/>
                  </pic:spPr>
                </pic:pic>
              </a:graphicData>
            </a:graphic>
          </wp:inline>
        </w:drawing>
      </w:r>
      <w:r>
        <w:t xml:space="preserve"> </w:t>
      </w:r>
    </w:p>
    <w:p w:rsidR="00B21451" w:rsidRDefault="00B21451" w:rsidP="00B21451">
      <w:r w:rsidRPr="00133E17">
        <w:t xml:space="preserve">Source: Own elaboration </w:t>
      </w:r>
      <w:r>
        <w:t>based on mapping of CSR, Country Reports and MoU 2012-2015</w:t>
      </w:r>
      <w:r w:rsidRPr="00133E17">
        <w:t>.</w:t>
      </w:r>
    </w:p>
    <w:p w:rsidR="00855E30" w:rsidRPr="009B35EE" w:rsidRDefault="00855E30" w:rsidP="00855E30"/>
    <w:p w:rsidR="00855E30" w:rsidRDefault="00855E30" w:rsidP="00855E30">
      <w:pPr>
        <w:jc w:val="left"/>
        <w:rPr>
          <w:rFonts w:eastAsia="Times New Roman" w:cs="Times New Roman"/>
          <w:b/>
          <w:i/>
          <w:sz w:val="22"/>
          <w:szCs w:val="20"/>
        </w:rPr>
      </w:pPr>
      <w:r>
        <w:br w:type="page"/>
      </w:r>
    </w:p>
    <w:p w:rsidR="00CE7E83" w:rsidRDefault="00CE7E83" w:rsidP="00CE7E83">
      <w:pPr>
        <w:pStyle w:val="Heading1"/>
      </w:pPr>
      <w:bookmarkStart w:id="18" w:name="_Toc448936984"/>
      <w:bookmarkStart w:id="19" w:name="_Toc466826787"/>
      <w:r w:rsidRPr="00F454B6">
        <w:t>Task 3</w:t>
      </w:r>
      <w:r>
        <w:t xml:space="preserve"> - Set out how the CSR have steered the programming and implementation of ESIF in the Member States</w:t>
      </w:r>
      <w:bookmarkEnd w:id="18"/>
      <w:bookmarkEnd w:id="19"/>
    </w:p>
    <w:p w:rsidR="00CE7E83" w:rsidRPr="00C6169B" w:rsidRDefault="00CE7E83" w:rsidP="00CE7E83"/>
    <w:p w:rsidR="00CE7E83" w:rsidRDefault="00CE7E83" w:rsidP="00CE7E83">
      <w:pPr>
        <w:pStyle w:val="Heading2"/>
      </w:pPr>
      <w:bookmarkStart w:id="20" w:name="_Toc448936985"/>
      <w:bookmarkStart w:id="21" w:name="_Toc466826788"/>
      <w:r>
        <w:t>Background</w:t>
      </w:r>
      <w:bookmarkEnd w:id="20"/>
      <w:r w:rsidR="003E6562">
        <w:t xml:space="preserve"> and objectives of the task</w:t>
      </w:r>
      <w:bookmarkEnd w:id="21"/>
    </w:p>
    <w:p w:rsidR="00CE7E83" w:rsidRDefault="00CE7E83" w:rsidP="00CE7E83">
      <w:r>
        <w:t xml:space="preserve">Task 3 is intended to set out how the CSR and, more in general, the EU Semester have steered the programming and implementation of ESI Funds in the Member States of the EU. Specifically, this task is aimed at: </w:t>
      </w:r>
    </w:p>
    <w:p w:rsidR="00CE7E83" w:rsidRDefault="00CE7E83" w:rsidP="00CE7E83">
      <w:pPr>
        <w:pStyle w:val="Bulletpoint1"/>
      </w:pPr>
      <w:r>
        <w:t xml:space="preserve">examining the coverage of </w:t>
      </w:r>
      <w:r w:rsidR="005374DD">
        <w:t>CSR</w:t>
      </w:r>
      <w:r>
        <w:t xml:space="preserve"> and structural reforms in</w:t>
      </w:r>
      <w:r w:rsidR="004E1443">
        <w:t xml:space="preserve"> Commission</w:t>
      </w:r>
      <w:r>
        <w:t xml:space="preserve"> Position Papers; </w:t>
      </w:r>
    </w:p>
    <w:p w:rsidR="00CE7E83" w:rsidRDefault="00CE7E83" w:rsidP="00CE7E83">
      <w:pPr>
        <w:pStyle w:val="Bulletpoint1"/>
      </w:pPr>
      <w:r>
        <w:t xml:space="preserve">analysing how </w:t>
      </w:r>
      <w:r w:rsidR="005374DD">
        <w:t>CSR</w:t>
      </w:r>
      <w:r>
        <w:t xml:space="preserve"> have been translated in the </w:t>
      </w:r>
      <w:r w:rsidR="004E1443">
        <w:t xml:space="preserve">ESIF </w:t>
      </w:r>
      <w:r>
        <w:t>programming documents (P</w:t>
      </w:r>
      <w:r w:rsidR="00E71DC1">
        <w:t xml:space="preserve">artnership </w:t>
      </w:r>
      <w:r>
        <w:t>A</w:t>
      </w:r>
      <w:r w:rsidR="00E71DC1">
        <w:t>greements</w:t>
      </w:r>
      <w:r>
        <w:t xml:space="preserve"> and O</w:t>
      </w:r>
      <w:r w:rsidR="00E71DC1">
        <w:t xml:space="preserve">perational </w:t>
      </w:r>
      <w:r>
        <w:t>P</w:t>
      </w:r>
      <w:r w:rsidR="00E71DC1">
        <w:t>rogramme</w:t>
      </w:r>
      <w:r>
        <w:t xml:space="preserve">s); </w:t>
      </w:r>
    </w:p>
    <w:p w:rsidR="00CE7E83" w:rsidRDefault="00CE7E83" w:rsidP="00CE7E83">
      <w:pPr>
        <w:pStyle w:val="Bulletpoint1"/>
      </w:pPr>
      <w:r>
        <w:t xml:space="preserve">analysing the funding received by policy fields covered by </w:t>
      </w:r>
      <w:r w:rsidR="005374DD">
        <w:t>CSR</w:t>
      </w:r>
      <w:r>
        <w:t xml:space="preserve">; </w:t>
      </w:r>
    </w:p>
    <w:p w:rsidR="00CE7E83" w:rsidRDefault="00CE7E83" w:rsidP="00CE7E83">
      <w:pPr>
        <w:pStyle w:val="Bulletpoint1"/>
      </w:pPr>
      <w:r>
        <w:t>analysing how has the ESIF implementation been influenced so far by the actual commitment to deliver structural reforms.</w:t>
      </w:r>
    </w:p>
    <w:p w:rsidR="00CE7E83" w:rsidRDefault="00CE7E83" w:rsidP="00CE7E83">
      <w:r>
        <w:t xml:space="preserve">The analysis of Position Papers and Programming documents relies on the mapping produced in Task 2 and was carried out by means of a template which guided the national experts on where to look in the documents, what information need to be extracted and what assessment to be provided. The templates for each category of documents are illustrated in the Methodological Report. </w:t>
      </w:r>
    </w:p>
    <w:p w:rsidR="00CE7E83" w:rsidRDefault="00CE7E83" w:rsidP="00CE7E83">
      <w:r>
        <w:t xml:space="preserve">As shown in the templates, the national experts have been required to carry out a textual analysis and then provide a </w:t>
      </w:r>
      <w:r w:rsidRPr="005C7EA3">
        <w:rPr>
          <w:b/>
        </w:rPr>
        <w:t>qualitative</w:t>
      </w:r>
      <w:r>
        <w:t xml:space="preserve"> assessment, which is meant to summarise </w:t>
      </w:r>
      <w:r>
        <w:rPr>
          <w:lang w:eastAsia="it-IT"/>
        </w:rPr>
        <w:t xml:space="preserve">the alignment between </w:t>
      </w:r>
      <w:r w:rsidR="005374DD">
        <w:rPr>
          <w:lang w:eastAsia="it-IT"/>
        </w:rPr>
        <w:t>CSR</w:t>
      </w:r>
      <w:r>
        <w:rPr>
          <w:lang w:eastAsia="it-IT"/>
        </w:rPr>
        <w:t>/challenges and ESIF programming</w:t>
      </w:r>
      <w:r>
        <w:t xml:space="preserve"> and feed an overview Excel table. </w:t>
      </w:r>
    </w:p>
    <w:p w:rsidR="00D01974" w:rsidRDefault="00D01974" w:rsidP="00624497">
      <w:r>
        <w:t xml:space="preserve">Operationally, each national experts received a list of CSR/structural challenges of the period 2012-2014, with a description, a progressive coding and classified by policy area (i.e. this </w:t>
      </w:r>
      <w:r w:rsidR="006C0C0F">
        <w:t xml:space="preserve">is </w:t>
      </w:r>
      <w:r>
        <w:t>on</w:t>
      </w:r>
      <w:r w:rsidR="006C0C0F">
        <w:t>e</w:t>
      </w:r>
      <w:r>
        <w:t xml:space="preserve"> of the outputs of the mapping conduc</w:t>
      </w:r>
      <w:r w:rsidR="006C0C0F">
        <w:t>t</w:t>
      </w:r>
      <w:r>
        <w:t xml:space="preserve">ed in task 2). The national experts familiarised with this list of CSR/structural challenges and, by means of the templates prepared by the core team, analysed each programming document of </w:t>
      </w:r>
      <w:r w:rsidR="004E1443">
        <w:t xml:space="preserve">their </w:t>
      </w:r>
      <w:r>
        <w:t xml:space="preserve">country to understand which CSR/structural challenges have been taken into account and what is their influence on programming.  </w:t>
      </w:r>
    </w:p>
    <w:p w:rsidR="00CE7E83" w:rsidRDefault="00D01974" w:rsidP="00624497">
      <w:r>
        <w:t>T</w:t>
      </w:r>
      <w:r w:rsidR="00624497">
        <w:t xml:space="preserve">he following paragraphs provide a synthesis of the analysis of the Position Papers as well as of the Partnership Agreements. </w:t>
      </w:r>
      <w:r>
        <w:t xml:space="preserve">Then the key results of the analysis of OPs are summarised. The findings from this qualitative assessment of the experts and additional information collected through the interviews conducted has been consolidated in the Country Fiches attached to this report.  </w:t>
      </w:r>
    </w:p>
    <w:p w:rsidR="00A35217" w:rsidRDefault="00DE4F61" w:rsidP="00A35217">
      <w:r>
        <w:t xml:space="preserve">The analysis concentrates on ESIF </w:t>
      </w:r>
      <w:r w:rsidR="00A35217">
        <w:t>“</w:t>
      </w:r>
      <w:r>
        <w:t>relevant</w:t>
      </w:r>
      <w:r w:rsidR="00A35217">
        <w:t>”</w:t>
      </w:r>
      <w:r>
        <w:t xml:space="preserve"> challenges</w:t>
      </w:r>
      <w:r w:rsidR="00A35217">
        <w:t>,</w:t>
      </w:r>
      <w:r>
        <w:t xml:space="preserve"> </w:t>
      </w:r>
      <w:r w:rsidR="00A35217">
        <w:t xml:space="preserve">as </w:t>
      </w:r>
      <w:r>
        <w:t>defined</w:t>
      </w:r>
      <w:r w:rsidR="00A35217">
        <w:t xml:space="preserve"> in paragraph 1.1. CSR/structural challenges are cohesion or ESIF “relevant”, according to the CPR, when they </w:t>
      </w:r>
      <w:r w:rsidR="00A35217" w:rsidRPr="00A35217">
        <w:t>relat</w:t>
      </w:r>
      <w:r w:rsidR="00A35217">
        <w:t>e</w:t>
      </w:r>
      <w:r w:rsidR="00A35217" w:rsidRPr="00A35217">
        <w:t xml:space="preserve"> to structural challenges which it is appropriate to address through multiannual investments that fall directly within the scope of the ESI Funds</w:t>
      </w:r>
      <w:r w:rsidR="00A35217">
        <w:t>,</w:t>
      </w:r>
      <w:r w:rsidR="00A35217" w:rsidRPr="00A35217">
        <w:t xml:space="preserve"> as set out in the Fund-specific Regulations</w:t>
      </w:r>
      <w:r w:rsidR="00A35217">
        <w:t>. By construction the CSR/structural challenges falling within Policy Areas 23-27</w:t>
      </w:r>
      <w:r w:rsidR="008B1A79">
        <w:rPr>
          <w:rStyle w:val="FootnoteReference"/>
        </w:rPr>
        <w:footnoteReference w:id="14"/>
      </w:r>
      <w:r w:rsidR="00A35217">
        <w:t xml:space="preserve">, which cannot be directly related to Thematic Objectives, are not cohesion relevant. Furthermore, CSR/structural challenges concerning </w:t>
      </w:r>
      <w:r w:rsidR="00A35217" w:rsidRPr="00A35217">
        <w:t>“wage setting”, "employment protection legislation", or "labour taxation" are not ESIF-relevant as such</w:t>
      </w:r>
      <w:r w:rsidR="00A35217">
        <w:t xml:space="preserve">, even if they fall within policy areas which can be directly linked with TOs, because </w:t>
      </w:r>
      <w:r w:rsidR="00F169B6">
        <w:t>are mostly characterised by a regulatory nature</w:t>
      </w:r>
      <w:r w:rsidR="00A623F0">
        <w:t>, that require legislative/regulatory changes to be taken at national level</w:t>
      </w:r>
      <w:r w:rsidR="00F169B6">
        <w:t xml:space="preserve">. These are considered in the analysis only to the extent </w:t>
      </w:r>
      <w:r w:rsidR="00A35217">
        <w:t xml:space="preserve">that </w:t>
      </w:r>
      <w:r w:rsidR="00F169B6">
        <w:t>s</w:t>
      </w:r>
      <w:r w:rsidR="00A35217" w:rsidRPr="00A35217">
        <w:t>pecific complementary initiatives which indirectly facilitate their implementation are financed by the funds.</w:t>
      </w:r>
      <w:r w:rsidR="00A623F0">
        <w:t xml:space="preserve"> </w:t>
      </w:r>
    </w:p>
    <w:p w:rsidR="00A623F0" w:rsidRPr="007C069B" w:rsidRDefault="00A623F0" w:rsidP="00A623F0">
      <w:pPr>
        <w:rPr>
          <w:lang w:eastAsia="it-IT"/>
        </w:rPr>
      </w:pPr>
      <w:r w:rsidRPr="007C069B">
        <w:rPr>
          <w:lang w:eastAsia="it-IT"/>
        </w:rPr>
        <w:t xml:space="preserve">The </w:t>
      </w:r>
      <w:r>
        <w:rPr>
          <w:lang w:eastAsia="it-IT"/>
        </w:rPr>
        <w:t>synoptic tables</w:t>
      </w:r>
      <w:r w:rsidR="001D721B">
        <w:rPr>
          <w:rStyle w:val="FootnoteReference"/>
          <w:lang w:eastAsia="it-IT"/>
        </w:rPr>
        <w:footnoteReference w:id="15"/>
      </w:r>
      <w:r>
        <w:rPr>
          <w:lang w:eastAsia="it-IT"/>
        </w:rPr>
        <w:t xml:space="preserve"> which are used to summarise the k</w:t>
      </w:r>
      <w:r w:rsidRPr="003C7444">
        <w:t xml:space="preserve">ey results of the analysis of </w:t>
      </w:r>
      <w:r>
        <w:t xml:space="preserve">Position Papers and Partnership Agreement </w:t>
      </w:r>
      <w:r w:rsidR="00FF1E39">
        <w:t xml:space="preserve">also provide a synthetic assessment of the experts on the alignment between the document and the Semester. This assessment is based on a qualitative analysis and is hence subjective. </w:t>
      </w:r>
      <w:r w:rsidRPr="007C069B">
        <w:rPr>
          <w:lang w:eastAsia="it-IT"/>
        </w:rPr>
        <w:t xml:space="preserve">To ensure </w:t>
      </w:r>
      <w:r w:rsidR="00FF1E39">
        <w:rPr>
          <w:lang w:eastAsia="it-IT"/>
        </w:rPr>
        <w:t xml:space="preserve">a judgement as </w:t>
      </w:r>
      <w:r w:rsidRPr="007C069B">
        <w:rPr>
          <w:lang w:eastAsia="it-IT"/>
        </w:rPr>
        <w:t>consistent</w:t>
      </w:r>
      <w:r w:rsidR="00FF1E39">
        <w:rPr>
          <w:lang w:eastAsia="it-IT"/>
        </w:rPr>
        <w:t xml:space="preserve"> as possible a</w:t>
      </w:r>
      <w:r w:rsidRPr="007C069B">
        <w:rPr>
          <w:lang w:eastAsia="it-IT"/>
        </w:rPr>
        <w:t xml:space="preserve">cross countries, </w:t>
      </w:r>
      <w:r w:rsidR="00FF1E39">
        <w:rPr>
          <w:lang w:eastAsia="it-IT"/>
        </w:rPr>
        <w:t xml:space="preserve">the guidelines circulated among the experts provided instructions on how to </w:t>
      </w:r>
      <w:r w:rsidRPr="007C069B">
        <w:rPr>
          <w:lang w:eastAsia="it-IT"/>
        </w:rPr>
        <w:t xml:space="preserve">assign </w:t>
      </w:r>
      <w:r w:rsidR="00FF1E39">
        <w:rPr>
          <w:lang w:eastAsia="it-IT"/>
        </w:rPr>
        <w:t>“</w:t>
      </w:r>
      <w:r w:rsidRPr="007C069B">
        <w:rPr>
          <w:lang w:eastAsia="it-IT"/>
        </w:rPr>
        <w:t>scores</w:t>
      </w:r>
      <w:r w:rsidR="00FF1E39">
        <w:rPr>
          <w:lang w:eastAsia="it-IT"/>
        </w:rPr>
        <w:t>” according to</w:t>
      </w:r>
      <w:r w:rsidRPr="007C069B">
        <w:rPr>
          <w:lang w:eastAsia="it-IT"/>
        </w:rPr>
        <w:t xml:space="preserve"> a 3-point scale:</w:t>
      </w:r>
    </w:p>
    <w:p w:rsidR="00A34358" w:rsidRDefault="00A623F0" w:rsidP="00807960">
      <w:pPr>
        <w:pStyle w:val="ListParagraph"/>
        <w:numPr>
          <w:ilvl w:val="0"/>
          <w:numId w:val="11"/>
        </w:numPr>
        <w:rPr>
          <w:lang w:eastAsia="it-IT"/>
        </w:rPr>
      </w:pPr>
      <w:r w:rsidRPr="007C069B">
        <w:rPr>
          <w:lang w:eastAsia="it-IT"/>
        </w:rPr>
        <w:t xml:space="preserve">3 – High alignment </w:t>
      </w:r>
      <w:r>
        <w:rPr>
          <w:lang w:eastAsia="it-IT"/>
        </w:rPr>
        <w:sym w:font="Wingdings" w:char="F0E0"/>
      </w:r>
      <w:r w:rsidRPr="007C069B">
        <w:rPr>
          <w:lang w:eastAsia="it-IT"/>
        </w:rPr>
        <w:t xml:space="preserve"> The document</w:t>
      </w:r>
      <w:r w:rsidR="00FF1E39">
        <w:rPr>
          <w:lang w:eastAsia="it-IT"/>
        </w:rPr>
        <w:t xml:space="preserve"> </w:t>
      </w:r>
      <w:r w:rsidRPr="007C069B">
        <w:rPr>
          <w:lang w:eastAsia="it-IT"/>
        </w:rPr>
        <w:t xml:space="preserve">addresses key areas of </w:t>
      </w:r>
      <w:r w:rsidR="00FF1E39">
        <w:rPr>
          <w:lang w:eastAsia="it-IT"/>
        </w:rPr>
        <w:t xml:space="preserve">cohesion relevant </w:t>
      </w:r>
      <w:r w:rsidRPr="007C069B">
        <w:rPr>
          <w:lang w:eastAsia="it-IT"/>
        </w:rPr>
        <w:t>CSRs/</w:t>
      </w:r>
      <w:r w:rsidR="00FF1E39">
        <w:rPr>
          <w:lang w:eastAsia="it-IT"/>
        </w:rPr>
        <w:t>structural challenges</w:t>
      </w:r>
      <w:r w:rsidRPr="007C069B">
        <w:rPr>
          <w:lang w:eastAsia="it-IT"/>
        </w:rPr>
        <w:t>. The initiatives proposed/envisaged</w:t>
      </w:r>
      <w:r w:rsidR="004E1443">
        <w:rPr>
          <w:lang w:eastAsia="it-IT"/>
        </w:rPr>
        <w:t xml:space="preserve"> aim to</w:t>
      </w:r>
      <w:r w:rsidRPr="007C069B">
        <w:rPr>
          <w:lang w:eastAsia="it-IT"/>
        </w:rPr>
        <w:t xml:space="preserve"> contribute to tackl</w:t>
      </w:r>
      <w:r w:rsidR="00552CA9">
        <w:rPr>
          <w:lang w:eastAsia="it-IT"/>
        </w:rPr>
        <w:t>ing</w:t>
      </w:r>
      <w:r w:rsidRPr="007C069B">
        <w:rPr>
          <w:lang w:eastAsia="it-IT"/>
        </w:rPr>
        <w:t xml:space="preserve"> the respective challenges. </w:t>
      </w:r>
    </w:p>
    <w:p w:rsidR="00A34358" w:rsidRDefault="00A623F0" w:rsidP="00807960">
      <w:pPr>
        <w:pStyle w:val="ListParagraph"/>
        <w:numPr>
          <w:ilvl w:val="0"/>
          <w:numId w:val="11"/>
        </w:numPr>
        <w:rPr>
          <w:lang w:eastAsia="it-IT"/>
        </w:rPr>
      </w:pPr>
      <w:r w:rsidRPr="007C069B">
        <w:rPr>
          <w:lang w:eastAsia="it-IT"/>
        </w:rPr>
        <w:t xml:space="preserve">2 – Medium alignment </w:t>
      </w:r>
      <w:r>
        <w:rPr>
          <w:lang w:eastAsia="it-IT"/>
        </w:rPr>
        <w:sym w:font="Wingdings" w:char="F0E0"/>
      </w:r>
      <w:r w:rsidRPr="007C069B">
        <w:rPr>
          <w:lang w:eastAsia="it-IT"/>
        </w:rPr>
        <w:t xml:space="preserve"> The document addresses certain elements of the </w:t>
      </w:r>
      <w:r w:rsidR="00FF1E39">
        <w:rPr>
          <w:lang w:eastAsia="it-IT"/>
        </w:rPr>
        <w:t xml:space="preserve">cohesion relevant </w:t>
      </w:r>
      <w:r w:rsidRPr="007C069B">
        <w:rPr>
          <w:lang w:eastAsia="it-IT"/>
        </w:rPr>
        <w:t>CSRs/</w:t>
      </w:r>
      <w:r w:rsidR="00FF1E39">
        <w:rPr>
          <w:lang w:eastAsia="it-IT"/>
        </w:rPr>
        <w:t>structural challenges</w:t>
      </w:r>
      <w:r w:rsidRPr="007C069B">
        <w:rPr>
          <w:lang w:eastAsia="it-IT"/>
        </w:rPr>
        <w:t xml:space="preserve">. The initiatives proposed/envisaged </w:t>
      </w:r>
      <w:r w:rsidR="00552CA9">
        <w:rPr>
          <w:lang w:eastAsia="it-IT"/>
        </w:rPr>
        <w:t xml:space="preserve">aim to </w:t>
      </w:r>
      <w:r w:rsidRPr="007C069B">
        <w:rPr>
          <w:lang w:eastAsia="it-IT"/>
        </w:rPr>
        <w:t>contribute to tackl</w:t>
      </w:r>
      <w:r w:rsidR="00552CA9">
        <w:rPr>
          <w:lang w:eastAsia="it-IT"/>
        </w:rPr>
        <w:t>ing</w:t>
      </w:r>
      <w:r w:rsidRPr="007C069B">
        <w:rPr>
          <w:lang w:eastAsia="it-IT"/>
        </w:rPr>
        <w:t xml:space="preserve"> the respective challenges.</w:t>
      </w:r>
    </w:p>
    <w:p w:rsidR="00A34358" w:rsidRDefault="00A623F0" w:rsidP="00807960">
      <w:pPr>
        <w:pStyle w:val="ListParagraph"/>
        <w:numPr>
          <w:ilvl w:val="0"/>
          <w:numId w:val="11"/>
        </w:numPr>
        <w:rPr>
          <w:lang w:eastAsia="it-IT"/>
        </w:rPr>
      </w:pPr>
      <w:r w:rsidRPr="007C069B">
        <w:rPr>
          <w:lang w:eastAsia="it-IT"/>
        </w:rPr>
        <w:t xml:space="preserve">1 – Low alignment </w:t>
      </w:r>
      <w:r>
        <w:rPr>
          <w:lang w:eastAsia="it-IT"/>
        </w:rPr>
        <w:sym w:font="Wingdings" w:char="F0E0"/>
      </w:r>
      <w:r w:rsidRPr="007C069B">
        <w:rPr>
          <w:lang w:eastAsia="it-IT"/>
        </w:rPr>
        <w:tab/>
        <w:t xml:space="preserve">The document does not address </w:t>
      </w:r>
      <w:r w:rsidR="00FF1E39">
        <w:rPr>
          <w:lang w:eastAsia="it-IT"/>
        </w:rPr>
        <w:t xml:space="preserve">cohesion relevant </w:t>
      </w:r>
      <w:r w:rsidRPr="007C069B">
        <w:rPr>
          <w:lang w:eastAsia="it-IT"/>
        </w:rPr>
        <w:t>CSRs/</w:t>
      </w:r>
      <w:r w:rsidR="00FF1E39">
        <w:rPr>
          <w:lang w:eastAsia="it-IT"/>
        </w:rPr>
        <w:t xml:space="preserve">structural challenges </w:t>
      </w:r>
      <w:r w:rsidRPr="007C069B">
        <w:rPr>
          <w:lang w:eastAsia="it-IT"/>
        </w:rPr>
        <w:t>significantly and it is unclear if the measures proposed will contribute to tackl</w:t>
      </w:r>
      <w:r w:rsidR="00552CA9">
        <w:rPr>
          <w:lang w:eastAsia="it-IT"/>
        </w:rPr>
        <w:t>ing</w:t>
      </w:r>
      <w:r w:rsidRPr="007C069B">
        <w:rPr>
          <w:lang w:eastAsia="it-IT"/>
        </w:rPr>
        <w:t xml:space="preserve"> the relevant challenges.</w:t>
      </w:r>
    </w:p>
    <w:p w:rsidR="00624497" w:rsidRDefault="00624497" w:rsidP="00624497"/>
    <w:p w:rsidR="002B3BB7" w:rsidRDefault="002B3BB7" w:rsidP="00624497"/>
    <w:p w:rsidR="00CE7E83" w:rsidRDefault="00CE7E83" w:rsidP="00CE7E83">
      <w:pPr>
        <w:pStyle w:val="Heading2"/>
      </w:pPr>
      <w:bookmarkStart w:id="22" w:name="_Toc466826789"/>
      <w:r w:rsidRPr="00910670">
        <w:t>Analysis of Position Paper</w:t>
      </w:r>
      <w:r>
        <w:t>s</w:t>
      </w:r>
      <w:bookmarkEnd w:id="22"/>
    </w:p>
    <w:p w:rsidR="00CE7E83" w:rsidRPr="00CE7E83" w:rsidRDefault="00CE7E83" w:rsidP="00CE7E83"/>
    <w:p w:rsidR="00CE7E83" w:rsidRPr="00910670" w:rsidRDefault="00CE7E83" w:rsidP="00CE7E83">
      <w:pPr>
        <w:pStyle w:val="Heading3"/>
      </w:pPr>
      <w:bookmarkStart w:id="23" w:name="_Toc466826790"/>
      <w:r>
        <w:t>Introduction</w:t>
      </w:r>
      <w:bookmarkEnd w:id="23"/>
    </w:p>
    <w:p w:rsidR="00CE7E83" w:rsidRDefault="00CE7E83" w:rsidP="00CE7E83">
      <w:r w:rsidRPr="00C11A8B">
        <w:t xml:space="preserve">The purpose of the 2012 </w:t>
      </w:r>
      <w:r w:rsidR="00552CA9">
        <w:t xml:space="preserve">Commission </w:t>
      </w:r>
      <w:r>
        <w:t xml:space="preserve">Country </w:t>
      </w:r>
      <w:r w:rsidRPr="00C11A8B">
        <w:t>Position Papers was to lay the framework for dialogue between the Commission services and the Member States on the preparation of the Partnership Agreement and Programmes starting in autumn 2012. The Position Papers reflect the new approach proposed by the Commission for the use of the funds in the context of the 2014-2020 Multiannual Financial Framework, which aims at ensuring that the ESI funds deliver long-lasting economic, environmental and social impacts. In this framework, strong alignment with the Europe 2020 agenda, macroeconomic and ex-ante conditionality, thematic concentration and performance incentives are expected to result in more effective spending.</w:t>
      </w:r>
    </w:p>
    <w:p w:rsidR="00F85738" w:rsidRDefault="00F85738" w:rsidP="00F85738">
      <w:r>
        <w:t>The key sections of each Country Position Paper (CPP) which were examined are:</w:t>
      </w:r>
    </w:p>
    <w:p w:rsidR="00F85738" w:rsidRDefault="00F85738" w:rsidP="00F85738">
      <w:pPr>
        <w:pStyle w:val="Bulletpoint1"/>
      </w:pPr>
      <w:r>
        <w:t>1. Main challenges for the Member State</w:t>
      </w:r>
    </w:p>
    <w:p w:rsidR="00F85738" w:rsidRDefault="00F85738" w:rsidP="00F85738">
      <w:pPr>
        <w:pStyle w:val="Bulletpoint1"/>
      </w:pPr>
      <w:r>
        <w:t>2. Priorities for funding</w:t>
      </w:r>
    </w:p>
    <w:p w:rsidR="00F85738" w:rsidRDefault="00F85738" w:rsidP="00F85738">
      <w:pPr>
        <w:pStyle w:val="Bulletpoint1"/>
      </w:pPr>
      <w:r>
        <w:t>3. Success factors for effective delivery</w:t>
      </w:r>
    </w:p>
    <w:p w:rsidR="00F85738" w:rsidRDefault="00F85738" w:rsidP="00F85738">
      <w:pPr>
        <w:pStyle w:val="Bulletpoint1"/>
      </w:pPr>
      <w:r>
        <w:t>4. Priorities for territorial cooperation</w:t>
      </w:r>
    </w:p>
    <w:p w:rsidR="00F85738" w:rsidRDefault="00F85738" w:rsidP="00F85738">
      <w:pPr>
        <w:pStyle w:val="Bulletpoint1"/>
      </w:pPr>
      <w:r>
        <w:t xml:space="preserve">Annex A – Arrangements for effective programming and delivery </w:t>
      </w:r>
    </w:p>
    <w:p w:rsidR="00F85738" w:rsidRDefault="00F85738" w:rsidP="00F85738">
      <w:pPr>
        <w:pStyle w:val="Bulletpoint1"/>
      </w:pPr>
      <w:r>
        <w:t xml:space="preserve">Annex B – Assessment of funding needs in relation to thematic objectives </w:t>
      </w:r>
    </w:p>
    <w:p w:rsidR="00F85738" w:rsidRDefault="00F85738" w:rsidP="00F85738">
      <w:pPr>
        <w:pStyle w:val="Bulletpoint1"/>
      </w:pPr>
      <w:r>
        <w:t>Annex C – Administrative arrangements</w:t>
      </w:r>
    </w:p>
    <w:p w:rsidR="00CE7E83" w:rsidRDefault="00F85738" w:rsidP="00CE7E83">
      <w:r>
        <w:t xml:space="preserve">Timing is relevant as all the CPP, published in the last quarter of 2012, are linked with the 2012 CSR and the Country Reports of 2012 (or with MoU, in the cases in which there are no CSR for a specific year). </w:t>
      </w:r>
      <w:r w:rsidR="00CE7E83">
        <w:t xml:space="preserve">The analysis </w:t>
      </w:r>
      <w:r>
        <w:t xml:space="preserve">of </w:t>
      </w:r>
      <w:r w:rsidR="00CE7E83">
        <w:t>CPP is focused on</w:t>
      </w:r>
      <w:r>
        <w:t xml:space="preserve"> the following issues</w:t>
      </w:r>
      <w:r w:rsidR="00CE7E83">
        <w:t xml:space="preserve">: </w:t>
      </w:r>
    </w:p>
    <w:p w:rsidR="00CE7E83" w:rsidRDefault="00CE7E83" w:rsidP="00CE7E83">
      <w:pPr>
        <w:pStyle w:val="Bulletpoint1"/>
      </w:pPr>
      <w:r>
        <w:t>Examining whether there is s</w:t>
      </w:r>
      <w:r w:rsidRPr="00E721B7">
        <w:t>ystematic reference to CSR</w:t>
      </w:r>
      <w:r>
        <w:t xml:space="preserve"> and </w:t>
      </w:r>
      <w:r w:rsidRPr="00E721B7">
        <w:t xml:space="preserve">other key challenges (e.g. </w:t>
      </w:r>
      <w:r w:rsidR="00624497">
        <w:t xml:space="preserve">those extracted from </w:t>
      </w:r>
      <w:r w:rsidRPr="00E721B7">
        <w:t>Country Reports)</w:t>
      </w:r>
      <w:r w:rsidR="00624497">
        <w:t>;</w:t>
      </w:r>
    </w:p>
    <w:p w:rsidR="00CE7E83" w:rsidRDefault="00624497" w:rsidP="00CE7E83">
      <w:pPr>
        <w:pStyle w:val="Bulletpoint1"/>
      </w:pPr>
      <w:r>
        <w:t>Highlighting if there are r</w:t>
      </w:r>
      <w:r w:rsidR="00CE7E83" w:rsidRPr="00E721B7">
        <w:t>elevant CSR/structural challenges not sufficiently covered</w:t>
      </w:r>
      <w:r>
        <w:t>;</w:t>
      </w:r>
    </w:p>
    <w:p w:rsidR="00CE7E83" w:rsidRDefault="00624497" w:rsidP="00CE7E83">
      <w:pPr>
        <w:pStyle w:val="Bulletpoint1"/>
      </w:pPr>
      <w:r>
        <w:t>Understanding the r</w:t>
      </w:r>
      <w:r w:rsidR="00CE7E83" w:rsidRPr="00E721B7">
        <w:t xml:space="preserve">ole played by CSR in </w:t>
      </w:r>
      <w:r>
        <w:t xml:space="preserve">the </w:t>
      </w:r>
      <w:r w:rsidR="00CE7E83" w:rsidRPr="00E721B7">
        <w:t>selection of priority</w:t>
      </w:r>
      <w:r>
        <w:t>;</w:t>
      </w:r>
      <w:r w:rsidR="00CE7E83" w:rsidRPr="00E721B7">
        <w:tab/>
      </w:r>
    </w:p>
    <w:p w:rsidR="00CE7E83" w:rsidRDefault="00624497" w:rsidP="00CE7E83">
      <w:pPr>
        <w:pStyle w:val="Bulletpoint1"/>
      </w:pPr>
      <w:r>
        <w:t>Assessing the o</w:t>
      </w:r>
      <w:r w:rsidR="00CE7E83" w:rsidRPr="00E721B7">
        <w:t>verall alignment between CSR and CPP</w:t>
      </w:r>
      <w:r>
        <w:t>.</w:t>
      </w:r>
    </w:p>
    <w:p w:rsidR="00CE7E83" w:rsidRDefault="00CE7E83" w:rsidP="00CE7E83">
      <w:pPr>
        <w:tabs>
          <w:tab w:val="left" w:pos="1770"/>
        </w:tabs>
      </w:pPr>
    </w:p>
    <w:p w:rsidR="00CE7E83" w:rsidRPr="00910670" w:rsidRDefault="00CE7E83" w:rsidP="00CE7E83">
      <w:pPr>
        <w:pStyle w:val="Heading3"/>
      </w:pPr>
      <w:bookmarkStart w:id="24" w:name="_Toc466826791"/>
      <w:r w:rsidRPr="00910670">
        <w:t>Key point</w:t>
      </w:r>
      <w:r w:rsidR="00800160">
        <w:t>s</w:t>
      </w:r>
      <w:r w:rsidRPr="00910670">
        <w:t xml:space="preserve"> emerging from the analysis of </w:t>
      </w:r>
      <w:r w:rsidR="00800160">
        <w:t xml:space="preserve">Position </w:t>
      </w:r>
      <w:r w:rsidRPr="00910670">
        <w:t>P</w:t>
      </w:r>
      <w:r w:rsidR="00800160">
        <w:t>apers</w:t>
      </w:r>
      <w:bookmarkEnd w:id="24"/>
    </w:p>
    <w:p w:rsidR="00CE7E83" w:rsidRDefault="004E0D41" w:rsidP="00CE7E83">
      <w:r>
        <w:t>T</w:t>
      </w:r>
      <w:r w:rsidR="00CE7E83">
        <w:t>he introductory sections of all CPP state</w:t>
      </w:r>
      <w:r w:rsidR="009347E3">
        <w:t xml:space="preserve"> </w:t>
      </w:r>
      <w:r w:rsidR="00CE7E83">
        <w:t xml:space="preserve">that the “The CSF funds will provide an important source of public investment and serve as a catalyst for growth and jobs by leveraging physical and human capital investment while they serve as an effective means to support the implementation of the Country Specific Recommendations issued in the context of the European Semester.” Even though this statement is widely confirmed by the analysis of documents, the situation is varied across countries as summarised in </w:t>
      </w:r>
      <w:r w:rsidR="00CE7E83" w:rsidRPr="008D7B71">
        <w:t xml:space="preserve">the </w:t>
      </w:r>
      <w:r w:rsidR="00CE7E83" w:rsidRPr="0042526E">
        <w:t>synoptic table</w:t>
      </w:r>
      <w:r w:rsidRPr="00E55819">
        <w:t xml:space="preserve"> </w:t>
      </w:r>
      <w:r w:rsidR="001401F4" w:rsidRPr="00E55819">
        <w:t xml:space="preserve">in the </w:t>
      </w:r>
      <w:r w:rsidR="00B52E8E">
        <w:t>A</w:t>
      </w:r>
      <w:r w:rsidR="001401F4" w:rsidRPr="00E55819">
        <w:t>nnex</w:t>
      </w:r>
      <w:r w:rsidR="00B52E8E">
        <w:t xml:space="preserve"> 3</w:t>
      </w:r>
      <w:r w:rsidR="00CE7E83">
        <w:t xml:space="preserve">. </w:t>
      </w:r>
    </w:p>
    <w:p w:rsidR="00CE7E83" w:rsidRDefault="00CE7E83" w:rsidP="00CE7E83">
      <w:pPr>
        <w:tabs>
          <w:tab w:val="left" w:pos="1770"/>
        </w:tabs>
      </w:pPr>
      <w:r>
        <w:t xml:space="preserve">On the basis of the analysis of selected sections of the CPP, the national experts were first asked to summarise </w:t>
      </w:r>
      <w:r w:rsidRPr="00AF1B93">
        <w:t xml:space="preserve">to what extent the document refer to </w:t>
      </w:r>
      <w:r w:rsidR="005374DD">
        <w:t>CSR</w:t>
      </w:r>
      <w:r>
        <w:t xml:space="preserve"> and other key </w:t>
      </w:r>
      <w:r w:rsidRPr="00AF1B93">
        <w:t>structural challenges</w:t>
      </w:r>
      <w:r>
        <w:t xml:space="preserve"> coherently, in one or more </w:t>
      </w:r>
      <w:r w:rsidRPr="00AF1B93">
        <w:t xml:space="preserve">sections </w:t>
      </w:r>
      <w:r>
        <w:t xml:space="preserve">of </w:t>
      </w:r>
      <w:r w:rsidRPr="00AF1B93">
        <w:t>the document</w:t>
      </w:r>
      <w:r>
        <w:t xml:space="preserve">. </w:t>
      </w:r>
    </w:p>
    <w:p w:rsidR="00CE7E83" w:rsidRDefault="00CE7E83" w:rsidP="00CE7E83">
      <w:pPr>
        <w:tabs>
          <w:tab w:val="left" w:pos="1770"/>
        </w:tabs>
      </w:pPr>
      <w:r w:rsidRPr="00B72D1A">
        <w:rPr>
          <w:b/>
        </w:rPr>
        <w:t xml:space="preserve">The assessment of the coverage of CSR </w:t>
      </w:r>
      <w:r>
        <w:rPr>
          <w:b/>
        </w:rPr>
        <w:t>and</w:t>
      </w:r>
      <w:r w:rsidRPr="00B72D1A">
        <w:rPr>
          <w:b/>
        </w:rPr>
        <w:t xml:space="preserve"> structural challenges identified in Country Reports is largely positive.</w:t>
      </w:r>
      <w:r>
        <w:t xml:space="preserve"> There are no large differences across countries meaning that all CPP cover the key CSR and structural challenges of 2012, in all or in several sections of the text. Certainly Annex B - Assessment of funding needs in relation to thematic objectives is the key part of the CPP because it links TOs and structural challenges and hence makes it possible to understand the degree of alignment between of funding needs and </w:t>
      </w:r>
      <w:r w:rsidR="005374DD">
        <w:t>CSR</w:t>
      </w:r>
      <w:r>
        <w:t xml:space="preserve"> and to what extent ESI Funds can be expected to be used to support reforms. </w:t>
      </w:r>
    </w:p>
    <w:p w:rsidR="00CE7E83" w:rsidRDefault="00CE7E83" w:rsidP="00CE7E83">
      <w:pPr>
        <w:tabs>
          <w:tab w:val="left" w:pos="1770"/>
        </w:tabs>
      </w:pPr>
      <w:r>
        <w:t xml:space="preserve">CPP do not only cover CSR but also additional challenges identified in </w:t>
      </w:r>
      <w:r w:rsidR="004E0D41">
        <w:t xml:space="preserve">the </w:t>
      </w:r>
      <w:r>
        <w:t>Country Report</w:t>
      </w:r>
      <w:r w:rsidR="004E0D41">
        <w:t>s</w:t>
      </w:r>
      <w:r>
        <w:t>. Overall</w:t>
      </w:r>
      <w:r w:rsidR="004E0D41">
        <w:t>,</w:t>
      </w:r>
      <w:r>
        <w:t xml:space="preserve"> it is worth nothing that CPP are comprehensive as they cover a wide range of issues and therefore they are strongly aligned with Country Reports, while the CSR capture only a subset of challenges emerging from th</w:t>
      </w:r>
      <w:r w:rsidR="004E0D41">
        <w:t>ese</w:t>
      </w:r>
      <w:r>
        <w:t xml:space="preserve"> documents. </w:t>
      </w:r>
    </w:p>
    <w:p w:rsidR="004E0D41" w:rsidRDefault="00CE7E83" w:rsidP="00CE7E83">
      <w:r>
        <w:t xml:space="preserve">The analysis of CPP and also of the programming documents requires a great deal of attention since structural challenges underlined by CSR or Country Reports can be addressed </w:t>
      </w:r>
      <w:r w:rsidR="004E0D41">
        <w:t xml:space="preserve">both </w:t>
      </w:r>
      <w:r>
        <w:t xml:space="preserve">explicitly and implicitly or indirectly. There is an explicit reference when a certain CSR or the Country Report is quoted in the document. The reference is implicit when a CSR or a challenge mentioned in the Country Report is not quoted but the CPP addresses the specific issues. </w:t>
      </w:r>
    </w:p>
    <w:p w:rsidR="00CE7E83" w:rsidRPr="00C54397" w:rsidRDefault="00CE7E83" w:rsidP="00CE7E83">
      <w:pPr>
        <w:rPr>
          <w:color w:val="000000"/>
          <w:szCs w:val="20"/>
        </w:rPr>
      </w:pPr>
      <w:r>
        <w:t xml:space="preserve">For example in Romania, </w:t>
      </w:r>
      <w:r w:rsidRPr="00167ACA">
        <w:t>some of the recommendations such as th</w:t>
      </w:r>
      <w:r>
        <w:t xml:space="preserve">ose </w:t>
      </w:r>
      <w:r w:rsidRPr="00167ACA">
        <w:t>regarding the access to health and long term care, access to education and training, early childhood education and care, education and vocational training reform</w:t>
      </w:r>
      <w:r>
        <w:t xml:space="preserve"> </w:t>
      </w:r>
      <w:r w:rsidRPr="00167ACA">
        <w:t>are not specifically mentioned but they</w:t>
      </w:r>
      <w:r>
        <w:t xml:space="preserve"> are</w:t>
      </w:r>
      <w:r w:rsidRPr="00167ACA">
        <w:t xml:space="preserve"> </w:t>
      </w:r>
      <w:r>
        <w:t>treated in the analysis of the main challenges and in the assessment of funding needs</w:t>
      </w:r>
      <w:r w:rsidRPr="00167ACA">
        <w:t xml:space="preserve">. </w:t>
      </w:r>
      <w:r>
        <w:t xml:space="preserve">In Spain the </w:t>
      </w:r>
      <w:r>
        <w:rPr>
          <w:color w:val="000000"/>
          <w:szCs w:val="20"/>
          <w:lang w:val="en-US"/>
        </w:rPr>
        <w:t xml:space="preserve">2012 CSR </w:t>
      </w:r>
      <w:r w:rsidRPr="005F7F02">
        <w:rPr>
          <w:color w:val="000000"/>
          <w:szCs w:val="20"/>
          <w:lang w:val="en-US"/>
        </w:rPr>
        <w:t xml:space="preserve">2.2 </w:t>
      </w:r>
      <w:r>
        <w:rPr>
          <w:color w:val="000000"/>
          <w:szCs w:val="20"/>
          <w:lang w:val="en-US"/>
        </w:rPr>
        <w:t>“</w:t>
      </w:r>
      <w:r w:rsidRPr="00C54397">
        <w:rPr>
          <w:color w:val="000000"/>
          <w:szCs w:val="20"/>
          <w:lang w:val="en-US"/>
        </w:rPr>
        <w:t>underpin the Global Employment Strategy for Older Workers with concrete measures to develop lifelong learning further, improve working conditions and foster the reincorporation of this group in the job market</w:t>
      </w:r>
      <w:r>
        <w:rPr>
          <w:color w:val="000000"/>
          <w:szCs w:val="20"/>
          <w:lang w:val="en-US"/>
        </w:rPr>
        <w:t>” is explicitly quoted in Annex B but not elsewhere in the document; however</w:t>
      </w:r>
      <w:r w:rsidR="004E0D41">
        <w:rPr>
          <w:color w:val="000000"/>
          <w:szCs w:val="20"/>
          <w:lang w:val="en-US"/>
        </w:rPr>
        <w:t>,</w:t>
      </w:r>
      <w:r>
        <w:rPr>
          <w:color w:val="000000"/>
          <w:szCs w:val="20"/>
          <w:lang w:val="en-US"/>
        </w:rPr>
        <w:t xml:space="preserve"> the CPP refers implicitly to this challenges also in other Sections (e.g. Priorities for funding) when talking about efforts needed in relation to the long-term unemployed and older workers, </w:t>
      </w:r>
      <w:r w:rsidRPr="002B3BB7">
        <w:rPr>
          <w:color w:val="000000"/>
          <w:szCs w:val="20"/>
          <w:lang w:val="en-US"/>
        </w:rPr>
        <w:t xml:space="preserve">including </w:t>
      </w:r>
      <w:r w:rsidR="00D3171F" w:rsidRPr="002B3BB7">
        <w:rPr>
          <w:color w:val="000000"/>
          <w:szCs w:val="20"/>
          <w:lang w:val="en-US"/>
        </w:rPr>
        <w:t>active aging</w:t>
      </w:r>
      <w:r w:rsidR="002E6C93" w:rsidRPr="002B3BB7">
        <w:rPr>
          <w:color w:val="000000"/>
          <w:szCs w:val="20"/>
          <w:lang w:val="en-US"/>
        </w:rPr>
        <w:t xml:space="preserve"> </w:t>
      </w:r>
      <w:r w:rsidRPr="002B3BB7">
        <w:rPr>
          <w:color w:val="000000"/>
          <w:szCs w:val="20"/>
          <w:lang w:val="en-US"/>
        </w:rPr>
        <w:t>and training. In Lithuania, the 2012 CSR 4.1 (Increase work incentives and strengthen</w:t>
      </w:r>
      <w:r w:rsidRPr="00C54397">
        <w:rPr>
          <w:color w:val="000000"/>
          <w:szCs w:val="20"/>
          <w:lang w:val="en-US"/>
        </w:rPr>
        <w:t xml:space="preserve"> the links between the social assistance reform and activation measures, in particular for the most vulnerable, to reduce poverty and social exclusion</w:t>
      </w:r>
      <w:r>
        <w:rPr>
          <w:color w:val="000000"/>
          <w:szCs w:val="20"/>
          <w:lang w:val="en-US"/>
        </w:rPr>
        <w:t xml:space="preserve">) is not quoted but implicitly discussed in Section 1, main challenges for the Member State, when </w:t>
      </w:r>
      <w:r w:rsidRPr="00C54397">
        <w:rPr>
          <w:color w:val="000000"/>
          <w:szCs w:val="20"/>
          <w:lang w:val="en-US"/>
        </w:rPr>
        <w:t xml:space="preserve">growing poverty, social exclusion and income inequality </w:t>
      </w:r>
      <w:r>
        <w:rPr>
          <w:color w:val="000000"/>
          <w:szCs w:val="20"/>
          <w:lang w:val="en-US"/>
        </w:rPr>
        <w:t xml:space="preserve">are </w:t>
      </w:r>
      <w:r w:rsidRPr="00C54397">
        <w:rPr>
          <w:color w:val="000000"/>
          <w:szCs w:val="20"/>
          <w:lang w:val="en-US"/>
        </w:rPr>
        <w:t>cited as th</w:t>
      </w:r>
      <w:r>
        <w:rPr>
          <w:color w:val="000000"/>
          <w:szCs w:val="20"/>
          <w:lang w:val="en-US"/>
        </w:rPr>
        <w:t xml:space="preserve">e key challenges for Lithuania. </w:t>
      </w:r>
    </w:p>
    <w:p w:rsidR="00CE7E83" w:rsidRDefault="00CE7E83" w:rsidP="00CE7E83">
      <w:pPr>
        <w:tabs>
          <w:tab w:val="left" w:pos="1770"/>
        </w:tabs>
      </w:pPr>
      <w:r>
        <w:t xml:space="preserve">The extent to which CPP address key structural challenges is significant: </w:t>
      </w:r>
      <w:r w:rsidRPr="00991C33">
        <w:rPr>
          <w:b/>
        </w:rPr>
        <w:t>only in few cases there are important challenges, underlying CSR or identified in the Country Report</w:t>
      </w:r>
      <w:r>
        <w:rPr>
          <w:b/>
        </w:rPr>
        <w:t>s</w:t>
      </w:r>
      <w:r w:rsidRPr="00991C33">
        <w:rPr>
          <w:b/>
        </w:rPr>
        <w:t>, which are not covered by the CPP</w:t>
      </w:r>
      <w:r>
        <w:t xml:space="preserve">. </w:t>
      </w:r>
    </w:p>
    <w:p w:rsidR="00CE7E83" w:rsidRDefault="00CE7E83" w:rsidP="00CE7E83">
      <w:pPr>
        <w:tabs>
          <w:tab w:val="left" w:pos="1770"/>
        </w:tabs>
      </w:pPr>
      <w:r w:rsidRPr="001544E0">
        <w:t xml:space="preserve">These </w:t>
      </w:r>
      <w:r w:rsidR="004E0D41">
        <w:t xml:space="preserve">“missing” challenges </w:t>
      </w:r>
      <w:r w:rsidRPr="001544E0">
        <w:t xml:space="preserve">are mostly </w:t>
      </w:r>
      <w:r w:rsidR="004E0D41">
        <w:t xml:space="preserve">those </w:t>
      </w:r>
      <w:r w:rsidRPr="001544E0">
        <w:t xml:space="preserve">that </w:t>
      </w:r>
      <w:r>
        <w:t xml:space="preserve">are </w:t>
      </w:r>
      <w:r w:rsidRPr="001544E0">
        <w:t>not directly relevant to cohesion and not linked to TOs.</w:t>
      </w:r>
      <w:r>
        <w:t xml:space="preserve"> For example this is the case of CSR / challenges highlighted in the Country Report</w:t>
      </w:r>
      <w:r w:rsidR="004E0D41">
        <w:t>s</w:t>
      </w:r>
      <w:r>
        <w:t xml:space="preserve"> which concern public finance and taxation, corruption, banking and pension reforms, liberalisation of services, reform of state-owned enterprises. </w:t>
      </w:r>
    </w:p>
    <w:p w:rsidR="00CE7E83" w:rsidRDefault="00CE7E83" w:rsidP="00CE7E83">
      <w:pPr>
        <w:tabs>
          <w:tab w:val="left" w:pos="1770"/>
        </w:tabs>
      </w:pPr>
      <w:r>
        <w:t xml:space="preserve">There are also cases of cohesion relevant challenges that are missing or are only superficially discussed. For instance: </w:t>
      </w:r>
    </w:p>
    <w:p w:rsidR="00CE7E83" w:rsidRDefault="00CE7E83" w:rsidP="00CE7E83">
      <w:pPr>
        <w:pStyle w:val="Bulletpoint1"/>
      </w:pPr>
      <w:r>
        <w:t xml:space="preserve">in the case of Belgium, </w:t>
      </w:r>
      <w:r w:rsidR="00303A98">
        <w:t xml:space="preserve">there was an explicit choice not to mention in the CPP </w:t>
      </w:r>
      <w:r>
        <w:t>t</w:t>
      </w:r>
      <w:r w:rsidRPr="00B47652">
        <w:t>he inefficient</w:t>
      </w:r>
      <w:r>
        <w:t xml:space="preserve"> government </w:t>
      </w:r>
      <w:r w:rsidRPr="0048640D">
        <w:t>bureaucracy</w:t>
      </w:r>
      <w:r>
        <w:t>,</w:t>
      </w:r>
      <w:r w:rsidRPr="0048640D">
        <w:t xml:space="preserve"> still listed as one of the three major problems in terms of doing business </w:t>
      </w:r>
      <w:r>
        <w:t>(Country Report</w:t>
      </w:r>
      <w:r w:rsidRPr="00B47652">
        <w:t xml:space="preserve"> 2012</w:t>
      </w:r>
      <w:r>
        <w:t>)</w:t>
      </w:r>
      <w:r w:rsidRPr="00B47652">
        <w:t>.</w:t>
      </w:r>
    </w:p>
    <w:p w:rsidR="00CE7E83" w:rsidRDefault="00CE7E83" w:rsidP="00CE7E83">
      <w:pPr>
        <w:pStyle w:val="Bulletpoint1"/>
      </w:pPr>
      <w:r>
        <w:t xml:space="preserve">In Denmark, </w:t>
      </w:r>
      <w:r w:rsidRPr="007E619A">
        <w:t>a 2012 CSR which is not covered is to “Consider further preventive measures to strengthen the stability of the housing market and financial system in the medium term”, including by taking account of the results of the ongoing study by the Ministry of Business and Growth.</w:t>
      </w:r>
    </w:p>
    <w:p w:rsidR="00CE7E83" w:rsidRDefault="00CE7E83" w:rsidP="00CE7E83">
      <w:pPr>
        <w:pStyle w:val="Bulletpoint1"/>
      </w:pPr>
      <w:r>
        <w:t>In France, a challenge emerging from the 2012 Country Report on improving the performance of the French ports, which are lagging behind in terms of performance, reliability and connections with the hinterland, is not covered.</w:t>
      </w:r>
    </w:p>
    <w:p w:rsidR="00CE7E83" w:rsidRDefault="00CE7E83" w:rsidP="00CE7E83">
      <w:pPr>
        <w:pStyle w:val="Bulletpoint1"/>
      </w:pPr>
      <w:r>
        <w:t xml:space="preserve">In Luxembourg, the policy recommendation on reducing GHG emission </w:t>
      </w:r>
      <w:r w:rsidRPr="00226F6E">
        <w:t>by increasing taxation on energy products</w:t>
      </w:r>
      <w:r>
        <w:t xml:space="preserve"> (sub-part of </w:t>
      </w:r>
      <w:r w:rsidRPr="00761339">
        <w:t>CSR 5</w:t>
      </w:r>
      <w:r>
        <w:t xml:space="preserve"> of 2012) is not covered.</w:t>
      </w:r>
    </w:p>
    <w:p w:rsidR="00CE7E83" w:rsidRDefault="00CE7E83" w:rsidP="00CE7E83">
      <w:pPr>
        <w:pStyle w:val="Bulletpoint1"/>
      </w:pPr>
      <w:r>
        <w:t xml:space="preserve">In the Netherlands, the </w:t>
      </w:r>
      <w:r w:rsidRPr="007E619A">
        <w:t xml:space="preserve">lack of a central </w:t>
      </w:r>
      <w:r w:rsidR="009347E3">
        <w:t>'</w:t>
      </w:r>
      <w:r w:rsidRPr="007E619A">
        <w:t>State Aid</w:t>
      </w:r>
      <w:r w:rsidR="009347E3">
        <w:t>'</w:t>
      </w:r>
      <w:r w:rsidRPr="007E619A">
        <w:t xml:space="preserve"> Registry, a challenge mentioned in the 2012 Country Report, is not mentioned anywhere in the CPP.</w:t>
      </w:r>
    </w:p>
    <w:p w:rsidR="00CE7E83" w:rsidRDefault="00CE7E83" w:rsidP="00CE7E83">
      <w:pPr>
        <w:tabs>
          <w:tab w:val="left" w:pos="1770"/>
        </w:tabs>
      </w:pPr>
      <w:r>
        <w:t>Despite these</w:t>
      </w:r>
      <w:r w:rsidR="00552CA9">
        <w:t xml:space="preserve"> discrepancies between the CPP and CR/CSR</w:t>
      </w:r>
      <w:r>
        <w:t xml:space="preserve">, according to the expert analysis, </w:t>
      </w:r>
      <w:r w:rsidRPr="00B1233D">
        <w:rPr>
          <w:b/>
        </w:rPr>
        <w:t>CSR and structural challenges play a central role in the selection of priorities in most cases</w:t>
      </w:r>
      <w:r>
        <w:t>, confirming a central role of the Semester. In the majority of the MS, the CPP clearly states</w:t>
      </w:r>
      <w:r w:rsidRPr="00991C33">
        <w:t xml:space="preserve"> </w:t>
      </w:r>
      <w:r>
        <w:t xml:space="preserve">that </w:t>
      </w:r>
      <w:r w:rsidRPr="00991C33">
        <w:t>the selection of priorities and funding needs is related to the relevant recommendations made</w:t>
      </w:r>
      <w:r>
        <w:t xml:space="preserve"> and/or to the Country Reports or the MoU</w:t>
      </w:r>
      <w:r w:rsidRPr="00991C33">
        <w:t xml:space="preserve">. </w:t>
      </w:r>
      <w:r>
        <w:t xml:space="preserve">The CPP highlight that </w:t>
      </w:r>
      <w:r w:rsidRPr="00991C33">
        <w:t xml:space="preserve">structural reforms and </w:t>
      </w:r>
      <w:r>
        <w:t xml:space="preserve">financial consolidation play a </w:t>
      </w:r>
      <w:r w:rsidRPr="00991C33">
        <w:t xml:space="preserve">key role in enhancing the overall efficiency and thereby the growth potential of the </w:t>
      </w:r>
      <w:r>
        <w:t>States</w:t>
      </w:r>
      <w:r w:rsidRPr="00991C33">
        <w:t xml:space="preserve">. They are also </w:t>
      </w:r>
      <w:r>
        <w:t xml:space="preserve">considered a </w:t>
      </w:r>
      <w:r w:rsidRPr="00991C33">
        <w:t>key condition for the successful implementation of the ESI Funds which can only have an optimal impact, if an appropriate policy, legal and admini</w:t>
      </w:r>
      <w:r>
        <w:t>strative framework is in place.</w:t>
      </w:r>
      <w:r w:rsidRPr="00991C33">
        <w:t xml:space="preserve"> </w:t>
      </w:r>
      <w:r>
        <w:t xml:space="preserve">The CPP also highlight the importance of </w:t>
      </w:r>
      <w:r w:rsidRPr="00991C33">
        <w:t>Ex-ante-conditionalities to contribute pursuing reform needs.</w:t>
      </w:r>
    </w:p>
    <w:p w:rsidR="00CE7E83" w:rsidRDefault="00CE7E83" w:rsidP="00CE7E83">
      <w:pPr>
        <w:tabs>
          <w:tab w:val="left" w:pos="1770"/>
        </w:tabs>
      </w:pPr>
      <w:r>
        <w:t xml:space="preserve">The national experts were asked to provide an assessment, following the analysis of the documents carried out, on the overall alignment between the CSR / structural challenges and the framework laid down by the CPP for 2014-2020 programming. </w:t>
      </w:r>
      <w:r w:rsidRPr="00225468">
        <w:rPr>
          <w:b/>
        </w:rPr>
        <w:t xml:space="preserve">The assessment of the alignment between CPP and </w:t>
      </w:r>
      <w:r w:rsidR="004E0D41">
        <w:rPr>
          <w:b/>
        </w:rPr>
        <w:t xml:space="preserve">the </w:t>
      </w:r>
      <w:r w:rsidRPr="00225468">
        <w:rPr>
          <w:b/>
        </w:rPr>
        <w:t>Semester is mostly positive</w:t>
      </w:r>
      <w:r>
        <w:t xml:space="preserve">, due to the fact that </w:t>
      </w:r>
      <w:r w:rsidRPr="00225468">
        <w:t>the funding priorities strongly overlap with the CSR and other structural challenges from the Country Report</w:t>
      </w:r>
      <w:r>
        <w:t>s</w:t>
      </w:r>
      <w:r w:rsidRPr="00225468">
        <w:t>.</w:t>
      </w:r>
      <w:r>
        <w:t xml:space="preserve"> However</w:t>
      </w:r>
      <w:r w:rsidR="004E0D41">
        <w:t>,</w:t>
      </w:r>
      <w:r>
        <w:t xml:space="preserve"> the situation may vary across countries. </w:t>
      </w:r>
    </w:p>
    <w:p w:rsidR="00CE7E83" w:rsidRDefault="00CE7E83" w:rsidP="00CE7E83">
      <w:pPr>
        <w:pStyle w:val="Bulletpoint1"/>
      </w:pPr>
      <w:r>
        <w:t>In Belgium and Denmark, t</w:t>
      </w:r>
      <w:r w:rsidRPr="00B47652">
        <w:t xml:space="preserve">he </w:t>
      </w:r>
      <w:r w:rsidR="00C52D5A">
        <w:t>CPP</w:t>
      </w:r>
      <w:r w:rsidR="00C52D5A" w:rsidRPr="00B47652">
        <w:t xml:space="preserve"> </w:t>
      </w:r>
      <w:r w:rsidRPr="00B47652">
        <w:t xml:space="preserve">addresses the </w:t>
      </w:r>
      <w:r w:rsidR="005374DD">
        <w:t>CSR</w:t>
      </w:r>
      <w:r w:rsidRPr="00B47652">
        <w:t xml:space="preserve"> </w:t>
      </w:r>
      <w:r>
        <w:t>but not all reform needs.</w:t>
      </w:r>
    </w:p>
    <w:p w:rsidR="00CE7E83" w:rsidRDefault="00CE7E83" w:rsidP="00CE7E83">
      <w:pPr>
        <w:pStyle w:val="Bulletpoint1"/>
      </w:pPr>
      <w:r>
        <w:t xml:space="preserve">In Germany and France the support of CSR varies in the different policy fields. CSR play a rather big role in the funding priority "Enhance labour market potential, social inclusion and raise educational achievement" (all 3 TOs are linked to CSR), </w:t>
      </w:r>
      <w:r w:rsidR="004E0D41">
        <w:t xml:space="preserve">while </w:t>
      </w:r>
      <w:r>
        <w:t xml:space="preserve">the role in the other 2 funding priorities (“Reducing regional disparities in competitiveness taking account of demographic change” and “Supporting transformation of the energy system and strengthening sustainable use of natural resource”) is more modest. </w:t>
      </w:r>
    </w:p>
    <w:p w:rsidR="00CE7E83" w:rsidRDefault="00CE7E83" w:rsidP="00CE7E83">
      <w:pPr>
        <w:pStyle w:val="Bulletpoint1"/>
      </w:pPr>
      <w:r>
        <w:t>In France, t</w:t>
      </w:r>
      <w:r w:rsidRPr="0008795C">
        <w:t xml:space="preserve">he selection of priorities and funding needs is related to the recommendations made </w:t>
      </w:r>
      <w:r>
        <w:t>on the labour market (position of young people, seniors, migrants), as well as on the fight against poverty and lifelong learning</w:t>
      </w:r>
      <w:r w:rsidR="00552CA9">
        <w:t>. O</w:t>
      </w:r>
      <w:r>
        <w:t xml:space="preserve">n the contrary, the link between </w:t>
      </w:r>
      <w:r w:rsidR="005374DD">
        <w:t>CSR</w:t>
      </w:r>
      <w:r>
        <w:t xml:space="preserve"> and CPP is not so clear in relation to the factors able to enhance the competitiveness of the economy. The CPP is much more oriented on the needs to develop research and economic innovation.</w:t>
      </w:r>
    </w:p>
    <w:p w:rsidR="00CE7E83" w:rsidRDefault="00CE7E83" w:rsidP="00CE7E83">
      <w:pPr>
        <w:pStyle w:val="Bulletpoint1"/>
        <w:rPr>
          <w:rFonts w:cs="Arial"/>
        </w:rPr>
      </w:pPr>
      <w:r>
        <w:t xml:space="preserve">In Bulgaria </w:t>
      </w:r>
      <w:r w:rsidRPr="00225468">
        <w:rPr>
          <w:rFonts w:cs="Arial"/>
        </w:rPr>
        <w:t xml:space="preserve">what is noticed is that important issues </w:t>
      </w:r>
      <w:r w:rsidRPr="007449EB">
        <w:rPr>
          <w:rFonts w:cs="Arial"/>
        </w:rPr>
        <w:t xml:space="preserve">such as water and </w:t>
      </w:r>
      <w:r>
        <w:rPr>
          <w:rFonts w:cs="Arial"/>
        </w:rPr>
        <w:t>maritime</w:t>
      </w:r>
      <w:r w:rsidRPr="007449EB">
        <w:rPr>
          <w:rFonts w:cs="Arial"/>
        </w:rPr>
        <w:t xml:space="preserve"> management, environment, climate change, </w:t>
      </w:r>
      <w:r w:rsidRPr="0008795C">
        <w:t>transport</w:t>
      </w:r>
      <w:r w:rsidRPr="007449EB">
        <w:rPr>
          <w:rFonts w:cs="Arial"/>
        </w:rPr>
        <w:t xml:space="preserve">, etc., are not substantially addressed by the 2012 </w:t>
      </w:r>
      <w:r w:rsidR="005374DD">
        <w:rPr>
          <w:rFonts w:cs="Arial"/>
        </w:rPr>
        <w:t>CSR</w:t>
      </w:r>
      <w:r w:rsidR="00F82109">
        <w:rPr>
          <w:rFonts w:cs="Arial"/>
        </w:rPr>
        <w:t>,</w:t>
      </w:r>
      <w:r>
        <w:rPr>
          <w:rFonts w:cs="Arial"/>
        </w:rPr>
        <w:t xml:space="preserve"> which are those referred to by the CPP</w:t>
      </w:r>
      <w:r w:rsidRPr="007449EB">
        <w:rPr>
          <w:rFonts w:cs="Arial"/>
        </w:rPr>
        <w:t xml:space="preserve">. </w:t>
      </w:r>
      <w:r>
        <w:rPr>
          <w:rFonts w:cs="Arial"/>
        </w:rPr>
        <w:t>However, an i</w:t>
      </w:r>
      <w:r w:rsidRPr="007449EB">
        <w:rPr>
          <w:rFonts w:cs="Arial"/>
        </w:rPr>
        <w:t xml:space="preserve">mprovement </w:t>
      </w:r>
      <w:r>
        <w:rPr>
          <w:rFonts w:cs="Arial"/>
        </w:rPr>
        <w:t xml:space="preserve">can be </w:t>
      </w:r>
      <w:r w:rsidRPr="007449EB">
        <w:rPr>
          <w:rFonts w:cs="Arial"/>
        </w:rPr>
        <w:t>observed in the</w:t>
      </w:r>
      <w:r w:rsidR="00F82109">
        <w:rPr>
          <w:rFonts w:cs="Arial"/>
        </w:rPr>
        <w:t xml:space="preserve"> scope and coverage of</w:t>
      </w:r>
      <w:r w:rsidRPr="007449EB">
        <w:rPr>
          <w:rFonts w:cs="Arial"/>
        </w:rPr>
        <w:t xml:space="preserve"> </w:t>
      </w:r>
      <w:r w:rsidR="005374DD">
        <w:rPr>
          <w:rFonts w:cs="Arial"/>
        </w:rPr>
        <w:t>CSR</w:t>
      </w:r>
      <w:r w:rsidRPr="007449EB">
        <w:rPr>
          <w:rFonts w:cs="Arial"/>
        </w:rPr>
        <w:t xml:space="preserve"> in the following years.  </w:t>
      </w:r>
    </w:p>
    <w:p w:rsidR="00CE7E83" w:rsidRDefault="00CE7E83" w:rsidP="00CE7E83">
      <w:pPr>
        <w:pStyle w:val="Bulletpoint1"/>
        <w:rPr>
          <w:rFonts w:cs="Arial"/>
        </w:rPr>
      </w:pPr>
      <w:r>
        <w:rPr>
          <w:rFonts w:cs="Arial"/>
        </w:rPr>
        <w:t xml:space="preserve">Similarly in the case of the UK, the </w:t>
      </w:r>
      <w:r w:rsidR="005374DD">
        <w:rPr>
          <w:rFonts w:cs="Arial"/>
        </w:rPr>
        <w:t>CSR</w:t>
      </w:r>
      <w:r w:rsidRPr="00302A42">
        <w:rPr>
          <w:rFonts w:cs="Arial"/>
        </w:rPr>
        <w:t xml:space="preserve"> are relatively limited in some respects and</w:t>
      </w:r>
      <w:r w:rsidR="00F82109">
        <w:rPr>
          <w:rFonts w:cs="Arial"/>
        </w:rPr>
        <w:t>,</w:t>
      </w:r>
      <w:r w:rsidRPr="00302A42">
        <w:rPr>
          <w:rFonts w:cs="Arial"/>
        </w:rPr>
        <w:t xml:space="preserve"> </w:t>
      </w:r>
      <w:r>
        <w:rPr>
          <w:rFonts w:cs="Arial"/>
        </w:rPr>
        <w:t>for instance</w:t>
      </w:r>
      <w:r w:rsidR="00F82109">
        <w:rPr>
          <w:rFonts w:cs="Arial"/>
        </w:rPr>
        <w:t>,</w:t>
      </w:r>
      <w:r>
        <w:rPr>
          <w:rFonts w:cs="Arial"/>
        </w:rPr>
        <w:t xml:space="preserve"> </w:t>
      </w:r>
      <w:r w:rsidRPr="00302A42">
        <w:rPr>
          <w:rFonts w:cs="Arial"/>
        </w:rPr>
        <w:t xml:space="preserve">there is no CSR specifically focused on technological development, research and innovation although structural reforms in this area are </w:t>
      </w:r>
      <w:r>
        <w:rPr>
          <w:rFonts w:cs="Arial"/>
        </w:rPr>
        <w:t xml:space="preserve">essential and </w:t>
      </w:r>
      <w:r w:rsidRPr="00302A42">
        <w:rPr>
          <w:rFonts w:cs="Arial"/>
        </w:rPr>
        <w:t xml:space="preserve">mentioned in the </w:t>
      </w:r>
      <w:r w:rsidR="00E71DC1">
        <w:rPr>
          <w:rFonts w:cs="Arial"/>
        </w:rPr>
        <w:t>CPP</w:t>
      </w:r>
      <w:r w:rsidRPr="00302A42">
        <w:rPr>
          <w:rFonts w:cs="Arial"/>
        </w:rPr>
        <w:t xml:space="preserve">. </w:t>
      </w:r>
    </w:p>
    <w:p w:rsidR="00CE7E83" w:rsidRDefault="00CE7E83" w:rsidP="00CE7E83">
      <w:r>
        <w:t xml:space="preserve">Public governance and in particular the distribution of competences in a Member State may play a considerable role to explain difference across countries. </w:t>
      </w:r>
      <w:r w:rsidR="00FF1E39">
        <w:t xml:space="preserve">Large countries, federal states or regionalised/high devolution Member States, </w:t>
      </w:r>
      <w:r w:rsidR="00FB40B0">
        <w:t xml:space="preserve">may be characterised by wide variety of strategies and chosen priorities which impacts on the extent CSR/structural challenges are tackled through ESI Funds programming. </w:t>
      </w:r>
    </w:p>
    <w:p w:rsidR="00CE7E83" w:rsidRDefault="00CE7E83" w:rsidP="00CE7E83">
      <w:pPr>
        <w:sectPr w:rsidR="00CE7E83" w:rsidSect="0061607F">
          <w:pgSz w:w="11907" w:h="16839" w:code="9"/>
          <w:pgMar w:top="1418" w:right="1418" w:bottom="851" w:left="1701" w:header="567" w:footer="720" w:gutter="0"/>
          <w:cols w:space="720"/>
          <w:docGrid w:linePitch="326"/>
        </w:sectPr>
      </w:pPr>
      <w:r>
        <w:t>Notwithstanding the various differences and gaps pointed out in the previous paragraphs, on the basis of the analysis of Position Papers, we can conclude that t</w:t>
      </w:r>
      <w:r w:rsidRPr="00DA5B1D">
        <w:t>he overall framework for implementation of ESIF during the 2014 - 2020 programming is sound</w:t>
      </w:r>
      <w:r>
        <w:t xml:space="preserve"> and strongly aligned with the European Semester. To what extent </w:t>
      </w:r>
      <w:r w:rsidR="005374DD">
        <w:t>CSR</w:t>
      </w:r>
      <w:r w:rsidRPr="00302A42">
        <w:t xml:space="preserve"> and structural reforms needs are reflected in programming </w:t>
      </w:r>
      <w:r>
        <w:t>is the subject of the following subtasks which concentrate on Partnership Agreeme</w:t>
      </w:r>
      <w:r w:rsidR="00807960">
        <w:t>nts and Operational programmes</w:t>
      </w:r>
      <w:r w:rsidR="00AF5F9E">
        <w:t>.</w:t>
      </w:r>
    </w:p>
    <w:p w:rsidR="00807960" w:rsidRDefault="00807960" w:rsidP="00807960"/>
    <w:p w:rsidR="00807960" w:rsidRDefault="00807960" w:rsidP="00807960"/>
    <w:p w:rsidR="00CE7E83" w:rsidRDefault="00CE7E83" w:rsidP="00CE7E83">
      <w:pPr>
        <w:pStyle w:val="Heading2"/>
      </w:pPr>
      <w:bookmarkStart w:id="25" w:name="_Toc466826792"/>
      <w:r w:rsidRPr="00762CDF">
        <w:t>Analysis of Partnership Agreements</w:t>
      </w:r>
      <w:bookmarkEnd w:id="25"/>
    </w:p>
    <w:p w:rsidR="00CE7E83" w:rsidRPr="00CE7E83" w:rsidRDefault="00CE7E83" w:rsidP="00CE7E83"/>
    <w:p w:rsidR="00CE7E83" w:rsidRDefault="00CE7E83" w:rsidP="00CE7E83">
      <w:pPr>
        <w:pStyle w:val="Heading3"/>
      </w:pPr>
      <w:bookmarkStart w:id="26" w:name="_Toc466826793"/>
      <w:r>
        <w:t>Introduction</w:t>
      </w:r>
      <w:bookmarkEnd w:id="26"/>
    </w:p>
    <w:p w:rsidR="00CE7E83" w:rsidRDefault="00CE7E83" w:rsidP="00CE7E83">
      <w:r>
        <w:t xml:space="preserve">Partnership Agreements </w:t>
      </w:r>
      <w:r w:rsidRPr="000B59AA">
        <w:t xml:space="preserve">between the European Commission and individual EU countries set out the national authorities' plans on how to use </w:t>
      </w:r>
      <w:r>
        <w:t>ESI funds</w:t>
      </w:r>
      <w:r w:rsidRPr="000B59AA">
        <w:t xml:space="preserve"> between 2014 and 2020. They outline each country's strategic goals and investment priorities, linking them to the overall aims of the Europe 2020 strategy for smart, sustainable and inclusive growth.</w:t>
      </w:r>
    </w:p>
    <w:p w:rsidR="00CE7E83" w:rsidRDefault="00CE7E83" w:rsidP="00CE7E83">
      <w:r>
        <w:t xml:space="preserve">The Partnership Agreement </w:t>
      </w:r>
      <w:r w:rsidRPr="007746CF">
        <w:t>is negotiated between the European Commission and national authorities, following their consultation of various levels of governance, representatives from interest groups, civil society and local and regional representatives. The starting point for the Partnership Agreements were the 2012 Position Papers produced by the Commission for each Member State setting out how EU investments should support smart, sustainable and inclusive growth.</w:t>
      </w:r>
    </w:p>
    <w:p w:rsidR="00CE7E83" w:rsidRDefault="00CE7E83" w:rsidP="00CE7E83">
      <w:r>
        <w:t xml:space="preserve">The structure of PA is set </w:t>
      </w:r>
      <w:r w:rsidRPr="000B59AA">
        <w:t>out in the Article 15 of the Common Provisions Regulation.</w:t>
      </w:r>
      <w:r>
        <w:t xml:space="preserve"> The key sections of the Partnership Agreements which were examined are:</w:t>
      </w:r>
    </w:p>
    <w:p w:rsidR="00CE7E83" w:rsidRDefault="00CE7E83" w:rsidP="00CE7E83">
      <w:pPr>
        <w:pStyle w:val="Bulletpoint1"/>
      </w:pPr>
      <w:r w:rsidRPr="00C7200B">
        <w:t xml:space="preserve">Section 1.1: Analysis of disparities, development needs and growth potentials with reference to the </w:t>
      </w:r>
      <w:r>
        <w:t>TO</w:t>
      </w:r>
      <w:r w:rsidRPr="00C7200B">
        <w:t xml:space="preserve"> and the territorial challenges, taking account of the National Reform Programme and relevant </w:t>
      </w:r>
      <w:r w:rsidR="005374DD">
        <w:t>CSR</w:t>
      </w:r>
      <w:r w:rsidR="002B3BB7">
        <w:t>;</w:t>
      </w:r>
    </w:p>
    <w:p w:rsidR="00D3134E" w:rsidRDefault="00CE7E83" w:rsidP="00CE7E83">
      <w:pPr>
        <w:pStyle w:val="Bulletpoint1"/>
      </w:pPr>
      <w:r w:rsidRPr="00C7200B">
        <w:t>Section 1.3: Selected thematic objectives, and for each of them a summary of the main results expected for each of the ESI Funds</w:t>
      </w:r>
      <w:r w:rsidR="002B3BB7">
        <w:t>;</w:t>
      </w:r>
    </w:p>
    <w:p w:rsidR="00CE7E83" w:rsidRPr="00534287" w:rsidRDefault="00D3134E" w:rsidP="00D3134E">
      <w:pPr>
        <w:pStyle w:val="Bulletpoint1"/>
      </w:pPr>
      <w:r w:rsidRPr="00D3134E">
        <w:t>Section 2.3: A summary of the assessment of the fulfilment of applicable ex ante conditionalities</w:t>
      </w:r>
      <w:r w:rsidR="002B3BB7">
        <w:t>;</w:t>
      </w:r>
    </w:p>
    <w:p w:rsidR="00CE7E83" w:rsidRDefault="00CE7E83" w:rsidP="00CE7E83">
      <w:pPr>
        <w:pStyle w:val="Bulletpoint1"/>
      </w:pPr>
      <w:r w:rsidRPr="00052C84">
        <w:t>Section 2.5: Assessment of whether there is a need to reinforce the administrative capacity of the authorities involved in the management and control of the programmes and, where appropriate, of beneficiaries, as well as a summary of the actions to be taken for that purpose</w:t>
      </w:r>
      <w:r w:rsidR="002B3BB7">
        <w:t>.</w:t>
      </w:r>
    </w:p>
    <w:p w:rsidR="00CE7E83" w:rsidRDefault="00CE7E83" w:rsidP="00CE7E83">
      <w:r>
        <w:t>The majority of the Partnership Agreements were adopted in the last quarter of 2014, therefore the analysis of the national experts is concentrated on CSR and structural challenges of the period 2012-2014. The analysis of PAs carried out in this report is focused on:</w:t>
      </w:r>
    </w:p>
    <w:p w:rsidR="00CE7E83" w:rsidRDefault="00CE7E83" w:rsidP="00CE7E83">
      <w:pPr>
        <w:pStyle w:val="Bulletpoint1"/>
      </w:pPr>
      <w:r>
        <w:t xml:space="preserve">Whether the treatment of </w:t>
      </w:r>
      <w:r w:rsidR="005374DD">
        <w:t>CSR</w:t>
      </w:r>
      <w:r>
        <w:t>/reforms in the PA is coherent with the requests of the Position Paper.</w:t>
      </w:r>
    </w:p>
    <w:p w:rsidR="00CE7E83" w:rsidRDefault="00CE7E83" w:rsidP="00CE7E83">
      <w:pPr>
        <w:pStyle w:val="Bulletpoint1"/>
      </w:pPr>
      <w:r>
        <w:t xml:space="preserve">The extent to which the document refer to </w:t>
      </w:r>
      <w:r w:rsidR="005374DD">
        <w:t>CSR</w:t>
      </w:r>
      <w:r>
        <w:t xml:space="preserve"> and other structural challenges systematically (or they are only quoted in the introductory parts) either explicitly or implicitly. </w:t>
      </w:r>
    </w:p>
    <w:p w:rsidR="00CE7E83" w:rsidRDefault="00CE7E83" w:rsidP="00CE7E83">
      <w:pPr>
        <w:pStyle w:val="Bulletpoint1"/>
      </w:pPr>
      <w:r>
        <w:t xml:space="preserve">Whether there are cohesion relevant </w:t>
      </w:r>
      <w:r w:rsidR="005374DD">
        <w:t>CSR</w:t>
      </w:r>
      <w:r>
        <w:t xml:space="preserve"> and other structural challenges identified in the Country Reports that are not covered (explicitly or implicitly) in the document.</w:t>
      </w:r>
    </w:p>
    <w:p w:rsidR="00CE7E83" w:rsidRDefault="00CE7E83" w:rsidP="00CE7E83">
      <w:pPr>
        <w:pStyle w:val="Bulletpoint1"/>
      </w:pPr>
      <w:r>
        <w:t xml:space="preserve">Whether there is evidence that the selection of priorities and funding needs is somehow related to the relevant recommendations made. </w:t>
      </w:r>
    </w:p>
    <w:p w:rsidR="00CE7E83" w:rsidRDefault="00CE7E83" w:rsidP="00CE7E83">
      <w:pPr>
        <w:pStyle w:val="Bulletpoint1"/>
      </w:pPr>
      <w:r>
        <w:t xml:space="preserve">Whether, in the expert view, the support to </w:t>
      </w:r>
      <w:r w:rsidR="005374DD">
        <w:t>CSR</w:t>
      </w:r>
      <w:r>
        <w:t xml:space="preserve">/structural challenges plays a central or a marginal role in programming; whether the document clearly define how it is intended to support </w:t>
      </w:r>
      <w:r w:rsidR="005374DD">
        <w:t>CSR</w:t>
      </w:r>
      <w:r>
        <w:t xml:space="preserve"> and structural reform.</w:t>
      </w:r>
    </w:p>
    <w:p w:rsidR="00CE7E83" w:rsidRDefault="00CE7E83" w:rsidP="00CE7E83">
      <w:r>
        <w:t xml:space="preserve">In the preparation of the Methodological Report, the study on “the use of new provisions during the programming phase of the ESI Funds” was taken into account. This work claims that explicit references to EU2020 headline targets and </w:t>
      </w:r>
      <w:r w:rsidR="005374DD">
        <w:t>CSR</w:t>
      </w:r>
      <w:r>
        <w:t xml:space="preserve"> are much more important in PAs than in the OPs, where most references are made to other strategies (national/regional). According to the study, o</w:t>
      </w:r>
      <w:r w:rsidRPr="00B0666B">
        <w:t xml:space="preserve">n average for all </w:t>
      </w:r>
      <w:r>
        <w:t>TOs</w:t>
      </w:r>
      <w:r w:rsidRPr="00780138">
        <w:t xml:space="preserve"> in PAs, the choice of thematic objectives was underpinned by a direct Europe 2020 or CSR reference in about 40% of the cases, representing also about 40% of the overall all</w:t>
      </w:r>
      <w:r>
        <w:t xml:space="preserve">ocations. </w:t>
      </w:r>
      <w:r w:rsidRPr="00780138">
        <w:t xml:space="preserve">At PA level, the TOs with the highest frequency of references to </w:t>
      </w:r>
      <w:r w:rsidR="005374DD">
        <w:t>CSR</w:t>
      </w:r>
      <w:r w:rsidRPr="007E22B7">
        <w:t xml:space="preserve"> and Europe 2020 headline targets are </w:t>
      </w:r>
      <w:r w:rsidRPr="00780138">
        <w:t xml:space="preserve">education and training, employment and innovation; and the less frequent ones are information and communication technologies, transport and </w:t>
      </w:r>
      <w:r w:rsidRPr="007E22B7">
        <w:t>SMEs</w:t>
      </w:r>
      <w:r w:rsidRPr="0050060F">
        <w:t>.</w:t>
      </w:r>
    </w:p>
    <w:p w:rsidR="00CE7E83" w:rsidRDefault="00CE7E83" w:rsidP="00CE7E83">
      <w:r>
        <w:t xml:space="preserve">Our analysis went more in depth by considering both explicit quoting of CSR and Country Reports and also implicit references, namely when a CSR is not quoted directly but the analysis of development needs and the main results expected address the specific challenges which underlie a certain policy recommendation. </w:t>
      </w:r>
      <w:r w:rsidR="00F85738">
        <w:t xml:space="preserve">As the following paragraphs highlight, the analysis shows that the role of CSR/structural challenges is much more pervasive than what can be inferred by looking only at explicit references. </w:t>
      </w:r>
    </w:p>
    <w:p w:rsidR="00CE7E83" w:rsidRDefault="00CE7E83" w:rsidP="00CE7E83">
      <w:pPr>
        <w:rPr>
          <w:b/>
        </w:rPr>
      </w:pPr>
    </w:p>
    <w:p w:rsidR="00CE7E83" w:rsidRPr="00017420" w:rsidRDefault="00CE7E83" w:rsidP="00CE7E83">
      <w:pPr>
        <w:pStyle w:val="Heading3"/>
      </w:pPr>
      <w:bookmarkStart w:id="27" w:name="_Toc466826794"/>
      <w:r w:rsidRPr="00017420">
        <w:t>Key points from the analysis of P</w:t>
      </w:r>
      <w:r>
        <w:t xml:space="preserve">artnership </w:t>
      </w:r>
      <w:r w:rsidRPr="00017420">
        <w:t>A</w:t>
      </w:r>
      <w:r>
        <w:t>greements</w:t>
      </w:r>
      <w:bookmarkEnd w:id="27"/>
    </w:p>
    <w:p w:rsidR="00CE7E83" w:rsidRDefault="00F85738" w:rsidP="00CE7E83">
      <w:r>
        <w:t xml:space="preserve">As in the case of other programming documents, </w:t>
      </w:r>
      <w:r w:rsidR="00CE7E83">
        <w:t xml:space="preserve">Partnership Agreements have been examined by the national experts in the relevant languages on the basis of a common template summarised in the Methodological Report. </w:t>
      </w:r>
      <w:r>
        <w:t>T</w:t>
      </w:r>
      <w:r w:rsidR="00CE7E83">
        <w:t>he analysis was carried out in two steps: first a textual examination to locate explicit and indirect references to the structural challenges mapped by the Core team (see Task 2)</w:t>
      </w:r>
      <w:r>
        <w:t xml:space="preserve"> was carried out</w:t>
      </w:r>
      <w:r w:rsidR="00CE7E83">
        <w:t>; second, a qualitative assessment of the alignment between programming and CSR/challenges</w:t>
      </w:r>
      <w:r>
        <w:t xml:space="preserve"> was produced</w:t>
      </w:r>
      <w:r w:rsidR="00CE7E83">
        <w:t xml:space="preserve">. </w:t>
      </w:r>
    </w:p>
    <w:p w:rsidR="00CE7E83" w:rsidRDefault="00CE7E83" w:rsidP="00CE7E83">
      <w:r>
        <w:t xml:space="preserve">The </w:t>
      </w:r>
      <w:r w:rsidRPr="00D3703B">
        <w:rPr>
          <w:b/>
        </w:rPr>
        <w:t xml:space="preserve">Partnership Agreements are characterised, as expected, by a strong coherence with the </w:t>
      </w:r>
      <w:r>
        <w:rPr>
          <w:b/>
        </w:rPr>
        <w:t xml:space="preserve">previously examined </w:t>
      </w:r>
      <w:r w:rsidRPr="00D3703B">
        <w:rPr>
          <w:b/>
        </w:rPr>
        <w:t>Position Papers</w:t>
      </w:r>
      <w:r w:rsidRPr="0048639D">
        <w:t xml:space="preserve">. </w:t>
      </w:r>
      <w:r>
        <w:t xml:space="preserve">In most cases the key structural challenges identified in the Position Paper are recalled in the Partnership Agreement. However, even in consideration of the diverse nature of the two documents, some differences emerge in some countries. Overall the following observations can be </w:t>
      </w:r>
      <w:r w:rsidR="00F85738">
        <w:t>made</w:t>
      </w:r>
      <w:r>
        <w:t>:</w:t>
      </w:r>
    </w:p>
    <w:p w:rsidR="00CE7E83" w:rsidRDefault="00CE7E83" w:rsidP="00CE7E83">
      <w:pPr>
        <w:pStyle w:val="Bulletpoint1"/>
      </w:pPr>
      <w:r>
        <w:t xml:space="preserve">In most countries, there is often a full matching between the PA and CPP in relation to key structural </w:t>
      </w:r>
      <w:r w:rsidRPr="00B52E8E">
        <w:t xml:space="preserve">challenges (see synoptic table </w:t>
      </w:r>
      <w:r w:rsidR="001401F4" w:rsidRPr="00B52E8E">
        <w:t xml:space="preserve">in </w:t>
      </w:r>
      <w:r w:rsidR="00B52E8E" w:rsidRPr="00807960">
        <w:t>A</w:t>
      </w:r>
      <w:r w:rsidR="001401F4" w:rsidRPr="00B52E8E">
        <w:t>nnex</w:t>
      </w:r>
      <w:r w:rsidR="00B52E8E" w:rsidRPr="00807960">
        <w:t xml:space="preserve"> 4</w:t>
      </w:r>
      <w:r>
        <w:t>). For instance in Germany, CSR and challenges not covered in the CPP are, consistently, not addressed in the PA. In Hungary, there is a clear correspondence between the Main National Development Priorities in the PA and the CPP funding areas (e.g. “Improving competitiveness and global performance of the business sector” in the PA refers directly to the CPP’s first funding area “Enhancing business innovation and competitiveness. Increasing the effectiveness of R&amp;D”</w:t>
      </w:r>
      <w:r w:rsidR="00F85738">
        <w:t xml:space="preserve"> and the same is true for the other national development priorities</w:t>
      </w:r>
      <w:r>
        <w:t>).</w:t>
      </w:r>
    </w:p>
    <w:p w:rsidR="00CE7E83" w:rsidRDefault="00F85738" w:rsidP="00CE7E83">
      <w:pPr>
        <w:pStyle w:val="Bulletpoint1"/>
      </w:pPr>
      <w:r>
        <w:t>Often,</w:t>
      </w:r>
      <w:r w:rsidR="00CE7E83">
        <w:t xml:space="preserve"> the PA has a wider scope in relation to structural challenges. For instance in Austria, t</w:t>
      </w:r>
      <w:r w:rsidR="00CE7E83" w:rsidRPr="00F3799C">
        <w:t xml:space="preserve">he PA goes beyond the CPP, by covering also </w:t>
      </w:r>
      <w:r w:rsidR="00CE7E83">
        <w:t xml:space="preserve">other themes such as </w:t>
      </w:r>
      <w:r w:rsidR="00CE7E83" w:rsidRPr="00F3799C">
        <w:t xml:space="preserve">SME support (in general as well as in agriculture and fisheries) </w:t>
      </w:r>
      <w:r w:rsidR="00CE7E83">
        <w:t xml:space="preserve">and </w:t>
      </w:r>
      <w:r w:rsidR="00CE7E83" w:rsidRPr="00F3799C">
        <w:t>adapt</w:t>
      </w:r>
      <w:r w:rsidR="00CE7E83">
        <w:t>ati</w:t>
      </w:r>
      <w:r w:rsidR="00CE7E83" w:rsidRPr="00F3799C">
        <w:t>on to climate change and risk prevention.</w:t>
      </w:r>
      <w:r w:rsidR="00CE7E83">
        <w:t xml:space="preserve"> In Lithuania, some issues such as the reform of state-owned enterprises (</w:t>
      </w:r>
      <w:r w:rsidR="00CE7E83" w:rsidRPr="00D3703B">
        <w:t xml:space="preserve">CSR 5.1 </w:t>
      </w:r>
      <w:r w:rsidR="00CE7E83">
        <w:t>of 2012-2013-2014)</w:t>
      </w:r>
      <w:r w:rsidR="00CE7E83" w:rsidRPr="00D3703B">
        <w:t xml:space="preserve"> </w:t>
      </w:r>
      <w:r>
        <w:t>are</w:t>
      </w:r>
      <w:r w:rsidR="00CE7E83" w:rsidRPr="00D3703B">
        <w:t xml:space="preserve"> covered in the PA while it was not addressed in CPP.</w:t>
      </w:r>
      <w:r w:rsidR="00CE7E83" w:rsidRPr="002362E9">
        <w:t xml:space="preserve"> </w:t>
      </w:r>
      <w:r w:rsidR="00CE7E83">
        <w:t>In general in this case there is a</w:t>
      </w:r>
      <w:r w:rsidR="00CE7E83" w:rsidRPr="00B21B33">
        <w:t xml:space="preserve"> </w:t>
      </w:r>
      <w:r w:rsidR="00CE7E83" w:rsidRPr="009B332E">
        <w:t>more comprehensive treatment of structural challenges</w:t>
      </w:r>
      <w:r w:rsidR="00CE7E83">
        <w:t xml:space="preserve"> in the PA which develops a specific dimension not cited in the CPP, that is the balance of development between territories, with specific views to rural and urban areas.</w:t>
      </w:r>
    </w:p>
    <w:p w:rsidR="00CE7E83" w:rsidRDefault="00CE7E83" w:rsidP="00CE7E83">
      <w:pPr>
        <w:pStyle w:val="Bulletpoint1"/>
      </w:pPr>
      <w:r>
        <w:t xml:space="preserve">There are also examples in which </w:t>
      </w:r>
      <w:r w:rsidRPr="00D3703B">
        <w:t xml:space="preserve">the CPP puts far more emphasis than the PA on </w:t>
      </w:r>
      <w:r>
        <w:t xml:space="preserve">specific topics. E.g. in Czech Republic the CPP, unlike the PA, discusses: </w:t>
      </w:r>
      <w:r w:rsidRPr="00D3703B">
        <w:t>(</w:t>
      </w:r>
      <w:proofErr w:type="spellStart"/>
      <w:r w:rsidRPr="00D3703B">
        <w:t>i</w:t>
      </w:r>
      <w:proofErr w:type="spellEnd"/>
      <w:r w:rsidRPr="00D3703B">
        <w:t>) the necessary political steps crucial for improvement of quality in the public administration and its management and (ii) on the issue of missing Public Servant Act.</w:t>
      </w:r>
    </w:p>
    <w:p w:rsidR="00CE7E83" w:rsidRDefault="00CE7E83" w:rsidP="00CE7E83">
      <w:pPr>
        <w:pStyle w:val="Bulletpoint1"/>
      </w:pPr>
      <w:r>
        <w:t xml:space="preserve">The PA may also reflect, in some cases and in specific sectors, political views of the national government and consequent choices which diverge from European Policy approach and </w:t>
      </w:r>
      <w:r w:rsidR="00F85738">
        <w:t>C</w:t>
      </w:r>
      <w:r>
        <w:t>ountry</w:t>
      </w:r>
      <w:r w:rsidR="00F85738">
        <w:t>-S</w:t>
      </w:r>
      <w:r>
        <w:t xml:space="preserve">pecific </w:t>
      </w:r>
      <w:r w:rsidR="00F85738">
        <w:t>R</w:t>
      </w:r>
      <w:r>
        <w:t xml:space="preserve">ecommendations. For instance in France, a large number of CSR issues are not considered in the PA, because there is a French political choice </w:t>
      </w:r>
      <w:r w:rsidR="00F85738">
        <w:t xml:space="preserve">e.g. </w:t>
      </w:r>
      <w:r>
        <w:t>to pay attention first to increase of competitiveness by boosting innovation and not by facilitating liberalisation of the economy.</w:t>
      </w:r>
    </w:p>
    <w:p w:rsidR="00962DDF" w:rsidRDefault="00CE7E83" w:rsidP="00CE7E83">
      <w:r>
        <w:t>Despite the actual linkage with the position papers, there is</w:t>
      </w:r>
      <w:r w:rsidR="00962DDF">
        <w:t>,</w:t>
      </w:r>
      <w:r>
        <w:t xml:space="preserve"> in most </w:t>
      </w:r>
      <w:r w:rsidR="00962DDF">
        <w:t>Partnership Agreements,</w:t>
      </w:r>
      <w:r>
        <w:t xml:space="preserve"> a </w:t>
      </w:r>
      <w:r w:rsidRPr="000303F0">
        <w:rPr>
          <w:b/>
        </w:rPr>
        <w:t>systematic reference to CSR and other structural challenges extracted from Country Reports</w:t>
      </w:r>
      <w:r>
        <w:t>. This is true especially in Sections 1.1 “</w:t>
      </w:r>
      <w:r w:rsidRPr="00C7200B">
        <w:t>Analysis of disparities, development needs and growth potentials</w:t>
      </w:r>
      <w:r>
        <w:t>”</w:t>
      </w:r>
      <w:r w:rsidRPr="00C7200B">
        <w:t xml:space="preserve"> </w:t>
      </w:r>
      <w:r>
        <w:t>and Section 1.3 “</w:t>
      </w:r>
      <w:r w:rsidRPr="00C7200B">
        <w:t>Selected thematic objectives, and summary of the main results expected for each of the ESI Funds</w:t>
      </w:r>
      <w:r>
        <w:t xml:space="preserve">” of the PA. </w:t>
      </w:r>
    </w:p>
    <w:p w:rsidR="00962DDF" w:rsidRDefault="00CE7E83" w:rsidP="00CE7E83">
      <w:r>
        <w:t xml:space="preserve">Apart from explicit references, most CSR </w:t>
      </w:r>
      <w:r w:rsidRPr="00816E49">
        <w:t xml:space="preserve">are implicitly addressed. This means that very often the structural reforms of challenges raised in the CSR can be linked to the selected </w:t>
      </w:r>
      <w:r w:rsidR="00962DDF">
        <w:t>T</w:t>
      </w:r>
      <w:r w:rsidRPr="00816E49">
        <w:t xml:space="preserve">hematic </w:t>
      </w:r>
      <w:r w:rsidR="00962DDF">
        <w:t>O</w:t>
      </w:r>
      <w:r w:rsidRPr="00816E49">
        <w:t>bjectives and the main results expected.</w:t>
      </w:r>
      <w:r>
        <w:t xml:space="preserve"> In other words, according to the analysis of the national experts</w:t>
      </w:r>
      <w:r w:rsidR="00962DDF">
        <w:t>,</w:t>
      </w:r>
      <w:r>
        <w:t xml:space="preserve"> actual linkages to the CSR and the Semester are much more frequent and pervasive than what emerges from the count of direct references (i.e. only in </w:t>
      </w:r>
      <w:r w:rsidRPr="00780138">
        <w:t>40% of the cases</w:t>
      </w:r>
      <w:r>
        <w:t xml:space="preserve"> there is a direct reference according to the study on the use of new provisions). </w:t>
      </w:r>
      <w:r w:rsidR="009A1295" w:rsidRPr="009A1295">
        <w:t xml:space="preserve"> One reason for addressing CSR implicitly may be the need for respecting thematic concentration requirements of the Regulations which do not allow an extensive coverage of all challenges in specific TOs and IPs.   </w:t>
      </w:r>
    </w:p>
    <w:p w:rsidR="00CE7E83" w:rsidRDefault="00CE7E83" w:rsidP="00CE7E83">
      <w:r>
        <w:t>The following observations can be made on the extent to which CSR and other structural challenges are actually “embodied” in the Partnership Agreement:</w:t>
      </w:r>
    </w:p>
    <w:p w:rsidR="00CE7E83" w:rsidRDefault="00CE7E83" w:rsidP="00CE7E83">
      <w:pPr>
        <w:pStyle w:val="Bulletpoint1"/>
      </w:pPr>
      <w:r>
        <w:t xml:space="preserve">In the majority of the Partnership Agreements, explicit references to CSR and/or structural challenges emerging from the Country Reports are concentrated in </w:t>
      </w:r>
      <w:r w:rsidRPr="00C7200B">
        <w:t>Section 1.3</w:t>
      </w:r>
      <w:r>
        <w:t xml:space="preserve"> on “</w:t>
      </w:r>
      <w:r w:rsidRPr="00C7200B">
        <w:t>Selected thematic objectives, and summary of the main results expected for each of the ESI Funds</w:t>
      </w:r>
      <w:r>
        <w:t>”. Implicit linkages to CSR/structural challenges are spread throughout the documents.</w:t>
      </w:r>
    </w:p>
    <w:p w:rsidR="00CE7E83" w:rsidRDefault="00CE7E83" w:rsidP="00CE7E83">
      <w:pPr>
        <w:pStyle w:val="Bulletpoint1"/>
      </w:pPr>
      <w:r>
        <w:t>Also S</w:t>
      </w:r>
      <w:r w:rsidRPr="0043270C">
        <w:t xml:space="preserve">ection 2.5 on </w:t>
      </w:r>
      <w:r>
        <w:t>“</w:t>
      </w:r>
      <w:r w:rsidRPr="0043270C">
        <w:t>assessment of the needs in terms of administrative capacity</w:t>
      </w:r>
      <w:r>
        <w:t>”, explicitly or implicitly address CSR,</w:t>
      </w:r>
      <w:r w:rsidRPr="002B7A0F">
        <w:t xml:space="preserve"> </w:t>
      </w:r>
      <w:r>
        <w:t xml:space="preserve">apart for a few cases (e.g. Netherlands, Poland). For instance in Slovenia, the PA does not include an explicit reference to CSR but highlights that one of the actions to be carried out concerns the need for adequate administrative capacity (especially in the field of public procurement and environmental impact assessments), which is in line with one of the issues raised in the 2014 Country Report (3.1). In France, the PA </w:t>
      </w:r>
      <w:r w:rsidRPr="0043270C">
        <w:t>clearly includes CSR views</w:t>
      </w:r>
      <w:r>
        <w:t xml:space="preserve"> but </w:t>
      </w:r>
      <w:r w:rsidRPr="0043270C">
        <w:t xml:space="preserve">it is not clear whether the CSR have actually </w:t>
      </w:r>
      <w:r>
        <w:t>had</w:t>
      </w:r>
      <w:r w:rsidRPr="0043270C">
        <w:t xml:space="preserve"> a role in the national debate. In fact, the French position of diversifying the MAs was exactly the contrary of the European Commission position, especially </w:t>
      </w:r>
      <w:r w:rsidR="00962DDF">
        <w:t xml:space="preserve">in relation to </w:t>
      </w:r>
      <w:r w:rsidRPr="0043270C">
        <w:t>ESF.</w:t>
      </w:r>
    </w:p>
    <w:p w:rsidR="00CE7E83" w:rsidRDefault="00CE7E83" w:rsidP="00CE7E83">
      <w:r>
        <w:t>In each Partnership Agreement</w:t>
      </w:r>
      <w:r w:rsidR="009A1295">
        <w:t>, most of which are highly coherent with the CPP as explained at the beginning of this paragraph,</w:t>
      </w:r>
      <w:r>
        <w:t xml:space="preserve"> there is </w:t>
      </w:r>
      <w:r w:rsidRPr="00C461C9">
        <w:rPr>
          <w:b/>
        </w:rPr>
        <w:t>a relatively limited number of CSR</w:t>
      </w:r>
      <w:r w:rsidR="009A1295">
        <w:rPr>
          <w:b/>
        </w:rPr>
        <w:t>/structural</w:t>
      </w:r>
      <w:r w:rsidRPr="00C461C9">
        <w:rPr>
          <w:b/>
        </w:rPr>
        <w:t xml:space="preserve"> challenges emerging from Country Reports</w:t>
      </w:r>
      <w:r w:rsidR="0074642E">
        <w:t xml:space="preserve"> </w:t>
      </w:r>
      <w:r>
        <w:t xml:space="preserve">which </w:t>
      </w:r>
      <w:r w:rsidRPr="00C461C9">
        <w:rPr>
          <w:b/>
        </w:rPr>
        <w:t>have not been addressed</w:t>
      </w:r>
      <w:r>
        <w:t xml:space="preserve"> either explicitly or implicitly. The following points can be highlighted in relation to non-considered CSR/structural challenges:</w:t>
      </w:r>
    </w:p>
    <w:p w:rsidR="00CE7E83" w:rsidRDefault="00CE7E83" w:rsidP="00CE7E83">
      <w:pPr>
        <w:pStyle w:val="Bulletpoint1"/>
      </w:pPr>
      <w:r>
        <w:t>In the majority of the cases, structural challenges not covered in the PA are those which are not directly cohesion relevant or that require legislative/regulatory changes to be taken at national level. Non-covered challenges are frequently linked to public finance and taxation, banking reform, liberalisation of services, reform of state-owned enterprises.</w:t>
      </w:r>
    </w:p>
    <w:p w:rsidR="00CE7E83" w:rsidRDefault="00CE7E83" w:rsidP="00FB40B0">
      <w:pPr>
        <w:pStyle w:val="Bulletpoint1"/>
      </w:pPr>
      <w:r>
        <w:t xml:space="preserve">Nonetheless, there are also several cases in which the PA does not tackle structural issues related to </w:t>
      </w:r>
      <w:r w:rsidR="00FB40B0">
        <w:t>a</w:t>
      </w:r>
      <w:r w:rsidR="00FB40B0" w:rsidRPr="00FB40B0">
        <w:t xml:space="preserve">ccess to employment and employability of workers </w:t>
      </w:r>
      <w:r>
        <w:t xml:space="preserve">(e.g. labour market segmentation in Poland and Portugal, employment protection in Romania and Slovenia), wage setting (Finland, Luxembourg, Italy), health and long-term care (Czech Republic, Belgium, Netherlands), </w:t>
      </w:r>
      <w:r w:rsidR="00FB40B0">
        <w:t>social h</w:t>
      </w:r>
      <w:r w:rsidR="00FB40B0" w:rsidRPr="00FB40B0">
        <w:t>ousing and other social infrastructure</w:t>
      </w:r>
      <w:r>
        <w:t xml:space="preserve"> (Denmark and Sweden), transport (e.g. France, Belgium, Finland), public administration</w:t>
      </w:r>
      <w:r w:rsidRPr="0018579C">
        <w:t xml:space="preserve"> </w:t>
      </w:r>
      <w:r>
        <w:t>and procurement, institutional capacity, justice (Germany, Netherlands). When this is the case, the lack of coverage is presumably caused by a mismatch between European and national priorities and a prevalence of the latter in the strategy underlying the PA</w:t>
      </w:r>
      <w:r w:rsidR="00934A9B">
        <w:t xml:space="preserve"> or by a commitment to address some structural issues with national resources rather than with ESIF, such as the case of CSR on public administration in Spain which are not addressed for this reason</w:t>
      </w:r>
      <w:r>
        <w:t xml:space="preserve">.  </w:t>
      </w:r>
    </w:p>
    <w:p w:rsidR="00CE7E83" w:rsidRDefault="00CE7E83" w:rsidP="00CE7E83">
      <w:pPr>
        <w:pStyle w:val="Bulletpoint1"/>
      </w:pPr>
      <w:r>
        <w:t>In some countries despite there are references to CSR, the explanation of how the programmes will address them is considered insufficient/not satisfactory by experts and hence scarcely credible. For example in Estonia, it is stated that activities under TO5 contribute to 2013 CSR 5.1 (b</w:t>
      </w:r>
      <w:r w:rsidRPr="00E33386">
        <w:t>etter balance local government revenue against devolved responsibilities. Improve the efficiency of local governments and ensure provision o</w:t>
      </w:r>
      <w:r>
        <w:t xml:space="preserve">f quality local public services). However, the </w:t>
      </w:r>
      <w:r w:rsidR="00962DDF">
        <w:t xml:space="preserve">provided </w:t>
      </w:r>
      <w:r>
        <w:t xml:space="preserve">explanation </w:t>
      </w:r>
      <w:r w:rsidRPr="00E33386">
        <w:t xml:space="preserve">of how “the proposed interventions [under TO5] will contribute to reduce the adverse environmental impact of human activities </w:t>
      </w:r>
      <w:r w:rsidRPr="00311DE1">
        <w:t xml:space="preserve">(incl. the economy and water transport) </w:t>
      </w:r>
      <w:r w:rsidRPr="00E33386">
        <w:t>and will also indirectly help to implement the CSR</w:t>
      </w:r>
      <w:r w:rsidR="00962DDF">
        <w:t>”</w:t>
      </w:r>
      <w:r w:rsidRPr="00E33386">
        <w:t xml:space="preserve"> is insufficient.</w:t>
      </w:r>
    </w:p>
    <w:p w:rsidR="00CE7E83" w:rsidRDefault="00CE7E83" w:rsidP="00CE7E83">
      <w:pPr>
        <w:pStyle w:val="Bulletpoint1"/>
      </w:pPr>
      <w:r>
        <w:t xml:space="preserve">In any case, the “missing” CSR/structural challenges are a minority </w:t>
      </w:r>
      <w:r w:rsidR="00962DDF">
        <w:t xml:space="preserve">if compared to the large number of issues highlighted in each country (as shown in task 2) </w:t>
      </w:r>
      <w:r>
        <w:t>and</w:t>
      </w:r>
      <w:r w:rsidR="00962DDF">
        <w:t>,</w:t>
      </w:r>
      <w:r>
        <w:t xml:space="preserve"> therefore</w:t>
      </w:r>
      <w:r w:rsidR="00962DDF">
        <w:t>,</w:t>
      </w:r>
      <w:r>
        <w:t xml:space="preserve"> the assessment of a good coverage of the issue brought forward by the Semester process in the Partnership Agreement is unaffected.   </w:t>
      </w:r>
    </w:p>
    <w:p w:rsidR="00CE7E83" w:rsidRDefault="00CE7E83" w:rsidP="00CE7E83">
      <w:r>
        <w:t xml:space="preserve">There is evidence that the selection of priorities is related to the recommendations made. </w:t>
      </w:r>
      <w:r w:rsidRPr="004548EA">
        <w:rPr>
          <w:b/>
        </w:rPr>
        <w:t xml:space="preserve">CSR and structural challenges of 2012-2014 play a central role in many </w:t>
      </w:r>
      <w:r>
        <w:rPr>
          <w:b/>
        </w:rPr>
        <w:t>(</w:t>
      </w:r>
      <w:r w:rsidRPr="004548EA">
        <w:rPr>
          <w:b/>
        </w:rPr>
        <w:t>but not all</w:t>
      </w:r>
      <w:r>
        <w:rPr>
          <w:b/>
        </w:rPr>
        <w:t>)</w:t>
      </w:r>
      <w:r w:rsidRPr="004548EA">
        <w:rPr>
          <w:b/>
        </w:rPr>
        <w:t xml:space="preserve"> cases</w:t>
      </w:r>
      <w:r>
        <w:t xml:space="preserve"> as they are referred to either explicitly or indirectly in the examined PA and, except some exceptions, the national experts highlighted a clear linkage between challenges raised and chosen priorities. In general the role of the CSR/structural challenges seems prominent in the EU13 countries while it was not so central in the EU15 Member States. The following points can be made in relation to the role of CSR/structural challenges in the choice of the programming priorities:   </w:t>
      </w:r>
    </w:p>
    <w:p w:rsidR="00CE7E83" w:rsidRDefault="00CE7E83" w:rsidP="00CE7E83">
      <w:pPr>
        <w:pStyle w:val="Bulletpoint1"/>
      </w:pPr>
      <w:r>
        <w:t xml:space="preserve">The PAs themselves explicitly claim that the strategy is aligned with the Country-Specific Recommendations and, apart from formal claims, there are also concrete indications on how the funding priorities are expected to contribute to pursue the policy recommendations, especially in the EU13 countries. For instance in Latvia, the PA first indicates that the funding priorities are aligned with the </w:t>
      </w:r>
      <w:r w:rsidR="005374DD">
        <w:t>CSR</w:t>
      </w:r>
      <w:r>
        <w:t xml:space="preserve"> mentioned in the document, as well as with the Europe 2020 goals. Then, in section 1.3 (para. 310), where the PA directly refers to the need for increasing R&amp;D efforts in Latvia, it is clearly outlined how the recommendation made should be addressed: “support in big cities (except Riga) will be </w:t>
      </w:r>
      <w:r w:rsidRPr="00A57C67">
        <w:t xml:space="preserve">implemented using ITI </w:t>
      </w:r>
      <w:r w:rsidR="00A57C67" w:rsidRPr="00A57C67">
        <w:t xml:space="preserve">(integrated territorial investments) </w:t>
      </w:r>
      <w:r w:rsidRPr="00A57C67">
        <w:t xml:space="preserve">approach, while the support in other territories will be complemented with CLLD </w:t>
      </w:r>
      <w:r w:rsidR="00A57C67" w:rsidRPr="00A57C67">
        <w:t xml:space="preserve">(community-led local development) </w:t>
      </w:r>
      <w:r w:rsidRPr="00A57C67">
        <w:t>measures within the framework of EAFRD and EMFF”. Even though other sections of the same paragraph can be less clear on the approach</w:t>
      </w:r>
      <w:r>
        <w:t xml:space="preserve"> undertaken to </w:t>
      </w:r>
      <w:r w:rsidR="00962DDF">
        <w:t xml:space="preserve">address </w:t>
      </w:r>
      <w:r>
        <w:t xml:space="preserve">the issue (e.g. para 310.1 “it is necessary to enhance the creation and development of new, innovative and viable SME’s </w:t>
      </w:r>
      <w:r w:rsidRPr="00962DDF">
        <w:rPr>
          <w:i/>
        </w:rPr>
        <w:t>int</w:t>
      </w:r>
      <w:r w:rsidR="00962DDF" w:rsidRPr="00962DDF">
        <w:rPr>
          <w:i/>
        </w:rPr>
        <w:t xml:space="preserve">er </w:t>
      </w:r>
      <w:r w:rsidRPr="00962DDF">
        <w:rPr>
          <w:i/>
        </w:rPr>
        <w:t>al</w:t>
      </w:r>
      <w:r w:rsidR="00962DDF" w:rsidRPr="00962DDF">
        <w:rPr>
          <w:i/>
        </w:rPr>
        <w:t>ia</w:t>
      </w:r>
      <w:r>
        <w:t xml:space="preserve"> providing them with consulting services required during the start-up stage, facilitating the access to finance, carrying out the by implementing financial instruments activities in accordance with the SME Access to Finance Market Gap assessment”), the general idea of how a recommendation would be fulfilled is conveyed by the paragraph as a whole. In Czech Republic, in</w:t>
      </w:r>
      <w:r w:rsidRPr="004E3275">
        <w:t xml:space="preserve"> the sphere of education (2014 </w:t>
      </w:r>
      <w:r w:rsidR="005374DD">
        <w:t>CSR</w:t>
      </w:r>
      <w:r w:rsidRPr="004E3275">
        <w:t xml:space="preserve"> 5</w:t>
      </w:r>
      <w:r>
        <w:t>.</w:t>
      </w:r>
      <w:r w:rsidRPr="004E3275">
        <w:t>1-5</w:t>
      </w:r>
      <w:r>
        <w:t>.</w:t>
      </w:r>
      <w:r w:rsidRPr="004E3275">
        <w:t>3 and 2014 CSR 4</w:t>
      </w:r>
      <w:r>
        <w:t>.</w:t>
      </w:r>
      <w:r w:rsidRPr="004E3275">
        <w:t xml:space="preserve">3), for instance, there is an explicit statement about </w:t>
      </w:r>
      <w:r>
        <w:t xml:space="preserve">the </w:t>
      </w:r>
      <w:r w:rsidRPr="004E3275">
        <w:t xml:space="preserve">extraordinary importance of the ESIF support to address the relevant </w:t>
      </w:r>
      <w:r>
        <w:t>challenges listed in CSR. Explicitly or not, the CSR play a relatively central role in the PA, especially when it comes to adopting and tailoring thematic objectives and funding priorities but, in certain cases, as highlighted by some EU13 country experts (e.g. Bulgaria), they were used as a supporting instrument rather than as a basis for creating the PA.</w:t>
      </w:r>
    </w:p>
    <w:p w:rsidR="00CE7E83" w:rsidRDefault="00CE7E83" w:rsidP="00CE7E83">
      <w:pPr>
        <w:pStyle w:val="Bulletpoint1"/>
      </w:pPr>
      <w:r>
        <w:t>In some EU15 Member States there are signs of more marginal importance of the recommendations. For instance in Denmark, CSR seem to play a central role but, according to the national expert, m</w:t>
      </w:r>
      <w:r w:rsidRPr="001408C7">
        <w:t xml:space="preserve">ost of the recommendations mentioned </w:t>
      </w:r>
      <w:r>
        <w:t xml:space="preserve">were already </w:t>
      </w:r>
      <w:r w:rsidRPr="001408C7">
        <w:t>high on the agenda</w:t>
      </w:r>
      <w:r>
        <w:t xml:space="preserve"> and hence we can argue that the</w:t>
      </w:r>
      <w:r w:rsidR="00962DDF">
        <w:t>y</w:t>
      </w:r>
      <w:r>
        <w:t xml:space="preserve"> would have been addressed anyway</w:t>
      </w:r>
      <w:r w:rsidRPr="001408C7">
        <w:t>.</w:t>
      </w:r>
      <w:r>
        <w:t xml:space="preserve"> In Germany, the Partnership Agreement itself makes it clear that </w:t>
      </w:r>
      <w:r w:rsidRPr="00816E49">
        <w:t xml:space="preserve">the CSR are not directly relevant for ESI fund support in </w:t>
      </w:r>
      <w:r w:rsidR="00934A9B">
        <w:t xml:space="preserve">the country </w:t>
      </w:r>
      <w:r w:rsidRPr="00816E49">
        <w:t xml:space="preserve">because they </w:t>
      </w:r>
      <w:r>
        <w:t xml:space="preserve">mostly </w:t>
      </w:r>
      <w:r w:rsidRPr="00816E49">
        <w:t xml:space="preserve">concern the stabilisation of growth and employment and the financial sector. </w:t>
      </w:r>
      <w:r>
        <w:t xml:space="preserve">In other cases, despite the importance of CSR and their clear link with the chosen priorities, the selected approach seems insufficient to contribute to address some of the challenges identified in the framework of the Semester, even though they are addressed in the PA. For example in Spain, according to the expert, much more could be done to facilitate SME investment, to improve coordination between national and regional policy and to boost public-private </w:t>
      </w:r>
      <w:r w:rsidR="005A35C3">
        <w:t xml:space="preserve">cooperation </w:t>
      </w:r>
      <w:r>
        <w:t>in RTDI. Despite the importance of these challenges is remarked in the PA, in fact</w:t>
      </w:r>
      <w:r w:rsidR="005A35C3">
        <w:t>,</w:t>
      </w:r>
      <w:r>
        <w:t xml:space="preserve"> public funding has decreased in 2012-2015. Also, there is scope for a better definition of priorities and funding</w:t>
      </w:r>
      <w:r w:rsidR="005A35C3">
        <w:t>, in this country,</w:t>
      </w:r>
      <w:r>
        <w:t xml:space="preserve"> for reducing youth unemployment and increasing employability of young people and vulnerable groups.</w:t>
      </w:r>
    </w:p>
    <w:p w:rsidR="00CE7E83" w:rsidRDefault="005A35C3" w:rsidP="003671B0">
      <w:r>
        <w:t>To conclude, t</w:t>
      </w:r>
      <w:r w:rsidR="00CE7E83">
        <w:t xml:space="preserve">he </w:t>
      </w:r>
      <w:r w:rsidR="00CE7E83" w:rsidRPr="003F1D05">
        <w:rPr>
          <w:b/>
        </w:rPr>
        <w:t xml:space="preserve">overall alignment between the Partnership Agreements and the CSR as well as other structural challenges is </w:t>
      </w:r>
      <w:r w:rsidR="00CE7E83">
        <w:rPr>
          <w:b/>
        </w:rPr>
        <w:t>“</w:t>
      </w:r>
      <w:r w:rsidR="00CE7E83" w:rsidRPr="003F1D05">
        <w:rPr>
          <w:b/>
        </w:rPr>
        <w:t>medium-high</w:t>
      </w:r>
      <w:r w:rsidR="00CE7E83">
        <w:rPr>
          <w:b/>
        </w:rPr>
        <w:t>”</w:t>
      </w:r>
      <w:r w:rsidR="00CE7E83">
        <w:t>. In other words, t</w:t>
      </w:r>
      <w:r w:rsidR="00CE7E83" w:rsidRPr="00862E9B">
        <w:t>he document</w:t>
      </w:r>
      <w:r w:rsidR="00CE7E83">
        <w:t>s address</w:t>
      </w:r>
      <w:r w:rsidR="00CE7E83" w:rsidRPr="00862E9B">
        <w:t xml:space="preserve"> key areas of structural challenges</w:t>
      </w:r>
      <w:r w:rsidR="00CE7E83">
        <w:t xml:space="preserve"> most of the times and t</w:t>
      </w:r>
      <w:r w:rsidR="00CE7E83" w:rsidRPr="00862E9B">
        <w:t xml:space="preserve">he initiatives envisaged contribute to tackle </w:t>
      </w:r>
      <w:r w:rsidR="00CE7E83">
        <w:t xml:space="preserve">such challenges. In </w:t>
      </w:r>
      <w:r>
        <w:t xml:space="preserve">a minority of </w:t>
      </w:r>
      <w:r w:rsidR="00CE7E83">
        <w:t xml:space="preserve">countries (e.g. France and Portugal) the alignment was assessed as </w:t>
      </w:r>
      <w:r>
        <w:t xml:space="preserve">relatively </w:t>
      </w:r>
      <w:r w:rsidR="00CE7E83">
        <w:t>limited (or medium-low). Apart from the need to strengthen active labour market policies, several recommendations related to employment protection, LM segmentation, participation and wage setting were not targeted in Portugal</w:t>
      </w:r>
      <w:r w:rsidR="003671B0">
        <w:rPr>
          <w:rStyle w:val="FootnoteReference"/>
        </w:rPr>
        <w:footnoteReference w:id="16"/>
      </w:r>
      <w:r w:rsidR="00CE7E83">
        <w:t>. Also regarding transport, the references to relevant CSR are vague</w:t>
      </w:r>
      <w:r>
        <w:t xml:space="preserve"> in the experts’ view</w:t>
      </w:r>
      <w:r w:rsidR="00CE7E83">
        <w:t xml:space="preserve"> and do not cover issues like ports sector reforms, ports and metropolitan transport concessions, financial sustainability and management independence of state owned transport companies, and increased efficiency and competition in the railway sector. In France, except for a common appraisal between the Commission and the French government on the importance of human development and social issues (e.g. fight against poverty, need for helping vulnerable groups, the situation of youth and older people in LM, access to lifelong learning), a large number of </w:t>
      </w:r>
      <w:r w:rsidR="005374DD">
        <w:t>CSR</w:t>
      </w:r>
      <w:r w:rsidR="00CE7E83">
        <w:t xml:space="preserve"> are not considered because there is a French political choice to pay attention first to increase competitiveness by innovation and not by liberalisation of the economy as suggested by the recommendations. Management of EU funds is another area characterised by a significant mismatch between the Commission and the French positions</w:t>
      </w:r>
      <w:r w:rsidR="00CE7E83" w:rsidRPr="007665F3">
        <w:t>.</w:t>
      </w:r>
      <w:r w:rsidR="00CE7E83">
        <w:t xml:space="preserve"> Following the 2014 decentralisation reform, the Regions have taken the role of MA on the ERDF, the EARDF and 35% of the ESF programmes, corresponding to the areas of vocational training for youth and job seekers and corresponding part of the YEI program, with dividing lines between the national and regional ESF OP which were often negotiated region by region, in particular in relation to the school drop-outs and to support to business creation. The current situation is very diverse between regions and it may soon change because the state is experimenting a delegation of the employment policy to regions.</w:t>
      </w:r>
    </w:p>
    <w:p w:rsidR="00CE7E83" w:rsidRDefault="00CE7E83" w:rsidP="00CE7E83">
      <w:pPr>
        <w:pStyle w:val="Bulletpoint1"/>
        <w:numPr>
          <w:ilvl w:val="0"/>
          <w:numId w:val="0"/>
        </w:numPr>
        <w:ind w:left="720" w:hanging="360"/>
      </w:pPr>
    </w:p>
    <w:p w:rsidR="00CE7E83" w:rsidRDefault="00CE7E83" w:rsidP="00CE7E83">
      <w:pPr>
        <w:pStyle w:val="Bulletpoint1"/>
        <w:numPr>
          <w:ilvl w:val="0"/>
          <w:numId w:val="0"/>
        </w:numPr>
        <w:ind w:left="720" w:hanging="360"/>
        <w:sectPr w:rsidR="00CE7E83" w:rsidSect="0061607F">
          <w:footerReference w:type="default" r:id="rId28"/>
          <w:pgSz w:w="11907" w:h="16839" w:code="9"/>
          <w:pgMar w:top="1418" w:right="1418" w:bottom="851" w:left="1701" w:header="567" w:footer="720" w:gutter="0"/>
          <w:cols w:space="720"/>
          <w:docGrid w:linePitch="326"/>
        </w:sectPr>
      </w:pPr>
    </w:p>
    <w:p w:rsidR="003D0E01" w:rsidRDefault="003D0E01" w:rsidP="003D0E01">
      <w:pPr>
        <w:pStyle w:val="Heading2"/>
      </w:pPr>
      <w:bookmarkStart w:id="28" w:name="_Toc466826795"/>
      <w:r>
        <w:t>Analysis of Operational Programmes</w:t>
      </w:r>
      <w:bookmarkEnd w:id="28"/>
    </w:p>
    <w:p w:rsidR="003D0E01" w:rsidRPr="00D40ADA" w:rsidRDefault="003D0E01" w:rsidP="003D0E01">
      <w:pPr>
        <w:pStyle w:val="Heading3"/>
      </w:pPr>
      <w:bookmarkStart w:id="29" w:name="_Toc466826796"/>
      <w:r>
        <w:t xml:space="preserve">Summary of the approach to set out how CRS/structural challenges have been </w:t>
      </w:r>
      <w:r w:rsidR="004C00D9">
        <w:t>addressed by</w:t>
      </w:r>
      <w:r>
        <w:t xml:space="preserve"> the OPs</w:t>
      </w:r>
      <w:bookmarkEnd w:id="29"/>
    </w:p>
    <w:p w:rsidR="003D0E01" w:rsidRDefault="003D0E01" w:rsidP="003D0E01">
      <w:pPr>
        <w:rPr>
          <w:lang w:eastAsia="it-IT"/>
        </w:rPr>
      </w:pPr>
      <w:r>
        <w:t xml:space="preserve">A qualitative analysis of Operational Programmes was carried out in this task. </w:t>
      </w:r>
      <w:r w:rsidR="00044F86">
        <w:t xml:space="preserve">This </w:t>
      </w:r>
      <w:r>
        <w:t xml:space="preserve">analysis, done by the national experts on the basis of the templates (one specific for each fund), was complemented by interviews with </w:t>
      </w:r>
      <w:r w:rsidRPr="00596D5E">
        <w:rPr>
          <w:lang w:eastAsia="it-IT"/>
        </w:rPr>
        <w:t>policy authorities in charge of the European Semester or sectoral reforms (e.g. ministries, agencies, EU representations)</w:t>
      </w:r>
      <w:r>
        <w:rPr>
          <w:lang w:eastAsia="it-IT"/>
        </w:rPr>
        <w:t xml:space="preserve"> as well as MAs</w:t>
      </w:r>
      <w:r w:rsidR="003671B0">
        <w:rPr>
          <w:rStyle w:val="FootnoteReference"/>
          <w:lang w:eastAsia="it-IT"/>
        </w:rPr>
        <w:footnoteReference w:id="17"/>
      </w:r>
      <w:r w:rsidRPr="00596D5E">
        <w:rPr>
          <w:lang w:eastAsia="it-IT"/>
        </w:rPr>
        <w:t xml:space="preserve">. </w:t>
      </w:r>
    </w:p>
    <w:p w:rsidR="003D0E01" w:rsidRDefault="003D0E01" w:rsidP="003D0E01">
      <w:pPr>
        <w:rPr>
          <w:lang w:eastAsia="it-IT"/>
        </w:rPr>
      </w:pPr>
      <w:r>
        <w:rPr>
          <w:lang w:eastAsia="it-IT"/>
        </w:rPr>
        <w:t xml:space="preserve">The findings of the desk analysis of programming documents, including CPP and PA, and of the interviews feeds into the Country Fiches annexed to this report. These Country Fiches now only deal with task 3 while in the Second Interim Report they will also contain relevant findings of task 4 and 5.   </w:t>
      </w:r>
    </w:p>
    <w:p w:rsidR="003D0E01" w:rsidRDefault="003D0E01" w:rsidP="003D0E01">
      <w:pPr>
        <w:spacing w:after="120"/>
      </w:pPr>
      <w:r>
        <w:t xml:space="preserve">The distribution of direct interviews which are relatively limited in absolute number </w:t>
      </w:r>
      <w:r w:rsidR="002A0475">
        <w:t xml:space="preserve">has </w:t>
      </w:r>
      <w:r>
        <w:t xml:space="preserve">been balanced across countries on the basis of the following main criteria: </w:t>
      </w:r>
    </w:p>
    <w:p w:rsidR="003D0E01" w:rsidRDefault="003D0E01" w:rsidP="003D0E01">
      <w:pPr>
        <w:pStyle w:val="Bulletpoint1"/>
      </w:pPr>
      <w:r>
        <w:t>Ensure coverage of all EU28 MS.</w:t>
      </w:r>
    </w:p>
    <w:p w:rsidR="003D0E01" w:rsidRDefault="003D0E01" w:rsidP="003D0E01">
      <w:pPr>
        <w:pStyle w:val="Bulletpoint1"/>
      </w:pPr>
      <w:r>
        <w:t>Take into account the total number of programmes (ESF, ERDF/ CF, EAFRD, EMFF) to be examined by country for deciding the total number of interviews per MS.</w:t>
      </w:r>
    </w:p>
    <w:p w:rsidR="003D0E01" w:rsidRDefault="003D0E01" w:rsidP="003D0E01">
      <w:pPr>
        <w:pStyle w:val="Bulletpoint1"/>
      </w:pPr>
      <w:r>
        <w:t xml:space="preserve">Ensure a balance between the different types of stakeholders (e.g. MAs vs. officials responsible for the European Semester </w:t>
      </w:r>
      <w:r w:rsidR="002A0475">
        <w:t xml:space="preserve">where the former </w:t>
      </w:r>
      <w:r>
        <w:t xml:space="preserve">should be at least 1/3 of the total stakeholders interviewed). </w:t>
      </w:r>
    </w:p>
    <w:p w:rsidR="003D0E01" w:rsidRDefault="003D0E01" w:rsidP="003D0E01">
      <w:pPr>
        <w:pStyle w:val="Bulletpoint1"/>
      </w:pPr>
      <w:r>
        <w:t>In the interviews with MAs, pursue c</w:t>
      </w:r>
      <w:r w:rsidRPr="005B5045">
        <w:t>overage of both regional and national OPs, prioriti</w:t>
      </w:r>
      <w:r w:rsidR="002A0475">
        <w:t>s</w:t>
      </w:r>
      <w:r w:rsidRPr="005B5045">
        <w:t>ing the latter, since structural reforms often require national intervention</w:t>
      </w:r>
      <w:r w:rsidRPr="005C7EA3">
        <w:rPr>
          <w:rStyle w:val="FootnoteReference"/>
        </w:rPr>
        <w:footnoteReference w:id="18"/>
      </w:r>
      <w:r w:rsidRPr="005B5045">
        <w:t>.</w:t>
      </w:r>
    </w:p>
    <w:p w:rsidR="003D0E01" w:rsidRDefault="003D0E01" w:rsidP="003D0E01">
      <w:r>
        <w:t xml:space="preserve">The first batch of interviews (within task 3) have been conducted in the relevant languages by national experts. Considering the limited number of interviews to be carried out in each country, the expert have been asked to propose the target of the interviews to the core team and agree with them on the interviewees before planning them. When a potential interviewee was not available, the expert tried to replace her/him with an equivalent person in the same organisation or another relevant organisation in the country.    </w:t>
      </w:r>
    </w:p>
    <w:p w:rsidR="003D0E01" w:rsidRPr="00596D5E" w:rsidRDefault="003D0E01" w:rsidP="003D0E01">
      <w:pPr>
        <w:rPr>
          <w:lang w:eastAsia="it-IT"/>
        </w:rPr>
      </w:pPr>
      <w:r>
        <w:rPr>
          <w:lang w:eastAsia="it-IT"/>
        </w:rPr>
        <w:t>T</w:t>
      </w:r>
      <w:r w:rsidRPr="00596D5E">
        <w:rPr>
          <w:lang w:eastAsia="it-IT"/>
        </w:rPr>
        <w:t xml:space="preserve">he </w:t>
      </w:r>
      <w:r>
        <w:rPr>
          <w:lang w:eastAsia="it-IT"/>
        </w:rPr>
        <w:t>interviews have been structured around the f</w:t>
      </w:r>
      <w:r w:rsidRPr="00596D5E">
        <w:rPr>
          <w:lang w:eastAsia="it-IT"/>
        </w:rPr>
        <w:t xml:space="preserve">ollowing main questions: </w:t>
      </w:r>
    </w:p>
    <w:p w:rsidR="003D0E01" w:rsidRDefault="003D0E01" w:rsidP="003D0E01">
      <w:pPr>
        <w:pStyle w:val="Bulletpoint1"/>
        <w:rPr>
          <w:lang w:eastAsia="it-IT"/>
        </w:rPr>
      </w:pPr>
      <w:r>
        <w:rPr>
          <w:lang w:eastAsia="it-IT"/>
        </w:rPr>
        <w:t xml:space="preserve">In your experience, what are the main steps of the process of “incorporating” CSRs in programming? Who have been the key actors of this process?  </w:t>
      </w:r>
    </w:p>
    <w:p w:rsidR="003D0E01" w:rsidRDefault="003D0E01" w:rsidP="003D0E01">
      <w:pPr>
        <w:pStyle w:val="Bulletpoint1"/>
        <w:rPr>
          <w:lang w:eastAsia="it-IT"/>
        </w:rPr>
      </w:pPr>
      <w:r>
        <w:rPr>
          <w:lang w:eastAsia="it-IT"/>
        </w:rPr>
        <w:t xml:space="preserve">For the national government what CSRs are now priority? How does it want to pursue them? </w:t>
      </w:r>
    </w:p>
    <w:p w:rsidR="003D0E01" w:rsidRDefault="003D0E01" w:rsidP="003D0E01">
      <w:pPr>
        <w:pStyle w:val="Bulletpoint1"/>
        <w:rPr>
          <w:lang w:eastAsia="it-IT"/>
        </w:rPr>
      </w:pPr>
      <w:r>
        <w:rPr>
          <w:lang w:eastAsia="it-IT"/>
        </w:rPr>
        <w:t xml:space="preserve">Whether and how the </w:t>
      </w:r>
      <w:r w:rsidRPr="00596D5E">
        <w:rPr>
          <w:lang w:eastAsia="it-IT"/>
        </w:rPr>
        <w:t>reforms</w:t>
      </w:r>
      <w:r>
        <w:rPr>
          <w:lang w:eastAsia="it-IT"/>
        </w:rPr>
        <w:t xml:space="preserve"> required by the CSRs are monitored</w:t>
      </w:r>
      <w:r w:rsidRPr="00596D5E">
        <w:rPr>
          <w:lang w:eastAsia="it-IT"/>
        </w:rPr>
        <w:t>.</w:t>
      </w:r>
    </w:p>
    <w:p w:rsidR="003D0E01" w:rsidRPr="00596D5E" w:rsidRDefault="003D0E01" w:rsidP="003D0E01">
      <w:pPr>
        <w:pStyle w:val="Bulletpoint1"/>
      </w:pPr>
      <w:r>
        <w:t>Whether and to what extent (if applicable) selection criteria respond to the need for implementing structural reforms. Are there relevant examples of how selection criteria can contribute to pursue CSRs? (e.g. in cases in which an administration makes sure that procurement is appropriately managed and</w:t>
      </w:r>
      <w:r w:rsidR="00336C73">
        <w:t>/or</w:t>
      </w:r>
      <w:r>
        <w:t xml:space="preserve"> the country received a CSR on improving such aspects). </w:t>
      </w:r>
    </w:p>
    <w:p w:rsidR="003D0E01" w:rsidRPr="00596D5E" w:rsidRDefault="003D0E01" w:rsidP="003D0E01">
      <w:pPr>
        <w:pStyle w:val="Bulletpoint1"/>
        <w:rPr>
          <w:lang w:eastAsia="it-IT"/>
        </w:rPr>
      </w:pPr>
      <w:r w:rsidRPr="00596D5E">
        <w:rPr>
          <w:lang w:eastAsia="it-IT"/>
        </w:rPr>
        <w:t>How the partnership principle</w:t>
      </w:r>
      <w:r>
        <w:rPr>
          <w:rStyle w:val="FootnoteReference"/>
          <w:lang w:eastAsia="it-IT"/>
        </w:rPr>
        <w:footnoteReference w:id="19"/>
      </w:r>
      <w:r w:rsidRPr="00596D5E">
        <w:rPr>
          <w:lang w:eastAsia="it-IT"/>
        </w:rPr>
        <w:t xml:space="preserve"> was applied and whether it added value to the process. </w:t>
      </w:r>
    </w:p>
    <w:p w:rsidR="003D0E01" w:rsidRPr="00596D5E" w:rsidRDefault="003D0E01" w:rsidP="003D0E01">
      <w:pPr>
        <w:pStyle w:val="Bulletpoint1"/>
        <w:rPr>
          <w:lang w:eastAsia="it-IT"/>
        </w:rPr>
      </w:pPr>
      <w:r w:rsidRPr="00596D5E">
        <w:rPr>
          <w:lang w:eastAsia="it-IT"/>
        </w:rPr>
        <w:t>Which obstacles hamper</w:t>
      </w:r>
      <w:r>
        <w:rPr>
          <w:lang w:eastAsia="it-IT"/>
        </w:rPr>
        <w:t xml:space="preserve"> </w:t>
      </w:r>
      <w:r w:rsidRPr="00596D5E">
        <w:rPr>
          <w:lang w:eastAsia="it-IT"/>
        </w:rPr>
        <w:t>the implementation of the CSRs</w:t>
      </w:r>
      <w:r>
        <w:rPr>
          <w:lang w:eastAsia="it-IT"/>
        </w:rPr>
        <w:t xml:space="preserve"> in the interviewees’ views</w:t>
      </w:r>
      <w:r w:rsidRPr="00596D5E">
        <w:rPr>
          <w:lang w:eastAsia="it-IT"/>
        </w:rPr>
        <w:t xml:space="preserve"> (e.g. the timing of the regulations, </w:t>
      </w:r>
      <w:r>
        <w:rPr>
          <w:lang w:eastAsia="it-IT"/>
        </w:rPr>
        <w:t xml:space="preserve">changes to / elimination of CSRs during the programming process, </w:t>
      </w:r>
      <w:r w:rsidRPr="00596D5E">
        <w:rPr>
          <w:lang w:eastAsia="it-IT"/>
        </w:rPr>
        <w:t>the lack of responsibility as regards carrying out reforms, the financial allocation which required a concentration on few objectives/priorities and left little to tackle other issues etc.)</w:t>
      </w:r>
    </w:p>
    <w:p w:rsidR="003D0E01" w:rsidRPr="00596D5E" w:rsidRDefault="003D0E01" w:rsidP="003D0E01">
      <w:pPr>
        <w:pStyle w:val="Bulletpoint1"/>
        <w:rPr>
          <w:lang w:eastAsia="it-IT"/>
        </w:rPr>
      </w:pPr>
      <w:r w:rsidRPr="00596D5E">
        <w:rPr>
          <w:lang w:eastAsia="it-IT"/>
        </w:rPr>
        <w:t xml:space="preserve">The CSRs are produced each year while Cohesion Policies are planned over a seven-year period. </w:t>
      </w:r>
      <w:r>
        <w:rPr>
          <w:lang w:eastAsia="it-IT"/>
        </w:rPr>
        <w:t>T</w:t>
      </w:r>
      <w:r w:rsidRPr="00596D5E">
        <w:rPr>
          <w:lang w:eastAsia="it-IT"/>
        </w:rPr>
        <w:t xml:space="preserve">o what extent </w:t>
      </w:r>
      <w:r>
        <w:rPr>
          <w:lang w:eastAsia="it-IT"/>
        </w:rPr>
        <w:t xml:space="preserve">and why, in the experience of the interviewee, </w:t>
      </w:r>
      <w:r w:rsidRPr="00596D5E">
        <w:rPr>
          <w:lang w:eastAsia="it-IT"/>
        </w:rPr>
        <w:t xml:space="preserve">these different </w:t>
      </w:r>
      <w:r>
        <w:rPr>
          <w:lang w:eastAsia="it-IT"/>
        </w:rPr>
        <w:t xml:space="preserve">timing </w:t>
      </w:r>
      <w:r w:rsidRPr="00596D5E">
        <w:rPr>
          <w:lang w:eastAsia="it-IT"/>
        </w:rPr>
        <w:t xml:space="preserve">approaches limited the effectiveness of the implementation of </w:t>
      </w:r>
      <w:r>
        <w:rPr>
          <w:lang w:eastAsia="it-IT"/>
        </w:rPr>
        <w:t>the CSRs</w:t>
      </w:r>
      <w:r w:rsidRPr="00596D5E">
        <w:rPr>
          <w:lang w:eastAsia="it-IT"/>
        </w:rPr>
        <w:t xml:space="preserve">. </w:t>
      </w:r>
    </w:p>
    <w:p w:rsidR="003D0E01" w:rsidRPr="00596D5E" w:rsidRDefault="003D0E01" w:rsidP="003D0E01">
      <w:pPr>
        <w:pStyle w:val="Bulletpoint1"/>
      </w:pPr>
      <w:r w:rsidRPr="00596D5E">
        <w:t xml:space="preserve">In cases in which ESI Funds are not used to contribute to CSRs and structural reforms, what are the reasons for not using them. </w:t>
      </w:r>
    </w:p>
    <w:p w:rsidR="003D0E01" w:rsidRDefault="003D0E01" w:rsidP="003D0E01">
      <w:r>
        <w:t xml:space="preserve">In </w:t>
      </w:r>
      <w:r w:rsidRPr="002B3BB7">
        <w:t xml:space="preserve">total </w:t>
      </w:r>
      <w:r w:rsidR="00CA2DE3">
        <w:t>64</w:t>
      </w:r>
      <w:r w:rsidRPr="002B3BB7">
        <w:t xml:space="preserve"> interviews</w:t>
      </w:r>
      <w:r>
        <w:t xml:space="preserve"> of key stakeholders were carried </w:t>
      </w:r>
      <w:r w:rsidRPr="003671B0">
        <w:t>out by national experts in this phase (</w:t>
      </w:r>
      <w:r w:rsidR="00D72599" w:rsidRPr="006D5D58">
        <w:t>see attached list of people interviewed</w:t>
      </w:r>
      <w:r>
        <w:t>)</w:t>
      </w:r>
      <w:r w:rsidR="001C44B9">
        <w:t>, others are already planned</w:t>
      </w:r>
      <w:r>
        <w:t xml:space="preserve">. As indicated in the Methodological Report, the total number of minimum 80 interviews foreseen in the </w:t>
      </w:r>
      <w:proofErr w:type="spellStart"/>
      <w:r>
        <w:t>ToR</w:t>
      </w:r>
      <w:proofErr w:type="spellEnd"/>
      <w:r>
        <w:t xml:space="preserve"> are distributed in a balanced manner among tasks and across countries taking into account the number of OPs examined for each Member State.  </w:t>
      </w:r>
    </w:p>
    <w:p w:rsidR="003D0E01" w:rsidRDefault="003D0E01" w:rsidP="003D0E01">
      <w:r>
        <w:t xml:space="preserve">The following table shows the programmes examines and the interviews carried out by country as part of Task 3.  </w:t>
      </w:r>
    </w:p>
    <w:p w:rsidR="003D0E01" w:rsidRDefault="003D0E01" w:rsidP="003D0E01"/>
    <w:p w:rsidR="003D0E01" w:rsidRDefault="003D0E01" w:rsidP="003D0E01">
      <w:pPr>
        <w:pStyle w:val="Caption"/>
        <w:sectPr w:rsidR="003D0E01" w:rsidSect="003D0E01">
          <w:footerReference w:type="default" r:id="rId29"/>
          <w:pgSz w:w="11907" w:h="16839" w:code="9"/>
          <w:pgMar w:top="1418" w:right="1418" w:bottom="851" w:left="1701" w:header="567" w:footer="720" w:gutter="0"/>
          <w:cols w:space="720"/>
          <w:docGrid w:linePitch="326"/>
        </w:sectPr>
      </w:pPr>
    </w:p>
    <w:p w:rsidR="003D0E01" w:rsidRDefault="003D0E01" w:rsidP="003D0E01">
      <w:pPr>
        <w:pStyle w:val="Caption"/>
        <w:rPr>
          <w:b w:val="0"/>
        </w:rPr>
      </w:pPr>
      <w:r>
        <w:t xml:space="preserve">Table </w:t>
      </w:r>
      <w:r w:rsidR="00C52F7F">
        <w:fldChar w:fldCharType="begin"/>
      </w:r>
      <w:r w:rsidR="00F62F72">
        <w:instrText xml:space="preserve"> SEQ Table \* ARABIC </w:instrText>
      </w:r>
      <w:r w:rsidR="00C52F7F">
        <w:fldChar w:fldCharType="separate"/>
      </w:r>
      <w:r w:rsidR="00183DCC">
        <w:rPr>
          <w:noProof/>
        </w:rPr>
        <w:t>8</w:t>
      </w:r>
      <w:r w:rsidR="00C52F7F">
        <w:rPr>
          <w:noProof/>
        </w:rPr>
        <w:fldChar w:fldCharType="end"/>
      </w:r>
      <w:r>
        <w:t xml:space="preserve"> - Programmes examined and related distribution of first batch of interviews by MS </w:t>
      </w:r>
      <w:r w:rsidRPr="00583E12">
        <w:rPr>
          <w:b w:val="0"/>
        </w:rPr>
        <w:t>(excluding case studies interviews)</w:t>
      </w: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04"/>
        <w:gridCol w:w="1701"/>
        <w:gridCol w:w="993"/>
        <w:gridCol w:w="1133"/>
        <w:gridCol w:w="709"/>
        <w:gridCol w:w="1133"/>
        <w:gridCol w:w="2119"/>
      </w:tblGrid>
      <w:tr w:rsidR="00BF183C" w:rsidRPr="00BF183C" w:rsidTr="00BF183C">
        <w:trPr>
          <w:trHeight w:val="300"/>
        </w:trPr>
        <w:tc>
          <w:tcPr>
            <w:tcW w:w="669" w:type="pct"/>
            <w:shd w:val="clear" w:color="auto" w:fill="BFBFBF" w:themeFill="background1" w:themeFillShade="BF"/>
            <w:noWrap/>
            <w:tcMar>
              <w:top w:w="0" w:type="dxa"/>
              <w:left w:w="70" w:type="dxa"/>
              <w:bottom w:w="0" w:type="dxa"/>
              <w:right w:w="70" w:type="dxa"/>
            </w:tcMar>
            <w:vAlign w:val="center"/>
            <w:hideMark/>
          </w:tcPr>
          <w:p w:rsidR="00BF183C" w:rsidRPr="00BF183C" w:rsidRDefault="00BF183C" w:rsidP="00BF183C">
            <w:pPr>
              <w:spacing w:after="0"/>
              <w:jc w:val="center"/>
              <w:rPr>
                <w:b/>
                <w:bCs/>
                <w:color w:val="000000"/>
                <w:sz w:val="16"/>
                <w:szCs w:val="16"/>
              </w:rPr>
            </w:pPr>
            <w:r>
              <w:rPr>
                <w:b/>
                <w:bCs/>
                <w:color w:val="000000"/>
                <w:sz w:val="16"/>
                <w:szCs w:val="16"/>
              </w:rPr>
              <w:t>Country</w:t>
            </w:r>
          </w:p>
        </w:tc>
        <w:tc>
          <w:tcPr>
            <w:tcW w:w="946" w:type="pct"/>
            <w:shd w:val="clear" w:color="auto" w:fill="BFBFBF" w:themeFill="background1" w:themeFillShade="BF"/>
            <w:noWrap/>
            <w:tcMar>
              <w:top w:w="0" w:type="dxa"/>
              <w:left w:w="70" w:type="dxa"/>
              <w:bottom w:w="0" w:type="dxa"/>
              <w:right w:w="70" w:type="dxa"/>
            </w:tcMar>
            <w:vAlign w:val="center"/>
            <w:hideMark/>
          </w:tcPr>
          <w:p w:rsidR="00BF183C" w:rsidRPr="00BF183C" w:rsidRDefault="00BF183C" w:rsidP="00BF183C">
            <w:pPr>
              <w:spacing w:after="0"/>
              <w:jc w:val="right"/>
              <w:rPr>
                <w:b/>
                <w:bCs/>
                <w:color w:val="000000"/>
                <w:sz w:val="16"/>
                <w:szCs w:val="16"/>
              </w:rPr>
            </w:pPr>
            <w:r w:rsidRPr="00BF183C">
              <w:rPr>
                <w:b/>
                <w:bCs/>
                <w:color w:val="000000"/>
                <w:sz w:val="16"/>
                <w:szCs w:val="16"/>
              </w:rPr>
              <w:t>EAFRD/EMFF</w:t>
            </w:r>
            <w:r w:rsidR="007075B5">
              <w:rPr>
                <w:b/>
                <w:bCs/>
                <w:color w:val="000000"/>
                <w:sz w:val="16"/>
                <w:szCs w:val="16"/>
              </w:rPr>
              <w:t>*</w:t>
            </w:r>
          </w:p>
        </w:tc>
        <w:tc>
          <w:tcPr>
            <w:tcW w:w="552" w:type="pct"/>
            <w:shd w:val="clear" w:color="auto" w:fill="BFBFBF" w:themeFill="background1" w:themeFillShade="BF"/>
            <w:noWrap/>
            <w:tcMar>
              <w:top w:w="0" w:type="dxa"/>
              <w:left w:w="70" w:type="dxa"/>
              <w:bottom w:w="0" w:type="dxa"/>
              <w:right w:w="70" w:type="dxa"/>
            </w:tcMar>
            <w:vAlign w:val="center"/>
            <w:hideMark/>
          </w:tcPr>
          <w:p w:rsidR="00BF183C" w:rsidRPr="00BF183C" w:rsidRDefault="00BF183C" w:rsidP="00BF183C">
            <w:pPr>
              <w:spacing w:after="0"/>
              <w:jc w:val="right"/>
              <w:rPr>
                <w:b/>
                <w:bCs/>
                <w:color w:val="000000"/>
                <w:sz w:val="16"/>
                <w:szCs w:val="16"/>
              </w:rPr>
            </w:pPr>
            <w:r w:rsidRPr="00BF183C">
              <w:rPr>
                <w:b/>
                <w:bCs/>
                <w:color w:val="000000"/>
                <w:sz w:val="16"/>
                <w:szCs w:val="16"/>
              </w:rPr>
              <w:t>ERDF/CF</w:t>
            </w:r>
          </w:p>
        </w:tc>
        <w:tc>
          <w:tcPr>
            <w:tcW w:w="630" w:type="pct"/>
            <w:shd w:val="clear" w:color="auto" w:fill="BFBFBF" w:themeFill="background1" w:themeFillShade="BF"/>
            <w:noWrap/>
            <w:tcMar>
              <w:top w:w="0" w:type="dxa"/>
              <w:left w:w="70" w:type="dxa"/>
              <w:bottom w:w="0" w:type="dxa"/>
              <w:right w:w="70" w:type="dxa"/>
            </w:tcMar>
            <w:vAlign w:val="center"/>
            <w:hideMark/>
          </w:tcPr>
          <w:p w:rsidR="00BF183C" w:rsidRPr="00BF183C" w:rsidRDefault="00BF183C" w:rsidP="00BF183C">
            <w:pPr>
              <w:spacing w:after="0"/>
              <w:jc w:val="right"/>
              <w:rPr>
                <w:b/>
                <w:bCs/>
                <w:color w:val="000000"/>
                <w:sz w:val="16"/>
                <w:szCs w:val="16"/>
              </w:rPr>
            </w:pPr>
            <w:r w:rsidRPr="00BF183C">
              <w:rPr>
                <w:b/>
                <w:bCs/>
                <w:color w:val="000000"/>
                <w:sz w:val="16"/>
                <w:szCs w:val="16"/>
              </w:rPr>
              <w:t>ERDF/ESF</w:t>
            </w:r>
          </w:p>
        </w:tc>
        <w:tc>
          <w:tcPr>
            <w:tcW w:w="394" w:type="pct"/>
            <w:shd w:val="clear" w:color="auto" w:fill="BFBFBF" w:themeFill="background1" w:themeFillShade="BF"/>
            <w:noWrap/>
            <w:tcMar>
              <w:top w:w="0" w:type="dxa"/>
              <w:left w:w="70" w:type="dxa"/>
              <w:bottom w:w="0" w:type="dxa"/>
              <w:right w:w="70" w:type="dxa"/>
            </w:tcMar>
            <w:vAlign w:val="center"/>
            <w:hideMark/>
          </w:tcPr>
          <w:p w:rsidR="00BF183C" w:rsidRPr="00BF183C" w:rsidRDefault="00BF183C" w:rsidP="00BF183C">
            <w:pPr>
              <w:spacing w:after="0"/>
              <w:jc w:val="right"/>
              <w:rPr>
                <w:b/>
                <w:bCs/>
                <w:color w:val="000000"/>
                <w:sz w:val="16"/>
                <w:szCs w:val="16"/>
              </w:rPr>
            </w:pPr>
            <w:r w:rsidRPr="00BF183C">
              <w:rPr>
                <w:b/>
                <w:bCs/>
                <w:color w:val="000000"/>
                <w:sz w:val="16"/>
                <w:szCs w:val="16"/>
              </w:rPr>
              <w:t>ESF</w:t>
            </w:r>
          </w:p>
        </w:tc>
        <w:tc>
          <w:tcPr>
            <w:tcW w:w="630" w:type="pct"/>
            <w:shd w:val="clear" w:color="auto" w:fill="BFBFBF" w:themeFill="background1" w:themeFillShade="BF"/>
            <w:noWrap/>
            <w:tcMar>
              <w:top w:w="0" w:type="dxa"/>
              <w:left w:w="70" w:type="dxa"/>
              <w:bottom w:w="0" w:type="dxa"/>
              <w:right w:w="70" w:type="dxa"/>
            </w:tcMar>
            <w:vAlign w:val="center"/>
            <w:hideMark/>
          </w:tcPr>
          <w:p w:rsidR="00BF183C" w:rsidRPr="00BF183C" w:rsidRDefault="00BF183C" w:rsidP="00BF183C">
            <w:pPr>
              <w:spacing w:after="0"/>
              <w:jc w:val="right"/>
              <w:rPr>
                <w:b/>
                <w:bCs/>
                <w:color w:val="000000"/>
                <w:sz w:val="16"/>
                <w:szCs w:val="16"/>
              </w:rPr>
            </w:pPr>
            <w:r w:rsidRPr="00BF183C">
              <w:rPr>
                <w:b/>
                <w:bCs/>
                <w:color w:val="000000"/>
                <w:sz w:val="16"/>
                <w:szCs w:val="16"/>
              </w:rPr>
              <w:t>Total</w:t>
            </w:r>
            <w:r>
              <w:rPr>
                <w:b/>
                <w:bCs/>
                <w:color w:val="000000"/>
                <w:sz w:val="16"/>
                <w:szCs w:val="16"/>
              </w:rPr>
              <w:t xml:space="preserve"> OPs</w:t>
            </w:r>
          </w:p>
        </w:tc>
        <w:tc>
          <w:tcPr>
            <w:tcW w:w="1178" w:type="pct"/>
            <w:shd w:val="clear" w:color="auto" w:fill="BFBFBF" w:themeFill="background1" w:themeFillShade="BF"/>
            <w:tcMar>
              <w:left w:w="68" w:type="dxa"/>
              <w:right w:w="68" w:type="dxa"/>
            </w:tcMar>
            <w:vAlign w:val="center"/>
          </w:tcPr>
          <w:p w:rsidR="00BF183C" w:rsidRPr="00BF183C" w:rsidRDefault="00BF183C" w:rsidP="00BF183C">
            <w:pPr>
              <w:spacing w:after="0"/>
              <w:jc w:val="right"/>
              <w:rPr>
                <w:b/>
                <w:bCs/>
                <w:color w:val="000000"/>
                <w:sz w:val="16"/>
                <w:szCs w:val="16"/>
              </w:rPr>
            </w:pPr>
            <w:r w:rsidRPr="00BF183C">
              <w:rPr>
                <w:b/>
                <w:bCs/>
                <w:color w:val="000000"/>
                <w:sz w:val="16"/>
                <w:szCs w:val="16"/>
              </w:rPr>
              <w:t>Interviews</w:t>
            </w:r>
          </w:p>
          <w:p w:rsidR="00BF183C" w:rsidRPr="00BF183C" w:rsidRDefault="00BF183C" w:rsidP="00BF183C">
            <w:pPr>
              <w:spacing w:after="0"/>
              <w:jc w:val="right"/>
              <w:rPr>
                <w:bCs/>
                <w:color w:val="000000"/>
                <w:sz w:val="16"/>
                <w:szCs w:val="16"/>
              </w:rPr>
            </w:pPr>
            <w:r w:rsidRPr="00BF183C">
              <w:rPr>
                <w:bCs/>
                <w:color w:val="000000"/>
                <w:sz w:val="16"/>
                <w:szCs w:val="16"/>
              </w:rPr>
              <w:t>(carried out so far)</w:t>
            </w:r>
          </w:p>
        </w:tc>
      </w:tr>
      <w:tr w:rsidR="00BF183C" w:rsidRPr="00BF183C" w:rsidTr="00BF183C">
        <w:trPr>
          <w:trHeight w:val="300"/>
        </w:trPr>
        <w:tc>
          <w:tcPr>
            <w:tcW w:w="669" w:type="pct"/>
            <w:noWrap/>
            <w:tcMar>
              <w:top w:w="0" w:type="dxa"/>
              <w:left w:w="70" w:type="dxa"/>
              <w:bottom w:w="0" w:type="dxa"/>
              <w:right w:w="70" w:type="dxa"/>
            </w:tcMar>
            <w:vAlign w:val="center"/>
            <w:hideMark/>
          </w:tcPr>
          <w:p w:rsidR="00BF183C" w:rsidRPr="00BF183C" w:rsidRDefault="00BF183C" w:rsidP="00BF183C">
            <w:pPr>
              <w:spacing w:after="0"/>
              <w:jc w:val="center"/>
              <w:rPr>
                <w:color w:val="000000"/>
                <w:sz w:val="16"/>
                <w:szCs w:val="16"/>
              </w:rPr>
            </w:pPr>
            <w:r w:rsidRPr="00BF183C">
              <w:rPr>
                <w:color w:val="000000"/>
                <w:sz w:val="16"/>
                <w:szCs w:val="16"/>
              </w:rPr>
              <w:t>AT</w:t>
            </w:r>
          </w:p>
        </w:tc>
        <w:tc>
          <w:tcPr>
            <w:tcW w:w="946"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2</w:t>
            </w:r>
          </w:p>
        </w:tc>
        <w:tc>
          <w:tcPr>
            <w:tcW w:w="552"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1</w:t>
            </w: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rFonts w:eastAsia="Times New Roman"/>
                <w:sz w:val="16"/>
                <w:szCs w:val="16"/>
              </w:rPr>
            </w:pPr>
          </w:p>
        </w:tc>
        <w:tc>
          <w:tcPr>
            <w:tcW w:w="394"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1</w:t>
            </w:r>
          </w:p>
        </w:tc>
        <w:tc>
          <w:tcPr>
            <w:tcW w:w="630" w:type="pct"/>
            <w:noWrap/>
            <w:tcMar>
              <w:top w:w="0" w:type="dxa"/>
              <w:left w:w="68" w:type="dxa"/>
              <w:bottom w:w="0" w:type="dxa"/>
              <w:right w:w="68"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4</w:t>
            </w:r>
          </w:p>
        </w:tc>
        <w:tc>
          <w:tcPr>
            <w:tcW w:w="1178" w:type="pct"/>
            <w:tcMar>
              <w:left w:w="68" w:type="dxa"/>
              <w:right w:w="68" w:type="dxa"/>
            </w:tcMar>
            <w:vAlign w:val="center"/>
          </w:tcPr>
          <w:p w:rsidR="00BF183C" w:rsidRPr="00D0784A" w:rsidRDefault="00BF183C" w:rsidP="00BF183C">
            <w:pPr>
              <w:spacing w:after="0" w:line="240" w:lineRule="auto"/>
              <w:jc w:val="right"/>
              <w:rPr>
                <w:rFonts w:eastAsia="Times New Roman" w:cs="Arial"/>
                <w:color w:val="000000"/>
                <w:sz w:val="16"/>
                <w:szCs w:val="16"/>
                <w:lang w:eastAsia="en-GB"/>
              </w:rPr>
            </w:pPr>
            <w:r w:rsidRPr="00D0784A">
              <w:rPr>
                <w:rFonts w:cs="Arial"/>
                <w:color w:val="000000"/>
                <w:sz w:val="16"/>
                <w:szCs w:val="16"/>
              </w:rPr>
              <w:t>1</w:t>
            </w:r>
          </w:p>
        </w:tc>
      </w:tr>
      <w:tr w:rsidR="00BF183C" w:rsidRPr="00BF183C" w:rsidTr="00BF183C">
        <w:trPr>
          <w:trHeight w:val="300"/>
        </w:trPr>
        <w:tc>
          <w:tcPr>
            <w:tcW w:w="669" w:type="pct"/>
            <w:noWrap/>
            <w:tcMar>
              <w:top w:w="0" w:type="dxa"/>
              <w:left w:w="70" w:type="dxa"/>
              <w:bottom w:w="0" w:type="dxa"/>
              <w:right w:w="70" w:type="dxa"/>
            </w:tcMar>
            <w:vAlign w:val="center"/>
            <w:hideMark/>
          </w:tcPr>
          <w:p w:rsidR="00BF183C" w:rsidRPr="00BF183C" w:rsidRDefault="00BF183C" w:rsidP="00BF183C">
            <w:pPr>
              <w:spacing w:after="0"/>
              <w:jc w:val="center"/>
              <w:rPr>
                <w:color w:val="000000"/>
                <w:sz w:val="16"/>
                <w:szCs w:val="16"/>
              </w:rPr>
            </w:pPr>
            <w:r w:rsidRPr="00BF183C">
              <w:rPr>
                <w:color w:val="000000"/>
                <w:sz w:val="16"/>
                <w:szCs w:val="16"/>
              </w:rPr>
              <w:t>BE</w:t>
            </w:r>
          </w:p>
        </w:tc>
        <w:tc>
          <w:tcPr>
            <w:tcW w:w="946"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2</w:t>
            </w:r>
          </w:p>
        </w:tc>
        <w:tc>
          <w:tcPr>
            <w:tcW w:w="552"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3</w:t>
            </w: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rFonts w:eastAsia="Times New Roman"/>
                <w:sz w:val="16"/>
                <w:szCs w:val="16"/>
              </w:rPr>
            </w:pPr>
          </w:p>
        </w:tc>
        <w:tc>
          <w:tcPr>
            <w:tcW w:w="394"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4</w:t>
            </w: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9</w:t>
            </w:r>
          </w:p>
        </w:tc>
        <w:tc>
          <w:tcPr>
            <w:tcW w:w="1178" w:type="pct"/>
            <w:tcMar>
              <w:left w:w="68" w:type="dxa"/>
              <w:right w:w="68" w:type="dxa"/>
            </w:tcMar>
            <w:vAlign w:val="center"/>
          </w:tcPr>
          <w:p w:rsidR="00BF183C" w:rsidRPr="00BF183C" w:rsidRDefault="00BF183C" w:rsidP="00BF183C">
            <w:pPr>
              <w:spacing w:after="0" w:line="240" w:lineRule="auto"/>
              <w:jc w:val="right"/>
              <w:rPr>
                <w:rFonts w:cs="Arial"/>
                <w:color w:val="000000"/>
                <w:sz w:val="16"/>
                <w:szCs w:val="16"/>
              </w:rPr>
            </w:pPr>
            <w:r>
              <w:rPr>
                <w:rFonts w:cs="Arial"/>
                <w:color w:val="000000"/>
                <w:sz w:val="16"/>
                <w:szCs w:val="16"/>
              </w:rPr>
              <w:t>3</w:t>
            </w:r>
          </w:p>
        </w:tc>
      </w:tr>
      <w:tr w:rsidR="00BF183C" w:rsidRPr="00BF183C" w:rsidTr="00BF183C">
        <w:trPr>
          <w:trHeight w:val="300"/>
        </w:trPr>
        <w:tc>
          <w:tcPr>
            <w:tcW w:w="669" w:type="pct"/>
            <w:noWrap/>
            <w:tcMar>
              <w:top w:w="0" w:type="dxa"/>
              <w:left w:w="70" w:type="dxa"/>
              <w:bottom w:w="0" w:type="dxa"/>
              <w:right w:w="70" w:type="dxa"/>
            </w:tcMar>
            <w:vAlign w:val="center"/>
            <w:hideMark/>
          </w:tcPr>
          <w:p w:rsidR="00BF183C" w:rsidRPr="00BF183C" w:rsidRDefault="00BF183C" w:rsidP="00BF183C">
            <w:pPr>
              <w:spacing w:after="0"/>
              <w:jc w:val="center"/>
              <w:rPr>
                <w:color w:val="000000"/>
                <w:sz w:val="16"/>
                <w:szCs w:val="16"/>
              </w:rPr>
            </w:pPr>
            <w:r w:rsidRPr="00BF183C">
              <w:rPr>
                <w:color w:val="000000"/>
                <w:sz w:val="16"/>
                <w:szCs w:val="16"/>
              </w:rPr>
              <w:t>BG</w:t>
            </w:r>
          </w:p>
        </w:tc>
        <w:tc>
          <w:tcPr>
            <w:tcW w:w="946"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2</w:t>
            </w:r>
          </w:p>
        </w:tc>
        <w:tc>
          <w:tcPr>
            <w:tcW w:w="552"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5</w:t>
            </w: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1</w:t>
            </w:r>
          </w:p>
        </w:tc>
        <w:tc>
          <w:tcPr>
            <w:tcW w:w="394"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2</w:t>
            </w: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10</w:t>
            </w:r>
          </w:p>
        </w:tc>
        <w:tc>
          <w:tcPr>
            <w:tcW w:w="1178" w:type="pct"/>
            <w:tcMar>
              <w:left w:w="68" w:type="dxa"/>
              <w:right w:w="68" w:type="dxa"/>
            </w:tcMar>
            <w:vAlign w:val="center"/>
          </w:tcPr>
          <w:p w:rsidR="00BF183C" w:rsidRPr="00BF183C" w:rsidRDefault="00BF183C" w:rsidP="00BF183C">
            <w:pPr>
              <w:spacing w:after="0" w:line="240" w:lineRule="auto"/>
              <w:jc w:val="right"/>
              <w:rPr>
                <w:rFonts w:cs="Arial"/>
                <w:color w:val="000000"/>
                <w:sz w:val="16"/>
                <w:szCs w:val="16"/>
              </w:rPr>
            </w:pPr>
            <w:r>
              <w:rPr>
                <w:rFonts w:cs="Arial"/>
                <w:color w:val="000000"/>
                <w:sz w:val="16"/>
                <w:szCs w:val="16"/>
              </w:rPr>
              <w:t>3</w:t>
            </w:r>
          </w:p>
        </w:tc>
      </w:tr>
      <w:tr w:rsidR="00BF183C" w:rsidRPr="00BF183C" w:rsidTr="00BF183C">
        <w:trPr>
          <w:trHeight w:val="300"/>
        </w:trPr>
        <w:tc>
          <w:tcPr>
            <w:tcW w:w="669" w:type="pct"/>
            <w:noWrap/>
            <w:tcMar>
              <w:top w:w="0" w:type="dxa"/>
              <w:left w:w="70" w:type="dxa"/>
              <w:bottom w:w="0" w:type="dxa"/>
              <w:right w:w="70" w:type="dxa"/>
            </w:tcMar>
            <w:vAlign w:val="center"/>
            <w:hideMark/>
          </w:tcPr>
          <w:p w:rsidR="00BF183C" w:rsidRPr="00BF183C" w:rsidRDefault="00BF183C" w:rsidP="00BF183C">
            <w:pPr>
              <w:spacing w:after="0"/>
              <w:jc w:val="center"/>
              <w:rPr>
                <w:color w:val="000000"/>
                <w:sz w:val="16"/>
                <w:szCs w:val="16"/>
              </w:rPr>
            </w:pPr>
            <w:r w:rsidRPr="00BF183C">
              <w:rPr>
                <w:color w:val="000000"/>
                <w:sz w:val="16"/>
                <w:szCs w:val="16"/>
              </w:rPr>
              <w:t>CY</w:t>
            </w:r>
          </w:p>
        </w:tc>
        <w:tc>
          <w:tcPr>
            <w:tcW w:w="946"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2</w:t>
            </w:r>
          </w:p>
        </w:tc>
        <w:tc>
          <w:tcPr>
            <w:tcW w:w="552"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1</w:t>
            </w: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rFonts w:eastAsia="Times New Roman"/>
                <w:sz w:val="16"/>
                <w:szCs w:val="16"/>
              </w:rPr>
            </w:pPr>
          </w:p>
        </w:tc>
        <w:tc>
          <w:tcPr>
            <w:tcW w:w="394"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1</w:t>
            </w: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4</w:t>
            </w:r>
          </w:p>
        </w:tc>
        <w:tc>
          <w:tcPr>
            <w:tcW w:w="1178" w:type="pct"/>
            <w:tcMar>
              <w:left w:w="68" w:type="dxa"/>
              <w:right w:w="68" w:type="dxa"/>
            </w:tcMar>
            <w:vAlign w:val="center"/>
          </w:tcPr>
          <w:p w:rsidR="00BF183C" w:rsidRPr="00BF183C" w:rsidRDefault="00BF183C" w:rsidP="00BF183C">
            <w:pPr>
              <w:spacing w:after="0" w:line="240" w:lineRule="auto"/>
              <w:jc w:val="right"/>
              <w:rPr>
                <w:rFonts w:cs="Arial"/>
                <w:color w:val="000000"/>
                <w:sz w:val="16"/>
                <w:szCs w:val="16"/>
              </w:rPr>
            </w:pPr>
            <w:r>
              <w:rPr>
                <w:rFonts w:cs="Arial"/>
                <w:color w:val="000000"/>
                <w:sz w:val="16"/>
                <w:szCs w:val="16"/>
              </w:rPr>
              <w:t>1</w:t>
            </w:r>
          </w:p>
        </w:tc>
      </w:tr>
      <w:tr w:rsidR="00BF183C" w:rsidRPr="00BF183C" w:rsidTr="00BF183C">
        <w:trPr>
          <w:trHeight w:val="300"/>
        </w:trPr>
        <w:tc>
          <w:tcPr>
            <w:tcW w:w="669" w:type="pct"/>
            <w:noWrap/>
            <w:tcMar>
              <w:top w:w="0" w:type="dxa"/>
              <w:left w:w="70" w:type="dxa"/>
              <w:bottom w:w="0" w:type="dxa"/>
              <w:right w:w="70" w:type="dxa"/>
            </w:tcMar>
            <w:vAlign w:val="center"/>
            <w:hideMark/>
          </w:tcPr>
          <w:p w:rsidR="00BF183C" w:rsidRPr="00BF183C" w:rsidRDefault="00BF183C" w:rsidP="00BF183C">
            <w:pPr>
              <w:spacing w:after="0"/>
              <w:jc w:val="center"/>
              <w:rPr>
                <w:color w:val="000000"/>
                <w:sz w:val="16"/>
                <w:szCs w:val="16"/>
              </w:rPr>
            </w:pPr>
            <w:r w:rsidRPr="00BF183C">
              <w:rPr>
                <w:color w:val="000000"/>
                <w:sz w:val="16"/>
                <w:szCs w:val="16"/>
              </w:rPr>
              <w:t>CZ</w:t>
            </w:r>
          </w:p>
        </w:tc>
        <w:tc>
          <w:tcPr>
            <w:tcW w:w="946"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2</w:t>
            </w:r>
          </w:p>
        </w:tc>
        <w:tc>
          <w:tcPr>
            <w:tcW w:w="552"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5</w:t>
            </w: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2</w:t>
            </w:r>
          </w:p>
        </w:tc>
        <w:tc>
          <w:tcPr>
            <w:tcW w:w="394"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1</w:t>
            </w: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10</w:t>
            </w:r>
          </w:p>
        </w:tc>
        <w:tc>
          <w:tcPr>
            <w:tcW w:w="1178" w:type="pct"/>
            <w:tcMar>
              <w:left w:w="68" w:type="dxa"/>
              <w:right w:w="68" w:type="dxa"/>
            </w:tcMar>
            <w:vAlign w:val="center"/>
          </w:tcPr>
          <w:p w:rsidR="00BF183C" w:rsidRPr="00BF183C" w:rsidRDefault="00BF183C" w:rsidP="00BF183C">
            <w:pPr>
              <w:spacing w:after="0" w:line="240" w:lineRule="auto"/>
              <w:jc w:val="right"/>
              <w:rPr>
                <w:rFonts w:cs="Arial"/>
                <w:color w:val="000000"/>
                <w:sz w:val="16"/>
                <w:szCs w:val="16"/>
              </w:rPr>
            </w:pPr>
            <w:r>
              <w:rPr>
                <w:rFonts w:cs="Arial"/>
                <w:color w:val="000000"/>
                <w:sz w:val="16"/>
                <w:szCs w:val="16"/>
              </w:rPr>
              <w:t>2</w:t>
            </w:r>
          </w:p>
        </w:tc>
      </w:tr>
      <w:tr w:rsidR="00BF183C" w:rsidRPr="00BF183C" w:rsidTr="00BF183C">
        <w:trPr>
          <w:trHeight w:val="300"/>
        </w:trPr>
        <w:tc>
          <w:tcPr>
            <w:tcW w:w="669" w:type="pct"/>
            <w:noWrap/>
            <w:tcMar>
              <w:top w:w="0" w:type="dxa"/>
              <w:left w:w="70" w:type="dxa"/>
              <w:bottom w:w="0" w:type="dxa"/>
              <w:right w:w="70" w:type="dxa"/>
            </w:tcMar>
            <w:vAlign w:val="center"/>
            <w:hideMark/>
          </w:tcPr>
          <w:p w:rsidR="00BF183C" w:rsidRPr="00BF183C" w:rsidRDefault="00BF183C" w:rsidP="00BF183C">
            <w:pPr>
              <w:spacing w:after="0"/>
              <w:jc w:val="center"/>
              <w:rPr>
                <w:color w:val="000000"/>
                <w:sz w:val="16"/>
                <w:szCs w:val="16"/>
              </w:rPr>
            </w:pPr>
            <w:r w:rsidRPr="00BF183C">
              <w:rPr>
                <w:color w:val="000000"/>
                <w:sz w:val="16"/>
                <w:szCs w:val="16"/>
              </w:rPr>
              <w:t>DE</w:t>
            </w:r>
          </w:p>
        </w:tc>
        <w:tc>
          <w:tcPr>
            <w:tcW w:w="946"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4</w:t>
            </w:r>
          </w:p>
        </w:tc>
        <w:tc>
          <w:tcPr>
            <w:tcW w:w="552"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15</w:t>
            </w: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1</w:t>
            </w:r>
          </w:p>
        </w:tc>
        <w:tc>
          <w:tcPr>
            <w:tcW w:w="394"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16</w:t>
            </w: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36</w:t>
            </w:r>
          </w:p>
        </w:tc>
        <w:tc>
          <w:tcPr>
            <w:tcW w:w="1178" w:type="pct"/>
            <w:tcMar>
              <w:left w:w="68" w:type="dxa"/>
              <w:right w:w="68" w:type="dxa"/>
            </w:tcMar>
            <w:vAlign w:val="center"/>
          </w:tcPr>
          <w:p w:rsidR="00BF183C" w:rsidRPr="00BF183C" w:rsidRDefault="00BF183C" w:rsidP="00BF183C">
            <w:pPr>
              <w:spacing w:after="0" w:line="240" w:lineRule="auto"/>
              <w:jc w:val="right"/>
              <w:rPr>
                <w:rFonts w:cs="Arial"/>
                <w:color w:val="000000"/>
                <w:sz w:val="16"/>
                <w:szCs w:val="16"/>
              </w:rPr>
            </w:pPr>
            <w:r>
              <w:rPr>
                <w:rFonts w:cs="Arial"/>
                <w:color w:val="000000"/>
                <w:sz w:val="16"/>
                <w:szCs w:val="16"/>
              </w:rPr>
              <w:t>6</w:t>
            </w:r>
          </w:p>
        </w:tc>
      </w:tr>
      <w:tr w:rsidR="00BF183C" w:rsidRPr="00BF183C" w:rsidTr="00BF183C">
        <w:trPr>
          <w:trHeight w:val="300"/>
        </w:trPr>
        <w:tc>
          <w:tcPr>
            <w:tcW w:w="669" w:type="pct"/>
            <w:noWrap/>
            <w:tcMar>
              <w:top w:w="0" w:type="dxa"/>
              <w:left w:w="70" w:type="dxa"/>
              <w:bottom w:w="0" w:type="dxa"/>
              <w:right w:w="70" w:type="dxa"/>
            </w:tcMar>
            <w:vAlign w:val="center"/>
            <w:hideMark/>
          </w:tcPr>
          <w:p w:rsidR="00BF183C" w:rsidRPr="00BF183C" w:rsidRDefault="00BF183C" w:rsidP="00BF183C">
            <w:pPr>
              <w:spacing w:after="0"/>
              <w:jc w:val="center"/>
              <w:rPr>
                <w:color w:val="000000"/>
                <w:sz w:val="16"/>
                <w:szCs w:val="16"/>
              </w:rPr>
            </w:pPr>
            <w:r w:rsidRPr="00BF183C">
              <w:rPr>
                <w:color w:val="000000"/>
                <w:sz w:val="16"/>
                <w:szCs w:val="16"/>
              </w:rPr>
              <w:t>DK</w:t>
            </w:r>
          </w:p>
        </w:tc>
        <w:tc>
          <w:tcPr>
            <w:tcW w:w="946"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2</w:t>
            </w:r>
          </w:p>
        </w:tc>
        <w:tc>
          <w:tcPr>
            <w:tcW w:w="552"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1</w:t>
            </w: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rFonts w:eastAsia="Times New Roman"/>
                <w:sz w:val="16"/>
                <w:szCs w:val="16"/>
              </w:rPr>
            </w:pPr>
          </w:p>
        </w:tc>
        <w:tc>
          <w:tcPr>
            <w:tcW w:w="394"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1</w:t>
            </w: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4</w:t>
            </w:r>
          </w:p>
        </w:tc>
        <w:tc>
          <w:tcPr>
            <w:tcW w:w="1178" w:type="pct"/>
            <w:tcMar>
              <w:left w:w="68" w:type="dxa"/>
              <w:right w:w="68" w:type="dxa"/>
            </w:tcMar>
            <w:vAlign w:val="center"/>
          </w:tcPr>
          <w:p w:rsidR="00BF183C" w:rsidRPr="00BF183C" w:rsidRDefault="00BF183C" w:rsidP="00BF183C">
            <w:pPr>
              <w:spacing w:after="0" w:line="240" w:lineRule="auto"/>
              <w:jc w:val="right"/>
              <w:rPr>
                <w:rFonts w:cs="Arial"/>
                <w:color w:val="000000"/>
                <w:sz w:val="16"/>
                <w:szCs w:val="16"/>
              </w:rPr>
            </w:pPr>
            <w:r w:rsidRPr="00D0784A">
              <w:rPr>
                <w:rFonts w:cs="Arial"/>
                <w:color w:val="000000"/>
                <w:sz w:val="16"/>
                <w:szCs w:val="16"/>
              </w:rPr>
              <w:t>1</w:t>
            </w:r>
          </w:p>
        </w:tc>
      </w:tr>
      <w:tr w:rsidR="00BF183C" w:rsidRPr="00BF183C" w:rsidTr="00BF183C">
        <w:trPr>
          <w:trHeight w:val="300"/>
        </w:trPr>
        <w:tc>
          <w:tcPr>
            <w:tcW w:w="669" w:type="pct"/>
            <w:noWrap/>
            <w:tcMar>
              <w:top w:w="0" w:type="dxa"/>
              <w:left w:w="70" w:type="dxa"/>
              <w:bottom w:w="0" w:type="dxa"/>
              <w:right w:w="70" w:type="dxa"/>
            </w:tcMar>
            <w:vAlign w:val="center"/>
            <w:hideMark/>
          </w:tcPr>
          <w:p w:rsidR="00BF183C" w:rsidRPr="00BF183C" w:rsidRDefault="00BF183C" w:rsidP="00BF183C">
            <w:pPr>
              <w:spacing w:after="0"/>
              <w:jc w:val="center"/>
              <w:rPr>
                <w:color w:val="000000"/>
                <w:sz w:val="16"/>
                <w:szCs w:val="16"/>
              </w:rPr>
            </w:pPr>
            <w:r w:rsidRPr="00BF183C">
              <w:rPr>
                <w:color w:val="000000"/>
                <w:sz w:val="16"/>
                <w:szCs w:val="16"/>
              </w:rPr>
              <w:t>EE</w:t>
            </w:r>
          </w:p>
        </w:tc>
        <w:tc>
          <w:tcPr>
            <w:tcW w:w="946"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2</w:t>
            </w:r>
          </w:p>
        </w:tc>
        <w:tc>
          <w:tcPr>
            <w:tcW w:w="552" w:type="pct"/>
            <w:noWrap/>
            <w:tcMar>
              <w:top w:w="0" w:type="dxa"/>
              <w:left w:w="70" w:type="dxa"/>
              <w:bottom w:w="0" w:type="dxa"/>
              <w:right w:w="70" w:type="dxa"/>
            </w:tcMar>
            <w:vAlign w:val="center"/>
            <w:hideMark/>
          </w:tcPr>
          <w:p w:rsidR="00BF183C" w:rsidRPr="00BF183C" w:rsidRDefault="00BF183C" w:rsidP="00BF183C">
            <w:pPr>
              <w:spacing w:after="0"/>
              <w:jc w:val="right"/>
              <w:rPr>
                <w:rFonts w:eastAsia="Times New Roman"/>
                <w:sz w:val="16"/>
                <w:szCs w:val="16"/>
              </w:rPr>
            </w:pP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1</w:t>
            </w:r>
          </w:p>
        </w:tc>
        <w:tc>
          <w:tcPr>
            <w:tcW w:w="394" w:type="pct"/>
            <w:noWrap/>
            <w:tcMar>
              <w:top w:w="0" w:type="dxa"/>
              <w:left w:w="70" w:type="dxa"/>
              <w:bottom w:w="0" w:type="dxa"/>
              <w:right w:w="70" w:type="dxa"/>
            </w:tcMar>
            <w:vAlign w:val="center"/>
            <w:hideMark/>
          </w:tcPr>
          <w:p w:rsidR="00BF183C" w:rsidRPr="00BF183C" w:rsidRDefault="00BF183C" w:rsidP="00BF183C">
            <w:pPr>
              <w:spacing w:after="0"/>
              <w:jc w:val="right"/>
              <w:rPr>
                <w:rFonts w:eastAsia="Times New Roman"/>
                <w:sz w:val="16"/>
                <w:szCs w:val="16"/>
              </w:rPr>
            </w:pP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3</w:t>
            </w:r>
          </w:p>
        </w:tc>
        <w:tc>
          <w:tcPr>
            <w:tcW w:w="1178" w:type="pct"/>
            <w:tcMar>
              <w:left w:w="68" w:type="dxa"/>
              <w:right w:w="68" w:type="dxa"/>
            </w:tcMar>
            <w:vAlign w:val="center"/>
          </w:tcPr>
          <w:p w:rsidR="00BF183C" w:rsidRPr="00BF183C" w:rsidRDefault="00BF183C" w:rsidP="00BF183C">
            <w:pPr>
              <w:spacing w:after="0" w:line="240" w:lineRule="auto"/>
              <w:jc w:val="right"/>
              <w:rPr>
                <w:rFonts w:cs="Arial"/>
                <w:color w:val="000000"/>
                <w:sz w:val="16"/>
                <w:szCs w:val="16"/>
              </w:rPr>
            </w:pPr>
            <w:r>
              <w:rPr>
                <w:rFonts w:cs="Arial"/>
                <w:color w:val="000000"/>
                <w:sz w:val="16"/>
                <w:szCs w:val="16"/>
              </w:rPr>
              <w:t>-</w:t>
            </w:r>
          </w:p>
        </w:tc>
      </w:tr>
      <w:tr w:rsidR="00BF183C" w:rsidRPr="00BF183C" w:rsidTr="00BF183C">
        <w:trPr>
          <w:trHeight w:val="300"/>
        </w:trPr>
        <w:tc>
          <w:tcPr>
            <w:tcW w:w="669" w:type="pct"/>
            <w:noWrap/>
            <w:tcMar>
              <w:top w:w="0" w:type="dxa"/>
              <w:left w:w="70" w:type="dxa"/>
              <w:bottom w:w="0" w:type="dxa"/>
              <w:right w:w="70" w:type="dxa"/>
            </w:tcMar>
            <w:vAlign w:val="center"/>
            <w:hideMark/>
          </w:tcPr>
          <w:p w:rsidR="00BF183C" w:rsidRPr="00BF183C" w:rsidRDefault="00BF183C" w:rsidP="00BF183C">
            <w:pPr>
              <w:spacing w:after="0"/>
              <w:jc w:val="center"/>
              <w:rPr>
                <w:color w:val="000000"/>
                <w:sz w:val="16"/>
                <w:szCs w:val="16"/>
              </w:rPr>
            </w:pPr>
            <w:r w:rsidRPr="00BF183C">
              <w:rPr>
                <w:color w:val="000000"/>
                <w:sz w:val="16"/>
                <w:szCs w:val="16"/>
              </w:rPr>
              <w:t>ES</w:t>
            </w:r>
          </w:p>
        </w:tc>
        <w:tc>
          <w:tcPr>
            <w:tcW w:w="946"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4</w:t>
            </w:r>
          </w:p>
        </w:tc>
        <w:tc>
          <w:tcPr>
            <w:tcW w:w="552"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22</w:t>
            </w: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rFonts w:eastAsia="Times New Roman"/>
                <w:sz w:val="16"/>
                <w:szCs w:val="16"/>
              </w:rPr>
            </w:pPr>
          </w:p>
        </w:tc>
        <w:tc>
          <w:tcPr>
            <w:tcW w:w="394"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23</w:t>
            </w: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49</w:t>
            </w:r>
          </w:p>
        </w:tc>
        <w:tc>
          <w:tcPr>
            <w:tcW w:w="1178" w:type="pct"/>
            <w:tcMar>
              <w:left w:w="68" w:type="dxa"/>
              <w:right w:w="68" w:type="dxa"/>
            </w:tcMar>
            <w:vAlign w:val="center"/>
          </w:tcPr>
          <w:p w:rsidR="00BF183C" w:rsidRPr="00BF183C" w:rsidRDefault="00BF183C" w:rsidP="00BF183C">
            <w:pPr>
              <w:spacing w:after="0" w:line="240" w:lineRule="auto"/>
              <w:jc w:val="right"/>
              <w:rPr>
                <w:rFonts w:cs="Arial"/>
                <w:color w:val="000000"/>
                <w:sz w:val="16"/>
                <w:szCs w:val="16"/>
              </w:rPr>
            </w:pPr>
            <w:r w:rsidRPr="00D0784A">
              <w:rPr>
                <w:rFonts w:cs="Arial"/>
                <w:color w:val="000000"/>
                <w:sz w:val="16"/>
                <w:szCs w:val="16"/>
              </w:rPr>
              <w:t>4</w:t>
            </w:r>
          </w:p>
        </w:tc>
      </w:tr>
      <w:tr w:rsidR="00BF183C" w:rsidRPr="00BF183C" w:rsidTr="00BF183C">
        <w:trPr>
          <w:trHeight w:val="300"/>
        </w:trPr>
        <w:tc>
          <w:tcPr>
            <w:tcW w:w="669" w:type="pct"/>
            <w:noWrap/>
            <w:tcMar>
              <w:top w:w="0" w:type="dxa"/>
              <w:left w:w="70" w:type="dxa"/>
              <w:bottom w:w="0" w:type="dxa"/>
              <w:right w:w="70" w:type="dxa"/>
            </w:tcMar>
            <w:vAlign w:val="center"/>
            <w:hideMark/>
          </w:tcPr>
          <w:p w:rsidR="00BF183C" w:rsidRPr="00BF183C" w:rsidRDefault="00BF183C" w:rsidP="00BF183C">
            <w:pPr>
              <w:spacing w:after="0"/>
              <w:jc w:val="center"/>
              <w:rPr>
                <w:color w:val="000000"/>
                <w:sz w:val="16"/>
                <w:szCs w:val="16"/>
              </w:rPr>
            </w:pPr>
            <w:r w:rsidRPr="00BF183C">
              <w:rPr>
                <w:color w:val="000000"/>
                <w:sz w:val="16"/>
                <w:szCs w:val="16"/>
              </w:rPr>
              <w:t>FI</w:t>
            </w:r>
          </w:p>
        </w:tc>
        <w:tc>
          <w:tcPr>
            <w:tcW w:w="946"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2</w:t>
            </w:r>
          </w:p>
        </w:tc>
        <w:tc>
          <w:tcPr>
            <w:tcW w:w="552" w:type="pct"/>
            <w:noWrap/>
            <w:tcMar>
              <w:top w:w="0" w:type="dxa"/>
              <w:left w:w="70" w:type="dxa"/>
              <w:bottom w:w="0" w:type="dxa"/>
              <w:right w:w="70" w:type="dxa"/>
            </w:tcMar>
            <w:vAlign w:val="center"/>
            <w:hideMark/>
          </w:tcPr>
          <w:p w:rsidR="00BF183C" w:rsidRPr="00BF183C" w:rsidRDefault="00BF183C" w:rsidP="00BF183C">
            <w:pPr>
              <w:spacing w:after="0"/>
              <w:jc w:val="right"/>
              <w:rPr>
                <w:rFonts w:eastAsia="Times New Roman"/>
                <w:sz w:val="16"/>
                <w:szCs w:val="16"/>
              </w:rPr>
            </w:pP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2</w:t>
            </w:r>
          </w:p>
        </w:tc>
        <w:tc>
          <w:tcPr>
            <w:tcW w:w="394" w:type="pct"/>
            <w:noWrap/>
            <w:tcMar>
              <w:top w:w="0" w:type="dxa"/>
              <w:left w:w="70" w:type="dxa"/>
              <w:bottom w:w="0" w:type="dxa"/>
              <w:right w:w="70" w:type="dxa"/>
            </w:tcMar>
            <w:vAlign w:val="center"/>
            <w:hideMark/>
          </w:tcPr>
          <w:p w:rsidR="00BF183C" w:rsidRPr="00BF183C" w:rsidRDefault="00BF183C" w:rsidP="00BF183C">
            <w:pPr>
              <w:spacing w:after="0"/>
              <w:jc w:val="right"/>
              <w:rPr>
                <w:rFonts w:eastAsia="Times New Roman"/>
                <w:sz w:val="16"/>
                <w:szCs w:val="16"/>
              </w:rPr>
            </w:pP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4</w:t>
            </w:r>
          </w:p>
        </w:tc>
        <w:tc>
          <w:tcPr>
            <w:tcW w:w="1178" w:type="pct"/>
            <w:tcMar>
              <w:left w:w="68" w:type="dxa"/>
              <w:right w:w="68" w:type="dxa"/>
            </w:tcMar>
            <w:vAlign w:val="center"/>
          </w:tcPr>
          <w:p w:rsidR="00BF183C" w:rsidRPr="00BF183C" w:rsidRDefault="00BF183C" w:rsidP="00BF183C">
            <w:pPr>
              <w:spacing w:after="0" w:line="240" w:lineRule="auto"/>
              <w:jc w:val="right"/>
              <w:rPr>
                <w:rFonts w:cs="Arial"/>
                <w:color w:val="000000"/>
                <w:sz w:val="16"/>
                <w:szCs w:val="16"/>
              </w:rPr>
            </w:pPr>
            <w:r w:rsidRPr="00D0784A">
              <w:rPr>
                <w:rFonts w:cs="Arial"/>
                <w:color w:val="000000"/>
                <w:sz w:val="16"/>
                <w:szCs w:val="16"/>
              </w:rPr>
              <w:t>1</w:t>
            </w:r>
          </w:p>
        </w:tc>
      </w:tr>
      <w:tr w:rsidR="00BF183C" w:rsidRPr="00BF183C" w:rsidTr="00BF183C">
        <w:trPr>
          <w:trHeight w:val="300"/>
        </w:trPr>
        <w:tc>
          <w:tcPr>
            <w:tcW w:w="669" w:type="pct"/>
            <w:noWrap/>
            <w:tcMar>
              <w:top w:w="0" w:type="dxa"/>
              <w:left w:w="70" w:type="dxa"/>
              <w:bottom w:w="0" w:type="dxa"/>
              <w:right w:w="70" w:type="dxa"/>
            </w:tcMar>
            <w:vAlign w:val="center"/>
            <w:hideMark/>
          </w:tcPr>
          <w:p w:rsidR="00BF183C" w:rsidRPr="00BF183C" w:rsidRDefault="00BF183C" w:rsidP="00BF183C">
            <w:pPr>
              <w:spacing w:after="0"/>
              <w:jc w:val="center"/>
              <w:rPr>
                <w:color w:val="000000"/>
                <w:sz w:val="16"/>
                <w:szCs w:val="16"/>
              </w:rPr>
            </w:pPr>
            <w:r w:rsidRPr="00BF183C">
              <w:rPr>
                <w:color w:val="000000"/>
                <w:sz w:val="16"/>
                <w:szCs w:val="16"/>
              </w:rPr>
              <w:t>FR</w:t>
            </w:r>
          </w:p>
        </w:tc>
        <w:tc>
          <w:tcPr>
            <w:tcW w:w="946"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4</w:t>
            </w:r>
          </w:p>
        </w:tc>
        <w:tc>
          <w:tcPr>
            <w:tcW w:w="552"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7</w:t>
            </w: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27</w:t>
            </w:r>
          </w:p>
        </w:tc>
        <w:tc>
          <w:tcPr>
            <w:tcW w:w="394"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6</w:t>
            </w: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44</w:t>
            </w:r>
          </w:p>
        </w:tc>
        <w:tc>
          <w:tcPr>
            <w:tcW w:w="1178" w:type="pct"/>
            <w:tcMar>
              <w:left w:w="68" w:type="dxa"/>
              <w:right w:w="68" w:type="dxa"/>
            </w:tcMar>
            <w:vAlign w:val="center"/>
          </w:tcPr>
          <w:p w:rsidR="00BF183C" w:rsidRPr="00BF183C" w:rsidRDefault="00BF183C" w:rsidP="00BF183C">
            <w:pPr>
              <w:spacing w:after="0" w:line="240" w:lineRule="auto"/>
              <w:jc w:val="right"/>
              <w:rPr>
                <w:rFonts w:cs="Arial"/>
                <w:color w:val="000000"/>
                <w:sz w:val="16"/>
                <w:szCs w:val="16"/>
              </w:rPr>
            </w:pPr>
            <w:r>
              <w:rPr>
                <w:rFonts w:cs="Arial"/>
                <w:color w:val="000000"/>
                <w:sz w:val="16"/>
                <w:szCs w:val="16"/>
              </w:rPr>
              <w:t>6</w:t>
            </w:r>
          </w:p>
        </w:tc>
      </w:tr>
      <w:tr w:rsidR="00BF183C" w:rsidRPr="00BF183C" w:rsidTr="00BF183C">
        <w:trPr>
          <w:trHeight w:val="300"/>
        </w:trPr>
        <w:tc>
          <w:tcPr>
            <w:tcW w:w="669" w:type="pct"/>
            <w:noWrap/>
            <w:tcMar>
              <w:top w:w="0" w:type="dxa"/>
              <w:left w:w="70" w:type="dxa"/>
              <w:bottom w:w="0" w:type="dxa"/>
              <w:right w:w="70" w:type="dxa"/>
            </w:tcMar>
            <w:vAlign w:val="center"/>
            <w:hideMark/>
          </w:tcPr>
          <w:p w:rsidR="00BF183C" w:rsidRPr="00BF183C" w:rsidRDefault="00BF183C" w:rsidP="00BF183C">
            <w:pPr>
              <w:spacing w:after="0"/>
              <w:jc w:val="center"/>
              <w:rPr>
                <w:color w:val="000000"/>
                <w:sz w:val="16"/>
                <w:szCs w:val="16"/>
              </w:rPr>
            </w:pPr>
            <w:r w:rsidRPr="00BF183C">
              <w:rPr>
                <w:color w:val="000000"/>
                <w:sz w:val="16"/>
                <w:szCs w:val="16"/>
              </w:rPr>
              <w:t>GR</w:t>
            </w:r>
          </w:p>
        </w:tc>
        <w:tc>
          <w:tcPr>
            <w:tcW w:w="946"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2</w:t>
            </w:r>
          </w:p>
        </w:tc>
        <w:tc>
          <w:tcPr>
            <w:tcW w:w="552"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1</w:t>
            </w: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16</w:t>
            </w:r>
          </w:p>
        </w:tc>
        <w:tc>
          <w:tcPr>
            <w:tcW w:w="394"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1</w:t>
            </w: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20</w:t>
            </w:r>
          </w:p>
        </w:tc>
        <w:tc>
          <w:tcPr>
            <w:tcW w:w="1178" w:type="pct"/>
            <w:tcMar>
              <w:left w:w="68" w:type="dxa"/>
              <w:right w:w="68" w:type="dxa"/>
            </w:tcMar>
            <w:vAlign w:val="center"/>
          </w:tcPr>
          <w:p w:rsidR="00BF183C" w:rsidRPr="00BF183C" w:rsidRDefault="00BF183C" w:rsidP="00BF183C">
            <w:pPr>
              <w:spacing w:after="0" w:line="240" w:lineRule="auto"/>
              <w:jc w:val="right"/>
              <w:rPr>
                <w:rFonts w:cs="Arial"/>
                <w:color w:val="000000"/>
                <w:sz w:val="16"/>
                <w:szCs w:val="16"/>
              </w:rPr>
            </w:pPr>
            <w:r w:rsidRPr="00D0784A">
              <w:rPr>
                <w:rFonts w:cs="Arial"/>
                <w:color w:val="000000"/>
                <w:sz w:val="16"/>
                <w:szCs w:val="16"/>
              </w:rPr>
              <w:t>3</w:t>
            </w:r>
          </w:p>
        </w:tc>
      </w:tr>
      <w:tr w:rsidR="00BF183C" w:rsidRPr="00BF183C" w:rsidTr="00BF183C">
        <w:trPr>
          <w:trHeight w:val="300"/>
        </w:trPr>
        <w:tc>
          <w:tcPr>
            <w:tcW w:w="669" w:type="pct"/>
            <w:noWrap/>
            <w:tcMar>
              <w:top w:w="0" w:type="dxa"/>
              <w:left w:w="70" w:type="dxa"/>
              <w:bottom w:w="0" w:type="dxa"/>
              <w:right w:w="70" w:type="dxa"/>
            </w:tcMar>
            <w:vAlign w:val="center"/>
            <w:hideMark/>
          </w:tcPr>
          <w:p w:rsidR="00BF183C" w:rsidRPr="00BF183C" w:rsidRDefault="00BF183C" w:rsidP="00BF183C">
            <w:pPr>
              <w:spacing w:after="0"/>
              <w:jc w:val="center"/>
              <w:rPr>
                <w:color w:val="000000"/>
                <w:sz w:val="16"/>
                <w:szCs w:val="16"/>
              </w:rPr>
            </w:pPr>
            <w:r w:rsidRPr="00BF183C">
              <w:rPr>
                <w:color w:val="000000"/>
                <w:sz w:val="16"/>
                <w:szCs w:val="16"/>
              </w:rPr>
              <w:t>HR</w:t>
            </w:r>
          </w:p>
        </w:tc>
        <w:tc>
          <w:tcPr>
            <w:tcW w:w="946"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2</w:t>
            </w:r>
          </w:p>
        </w:tc>
        <w:tc>
          <w:tcPr>
            <w:tcW w:w="552"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1</w:t>
            </w: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rFonts w:eastAsia="Times New Roman"/>
                <w:sz w:val="16"/>
                <w:szCs w:val="16"/>
              </w:rPr>
            </w:pPr>
          </w:p>
        </w:tc>
        <w:tc>
          <w:tcPr>
            <w:tcW w:w="394"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1</w:t>
            </w: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4</w:t>
            </w:r>
          </w:p>
        </w:tc>
        <w:tc>
          <w:tcPr>
            <w:tcW w:w="1178" w:type="pct"/>
            <w:tcMar>
              <w:left w:w="68" w:type="dxa"/>
              <w:right w:w="68" w:type="dxa"/>
            </w:tcMar>
            <w:vAlign w:val="center"/>
          </w:tcPr>
          <w:p w:rsidR="00BF183C" w:rsidRPr="00BF183C" w:rsidRDefault="00BF183C" w:rsidP="00BF183C">
            <w:pPr>
              <w:spacing w:after="0" w:line="240" w:lineRule="auto"/>
              <w:jc w:val="right"/>
              <w:rPr>
                <w:rFonts w:cs="Arial"/>
                <w:color w:val="000000"/>
                <w:sz w:val="16"/>
                <w:szCs w:val="16"/>
              </w:rPr>
            </w:pPr>
            <w:r w:rsidRPr="00D0784A">
              <w:rPr>
                <w:rFonts w:cs="Arial"/>
                <w:color w:val="000000"/>
                <w:sz w:val="16"/>
                <w:szCs w:val="16"/>
              </w:rPr>
              <w:t>1</w:t>
            </w:r>
          </w:p>
        </w:tc>
      </w:tr>
      <w:tr w:rsidR="00BF183C" w:rsidRPr="00BF183C" w:rsidTr="00BF183C">
        <w:trPr>
          <w:trHeight w:val="300"/>
        </w:trPr>
        <w:tc>
          <w:tcPr>
            <w:tcW w:w="669" w:type="pct"/>
            <w:noWrap/>
            <w:tcMar>
              <w:top w:w="0" w:type="dxa"/>
              <w:left w:w="70" w:type="dxa"/>
              <w:bottom w:w="0" w:type="dxa"/>
              <w:right w:w="70" w:type="dxa"/>
            </w:tcMar>
            <w:vAlign w:val="center"/>
            <w:hideMark/>
          </w:tcPr>
          <w:p w:rsidR="00BF183C" w:rsidRPr="00BF183C" w:rsidRDefault="00BF183C" w:rsidP="00BF183C">
            <w:pPr>
              <w:spacing w:after="0"/>
              <w:jc w:val="center"/>
              <w:rPr>
                <w:color w:val="000000"/>
                <w:sz w:val="16"/>
                <w:szCs w:val="16"/>
              </w:rPr>
            </w:pPr>
            <w:r w:rsidRPr="00BF183C">
              <w:rPr>
                <w:color w:val="000000"/>
                <w:sz w:val="16"/>
                <w:szCs w:val="16"/>
              </w:rPr>
              <w:t>HU</w:t>
            </w:r>
          </w:p>
        </w:tc>
        <w:tc>
          <w:tcPr>
            <w:tcW w:w="946"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2</w:t>
            </w:r>
          </w:p>
        </w:tc>
        <w:tc>
          <w:tcPr>
            <w:tcW w:w="552"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2</w:t>
            </w: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5</w:t>
            </w:r>
          </w:p>
        </w:tc>
        <w:tc>
          <w:tcPr>
            <w:tcW w:w="394" w:type="pct"/>
            <w:noWrap/>
            <w:tcMar>
              <w:top w:w="0" w:type="dxa"/>
              <w:left w:w="70" w:type="dxa"/>
              <w:bottom w:w="0" w:type="dxa"/>
              <w:right w:w="70" w:type="dxa"/>
            </w:tcMar>
            <w:vAlign w:val="center"/>
            <w:hideMark/>
          </w:tcPr>
          <w:p w:rsidR="00BF183C" w:rsidRPr="00BF183C" w:rsidRDefault="00BF183C" w:rsidP="00BF183C">
            <w:pPr>
              <w:spacing w:after="0"/>
              <w:jc w:val="right"/>
              <w:rPr>
                <w:rFonts w:eastAsia="Times New Roman"/>
                <w:sz w:val="16"/>
                <w:szCs w:val="16"/>
              </w:rPr>
            </w:pP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9</w:t>
            </w:r>
          </w:p>
        </w:tc>
        <w:tc>
          <w:tcPr>
            <w:tcW w:w="1178" w:type="pct"/>
            <w:tcMar>
              <w:left w:w="68" w:type="dxa"/>
              <w:right w:w="68" w:type="dxa"/>
            </w:tcMar>
            <w:vAlign w:val="center"/>
          </w:tcPr>
          <w:p w:rsidR="00BF183C" w:rsidRPr="00BF183C" w:rsidRDefault="00BF183C" w:rsidP="00BF183C">
            <w:pPr>
              <w:spacing w:after="0" w:line="240" w:lineRule="auto"/>
              <w:jc w:val="right"/>
              <w:rPr>
                <w:rFonts w:cs="Arial"/>
                <w:color w:val="000000"/>
                <w:sz w:val="16"/>
                <w:szCs w:val="16"/>
              </w:rPr>
            </w:pPr>
            <w:r>
              <w:rPr>
                <w:rFonts w:cs="Arial"/>
                <w:color w:val="000000"/>
                <w:sz w:val="16"/>
                <w:szCs w:val="16"/>
              </w:rPr>
              <w:t>3</w:t>
            </w:r>
          </w:p>
        </w:tc>
      </w:tr>
      <w:tr w:rsidR="00BF183C" w:rsidRPr="00BF183C" w:rsidTr="00BF183C">
        <w:trPr>
          <w:trHeight w:val="300"/>
        </w:trPr>
        <w:tc>
          <w:tcPr>
            <w:tcW w:w="669" w:type="pct"/>
            <w:noWrap/>
            <w:tcMar>
              <w:top w:w="0" w:type="dxa"/>
              <w:left w:w="70" w:type="dxa"/>
              <w:bottom w:w="0" w:type="dxa"/>
              <w:right w:w="70" w:type="dxa"/>
            </w:tcMar>
            <w:vAlign w:val="center"/>
            <w:hideMark/>
          </w:tcPr>
          <w:p w:rsidR="00BF183C" w:rsidRPr="00BF183C" w:rsidRDefault="00BF183C" w:rsidP="00BF183C">
            <w:pPr>
              <w:spacing w:after="0"/>
              <w:jc w:val="center"/>
              <w:rPr>
                <w:color w:val="000000"/>
                <w:sz w:val="16"/>
                <w:szCs w:val="16"/>
              </w:rPr>
            </w:pPr>
            <w:r w:rsidRPr="00BF183C">
              <w:rPr>
                <w:color w:val="000000"/>
                <w:sz w:val="16"/>
                <w:szCs w:val="16"/>
              </w:rPr>
              <w:t>IE</w:t>
            </w:r>
          </w:p>
        </w:tc>
        <w:tc>
          <w:tcPr>
            <w:tcW w:w="946"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2</w:t>
            </w:r>
          </w:p>
        </w:tc>
        <w:tc>
          <w:tcPr>
            <w:tcW w:w="552"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2</w:t>
            </w: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rFonts w:eastAsia="Times New Roman"/>
                <w:sz w:val="16"/>
                <w:szCs w:val="16"/>
              </w:rPr>
            </w:pPr>
          </w:p>
        </w:tc>
        <w:tc>
          <w:tcPr>
            <w:tcW w:w="394"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1</w:t>
            </w: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5</w:t>
            </w:r>
          </w:p>
        </w:tc>
        <w:tc>
          <w:tcPr>
            <w:tcW w:w="1178" w:type="pct"/>
            <w:tcMar>
              <w:left w:w="68" w:type="dxa"/>
              <w:right w:w="68" w:type="dxa"/>
            </w:tcMar>
            <w:vAlign w:val="center"/>
          </w:tcPr>
          <w:p w:rsidR="00BF183C" w:rsidRPr="00BF183C" w:rsidRDefault="00BF183C" w:rsidP="00BF183C">
            <w:pPr>
              <w:spacing w:after="0" w:line="240" w:lineRule="auto"/>
              <w:jc w:val="right"/>
              <w:rPr>
                <w:rFonts w:cs="Arial"/>
                <w:color w:val="000000"/>
                <w:sz w:val="16"/>
                <w:szCs w:val="16"/>
              </w:rPr>
            </w:pPr>
            <w:r w:rsidRPr="00D0784A">
              <w:rPr>
                <w:rFonts w:cs="Arial"/>
                <w:color w:val="000000"/>
                <w:sz w:val="16"/>
                <w:szCs w:val="16"/>
              </w:rPr>
              <w:t>2</w:t>
            </w:r>
          </w:p>
        </w:tc>
      </w:tr>
      <w:tr w:rsidR="00BF183C" w:rsidRPr="00BF183C" w:rsidTr="00BF183C">
        <w:trPr>
          <w:trHeight w:val="300"/>
        </w:trPr>
        <w:tc>
          <w:tcPr>
            <w:tcW w:w="669" w:type="pct"/>
            <w:noWrap/>
            <w:tcMar>
              <w:top w:w="0" w:type="dxa"/>
              <w:left w:w="70" w:type="dxa"/>
              <w:bottom w:w="0" w:type="dxa"/>
              <w:right w:w="70" w:type="dxa"/>
            </w:tcMar>
            <w:vAlign w:val="center"/>
            <w:hideMark/>
          </w:tcPr>
          <w:p w:rsidR="00BF183C" w:rsidRPr="00BF183C" w:rsidRDefault="00BF183C" w:rsidP="00BF183C">
            <w:pPr>
              <w:spacing w:after="0"/>
              <w:jc w:val="center"/>
              <w:rPr>
                <w:color w:val="000000"/>
                <w:sz w:val="16"/>
                <w:szCs w:val="16"/>
              </w:rPr>
            </w:pPr>
            <w:r w:rsidRPr="00BF183C">
              <w:rPr>
                <w:color w:val="000000"/>
                <w:sz w:val="16"/>
                <w:szCs w:val="16"/>
              </w:rPr>
              <w:t>IT</w:t>
            </w:r>
          </w:p>
        </w:tc>
        <w:tc>
          <w:tcPr>
            <w:tcW w:w="946"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4</w:t>
            </w:r>
          </w:p>
        </w:tc>
        <w:tc>
          <w:tcPr>
            <w:tcW w:w="552"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22</w:t>
            </w: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8</w:t>
            </w:r>
          </w:p>
        </w:tc>
        <w:tc>
          <w:tcPr>
            <w:tcW w:w="394"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21</w:t>
            </w: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55</w:t>
            </w:r>
          </w:p>
        </w:tc>
        <w:tc>
          <w:tcPr>
            <w:tcW w:w="1178" w:type="pct"/>
            <w:tcMar>
              <w:left w:w="68" w:type="dxa"/>
              <w:right w:w="68" w:type="dxa"/>
            </w:tcMar>
            <w:vAlign w:val="center"/>
          </w:tcPr>
          <w:p w:rsidR="00BF183C" w:rsidRPr="00BF183C" w:rsidRDefault="00BF183C" w:rsidP="00BF183C">
            <w:pPr>
              <w:spacing w:after="0" w:line="240" w:lineRule="auto"/>
              <w:jc w:val="right"/>
              <w:rPr>
                <w:rFonts w:cs="Arial"/>
                <w:color w:val="000000"/>
                <w:sz w:val="16"/>
                <w:szCs w:val="16"/>
              </w:rPr>
            </w:pPr>
            <w:r w:rsidRPr="00BF183C">
              <w:rPr>
                <w:rFonts w:cs="Arial"/>
                <w:color w:val="000000"/>
                <w:sz w:val="16"/>
                <w:szCs w:val="16"/>
              </w:rPr>
              <w:t>1</w:t>
            </w:r>
          </w:p>
        </w:tc>
      </w:tr>
      <w:tr w:rsidR="00BF183C" w:rsidRPr="00BF183C" w:rsidTr="00BF183C">
        <w:trPr>
          <w:trHeight w:val="300"/>
        </w:trPr>
        <w:tc>
          <w:tcPr>
            <w:tcW w:w="669" w:type="pct"/>
            <w:noWrap/>
            <w:tcMar>
              <w:top w:w="0" w:type="dxa"/>
              <w:left w:w="70" w:type="dxa"/>
              <w:bottom w:w="0" w:type="dxa"/>
              <w:right w:w="70" w:type="dxa"/>
            </w:tcMar>
            <w:vAlign w:val="center"/>
            <w:hideMark/>
          </w:tcPr>
          <w:p w:rsidR="00BF183C" w:rsidRPr="00BF183C" w:rsidRDefault="00BF183C" w:rsidP="00BF183C">
            <w:pPr>
              <w:spacing w:after="0"/>
              <w:jc w:val="center"/>
              <w:rPr>
                <w:color w:val="000000"/>
                <w:sz w:val="16"/>
                <w:szCs w:val="16"/>
              </w:rPr>
            </w:pPr>
            <w:r w:rsidRPr="00BF183C">
              <w:rPr>
                <w:color w:val="000000"/>
                <w:sz w:val="16"/>
                <w:szCs w:val="16"/>
              </w:rPr>
              <w:t>LT</w:t>
            </w:r>
          </w:p>
        </w:tc>
        <w:tc>
          <w:tcPr>
            <w:tcW w:w="946"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2</w:t>
            </w:r>
          </w:p>
        </w:tc>
        <w:tc>
          <w:tcPr>
            <w:tcW w:w="552" w:type="pct"/>
            <w:noWrap/>
            <w:tcMar>
              <w:top w:w="0" w:type="dxa"/>
              <w:left w:w="70" w:type="dxa"/>
              <w:bottom w:w="0" w:type="dxa"/>
              <w:right w:w="70" w:type="dxa"/>
            </w:tcMar>
            <w:vAlign w:val="center"/>
            <w:hideMark/>
          </w:tcPr>
          <w:p w:rsidR="00BF183C" w:rsidRPr="00BF183C" w:rsidRDefault="00BF183C" w:rsidP="00BF183C">
            <w:pPr>
              <w:spacing w:after="0"/>
              <w:jc w:val="right"/>
              <w:rPr>
                <w:rFonts w:eastAsia="Times New Roman"/>
                <w:sz w:val="16"/>
                <w:szCs w:val="16"/>
              </w:rPr>
            </w:pP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1</w:t>
            </w:r>
          </w:p>
        </w:tc>
        <w:tc>
          <w:tcPr>
            <w:tcW w:w="394" w:type="pct"/>
            <w:noWrap/>
            <w:tcMar>
              <w:top w:w="0" w:type="dxa"/>
              <w:left w:w="70" w:type="dxa"/>
              <w:bottom w:w="0" w:type="dxa"/>
              <w:right w:w="70" w:type="dxa"/>
            </w:tcMar>
            <w:vAlign w:val="center"/>
            <w:hideMark/>
          </w:tcPr>
          <w:p w:rsidR="00BF183C" w:rsidRPr="00BF183C" w:rsidRDefault="00BF183C" w:rsidP="00BF183C">
            <w:pPr>
              <w:spacing w:after="0"/>
              <w:jc w:val="right"/>
              <w:rPr>
                <w:rFonts w:eastAsia="Times New Roman"/>
                <w:sz w:val="16"/>
                <w:szCs w:val="16"/>
              </w:rPr>
            </w:pP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3</w:t>
            </w:r>
          </w:p>
        </w:tc>
        <w:tc>
          <w:tcPr>
            <w:tcW w:w="1178" w:type="pct"/>
            <w:tcMar>
              <w:left w:w="68" w:type="dxa"/>
              <w:right w:w="68" w:type="dxa"/>
            </w:tcMar>
            <w:vAlign w:val="center"/>
          </w:tcPr>
          <w:p w:rsidR="00BF183C" w:rsidRPr="00BF183C" w:rsidRDefault="00BF183C" w:rsidP="00BF183C">
            <w:pPr>
              <w:spacing w:after="0" w:line="240" w:lineRule="auto"/>
              <w:jc w:val="right"/>
              <w:rPr>
                <w:rFonts w:cs="Arial"/>
                <w:color w:val="000000"/>
                <w:sz w:val="16"/>
                <w:szCs w:val="16"/>
              </w:rPr>
            </w:pPr>
            <w:r>
              <w:rPr>
                <w:rFonts w:cs="Arial"/>
                <w:color w:val="000000"/>
                <w:sz w:val="16"/>
                <w:szCs w:val="16"/>
              </w:rPr>
              <w:t>2</w:t>
            </w:r>
          </w:p>
        </w:tc>
      </w:tr>
      <w:tr w:rsidR="00BF183C" w:rsidRPr="00BF183C" w:rsidTr="00BF183C">
        <w:trPr>
          <w:trHeight w:val="300"/>
        </w:trPr>
        <w:tc>
          <w:tcPr>
            <w:tcW w:w="669" w:type="pct"/>
            <w:noWrap/>
            <w:tcMar>
              <w:top w:w="0" w:type="dxa"/>
              <w:left w:w="70" w:type="dxa"/>
              <w:bottom w:w="0" w:type="dxa"/>
              <w:right w:w="70" w:type="dxa"/>
            </w:tcMar>
            <w:vAlign w:val="center"/>
            <w:hideMark/>
          </w:tcPr>
          <w:p w:rsidR="00BF183C" w:rsidRPr="00BF183C" w:rsidRDefault="00BF183C" w:rsidP="00BF183C">
            <w:pPr>
              <w:spacing w:after="0"/>
              <w:jc w:val="center"/>
              <w:rPr>
                <w:color w:val="000000"/>
                <w:sz w:val="16"/>
                <w:szCs w:val="16"/>
              </w:rPr>
            </w:pPr>
            <w:r w:rsidRPr="00BF183C">
              <w:rPr>
                <w:color w:val="000000"/>
                <w:sz w:val="16"/>
                <w:szCs w:val="16"/>
              </w:rPr>
              <w:t>LU</w:t>
            </w:r>
          </w:p>
        </w:tc>
        <w:tc>
          <w:tcPr>
            <w:tcW w:w="946"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1</w:t>
            </w:r>
          </w:p>
        </w:tc>
        <w:tc>
          <w:tcPr>
            <w:tcW w:w="552"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1</w:t>
            </w: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rFonts w:eastAsia="Times New Roman"/>
                <w:sz w:val="16"/>
                <w:szCs w:val="16"/>
              </w:rPr>
            </w:pPr>
          </w:p>
        </w:tc>
        <w:tc>
          <w:tcPr>
            <w:tcW w:w="394"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1</w:t>
            </w: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3</w:t>
            </w:r>
          </w:p>
        </w:tc>
        <w:tc>
          <w:tcPr>
            <w:tcW w:w="1178" w:type="pct"/>
            <w:tcMar>
              <w:left w:w="68" w:type="dxa"/>
              <w:right w:w="68" w:type="dxa"/>
            </w:tcMar>
            <w:vAlign w:val="center"/>
          </w:tcPr>
          <w:p w:rsidR="00BF183C" w:rsidRPr="00BF183C" w:rsidRDefault="00BF183C" w:rsidP="00BF183C">
            <w:pPr>
              <w:spacing w:after="0" w:line="240" w:lineRule="auto"/>
              <w:jc w:val="right"/>
              <w:rPr>
                <w:rFonts w:cs="Arial"/>
                <w:color w:val="000000"/>
                <w:sz w:val="16"/>
                <w:szCs w:val="16"/>
              </w:rPr>
            </w:pPr>
            <w:r>
              <w:rPr>
                <w:rFonts w:cs="Arial"/>
                <w:color w:val="000000"/>
                <w:sz w:val="16"/>
                <w:szCs w:val="16"/>
              </w:rPr>
              <w:t>2</w:t>
            </w:r>
          </w:p>
        </w:tc>
      </w:tr>
      <w:tr w:rsidR="00BF183C" w:rsidRPr="00BF183C" w:rsidTr="00BF183C">
        <w:trPr>
          <w:trHeight w:val="300"/>
        </w:trPr>
        <w:tc>
          <w:tcPr>
            <w:tcW w:w="669" w:type="pct"/>
            <w:noWrap/>
            <w:tcMar>
              <w:top w:w="0" w:type="dxa"/>
              <w:left w:w="70" w:type="dxa"/>
              <w:bottom w:w="0" w:type="dxa"/>
              <w:right w:w="70" w:type="dxa"/>
            </w:tcMar>
            <w:vAlign w:val="center"/>
            <w:hideMark/>
          </w:tcPr>
          <w:p w:rsidR="00BF183C" w:rsidRPr="00BF183C" w:rsidRDefault="00BF183C" w:rsidP="00BF183C">
            <w:pPr>
              <w:spacing w:after="0"/>
              <w:jc w:val="center"/>
              <w:rPr>
                <w:color w:val="000000"/>
                <w:sz w:val="16"/>
                <w:szCs w:val="16"/>
              </w:rPr>
            </w:pPr>
            <w:r w:rsidRPr="00BF183C">
              <w:rPr>
                <w:color w:val="000000"/>
                <w:sz w:val="16"/>
                <w:szCs w:val="16"/>
              </w:rPr>
              <w:t>LV</w:t>
            </w:r>
          </w:p>
        </w:tc>
        <w:tc>
          <w:tcPr>
            <w:tcW w:w="946"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2</w:t>
            </w:r>
          </w:p>
        </w:tc>
        <w:tc>
          <w:tcPr>
            <w:tcW w:w="552" w:type="pct"/>
            <w:noWrap/>
            <w:tcMar>
              <w:top w:w="0" w:type="dxa"/>
              <w:left w:w="70" w:type="dxa"/>
              <w:bottom w:w="0" w:type="dxa"/>
              <w:right w:w="70" w:type="dxa"/>
            </w:tcMar>
            <w:vAlign w:val="center"/>
            <w:hideMark/>
          </w:tcPr>
          <w:p w:rsidR="00BF183C" w:rsidRPr="00BF183C" w:rsidRDefault="00BF183C" w:rsidP="00BF183C">
            <w:pPr>
              <w:spacing w:after="0"/>
              <w:jc w:val="right"/>
              <w:rPr>
                <w:rFonts w:eastAsia="Times New Roman"/>
                <w:sz w:val="16"/>
                <w:szCs w:val="16"/>
              </w:rPr>
            </w:pP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1</w:t>
            </w:r>
          </w:p>
        </w:tc>
        <w:tc>
          <w:tcPr>
            <w:tcW w:w="394" w:type="pct"/>
            <w:noWrap/>
            <w:tcMar>
              <w:top w:w="0" w:type="dxa"/>
              <w:left w:w="70" w:type="dxa"/>
              <w:bottom w:w="0" w:type="dxa"/>
              <w:right w:w="70" w:type="dxa"/>
            </w:tcMar>
            <w:vAlign w:val="center"/>
            <w:hideMark/>
          </w:tcPr>
          <w:p w:rsidR="00BF183C" w:rsidRPr="00BF183C" w:rsidRDefault="00BF183C" w:rsidP="00BF183C">
            <w:pPr>
              <w:spacing w:after="0"/>
              <w:jc w:val="right"/>
              <w:rPr>
                <w:rFonts w:eastAsia="Times New Roman"/>
                <w:sz w:val="16"/>
                <w:szCs w:val="16"/>
              </w:rPr>
            </w:pP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3</w:t>
            </w:r>
          </w:p>
        </w:tc>
        <w:tc>
          <w:tcPr>
            <w:tcW w:w="1178" w:type="pct"/>
            <w:tcMar>
              <w:left w:w="68" w:type="dxa"/>
              <w:right w:w="68" w:type="dxa"/>
            </w:tcMar>
            <w:vAlign w:val="center"/>
          </w:tcPr>
          <w:p w:rsidR="00BF183C" w:rsidRPr="00BF183C" w:rsidRDefault="00BF183C" w:rsidP="00BF183C">
            <w:pPr>
              <w:spacing w:after="0" w:line="240" w:lineRule="auto"/>
              <w:jc w:val="right"/>
              <w:rPr>
                <w:rFonts w:cs="Arial"/>
                <w:color w:val="000000"/>
                <w:sz w:val="16"/>
                <w:szCs w:val="16"/>
              </w:rPr>
            </w:pPr>
            <w:r w:rsidRPr="00D0784A">
              <w:rPr>
                <w:rFonts w:cs="Arial"/>
                <w:color w:val="000000"/>
                <w:sz w:val="16"/>
                <w:szCs w:val="16"/>
              </w:rPr>
              <w:t>1</w:t>
            </w:r>
          </w:p>
        </w:tc>
      </w:tr>
      <w:tr w:rsidR="00BF183C" w:rsidRPr="00BF183C" w:rsidTr="00BF183C">
        <w:trPr>
          <w:trHeight w:val="300"/>
        </w:trPr>
        <w:tc>
          <w:tcPr>
            <w:tcW w:w="669" w:type="pct"/>
            <w:noWrap/>
            <w:tcMar>
              <w:top w:w="0" w:type="dxa"/>
              <w:left w:w="70" w:type="dxa"/>
              <w:bottom w:w="0" w:type="dxa"/>
              <w:right w:w="70" w:type="dxa"/>
            </w:tcMar>
            <w:vAlign w:val="center"/>
            <w:hideMark/>
          </w:tcPr>
          <w:p w:rsidR="00BF183C" w:rsidRPr="00BF183C" w:rsidRDefault="00BF183C" w:rsidP="00BF183C">
            <w:pPr>
              <w:spacing w:after="0"/>
              <w:jc w:val="center"/>
              <w:rPr>
                <w:color w:val="000000"/>
                <w:sz w:val="16"/>
                <w:szCs w:val="16"/>
              </w:rPr>
            </w:pPr>
            <w:r w:rsidRPr="00BF183C">
              <w:rPr>
                <w:color w:val="000000"/>
                <w:sz w:val="16"/>
                <w:szCs w:val="16"/>
              </w:rPr>
              <w:t>MT</w:t>
            </w:r>
          </w:p>
        </w:tc>
        <w:tc>
          <w:tcPr>
            <w:tcW w:w="946"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2</w:t>
            </w:r>
          </w:p>
        </w:tc>
        <w:tc>
          <w:tcPr>
            <w:tcW w:w="552"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2</w:t>
            </w: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rFonts w:eastAsia="Times New Roman"/>
                <w:sz w:val="16"/>
                <w:szCs w:val="16"/>
              </w:rPr>
            </w:pPr>
          </w:p>
        </w:tc>
        <w:tc>
          <w:tcPr>
            <w:tcW w:w="394"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1</w:t>
            </w: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5</w:t>
            </w:r>
          </w:p>
        </w:tc>
        <w:tc>
          <w:tcPr>
            <w:tcW w:w="1178" w:type="pct"/>
            <w:tcMar>
              <w:left w:w="68" w:type="dxa"/>
              <w:right w:w="68" w:type="dxa"/>
            </w:tcMar>
            <w:vAlign w:val="center"/>
          </w:tcPr>
          <w:p w:rsidR="00BF183C" w:rsidRPr="00BF183C" w:rsidRDefault="00BF183C" w:rsidP="00BF183C">
            <w:pPr>
              <w:spacing w:after="0" w:line="240" w:lineRule="auto"/>
              <w:jc w:val="right"/>
              <w:rPr>
                <w:rFonts w:cs="Arial"/>
                <w:color w:val="000000"/>
                <w:sz w:val="16"/>
                <w:szCs w:val="16"/>
              </w:rPr>
            </w:pPr>
            <w:r>
              <w:rPr>
                <w:rFonts w:cs="Arial"/>
                <w:color w:val="000000"/>
                <w:sz w:val="16"/>
                <w:szCs w:val="16"/>
              </w:rPr>
              <w:t>-</w:t>
            </w:r>
          </w:p>
        </w:tc>
      </w:tr>
      <w:tr w:rsidR="00BF183C" w:rsidRPr="00BF183C" w:rsidTr="00BF183C">
        <w:trPr>
          <w:trHeight w:val="300"/>
        </w:trPr>
        <w:tc>
          <w:tcPr>
            <w:tcW w:w="669" w:type="pct"/>
            <w:noWrap/>
            <w:tcMar>
              <w:top w:w="0" w:type="dxa"/>
              <w:left w:w="70" w:type="dxa"/>
              <w:bottom w:w="0" w:type="dxa"/>
              <w:right w:w="70" w:type="dxa"/>
            </w:tcMar>
            <w:vAlign w:val="center"/>
            <w:hideMark/>
          </w:tcPr>
          <w:p w:rsidR="00BF183C" w:rsidRPr="00BF183C" w:rsidRDefault="00BF183C" w:rsidP="00BF183C">
            <w:pPr>
              <w:spacing w:after="0"/>
              <w:jc w:val="center"/>
              <w:rPr>
                <w:color w:val="000000"/>
                <w:sz w:val="16"/>
                <w:szCs w:val="16"/>
              </w:rPr>
            </w:pPr>
            <w:r w:rsidRPr="00BF183C">
              <w:rPr>
                <w:color w:val="000000"/>
                <w:sz w:val="16"/>
                <w:szCs w:val="16"/>
              </w:rPr>
              <w:t>NL</w:t>
            </w:r>
          </w:p>
        </w:tc>
        <w:tc>
          <w:tcPr>
            <w:tcW w:w="946"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2</w:t>
            </w:r>
          </w:p>
        </w:tc>
        <w:tc>
          <w:tcPr>
            <w:tcW w:w="552"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4</w:t>
            </w: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rFonts w:eastAsia="Times New Roman"/>
                <w:sz w:val="16"/>
                <w:szCs w:val="16"/>
              </w:rPr>
            </w:pPr>
          </w:p>
        </w:tc>
        <w:tc>
          <w:tcPr>
            <w:tcW w:w="394"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1</w:t>
            </w: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7</w:t>
            </w:r>
          </w:p>
        </w:tc>
        <w:tc>
          <w:tcPr>
            <w:tcW w:w="1178" w:type="pct"/>
            <w:tcMar>
              <w:left w:w="68" w:type="dxa"/>
              <w:right w:w="68" w:type="dxa"/>
            </w:tcMar>
            <w:vAlign w:val="center"/>
          </w:tcPr>
          <w:p w:rsidR="00BF183C" w:rsidRPr="00BF183C" w:rsidRDefault="00BF183C" w:rsidP="00BF183C">
            <w:pPr>
              <w:spacing w:after="0" w:line="240" w:lineRule="auto"/>
              <w:jc w:val="right"/>
              <w:rPr>
                <w:rFonts w:cs="Arial"/>
                <w:color w:val="000000"/>
                <w:sz w:val="16"/>
                <w:szCs w:val="16"/>
              </w:rPr>
            </w:pPr>
            <w:r w:rsidRPr="00D0784A">
              <w:rPr>
                <w:rFonts w:cs="Arial"/>
                <w:color w:val="000000"/>
                <w:sz w:val="16"/>
                <w:szCs w:val="16"/>
              </w:rPr>
              <w:t>2</w:t>
            </w:r>
          </w:p>
        </w:tc>
      </w:tr>
      <w:tr w:rsidR="00BF183C" w:rsidRPr="00BF183C" w:rsidTr="00BF183C">
        <w:trPr>
          <w:trHeight w:val="300"/>
        </w:trPr>
        <w:tc>
          <w:tcPr>
            <w:tcW w:w="669" w:type="pct"/>
            <w:noWrap/>
            <w:tcMar>
              <w:top w:w="0" w:type="dxa"/>
              <w:left w:w="70" w:type="dxa"/>
              <w:bottom w:w="0" w:type="dxa"/>
              <w:right w:w="70" w:type="dxa"/>
            </w:tcMar>
            <w:vAlign w:val="center"/>
            <w:hideMark/>
          </w:tcPr>
          <w:p w:rsidR="00BF183C" w:rsidRPr="00BF183C" w:rsidRDefault="00BF183C" w:rsidP="00BF183C">
            <w:pPr>
              <w:spacing w:after="0"/>
              <w:jc w:val="center"/>
              <w:rPr>
                <w:color w:val="000000"/>
                <w:sz w:val="16"/>
                <w:szCs w:val="16"/>
              </w:rPr>
            </w:pPr>
            <w:r w:rsidRPr="00BF183C">
              <w:rPr>
                <w:color w:val="000000"/>
                <w:sz w:val="16"/>
                <w:szCs w:val="16"/>
              </w:rPr>
              <w:t>PL</w:t>
            </w:r>
          </w:p>
        </w:tc>
        <w:tc>
          <w:tcPr>
            <w:tcW w:w="946"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2</w:t>
            </w:r>
          </w:p>
        </w:tc>
        <w:tc>
          <w:tcPr>
            <w:tcW w:w="552"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5</w:t>
            </w: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16</w:t>
            </w:r>
          </w:p>
        </w:tc>
        <w:tc>
          <w:tcPr>
            <w:tcW w:w="394"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1</w:t>
            </w: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24</w:t>
            </w:r>
          </w:p>
        </w:tc>
        <w:tc>
          <w:tcPr>
            <w:tcW w:w="1178" w:type="pct"/>
            <w:tcMar>
              <w:left w:w="68" w:type="dxa"/>
              <w:right w:w="68" w:type="dxa"/>
            </w:tcMar>
            <w:vAlign w:val="center"/>
          </w:tcPr>
          <w:p w:rsidR="00BF183C" w:rsidRPr="00BF183C" w:rsidRDefault="00BF183C" w:rsidP="00BF183C">
            <w:pPr>
              <w:spacing w:after="0" w:line="240" w:lineRule="auto"/>
              <w:jc w:val="right"/>
              <w:rPr>
                <w:rFonts w:cs="Arial"/>
                <w:color w:val="000000"/>
                <w:sz w:val="16"/>
                <w:szCs w:val="16"/>
              </w:rPr>
            </w:pPr>
            <w:r>
              <w:rPr>
                <w:rFonts w:cs="Arial"/>
                <w:color w:val="000000"/>
                <w:sz w:val="16"/>
                <w:szCs w:val="16"/>
              </w:rPr>
              <w:t>4</w:t>
            </w:r>
          </w:p>
        </w:tc>
      </w:tr>
      <w:tr w:rsidR="00BF183C" w:rsidRPr="00BF183C" w:rsidTr="00BF183C">
        <w:trPr>
          <w:trHeight w:val="300"/>
        </w:trPr>
        <w:tc>
          <w:tcPr>
            <w:tcW w:w="669" w:type="pct"/>
            <w:noWrap/>
            <w:tcMar>
              <w:top w:w="0" w:type="dxa"/>
              <w:left w:w="70" w:type="dxa"/>
              <w:bottom w:w="0" w:type="dxa"/>
              <w:right w:w="70" w:type="dxa"/>
            </w:tcMar>
            <w:vAlign w:val="center"/>
            <w:hideMark/>
          </w:tcPr>
          <w:p w:rsidR="00BF183C" w:rsidRPr="00BF183C" w:rsidRDefault="00BF183C" w:rsidP="00BF183C">
            <w:pPr>
              <w:spacing w:after="0"/>
              <w:jc w:val="center"/>
              <w:rPr>
                <w:color w:val="000000"/>
                <w:sz w:val="16"/>
                <w:szCs w:val="16"/>
              </w:rPr>
            </w:pPr>
            <w:r w:rsidRPr="00BF183C">
              <w:rPr>
                <w:color w:val="000000"/>
                <w:sz w:val="16"/>
                <w:szCs w:val="16"/>
              </w:rPr>
              <w:t>PT</w:t>
            </w:r>
          </w:p>
        </w:tc>
        <w:tc>
          <w:tcPr>
            <w:tcW w:w="946"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2</w:t>
            </w:r>
          </w:p>
        </w:tc>
        <w:tc>
          <w:tcPr>
            <w:tcW w:w="552"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2</w:t>
            </w: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8</w:t>
            </w:r>
          </w:p>
        </w:tc>
        <w:tc>
          <w:tcPr>
            <w:tcW w:w="394"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2</w:t>
            </w: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14</w:t>
            </w:r>
          </w:p>
        </w:tc>
        <w:tc>
          <w:tcPr>
            <w:tcW w:w="1178" w:type="pct"/>
            <w:tcMar>
              <w:left w:w="68" w:type="dxa"/>
              <w:right w:w="68" w:type="dxa"/>
            </w:tcMar>
            <w:vAlign w:val="center"/>
          </w:tcPr>
          <w:p w:rsidR="00BF183C" w:rsidRPr="00BF183C" w:rsidRDefault="00BF183C" w:rsidP="00BF183C">
            <w:pPr>
              <w:spacing w:after="0" w:line="240" w:lineRule="auto"/>
              <w:jc w:val="right"/>
              <w:rPr>
                <w:rFonts w:cs="Arial"/>
                <w:color w:val="000000"/>
                <w:sz w:val="16"/>
                <w:szCs w:val="16"/>
              </w:rPr>
            </w:pPr>
            <w:r>
              <w:rPr>
                <w:rFonts w:cs="Arial"/>
                <w:color w:val="000000"/>
                <w:sz w:val="16"/>
                <w:szCs w:val="16"/>
              </w:rPr>
              <w:t>3</w:t>
            </w:r>
          </w:p>
        </w:tc>
      </w:tr>
      <w:tr w:rsidR="00BF183C" w:rsidRPr="00BF183C" w:rsidTr="00BF183C">
        <w:trPr>
          <w:trHeight w:val="300"/>
        </w:trPr>
        <w:tc>
          <w:tcPr>
            <w:tcW w:w="669" w:type="pct"/>
            <w:noWrap/>
            <w:tcMar>
              <w:top w:w="0" w:type="dxa"/>
              <w:left w:w="70" w:type="dxa"/>
              <w:bottom w:w="0" w:type="dxa"/>
              <w:right w:w="70" w:type="dxa"/>
            </w:tcMar>
            <w:vAlign w:val="center"/>
            <w:hideMark/>
          </w:tcPr>
          <w:p w:rsidR="00BF183C" w:rsidRPr="00BF183C" w:rsidRDefault="00BF183C" w:rsidP="00BF183C">
            <w:pPr>
              <w:spacing w:after="0"/>
              <w:jc w:val="center"/>
              <w:rPr>
                <w:color w:val="000000"/>
                <w:sz w:val="16"/>
                <w:szCs w:val="16"/>
              </w:rPr>
            </w:pPr>
            <w:r w:rsidRPr="00BF183C">
              <w:rPr>
                <w:color w:val="000000"/>
                <w:sz w:val="16"/>
                <w:szCs w:val="16"/>
              </w:rPr>
              <w:t>RO</w:t>
            </w:r>
          </w:p>
        </w:tc>
        <w:tc>
          <w:tcPr>
            <w:tcW w:w="946"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2</w:t>
            </w:r>
          </w:p>
        </w:tc>
        <w:tc>
          <w:tcPr>
            <w:tcW w:w="552"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4</w:t>
            </w: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rFonts w:eastAsia="Times New Roman"/>
                <w:sz w:val="16"/>
                <w:szCs w:val="16"/>
              </w:rPr>
            </w:pPr>
          </w:p>
        </w:tc>
        <w:tc>
          <w:tcPr>
            <w:tcW w:w="394"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2</w:t>
            </w: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8</w:t>
            </w:r>
          </w:p>
        </w:tc>
        <w:tc>
          <w:tcPr>
            <w:tcW w:w="1178" w:type="pct"/>
            <w:tcMar>
              <w:left w:w="68" w:type="dxa"/>
              <w:right w:w="68" w:type="dxa"/>
            </w:tcMar>
            <w:vAlign w:val="center"/>
          </w:tcPr>
          <w:p w:rsidR="00BF183C" w:rsidRPr="00BF183C" w:rsidRDefault="00BF183C" w:rsidP="00BF183C">
            <w:pPr>
              <w:spacing w:after="0" w:line="240" w:lineRule="auto"/>
              <w:jc w:val="right"/>
              <w:rPr>
                <w:rFonts w:cs="Arial"/>
                <w:color w:val="000000"/>
                <w:sz w:val="16"/>
                <w:szCs w:val="16"/>
              </w:rPr>
            </w:pPr>
            <w:r>
              <w:rPr>
                <w:rFonts w:cs="Arial"/>
                <w:color w:val="000000"/>
                <w:sz w:val="16"/>
                <w:szCs w:val="16"/>
              </w:rPr>
              <w:t>4</w:t>
            </w:r>
          </w:p>
        </w:tc>
      </w:tr>
      <w:tr w:rsidR="00BF183C" w:rsidRPr="00BF183C" w:rsidTr="00BF183C">
        <w:trPr>
          <w:trHeight w:val="300"/>
        </w:trPr>
        <w:tc>
          <w:tcPr>
            <w:tcW w:w="669" w:type="pct"/>
            <w:noWrap/>
            <w:tcMar>
              <w:top w:w="0" w:type="dxa"/>
              <w:left w:w="70" w:type="dxa"/>
              <w:bottom w:w="0" w:type="dxa"/>
              <w:right w:w="70" w:type="dxa"/>
            </w:tcMar>
            <w:vAlign w:val="center"/>
            <w:hideMark/>
          </w:tcPr>
          <w:p w:rsidR="00BF183C" w:rsidRPr="00BF183C" w:rsidRDefault="00BF183C" w:rsidP="00BF183C">
            <w:pPr>
              <w:spacing w:after="0"/>
              <w:jc w:val="center"/>
              <w:rPr>
                <w:color w:val="000000"/>
                <w:sz w:val="16"/>
                <w:szCs w:val="16"/>
              </w:rPr>
            </w:pPr>
            <w:r w:rsidRPr="00BF183C">
              <w:rPr>
                <w:color w:val="000000"/>
                <w:sz w:val="16"/>
                <w:szCs w:val="16"/>
              </w:rPr>
              <w:t>SE</w:t>
            </w:r>
          </w:p>
        </w:tc>
        <w:tc>
          <w:tcPr>
            <w:tcW w:w="946"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2</w:t>
            </w:r>
          </w:p>
        </w:tc>
        <w:tc>
          <w:tcPr>
            <w:tcW w:w="552"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9</w:t>
            </w: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1</w:t>
            </w:r>
          </w:p>
        </w:tc>
        <w:tc>
          <w:tcPr>
            <w:tcW w:w="394"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1</w:t>
            </w: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13</w:t>
            </w:r>
          </w:p>
        </w:tc>
        <w:tc>
          <w:tcPr>
            <w:tcW w:w="1178" w:type="pct"/>
            <w:tcMar>
              <w:left w:w="68" w:type="dxa"/>
              <w:right w:w="68" w:type="dxa"/>
            </w:tcMar>
            <w:vAlign w:val="center"/>
          </w:tcPr>
          <w:p w:rsidR="00BF183C" w:rsidRPr="00BF183C" w:rsidRDefault="00BF183C" w:rsidP="00BF183C">
            <w:pPr>
              <w:spacing w:after="0" w:line="240" w:lineRule="auto"/>
              <w:jc w:val="right"/>
              <w:rPr>
                <w:rFonts w:cs="Arial"/>
                <w:color w:val="000000"/>
                <w:sz w:val="16"/>
                <w:szCs w:val="16"/>
              </w:rPr>
            </w:pPr>
            <w:r w:rsidRPr="00D0784A">
              <w:rPr>
                <w:rFonts w:cs="Arial"/>
                <w:color w:val="000000"/>
                <w:sz w:val="16"/>
                <w:szCs w:val="16"/>
              </w:rPr>
              <w:t>2</w:t>
            </w:r>
          </w:p>
        </w:tc>
      </w:tr>
      <w:tr w:rsidR="00BF183C" w:rsidRPr="00BF183C" w:rsidTr="00BF183C">
        <w:trPr>
          <w:trHeight w:val="300"/>
        </w:trPr>
        <w:tc>
          <w:tcPr>
            <w:tcW w:w="669" w:type="pct"/>
            <w:noWrap/>
            <w:tcMar>
              <w:top w:w="0" w:type="dxa"/>
              <w:left w:w="70" w:type="dxa"/>
              <w:bottom w:w="0" w:type="dxa"/>
              <w:right w:w="70" w:type="dxa"/>
            </w:tcMar>
            <w:vAlign w:val="center"/>
            <w:hideMark/>
          </w:tcPr>
          <w:p w:rsidR="00BF183C" w:rsidRPr="00BF183C" w:rsidRDefault="00BF183C" w:rsidP="00BF183C">
            <w:pPr>
              <w:spacing w:after="0"/>
              <w:jc w:val="center"/>
              <w:rPr>
                <w:color w:val="000000"/>
                <w:sz w:val="16"/>
                <w:szCs w:val="16"/>
              </w:rPr>
            </w:pPr>
            <w:r w:rsidRPr="00BF183C">
              <w:rPr>
                <w:color w:val="000000"/>
                <w:sz w:val="16"/>
                <w:szCs w:val="16"/>
              </w:rPr>
              <w:t>SI</w:t>
            </w:r>
          </w:p>
        </w:tc>
        <w:tc>
          <w:tcPr>
            <w:tcW w:w="946"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2</w:t>
            </w:r>
          </w:p>
        </w:tc>
        <w:tc>
          <w:tcPr>
            <w:tcW w:w="552" w:type="pct"/>
            <w:noWrap/>
            <w:tcMar>
              <w:top w:w="0" w:type="dxa"/>
              <w:left w:w="70" w:type="dxa"/>
              <w:bottom w:w="0" w:type="dxa"/>
              <w:right w:w="70" w:type="dxa"/>
            </w:tcMar>
            <w:vAlign w:val="center"/>
            <w:hideMark/>
          </w:tcPr>
          <w:p w:rsidR="00BF183C" w:rsidRPr="00BF183C" w:rsidRDefault="00BF183C" w:rsidP="00BF183C">
            <w:pPr>
              <w:spacing w:after="0"/>
              <w:jc w:val="right"/>
              <w:rPr>
                <w:rFonts w:eastAsia="Times New Roman"/>
                <w:sz w:val="16"/>
                <w:szCs w:val="16"/>
              </w:rPr>
            </w:pP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1</w:t>
            </w:r>
          </w:p>
        </w:tc>
        <w:tc>
          <w:tcPr>
            <w:tcW w:w="394" w:type="pct"/>
            <w:noWrap/>
            <w:tcMar>
              <w:top w:w="0" w:type="dxa"/>
              <w:left w:w="70" w:type="dxa"/>
              <w:bottom w:w="0" w:type="dxa"/>
              <w:right w:w="70" w:type="dxa"/>
            </w:tcMar>
            <w:vAlign w:val="center"/>
            <w:hideMark/>
          </w:tcPr>
          <w:p w:rsidR="00BF183C" w:rsidRPr="00BF183C" w:rsidRDefault="00BF183C" w:rsidP="00BF183C">
            <w:pPr>
              <w:spacing w:after="0"/>
              <w:jc w:val="right"/>
              <w:rPr>
                <w:rFonts w:eastAsia="Times New Roman"/>
                <w:sz w:val="16"/>
                <w:szCs w:val="16"/>
              </w:rPr>
            </w:pP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3</w:t>
            </w:r>
          </w:p>
        </w:tc>
        <w:tc>
          <w:tcPr>
            <w:tcW w:w="1178" w:type="pct"/>
            <w:tcMar>
              <w:left w:w="68" w:type="dxa"/>
              <w:right w:w="68" w:type="dxa"/>
            </w:tcMar>
            <w:vAlign w:val="center"/>
          </w:tcPr>
          <w:p w:rsidR="00BF183C" w:rsidRPr="00BF183C" w:rsidRDefault="00BF183C" w:rsidP="00BF183C">
            <w:pPr>
              <w:spacing w:after="0" w:line="240" w:lineRule="auto"/>
              <w:jc w:val="right"/>
              <w:rPr>
                <w:rFonts w:cs="Arial"/>
                <w:color w:val="000000"/>
                <w:sz w:val="16"/>
                <w:szCs w:val="16"/>
              </w:rPr>
            </w:pPr>
            <w:r>
              <w:rPr>
                <w:rFonts w:cs="Arial"/>
                <w:color w:val="000000"/>
                <w:sz w:val="16"/>
                <w:szCs w:val="16"/>
              </w:rPr>
              <w:t>3</w:t>
            </w:r>
          </w:p>
        </w:tc>
      </w:tr>
      <w:tr w:rsidR="00BF183C" w:rsidRPr="00BF183C" w:rsidTr="00BF183C">
        <w:trPr>
          <w:trHeight w:val="300"/>
        </w:trPr>
        <w:tc>
          <w:tcPr>
            <w:tcW w:w="669" w:type="pct"/>
            <w:noWrap/>
            <w:tcMar>
              <w:top w:w="0" w:type="dxa"/>
              <w:left w:w="70" w:type="dxa"/>
              <w:bottom w:w="0" w:type="dxa"/>
              <w:right w:w="70" w:type="dxa"/>
            </w:tcMar>
            <w:vAlign w:val="center"/>
            <w:hideMark/>
          </w:tcPr>
          <w:p w:rsidR="00BF183C" w:rsidRPr="00BF183C" w:rsidRDefault="00BF183C" w:rsidP="00BF183C">
            <w:pPr>
              <w:spacing w:after="0"/>
              <w:jc w:val="center"/>
              <w:rPr>
                <w:color w:val="000000"/>
                <w:sz w:val="16"/>
                <w:szCs w:val="16"/>
              </w:rPr>
            </w:pPr>
            <w:r w:rsidRPr="00BF183C">
              <w:rPr>
                <w:color w:val="000000"/>
                <w:sz w:val="16"/>
                <w:szCs w:val="16"/>
              </w:rPr>
              <w:t>SK</w:t>
            </w:r>
          </w:p>
        </w:tc>
        <w:tc>
          <w:tcPr>
            <w:tcW w:w="946"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2</w:t>
            </w:r>
          </w:p>
        </w:tc>
        <w:tc>
          <w:tcPr>
            <w:tcW w:w="552"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5</w:t>
            </w: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1</w:t>
            </w:r>
          </w:p>
        </w:tc>
        <w:tc>
          <w:tcPr>
            <w:tcW w:w="394"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1</w:t>
            </w:r>
          </w:p>
        </w:tc>
        <w:tc>
          <w:tcPr>
            <w:tcW w:w="630" w:type="pct"/>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9</w:t>
            </w:r>
          </w:p>
        </w:tc>
        <w:tc>
          <w:tcPr>
            <w:tcW w:w="1178" w:type="pct"/>
            <w:tcMar>
              <w:left w:w="68" w:type="dxa"/>
              <w:right w:w="68" w:type="dxa"/>
            </w:tcMar>
            <w:vAlign w:val="center"/>
          </w:tcPr>
          <w:p w:rsidR="00BF183C" w:rsidRPr="00BF183C" w:rsidRDefault="00BF183C" w:rsidP="00BF183C">
            <w:pPr>
              <w:spacing w:after="0" w:line="240" w:lineRule="auto"/>
              <w:jc w:val="right"/>
              <w:rPr>
                <w:rFonts w:cs="Arial"/>
                <w:color w:val="000000"/>
                <w:sz w:val="16"/>
                <w:szCs w:val="16"/>
              </w:rPr>
            </w:pPr>
            <w:r>
              <w:rPr>
                <w:rFonts w:cs="Arial"/>
                <w:color w:val="000000"/>
                <w:sz w:val="16"/>
                <w:szCs w:val="16"/>
              </w:rPr>
              <w:t>1</w:t>
            </w:r>
          </w:p>
        </w:tc>
      </w:tr>
      <w:tr w:rsidR="00BF183C" w:rsidRPr="00BF183C" w:rsidTr="00BF183C">
        <w:trPr>
          <w:trHeight w:val="300"/>
        </w:trPr>
        <w:tc>
          <w:tcPr>
            <w:tcW w:w="669" w:type="pct"/>
            <w:tcBorders>
              <w:bottom w:val="single" w:sz="4" w:space="0" w:color="auto"/>
            </w:tcBorders>
            <w:noWrap/>
            <w:tcMar>
              <w:top w:w="0" w:type="dxa"/>
              <w:left w:w="70" w:type="dxa"/>
              <w:bottom w:w="0" w:type="dxa"/>
              <w:right w:w="70" w:type="dxa"/>
            </w:tcMar>
            <w:vAlign w:val="center"/>
            <w:hideMark/>
          </w:tcPr>
          <w:p w:rsidR="00BF183C" w:rsidRPr="00BF183C" w:rsidRDefault="00BF183C" w:rsidP="00BF183C">
            <w:pPr>
              <w:spacing w:after="0"/>
              <w:jc w:val="center"/>
              <w:rPr>
                <w:color w:val="000000"/>
                <w:sz w:val="16"/>
                <w:szCs w:val="16"/>
              </w:rPr>
            </w:pPr>
            <w:r w:rsidRPr="00BF183C">
              <w:rPr>
                <w:color w:val="000000"/>
                <w:sz w:val="16"/>
                <w:szCs w:val="16"/>
              </w:rPr>
              <w:t>UK</w:t>
            </w:r>
          </w:p>
        </w:tc>
        <w:tc>
          <w:tcPr>
            <w:tcW w:w="946" w:type="pct"/>
            <w:tcBorders>
              <w:bottom w:val="single" w:sz="4" w:space="0" w:color="auto"/>
            </w:tcBorders>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2</w:t>
            </w:r>
          </w:p>
        </w:tc>
        <w:tc>
          <w:tcPr>
            <w:tcW w:w="552" w:type="pct"/>
            <w:tcBorders>
              <w:bottom w:val="single" w:sz="4" w:space="0" w:color="auto"/>
            </w:tcBorders>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6</w:t>
            </w:r>
          </w:p>
        </w:tc>
        <w:tc>
          <w:tcPr>
            <w:tcW w:w="630" w:type="pct"/>
            <w:tcBorders>
              <w:bottom w:val="single" w:sz="4" w:space="0" w:color="auto"/>
            </w:tcBorders>
            <w:noWrap/>
            <w:tcMar>
              <w:top w:w="0" w:type="dxa"/>
              <w:left w:w="70" w:type="dxa"/>
              <w:bottom w:w="0" w:type="dxa"/>
              <w:right w:w="70" w:type="dxa"/>
            </w:tcMar>
            <w:vAlign w:val="center"/>
            <w:hideMark/>
          </w:tcPr>
          <w:p w:rsidR="00BF183C" w:rsidRPr="00BF183C" w:rsidRDefault="00BF183C" w:rsidP="00BF183C">
            <w:pPr>
              <w:spacing w:after="0"/>
              <w:jc w:val="right"/>
              <w:rPr>
                <w:rFonts w:eastAsia="Times New Roman"/>
                <w:sz w:val="16"/>
                <w:szCs w:val="16"/>
              </w:rPr>
            </w:pPr>
          </w:p>
        </w:tc>
        <w:tc>
          <w:tcPr>
            <w:tcW w:w="394" w:type="pct"/>
            <w:tcBorders>
              <w:bottom w:val="single" w:sz="4" w:space="0" w:color="auto"/>
            </w:tcBorders>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6</w:t>
            </w:r>
          </w:p>
        </w:tc>
        <w:tc>
          <w:tcPr>
            <w:tcW w:w="630" w:type="pct"/>
            <w:tcBorders>
              <w:bottom w:val="single" w:sz="4" w:space="0" w:color="auto"/>
            </w:tcBorders>
            <w:noWrap/>
            <w:tcMar>
              <w:top w:w="0" w:type="dxa"/>
              <w:left w:w="70" w:type="dxa"/>
              <w:bottom w:w="0" w:type="dxa"/>
              <w:right w:w="70" w:type="dxa"/>
            </w:tcMar>
            <w:vAlign w:val="center"/>
            <w:hideMark/>
          </w:tcPr>
          <w:p w:rsidR="00BF183C" w:rsidRPr="00BF183C" w:rsidRDefault="00BF183C" w:rsidP="00BF183C">
            <w:pPr>
              <w:spacing w:after="0"/>
              <w:jc w:val="right"/>
              <w:rPr>
                <w:color w:val="000000"/>
                <w:sz w:val="16"/>
                <w:szCs w:val="16"/>
              </w:rPr>
            </w:pPr>
            <w:r w:rsidRPr="00BF183C">
              <w:rPr>
                <w:color w:val="000000"/>
                <w:sz w:val="16"/>
                <w:szCs w:val="16"/>
              </w:rPr>
              <w:t>14</w:t>
            </w:r>
          </w:p>
        </w:tc>
        <w:tc>
          <w:tcPr>
            <w:tcW w:w="1178" w:type="pct"/>
            <w:tcBorders>
              <w:bottom w:val="single" w:sz="4" w:space="0" w:color="auto"/>
            </w:tcBorders>
            <w:tcMar>
              <w:left w:w="68" w:type="dxa"/>
              <w:right w:w="68" w:type="dxa"/>
            </w:tcMar>
            <w:vAlign w:val="center"/>
          </w:tcPr>
          <w:p w:rsidR="00BF183C" w:rsidRPr="00BF183C" w:rsidRDefault="00BF183C" w:rsidP="00BF183C">
            <w:pPr>
              <w:spacing w:after="0" w:line="240" w:lineRule="auto"/>
              <w:jc w:val="right"/>
              <w:rPr>
                <w:rFonts w:cs="Arial"/>
                <w:color w:val="000000"/>
                <w:sz w:val="16"/>
                <w:szCs w:val="16"/>
              </w:rPr>
            </w:pPr>
            <w:r w:rsidRPr="00D0784A">
              <w:rPr>
                <w:rFonts w:cs="Arial"/>
                <w:color w:val="000000"/>
                <w:sz w:val="16"/>
                <w:szCs w:val="16"/>
              </w:rPr>
              <w:t>2</w:t>
            </w:r>
          </w:p>
        </w:tc>
      </w:tr>
      <w:tr w:rsidR="00BF183C" w:rsidRPr="00BF183C" w:rsidTr="00BF183C">
        <w:trPr>
          <w:trHeight w:val="300"/>
        </w:trPr>
        <w:tc>
          <w:tcPr>
            <w:tcW w:w="669" w:type="pct"/>
            <w:shd w:val="clear" w:color="auto" w:fill="BFBFBF" w:themeFill="background1" w:themeFillShade="BF"/>
            <w:noWrap/>
            <w:tcMar>
              <w:top w:w="0" w:type="dxa"/>
              <w:left w:w="70" w:type="dxa"/>
              <w:bottom w:w="0" w:type="dxa"/>
              <w:right w:w="70" w:type="dxa"/>
            </w:tcMar>
            <w:vAlign w:val="center"/>
            <w:hideMark/>
          </w:tcPr>
          <w:p w:rsidR="00BF183C" w:rsidRPr="00BF183C" w:rsidRDefault="00BF183C" w:rsidP="00BF183C">
            <w:pPr>
              <w:spacing w:after="0"/>
              <w:jc w:val="center"/>
              <w:rPr>
                <w:b/>
                <w:bCs/>
                <w:color w:val="000000"/>
                <w:sz w:val="16"/>
                <w:szCs w:val="16"/>
              </w:rPr>
            </w:pPr>
            <w:r>
              <w:rPr>
                <w:b/>
                <w:bCs/>
                <w:color w:val="000000"/>
                <w:sz w:val="16"/>
                <w:szCs w:val="16"/>
              </w:rPr>
              <w:t>Total</w:t>
            </w:r>
          </w:p>
        </w:tc>
        <w:tc>
          <w:tcPr>
            <w:tcW w:w="946" w:type="pct"/>
            <w:shd w:val="clear" w:color="auto" w:fill="BFBFBF" w:themeFill="background1" w:themeFillShade="BF"/>
            <w:noWrap/>
            <w:tcMar>
              <w:top w:w="0" w:type="dxa"/>
              <w:left w:w="70" w:type="dxa"/>
              <w:bottom w:w="0" w:type="dxa"/>
              <w:right w:w="70" w:type="dxa"/>
            </w:tcMar>
            <w:vAlign w:val="center"/>
            <w:hideMark/>
          </w:tcPr>
          <w:p w:rsidR="00BF183C" w:rsidRPr="00BF183C" w:rsidRDefault="00BF183C" w:rsidP="00BF183C">
            <w:pPr>
              <w:spacing w:after="0"/>
              <w:jc w:val="right"/>
              <w:rPr>
                <w:b/>
                <w:bCs/>
                <w:color w:val="000000"/>
                <w:sz w:val="16"/>
                <w:szCs w:val="16"/>
              </w:rPr>
            </w:pPr>
            <w:r w:rsidRPr="00BF183C">
              <w:rPr>
                <w:b/>
                <w:bCs/>
                <w:color w:val="000000"/>
                <w:sz w:val="16"/>
                <w:szCs w:val="16"/>
              </w:rPr>
              <w:t>63</w:t>
            </w:r>
          </w:p>
        </w:tc>
        <w:tc>
          <w:tcPr>
            <w:tcW w:w="552" w:type="pct"/>
            <w:shd w:val="clear" w:color="auto" w:fill="BFBFBF" w:themeFill="background1" w:themeFillShade="BF"/>
            <w:noWrap/>
            <w:tcMar>
              <w:top w:w="0" w:type="dxa"/>
              <w:left w:w="70" w:type="dxa"/>
              <w:bottom w:w="0" w:type="dxa"/>
              <w:right w:w="70" w:type="dxa"/>
            </w:tcMar>
            <w:vAlign w:val="center"/>
            <w:hideMark/>
          </w:tcPr>
          <w:p w:rsidR="00BF183C" w:rsidRPr="00BF183C" w:rsidRDefault="00BF183C" w:rsidP="00BF183C">
            <w:pPr>
              <w:spacing w:after="0"/>
              <w:jc w:val="right"/>
              <w:rPr>
                <w:b/>
                <w:bCs/>
                <w:color w:val="000000"/>
                <w:sz w:val="16"/>
                <w:szCs w:val="16"/>
              </w:rPr>
            </w:pPr>
            <w:r w:rsidRPr="00BF183C">
              <w:rPr>
                <w:b/>
                <w:bCs/>
                <w:color w:val="000000"/>
                <w:sz w:val="16"/>
                <w:szCs w:val="16"/>
              </w:rPr>
              <w:t>126</w:t>
            </w:r>
          </w:p>
        </w:tc>
        <w:tc>
          <w:tcPr>
            <w:tcW w:w="630" w:type="pct"/>
            <w:shd w:val="clear" w:color="auto" w:fill="BFBFBF" w:themeFill="background1" w:themeFillShade="BF"/>
            <w:noWrap/>
            <w:tcMar>
              <w:top w:w="0" w:type="dxa"/>
              <w:left w:w="70" w:type="dxa"/>
              <w:bottom w:w="0" w:type="dxa"/>
              <w:right w:w="70" w:type="dxa"/>
            </w:tcMar>
            <w:vAlign w:val="center"/>
            <w:hideMark/>
          </w:tcPr>
          <w:p w:rsidR="00BF183C" w:rsidRPr="00BF183C" w:rsidRDefault="00BF183C" w:rsidP="00BF183C">
            <w:pPr>
              <w:spacing w:after="0"/>
              <w:jc w:val="right"/>
              <w:rPr>
                <w:b/>
                <w:bCs/>
                <w:color w:val="000000"/>
                <w:sz w:val="16"/>
                <w:szCs w:val="16"/>
              </w:rPr>
            </w:pPr>
            <w:r w:rsidRPr="00BF183C">
              <w:rPr>
                <w:b/>
                <w:bCs/>
                <w:color w:val="000000"/>
                <w:sz w:val="16"/>
                <w:szCs w:val="16"/>
              </w:rPr>
              <w:t>92</w:t>
            </w:r>
          </w:p>
        </w:tc>
        <w:tc>
          <w:tcPr>
            <w:tcW w:w="394" w:type="pct"/>
            <w:shd w:val="clear" w:color="auto" w:fill="BFBFBF" w:themeFill="background1" w:themeFillShade="BF"/>
            <w:noWrap/>
            <w:tcMar>
              <w:top w:w="0" w:type="dxa"/>
              <w:left w:w="70" w:type="dxa"/>
              <w:bottom w:w="0" w:type="dxa"/>
              <w:right w:w="70" w:type="dxa"/>
            </w:tcMar>
            <w:vAlign w:val="center"/>
            <w:hideMark/>
          </w:tcPr>
          <w:p w:rsidR="00BF183C" w:rsidRPr="00BF183C" w:rsidRDefault="00BF183C" w:rsidP="00BF183C">
            <w:pPr>
              <w:spacing w:after="0"/>
              <w:jc w:val="right"/>
              <w:rPr>
                <w:b/>
                <w:bCs/>
                <w:color w:val="000000"/>
                <w:sz w:val="16"/>
                <w:szCs w:val="16"/>
              </w:rPr>
            </w:pPr>
            <w:r w:rsidRPr="00BF183C">
              <w:rPr>
                <w:b/>
                <w:bCs/>
                <w:color w:val="000000"/>
                <w:sz w:val="16"/>
                <w:szCs w:val="16"/>
              </w:rPr>
              <w:t>95</w:t>
            </w:r>
          </w:p>
        </w:tc>
        <w:tc>
          <w:tcPr>
            <w:tcW w:w="630" w:type="pct"/>
            <w:shd w:val="clear" w:color="auto" w:fill="BFBFBF" w:themeFill="background1" w:themeFillShade="BF"/>
            <w:noWrap/>
            <w:tcMar>
              <w:top w:w="0" w:type="dxa"/>
              <w:left w:w="70" w:type="dxa"/>
              <w:bottom w:w="0" w:type="dxa"/>
              <w:right w:w="70" w:type="dxa"/>
            </w:tcMar>
            <w:vAlign w:val="center"/>
            <w:hideMark/>
          </w:tcPr>
          <w:p w:rsidR="00BF183C" w:rsidRPr="00BF183C" w:rsidRDefault="00BF183C" w:rsidP="00BF183C">
            <w:pPr>
              <w:spacing w:after="0"/>
              <w:jc w:val="right"/>
              <w:rPr>
                <w:b/>
                <w:bCs/>
                <w:color w:val="000000"/>
                <w:sz w:val="16"/>
                <w:szCs w:val="16"/>
              </w:rPr>
            </w:pPr>
            <w:r w:rsidRPr="00BF183C">
              <w:rPr>
                <w:b/>
                <w:bCs/>
                <w:color w:val="000000"/>
                <w:sz w:val="16"/>
                <w:szCs w:val="16"/>
              </w:rPr>
              <w:t>376</w:t>
            </w:r>
          </w:p>
        </w:tc>
        <w:tc>
          <w:tcPr>
            <w:tcW w:w="1178" w:type="pct"/>
            <w:shd w:val="clear" w:color="auto" w:fill="BFBFBF" w:themeFill="background1" w:themeFillShade="BF"/>
            <w:tcMar>
              <w:left w:w="68" w:type="dxa"/>
              <w:right w:w="68" w:type="dxa"/>
            </w:tcMar>
            <w:vAlign w:val="center"/>
          </w:tcPr>
          <w:p w:rsidR="00BF183C" w:rsidRPr="00BF183C" w:rsidRDefault="00BF183C" w:rsidP="00BF183C">
            <w:pPr>
              <w:spacing w:after="0" w:line="240" w:lineRule="auto"/>
              <w:jc w:val="right"/>
              <w:rPr>
                <w:rFonts w:cs="Arial"/>
                <w:b/>
                <w:color w:val="000000"/>
                <w:sz w:val="16"/>
                <w:szCs w:val="16"/>
              </w:rPr>
            </w:pPr>
            <w:r w:rsidRPr="00BF183C">
              <w:rPr>
                <w:rFonts w:cs="Arial"/>
                <w:b/>
                <w:color w:val="000000"/>
                <w:sz w:val="16"/>
                <w:szCs w:val="16"/>
              </w:rPr>
              <w:t>64</w:t>
            </w:r>
          </w:p>
        </w:tc>
      </w:tr>
    </w:tbl>
    <w:p w:rsidR="003D0E01" w:rsidRPr="000202AF" w:rsidRDefault="003D0E01" w:rsidP="003D0E01">
      <w:pPr>
        <w:pStyle w:val="Bulletpoint1"/>
        <w:numPr>
          <w:ilvl w:val="0"/>
          <w:numId w:val="0"/>
        </w:numPr>
        <w:rPr>
          <w:sz w:val="18"/>
        </w:rPr>
      </w:pPr>
      <w:r w:rsidRPr="000202AF">
        <w:rPr>
          <w:sz w:val="18"/>
        </w:rPr>
        <w:t xml:space="preserve">*a sample of EAFRD and EMFF programmes is covered (with a priority given in each MS to the financially largest ones); this approach takes into account that the coverage of CSRs is limited in these programmes, as emerged in the preliminary analysis as well as in the discussion of the kick off meeting.  </w:t>
      </w:r>
    </w:p>
    <w:p w:rsidR="003D0E01" w:rsidRDefault="003D0E01" w:rsidP="003D0E01"/>
    <w:p w:rsidR="003D0E01" w:rsidRPr="002275E6" w:rsidRDefault="003D0E01" w:rsidP="003D0E01">
      <w:pPr>
        <w:pStyle w:val="Heading3"/>
      </w:pPr>
      <w:bookmarkStart w:id="30" w:name="_Toc466826797"/>
      <w:r>
        <w:t>Key findings from the analysis of ESI Funds’ programmes</w:t>
      </w:r>
      <w:bookmarkEnd w:id="30"/>
      <w:r>
        <w:t xml:space="preserve"> </w:t>
      </w:r>
    </w:p>
    <w:p w:rsidR="003D0E01" w:rsidRDefault="003D0E01" w:rsidP="003D0E01">
      <w:r>
        <w:t>As mentioned</w:t>
      </w:r>
      <w:r w:rsidR="00C11456">
        <w:t xml:space="preserve"> above</w:t>
      </w:r>
      <w:r>
        <w:t xml:space="preserve">, a detailed qualitative analysis by country is provided in the annexed Country Fiches. These consolidate the findings of the desk analysis as well as of the interviews, while the Overview Tables compiled and assembled as Excel file provide information on the individual OPs mobilised to address the CSR/challenges as well as on Investment Priorities and Specific Objectives (SO) used. </w:t>
      </w:r>
    </w:p>
    <w:p w:rsidR="003D0E01" w:rsidRDefault="003D0E01" w:rsidP="003D0E01">
      <w:r>
        <w:t xml:space="preserve">All this information was used in the qualitative analysis of the Country Fiches but it is worth noting that processing </w:t>
      </w:r>
      <w:r w:rsidRPr="00011206">
        <w:t>information on Specific Objectives</w:t>
      </w:r>
      <w:r>
        <w:t xml:space="preserve"> in an aggregate manner is a challenge, as</w:t>
      </w:r>
      <w:r w:rsidRPr="00011206">
        <w:t xml:space="preserve"> </w:t>
      </w:r>
      <w:r>
        <w:t xml:space="preserve">those </w:t>
      </w:r>
      <w:r w:rsidRPr="00011206">
        <w:t xml:space="preserve">cannot be </w:t>
      </w:r>
      <w:r>
        <w:t xml:space="preserve">easily </w:t>
      </w:r>
      <w:r w:rsidRPr="00011206">
        <w:t>standardised</w:t>
      </w:r>
      <w:r>
        <w:t xml:space="preserve"> without a significant information loss,</w:t>
      </w:r>
      <w:r w:rsidRPr="00011206">
        <w:t xml:space="preserve"> being spec</w:t>
      </w:r>
      <w:r>
        <w:t>ific to countries and programmes</w:t>
      </w:r>
      <w:r w:rsidRPr="00011206">
        <w:t xml:space="preserve">. </w:t>
      </w:r>
      <w:r>
        <w:t>Despite this limit, the list of SO</w:t>
      </w:r>
      <w:r>
        <w:rPr>
          <w:rStyle w:val="FootnoteReference"/>
        </w:rPr>
        <w:footnoteReference w:id="20"/>
      </w:r>
      <w:r w:rsidR="0041758E">
        <w:t xml:space="preserve"> is compiled</w:t>
      </w:r>
      <w:r>
        <w:t xml:space="preserve"> </w:t>
      </w:r>
      <w:r w:rsidR="0041758E">
        <w:t>and</w:t>
      </w:r>
      <w:r>
        <w:t xml:space="preserve"> is provided </w:t>
      </w:r>
      <w:r w:rsidR="0041758E">
        <w:t xml:space="preserve">in </w:t>
      </w:r>
      <w:r>
        <w:t xml:space="preserve"> annex. </w:t>
      </w:r>
    </w:p>
    <w:p w:rsidR="003D0E01" w:rsidRDefault="003D0E01" w:rsidP="003D0E01">
      <w:r>
        <w:t xml:space="preserve">The following paragraph provide a cross analysis of the main findings emerging from the work of each country expert.  </w:t>
      </w:r>
    </w:p>
    <w:p w:rsidR="00B44630" w:rsidRPr="00B07C9D" w:rsidRDefault="003D0E01" w:rsidP="003D0E01">
      <w:pPr>
        <w:rPr>
          <w:b/>
        </w:rPr>
      </w:pPr>
      <w:r w:rsidRPr="00B07C9D">
        <w:rPr>
          <w:b/>
        </w:rPr>
        <w:t>Coverage of CSR/structural challenges in OPs</w:t>
      </w:r>
    </w:p>
    <w:p w:rsidR="003D0E01" w:rsidRDefault="003D0E01" w:rsidP="003D0E01">
      <w:r>
        <w:t xml:space="preserve">The desk analysis of Operational Programmes, supported by the interviews, has shown that the OPs generally address most of the cohesion relevant CSR as well as the structural challenges highlighted in the Country Reports. </w:t>
      </w:r>
      <w:r w:rsidRPr="00232E24">
        <w:t>The extent to which structural challenges are covered depends on the specific thematic orientation of individual Operational Programmes and particular country specific recommendations.</w:t>
      </w:r>
    </w:p>
    <w:p w:rsidR="003D0E01" w:rsidRDefault="003D0E01" w:rsidP="003D0E01">
      <w:r>
        <w:t xml:space="preserve">Overall the ESF OPs are the most important for targeting structural challenges and cover the recommendations related to employment, </w:t>
      </w:r>
      <w:r w:rsidRPr="00F47369">
        <w:t>labour market participation</w:t>
      </w:r>
      <w:r>
        <w:t xml:space="preserve"> of young people, women</w:t>
      </w:r>
      <w:r w:rsidRPr="00F47369">
        <w:t>, elderly and people with migration background</w:t>
      </w:r>
      <w:r>
        <w:t>,</w:t>
      </w:r>
      <w:r w:rsidRPr="00FF72C2">
        <w:t xml:space="preserve"> </w:t>
      </w:r>
      <w:r>
        <w:t>education and training, life-long learning, prevention of school dropouts, discrimination and poverty.</w:t>
      </w:r>
      <w:r w:rsidR="00131325">
        <w:t xml:space="preserve"> The main reaso</w:t>
      </w:r>
      <w:r w:rsidR="00072E24">
        <w:t xml:space="preserve">n for this relevance of ESF is </w:t>
      </w:r>
      <w:r w:rsidR="00131325">
        <w:t xml:space="preserve">obvious: most of ESIF-relevant CSR concern ESF intervention fields. </w:t>
      </w:r>
      <w:r>
        <w:t xml:space="preserve"> </w:t>
      </w:r>
    </w:p>
    <w:p w:rsidR="003D0E01" w:rsidRDefault="001872A8" w:rsidP="003D0E01">
      <w:r>
        <w:t xml:space="preserve">Relevance </w:t>
      </w:r>
      <w:r w:rsidR="003D0E01">
        <w:t>of CSR/structural challenges is more limited in ERDF/CF programmes. They tend to target recommendations in the fields of energy efficiency in buildings,</w:t>
      </w:r>
      <w:r w:rsidR="001861F4">
        <w:t xml:space="preserve"> GHG emissions,</w:t>
      </w:r>
      <w:r w:rsidR="003D0E01">
        <w:t xml:space="preserve"> </w:t>
      </w:r>
      <w:r w:rsidR="001861F4">
        <w:t xml:space="preserve">research, technological development and innovation as well as business environment, </w:t>
      </w:r>
      <w:r w:rsidR="003D0E01">
        <w:t xml:space="preserve">ICT networks but also to some extent employment, skills shortages/mismatches, lifelong learning, government bureaucracy. </w:t>
      </w:r>
      <w:r w:rsidR="00131325">
        <w:t>Nonetheless, on average there are less ESIF-relevant CSR concerning the ERDF intervention fields</w:t>
      </w:r>
      <w:r>
        <w:t xml:space="preserve"> compared to ESF</w:t>
      </w:r>
      <w:r w:rsidR="00131325">
        <w:t xml:space="preserve">. </w:t>
      </w:r>
    </w:p>
    <w:p w:rsidR="003D0E01" w:rsidRDefault="003D0E01" w:rsidP="003D0E01">
      <w:r>
        <w:t xml:space="preserve">Scarcer but existing is the coverage of structural challenges by EAFRD RDP and EMFF OPs; e.g. promoting innovation, support young farmers; finance supply chain development policy and business networks. There are interesting cases of programmes contributing to address challenges, also in the social sphere. </w:t>
      </w:r>
    </w:p>
    <w:p w:rsidR="003D0E01" w:rsidRDefault="003D0E01" w:rsidP="003D0E01">
      <w:r>
        <w:t>For instance in Belgium, the EMFF and EAFRD OPs mainly cover the CSR on the reduction of GHG emissions and on energy efficiency but also on employment as well as skills shortages/mismatches for the EMFF, and early school leaving for EAFRD. Faced to the increasing number of vulnerable young people in rural areas, and in particular people aged 18-25 who have not completed their school, Flanders set up specific programmes to foster lifelong learning and vocational training in the agricultural and forestry sector; there are also measures aiming to provide support to young people willing to start-up a farm.</w:t>
      </w:r>
    </w:p>
    <w:p w:rsidR="003D0E01" w:rsidRDefault="003D0E01" w:rsidP="003D0E01">
      <w:r w:rsidRPr="00F47369">
        <w:t>CSRs and structural challenges that concern how to regulate the economy and especially the wage setting-system have not been addressed</w:t>
      </w:r>
      <w:r>
        <w:t xml:space="preserve"> in the majority of cases,</w:t>
      </w:r>
      <w:r w:rsidRPr="00F47369">
        <w:t xml:space="preserve"> not only because some of those challenges require initiatives that go beyond the sphere of intervention of ESI Funds but also because there is no consensus at the national </w:t>
      </w:r>
      <w:r w:rsidR="00B44630">
        <w:t xml:space="preserve">level </w:t>
      </w:r>
      <w:r w:rsidRPr="00F47369">
        <w:t xml:space="preserve">on these policy </w:t>
      </w:r>
      <w:r w:rsidR="00B44630">
        <w:t xml:space="preserve">fields </w:t>
      </w:r>
      <w:r>
        <w:t>(e.g. France)</w:t>
      </w:r>
      <w:r w:rsidRPr="00F47369">
        <w:t>.</w:t>
      </w:r>
      <w:r>
        <w:t xml:space="preserve"> In some EU13 Countries it is pointed out that </w:t>
      </w:r>
      <w:r w:rsidRPr="00A44429">
        <w:t xml:space="preserve">challenges characterised by a complex nature </w:t>
      </w:r>
      <w:r>
        <w:t xml:space="preserve">can be addressed by </w:t>
      </w:r>
      <w:r w:rsidRPr="00A44429">
        <w:t>the ESI Funds only partially. These include recommendations related to cost-efficiency of the healthcare sector, energy efficiency etc.</w:t>
      </w:r>
    </w:p>
    <w:p w:rsidR="003D0E01" w:rsidRDefault="003D0E01" w:rsidP="003D0E01">
      <w:r>
        <w:t>In the EU15, often t</w:t>
      </w:r>
      <w:r w:rsidRPr="00F47369">
        <w:t>he interviews suggest that the total amount of available ESI</w:t>
      </w:r>
      <w:r>
        <w:t xml:space="preserve"> F</w:t>
      </w:r>
      <w:r w:rsidRPr="00F47369">
        <w:t xml:space="preserve">unds is too small to target all the CSRs. </w:t>
      </w:r>
      <w:r>
        <w:t xml:space="preserve">This is certainly the case of country with no less developed (or convergence regions). </w:t>
      </w:r>
      <w:r w:rsidRPr="00F47369">
        <w:t>As a consequence</w:t>
      </w:r>
      <w:r>
        <w:t>,</w:t>
      </w:r>
      <w:r w:rsidRPr="00F47369">
        <w:t xml:space="preserve"> the regions have made </w:t>
      </w:r>
      <w:r>
        <w:t xml:space="preserve">selective and </w:t>
      </w:r>
      <w:r w:rsidRPr="00F47369">
        <w:t>different choices on the most relevant challenges to deal with. For example</w:t>
      </w:r>
      <w:r>
        <w:t xml:space="preserve">, in the Netherlands, </w:t>
      </w:r>
      <w:r w:rsidRPr="00F47369">
        <w:t xml:space="preserve">the West Netherlands OP is focused on the “energy-related” and “labour market-related” CSR. At the national level, the focus </w:t>
      </w:r>
      <w:r>
        <w:t>is</w:t>
      </w:r>
      <w:r w:rsidRPr="00F47369">
        <w:t xml:space="preserve"> on the “innovation” and “low carbon energy-related” CSRs/structural challenges.</w:t>
      </w:r>
    </w:p>
    <w:p w:rsidR="00171A1A" w:rsidRDefault="00171A1A" w:rsidP="00171A1A">
      <w:r>
        <w:t xml:space="preserve">The following table provides some </w:t>
      </w:r>
      <w:r w:rsidRPr="00171A1A">
        <w:t xml:space="preserve">examples </w:t>
      </w:r>
      <w:r>
        <w:t xml:space="preserve">of </w:t>
      </w:r>
      <w:r w:rsidRPr="00171A1A">
        <w:t xml:space="preserve">specific objectives </w:t>
      </w:r>
      <w:r>
        <w:t xml:space="preserve">in order to show </w:t>
      </w:r>
      <w:r w:rsidRPr="00171A1A">
        <w:t>how ESI funding actually address CSRs</w:t>
      </w:r>
      <w:r>
        <w:t>. The examples include information on the targeted CSRs, the mobilised OPs</w:t>
      </w:r>
      <w:r w:rsidR="009F6685">
        <w:t xml:space="preserve">, the relevant SOs </w:t>
      </w:r>
      <w:r>
        <w:t xml:space="preserve">and </w:t>
      </w:r>
      <w:r w:rsidRPr="00171A1A">
        <w:t xml:space="preserve">the targeted change they seek to generate </w:t>
      </w:r>
      <w:r w:rsidR="009F6685">
        <w:t>(</w:t>
      </w:r>
      <w:r w:rsidRPr="00171A1A">
        <w:t xml:space="preserve">2023 </w:t>
      </w:r>
      <w:r w:rsidR="009F6685">
        <w:t xml:space="preserve">target vs. </w:t>
      </w:r>
      <w:r w:rsidRPr="00171A1A">
        <w:t>baseline values</w:t>
      </w:r>
      <w:r w:rsidR="009F6685">
        <w:t>)</w:t>
      </w:r>
      <w:r w:rsidRPr="00171A1A">
        <w:t>.</w:t>
      </w:r>
    </w:p>
    <w:p w:rsidR="00E26D99" w:rsidRDefault="0035443E" w:rsidP="00E26D99">
      <w:r w:rsidRPr="0035443E">
        <w:t>Overall, the CSR are addressed at the level of Specific Objectives across all ESI Funds: mostly ESF and ERDF but also by EAFRD and EMFF. However, it will be difficult to measure the actual change they aim to produce on the basis of the available programme indicators since these are often not very closely linked to the SOs and it is often unclear whether the targets are meaningful.</w:t>
      </w:r>
      <w:r w:rsidR="00E26D99">
        <w:t xml:space="preserve"> This study is not an evaluation of the robustness of the intervention logic and </w:t>
      </w:r>
      <w:r w:rsidR="00EA2367">
        <w:t xml:space="preserve">of </w:t>
      </w:r>
      <w:r w:rsidR="00E26D99">
        <w:t xml:space="preserve">the meaningfulness of the indicators and targets. </w:t>
      </w:r>
      <w:r w:rsidR="00EA2367">
        <w:t>However the quality of the indicators and targets has an impact on the capacity to measure policy results related to the CSR/structural challenges.</w:t>
      </w:r>
    </w:p>
    <w:p w:rsidR="00171A1A" w:rsidRPr="00171A1A" w:rsidRDefault="00EA2367" w:rsidP="00171A1A">
      <w:pPr>
        <w:sectPr w:rsidR="00171A1A" w:rsidRPr="00171A1A" w:rsidSect="003D0E01">
          <w:pgSz w:w="11907" w:h="16839" w:code="9"/>
          <w:pgMar w:top="1418" w:right="1418" w:bottom="851" w:left="1701" w:header="567" w:footer="720" w:gutter="0"/>
          <w:cols w:space="720"/>
          <w:docGrid w:linePitch="326"/>
        </w:sectPr>
      </w:pPr>
      <w:r>
        <w:t>The ex post evaluation</w:t>
      </w:r>
      <w:r w:rsidR="001F64DC">
        <w:t>s</w:t>
      </w:r>
      <w:r>
        <w:t xml:space="preserve"> of Cohesion policy 2007-2013</w:t>
      </w:r>
      <w:r w:rsidR="001F64DC">
        <w:rPr>
          <w:rStyle w:val="FootnoteReference"/>
        </w:rPr>
        <w:footnoteReference w:id="21"/>
      </w:r>
      <w:r>
        <w:t xml:space="preserve"> have highlighted a </w:t>
      </w:r>
      <w:r w:rsidR="005F40FC" w:rsidRPr="005F40FC">
        <w:t xml:space="preserve">lack of relevant indicators to monitor and evaluate outcomes. </w:t>
      </w:r>
      <w:r>
        <w:t xml:space="preserve">There is </w:t>
      </w:r>
      <w:r w:rsidR="005F40FC" w:rsidRPr="005F40FC">
        <w:t>a need not only for better indicators on programme performance but also for better data on the context in which policy is implemented, so that outcomes can be more meaningfully interpreted. While regional data from Eurostat have improved markedly over recent years, there is still a lack of data on a number of policy areas, including the environment and social aspects, as well as on government investment at regional level, to compare with that financed by Cohesion policy.</w:t>
      </w:r>
      <w:r>
        <w:t xml:space="preserve"> In addition, </w:t>
      </w:r>
      <w:r w:rsidR="005F40FC" w:rsidRPr="005F40FC">
        <w:t>the monitoring systems and indicators</w:t>
      </w:r>
      <w:r>
        <w:t xml:space="preserve"> are characterised by several deficiencies</w:t>
      </w:r>
      <w:r w:rsidR="005F40FC" w:rsidRPr="005F40FC">
        <w:t xml:space="preserve">. The focus </w:t>
      </w:r>
      <w:r>
        <w:t xml:space="preserve">has been traditionally on </w:t>
      </w:r>
      <w:r w:rsidR="005F40FC" w:rsidRPr="005F40FC">
        <w:t xml:space="preserve">the financial performance of funds </w:t>
      </w:r>
      <w:r>
        <w:t xml:space="preserve">while there is a need for shifting the attention to </w:t>
      </w:r>
      <w:r w:rsidR="005F40FC" w:rsidRPr="005F40FC">
        <w:t>the</w:t>
      </w:r>
      <w:r>
        <w:t xml:space="preserve"> </w:t>
      </w:r>
      <w:r w:rsidR="005F40FC" w:rsidRPr="005F40FC">
        <w:t>performance in contributing to programme objectives</w:t>
      </w:r>
      <w:r>
        <w:t>.</w:t>
      </w:r>
      <w:r w:rsidR="005F40FC" w:rsidRPr="005F40FC">
        <w:t xml:space="preserve"> </w:t>
      </w:r>
      <w:r w:rsidR="00247945">
        <w:t>T</w:t>
      </w:r>
      <w:r w:rsidR="005F40FC" w:rsidRPr="005F40FC">
        <w:t>here is a need to develop monitoring indicators which relate not only to the direct output of projects but to what the programmes are attempting to achieve.</w:t>
      </w:r>
      <w:r>
        <w:t xml:space="preserve"> In the current period, </w:t>
      </w:r>
      <w:r w:rsidRPr="005F40FC">
        <w:t>2014-2020</w:t>
      </w:r>
      <w:r>
        <w:t xml:space="preserve">, some changes took place with the </w:t>
      </w:r>
      <w:r w:rsidRPr="005F40FC">
        <w:t>obligatory use of common output and result indicators.</w:t>
      </w:r>
      <w:r>
        <w:t xml:space="preserve"> </w:t>
      </w:r>
      <w:r w:rsidR="001F64DC">
        <w:t xml:space="preserve">To what extent the changes are sufficient to overcome the highlighted problems still needs to be seen and evaluated. </w:t>
      </w:r>
      <w:r>
        <w:t>However</w:t>
      </w:r>
      <w:r w:rsidR="001F64DC">
        <w:t>, the examination of the OPs shows that the quality of the results indicators remains low on average</w:t>
      </w:r>
      <w:r w:rsidR="00247945">
        <w:t xml:space="preserve"> as it is difficult to relate many of them to the actual planned outcomes</w:t>
      </w:r>
      <w:r w:rsidR="001F64DC">
        <w:t xml:space="preserve">. In this paragraph we tried to provide examples as meaningful as possible in relation to the aim of linking SOs and CSR/structural challenges. </w:t>
      </w:r>
      <w:r w:rsidR="00247945">
        <w:t>As stressed t</w:t>
      </w:r>
      <w:r w:rsidR="001F64DC">
        <w:t>his is a difficult exercise because most outcome indicators seem to suffer still from the 2007-2013 shortcomings mentioned above.</w:t>
      </w:r>
    </w:p>
    <w:p w:rsidR="00F90276" w:rsidRDefault="009F6685">
      <w:pPr>
        <w:pStyle w:val="Caption"/>
        <w:keepNext/>
      </w:pPr>
      <w:r>
        <w:t xml:space="preserve">Table </w:t>
      </w:r>
      <w:r w:rsidR="00C52F7F">
        <w:fldChar w:fldCharType="begin"/>
      </w:r>
      <w:r>
        <w:instrText xml:space="preserve"> SEQ Table \* ARABIC </w:instrText>
      </w:r>
      <w:r w:rsidR="00C52F7F">
        <w:fldChar w:fldCharType="separate"/>
      </w:r>
      <w:r w:rsidR="00183DCC">
        <w:rPr>
          <w:noProof/>
        </w:rPr>
        <w:t>9</w:t>
      </w:r>
      <w:r w:rsidR="00C52F7F">
        <w:fldChar w:fldCharType="end"/>
      </w:r>
      <w:r>
        <w:t xml:space="preserve"> - Examples of Specific Objectives </w:t>
      </w:r>
      <w:r w:rsidR="00C35BE3">
        <w:t xml:space="preserve">and indicators </w:t>
      </w:r>
      <w:r>
        <w:t>addressing CSRs</w:t>
      </w:r>
      <w:r w:rsidR="00766B4F">
        <w:rPr>
          <w:rStyle w:val="FootnoteReference"/>
        </w:rPr>
        <w:footnoteReference w:id="22"/>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3"/>
        <w:gridCol w:w="1047"/>
        <w:gridCol w:w="813"/>
        <w:gridCol w:w="1221"/>
        <w:gridCol w:w="2774"/>
        <w:gridCol w:w="3643"/>
        <w:gridCol w:w="1946"/>
        <w:gridCol w:w="1919"/>
      </w:tblGrid>
      <w:tr w:rsidR="0035443E" w:rsidRPr="009F6685" w:rsidTr="00395F8D">
        <w:trPr>
          <w:trHeight w:val="273"/>
        </w:trPr>
        <w:tc>
          <w:tcPr>
            <w:tcW w:w="481" w:type="pct"/>
            <w:shd w:val="clear" w:color="auto" w:fill="BFBFBF" w:themeFill="background1" w:themeFillShade="BF"/>
          </w:tcPr>
          <w:p w:rsidR="0035443E" w:rsidRPr="009F6685" w:rsidRDefault="0035443E" w:rsidP="00183DCC">
            <w:pPr>
              <w:spacing w:after="120"/>
              <w:rPr>
                <w:b/>
                <w:bCs/>
                <w:sz w:val="18"/>
                <w:szCs w:val="18"/>
              </w:rPr>
            </w:pPr>
            <w:r>
              <w:rPr>
                <w:b/>
                <w:bCs/>
                <w:sz w:val="18"/>
                <w:szCs w:val="18"/>
              </w:rPr>
              <w:t>Relevant policy areas</w:t>
            </w:r>
          </w:p>
        </w:tc>
        <w:tc>
          <w:tcPr>
            <w:tcW w:w="354" w:type="pct"/>
            <w:shd w:val="clear" w:color="auto" w:fill="BFBFBF" w:themeFill="background1" w:themeFillShade="BF"/>
          </w:tcPr>
          <w:p w:rsidR="0035443E" w:rsidRPr="009F6685" w:rsidRDefault="0035443E" w:rsidP="00183DCC">
            <w:pPr>
              <w:spacing w:after="120"/>
              <w:rPr>
                <w:b/>
                <w:bCs/>
                <w:sz w:val="18"/>
                <w:szCs w:val="18"/>
              </w:rPr>
            </w:pPr>
            <w:r w:rsidRPr="009F6685">
              <w:rPr>
                <w:b/>
                <w:bCs/>
                <w:sz w:val="18"/>
                <w:szCs w:val="18"/>
              </w:rPr>
              <w:t>CSR</w:t>
            </w:r>
          </w:p>
        </w:tc>
        <w:tc>
          <w:tcPr>
            <w:tcW w:w="275" w:type="pct"/>
            <w:shd w:val="clear" w:color="auto" w:fill="BFBFBF" w:themeFill="background1" w:themeFillShade="BF"/>
          </w:tcPr>
          <w:p w:rsidR="0035443E" w:rsidRPr="009F6685" w:rsidRDefault="0035443E" w:rsidP="00183DCC">
            <w:pPr>
              <w:spacing w:after="120"/>
              <w:rPr>
                <w:b/>
                <w:bCs/>
                <w:sz w:val="18"/>
                <w:szCs w:val="18"/>
              </w:rPr>
            </w:pPr>
            <w:r>
              <w:rPr>
                <w:b/>
                <w:bCs/>
                <w:sz w:val="18"/>
                <w:szCs w:val="18"/>
              </w:rPr>
              <w:t>DG</w:t>
            </w:r>
          </w:p>
        </w:tc>
        <w:tc>
          <w:tcPr>
            <w:tcW w:w="413" w:type="pct"/>
            <w:shd w:val="clear" w:color="auto" w:fill="BFBFBF" w:themeFill="background1" w:themeFillShade="BF"/>
          </w:tcPr>
          <w:p w:rsidR="0035443E" w:rsidRPr="009F6685" w:rsidRDefault="0035443E" w:rsidP="00183DCC">
            <w:pPr>
              <w:spacing w:after="120"/>
              <w:rPr>
                <w:b/>
                <w:bCs/>
                <w:sz w:val="18"/>
                <w:szCs w:val="18"/>
              </w:rPr>
            </w:pPr>
            <w:r>
              <w:rPr>
                <w:b/>
                <w:bCs/>
                <w:sz w:val="18"/>
                <w:szCs w:val="18"/>
              </w:rPr>
              <w:t xml:space="preserve">OP </w:t>
            </w:r>
            <w:r w:rsidRPr="009F6685">
              <w:rPr>
                <w:b/>
                <w:bCs/>
                <w:sz w:val="18"/>
                <w:szCs w:val="18"/>
              </w:rPr>
              <w:t>CCI</w:t>
            </w:r>
          </w:p>
        </w:tc>
        <w:tc>
          <w:tcPr>
            <w:tcW w:w="938" w:type="pct"/>
            <w:shd w:val="clear" w:color="auto" w:fill="BFBFBF" w:themeFill="background1" w:themeFillShade="BF"/>
          </w:tcPr>
          <w:p w:rsidR="0035443E" w:rsidRPr="009F6685" w:rsidRDefault="0035443E" w:rsidP="00183DCC">
            <w:pPr>
              <w:spacing w:after="120"/>
              <w:rPr>
                <w:b/>
                <w:bCs/>
                <w:sz w:val="18"/>
                <w:szCs w:val="18"/>
              </w:rPr>
            </w:pPr>
            <w:r w:rsidRPr="009F6685">
              <w:rPr>
                <w:b/>
                <w:bCs/>
                <w:sz w:val="18"/>
                <w:szCs w:val="18"/>
              </w:rPr>
              <w:t>Specific Objective</w:t>
            </w:r>
          </w:p>
        </w:tc>
        <w:tc>
          <w:tcPr>
            <w:tcW w:w="1232" w:type="pct"/>
            <w:shd w:val="clear" w:color="auto" w:fill="BFBFBF" w:themeFill="background1" w:themeFillShade="BF"/>
          </w:tcPr>
          <w:p w:rsidR="0035443E" w:rsidRPr="009F6685" w:rsidRDefault="0035443E" w:rsidP="00183DCC">
            <w:pPr>
              <w:spacing w:after="120"/>
              <w:rPr>
                <w:b/>
                <w:bCs/>
                <w:sz w:val="18"/>
                <w:szCs w:val="18"/>
              </w:rPr>
            </w:pPr>
            <w:r w:rsidRPr="009F6685">
              <w:rPr>
                <w:b/>
                <w:bCs/>
                <w:sz w:val="18"/>
                <w:szCs w:val="18"/>
              </w:rPr>
              <w:t>Indicator/s</w:t>
            </w:r>
          </w:p>
        </w:tc>
        <w:tc>
          <w:tcPr>
            <w:tcW w:w="658" w:type="pct"/>
            <w:shd w:val="clear" w:color="auto" w:fill="BFBFBF" w:themeFill="background1" w:themeFillShade="BF"/>
          </w:tcPr>
          <w:p w:rsidR="0035443E" w:rsidRPr="009F6685" w:rsidRDefault="0035443E" w:rsidP="00183DCC">
            <w:pPr>
              <w:spacing w:after="120"/>
              <w:rPr>
                <w:b/>
                <w:bCs/>
                <w:sz w:val="18"/>
                <w:szCs w:val="18"/>
              </w:rPr>
            </w:pPr>
            <w:r w:rsidRPr="009F6685">
              <w:rPr>
                <w:b/>
                <w:bCs/>
                <w:sz w:val="18"/>
                <w:szCs w:val="18"/>
              </w:rPr>
              <w:t>Baseline Value</w:t>
            </w:r>
          </w:p>
        </w:tc>
        <w:tc>
          <w:tcPr>
            <w:tcW w:w="649" w:type="pct"/>
            <w:shd w:val="clear" w:color="auto" w:fill="BFBFBF" w:themeFill="background1" w:themeFillShade="BF"/>
          </w:tcPr>
          <w:p w:rsidR="0035443E" w:rsidRPr="009F6685" w:rsidRDefault="0035443E" w:rsidP="00183DCC">
            <w:pPr>
              <w:spacing w:after="120"/>
              <w:rPr>
                <w:b/>
                <w:bCs/>
                <w:sz w:val="18"/>
                <w:szCs w:val="18"/>
              </w:rPr>
            </w:pPr>
            <w:r w:rsidRPr="009F6685">
              <w:rPr>
                <w:b/>
                <w:bCs/>
                <w:sz w:val="18"/>
                <w:szCs w:val="18"/>
              </w:rPr>
              <w:t>Target Value</w:t>
            </w:r>
            <w:r>
              <w:rPr>
                <w:b/>
                <w:bCs/>
                <w:sz w:val="18"/>
                <w:szCs w:val="18"/>
              </w:rPr>
              <w:t xml:space="preserve"> (2023)</w:t>
            </w:r>
          </w:p>
        </w:tc>
      </w:tr>
      <w:tr w:rsidR="0035443E" w:rsidRPr="009F6685" w:rsidTr="00395F8D">
        <w:trPr>
          <w:trHeight w:val="1198"/>
        </w:trPr>
        <w:tc>
          <w:tcPr>
            <w:tcW w:w="481" w:type="pct"/>
          </w:tcPr>
          <w:p w:rsidR="0035443E" w:rsidRDefault="0035443E" w:rsidP="00183DCC">
            <w:pPr>
              <w:spacing w:after="120"/>
              <w:rPr>
                <w:bCs/>
                <w:sz w:val="18"/>
                <w:szCs w:val="18"/>
              </w:rPr>
            </w:pPr>
            <w:r w:rsidRPr="00B83FD8">
              <w:rPr>
                <w:bCs/>
                <w:sz w:val="18"/>
                <w:szCs w:val="18"/>
              </w:rPr>
              <w:t>LM integration of young people</w:t>
            </w:r>
          </w:p>
          <w:p w:rsidR="0035443E" w:rsidRPr="009F6685" w:rsidRDefault="0035443E" w:rsidP="00183DCC">
            <w:pPr>
              <w:spacing w:after="120"/>
              <w:rPr>
                <w:bCs/>
                <w:sz w:val="18"/>
                <w:szCs w:val="18"/>
              </w:rPr>
            </w:pPr>
          </w:p>
        </w:tc>
        <w:tc>
          <w:tcPr>
            <w:tcW w:w="354" w:type="pct"/>
          </w:tcPr>
          <w:p w:rsidR="0035443E" w:rsidRPr="009F6685" w:rsidRDefault="0035443E" w:rsidP="00183DCC">
            <w:pPr>
              <w:spacing w:after="120"/>
              <w:rPr>
                <w:bCs/>
                <w:sz w:val="18"/>
                <w:szCs w:val="18"/>
              </w:rPr>
            </w:pPr>
            <w:r w:rsidRPr="009F6685">
              <w:rPr>
                <w:bCs/>
                <w:sz w:val="18"/>
                <w:szCs w:val="18"/>
              </w:rPr>
              <w:t>IT 2014 CSR 5.3</w:t>
            </w:r>
          </w:p>
        </w:tc>
        <w:tc>
          <w:tcPr>
            <w:tcW w:w="275" w:type="pct"/>
          </w:tcPr>
          <w:p w:rsidR="0035443E" w:rsidRPr="009F6685" w:rsidRDefault="0035443E" w:rsidP="00183DCC">
            <w:pPr>
              <w:spacing w:after="120"/>
              <w:rPr>
                <w:sz w:val="18"/>
                <w:szCs w:val="18"/>
              </w:rPr>
            </w:pPr>
            <w:r w:rsidRPr="009F6685">
              <w:rPr>
                <w:sz w:val="18"/>
                <w:szCs w:val="18"/>
              </w:rPr>
              <w:t>EMPL</w:t>
            </w:r>
          </w:p>
        </w:tc>
        <w:tc>
          <w:tcPr>
            <w:tcW w:w="413" w:type="pct"/>
          </w:tcPr>
          <w:p w:rsidR="0035443E" w:rsidRPr="009F6685" w:rsidRDefault="0035443E" w:rsidP="00183DCC">
            <w:pPr>
              <w:spacing w:after="120"/>
              <w:rPr>
                <w:sz w:val="18"/>
                <w:szCs w:val="18"/>
              </w:rPr>
            </w:pPr>
            <w:r w:rsidRPr="009F6685">
              <w:rPr>
                <w:sz w:val="18"/>
                <w:szCs w:val="18"/>
              </w:rPr>
              <w:t>2014IT05M9OP001</w:t>
            </w:r>
          </w:p>
        </w:tc>
        <w:tc>
          <w:tcPr>
            <w:tcW w:w="938" w:type="pct"/>
          </w:tcPr>
          <w:p w:rsidR="0035443E" w:rsidRPr="009F6685" w:rsidRDefault="0035443E" w:rsidP="00183DCC">
            <w:pPr>
              <w:spacing w:after="120"/>
              <w:rPr>
                <w:sz w:val="18"/>
                <w:szCs w:val="18"/>
              </w:rPr>
            </w:pPr>
            <w:r w:rsidRPr="009F6685">
              <w:rPr>
                <w:sz w:val="18"/>
                <w:szCs w:val="18"/>
              </w:rPr>
              <w:t>SO 8.1 Increase employment of NEETs</w:t>
            </w:r>
          </w:p>
        </w:tc>
        <w:tc>
          <w:tcPr>
            <w:tcW w:w="1232" w:type="pct"/>
          </w:tcPr>
          <w:p w:rsidR="00A34358" w:rsidRDefault="0035443E" w:rsidP="00183DCC">
            <w:pPr>
              <w:numPr>
                <w:ilvl w:val="0"/>
                <w:numId w:val="12"/>
              </w:numPr>
              <w:spacing w:after="120"/>
              <w:ind w:left="232" w:hanging="232"/>
              <w:rPr>
                <w:rFonts w:eastAsia="Times New Roman" w:cs="Times New Roman"/>
                <w:b/>
                <w:caps/>
                <w:sz w:val="18"/>
                <w:szCs w:val="18"/>
              </w:rPr>
            </w:pPr>
            <w:r w:rsidRPr="009F6685">
              <w:rPr>
                <w:sz w:val="18"/>
                <w:szCs w:val="18"/>
              </w:rPr>
              <w:t>Inactive participants not in education or training who complete the YEI supported intervention</w:t>
            </w:r>
          </w:p>
          <w:p w:rsidR="00A34358" w:rsidRDefault="0035443E" w:rsidP="00183DCC">
            <w:pPr>
              <w:numPr>
                <w:ilvl w:val="0"/>
                <w:numId w:val="12"/>
              </w:numPr>
              <w:spacing w:after="120"/>
              <w:ind w:left="232" w:hanging="232"/>
              <w:rPr>
                <w:rFonts w:eastAsia="Times New Roman" w:cs="Times New Roman"/>
                <w:b/>
                <w:caps/>
                <w:sz w:val="18"/>
                <w:szCs w:val="18"/>
              </w:rPr>
            </w:pPr>
            <w:r w:rsidRPr="009F6685">
              <w:rPr>
                <w:sz w:val="18"/>
                <w:szCs w:val="18"/>
              </w:rPr>
              <w:t>Inactive participants not in education or training who receive an offer of employment, continued education, apprenticeship or traineeship upon leaving</w:t>
            </w:r>
          </w:p>
          <w:p w:rsidR="00A34358" w:rsidRDefault="0035443E" w:rsidP="00183DCC">
            <w:pPr>
              <w:numPr>
                <w:ilvl w:val="0"/>
                <w:numId w:val="12"/>
              </w:numPr>
              <w:spacing w:after="120"/>
              <w:ind w:left="232" w:hanging="232"/>
              <w:rPr>
                <w:rFonts w:eastAsia="Times New Roman" w:cs="Times New Roman"/>
                <w:b/>
                <w:caps/>
                <w:sz w:val="18"/>
                <w:szCs w:val="18"/>
              </w:rPr>
            </w:pPr>
            <w:r w:rsidRPr="009F6685">
              <w:rPr>
                <w:sz w:val="18"/>
                <w:szCs w:val="18"/>
              </w:rPr>
              <w:t>Inactive participants not in education or training who are in education/training, gaining a qualification, or are in employment, including self-employment, upon leaving</w:t>
            </w:r>
          </w:p>
        </w:tc>
        <w:tc>
          <w:tcPr>
            <w:tcW w:w="658" w:type="pct"/>
          </w:tcPr>
          <w:p w:rsidR="0035443E" w:rsidRPr="009F6685" w:rsidRDefault="0035443E" w:rsidP="00183DCC">
            <w:pPr>
              <w:spacing w:after="120"/>
              <w:rPr>
                <w:sz w:val="18"/>
                <w:szCs w:val="18"/>
              </w:rPr>
            </w:pPr>
            <w:r w:rsidRPr="009F6685">
              <w:rPr>
                <w:sz w:val="18"/>
                <w:szCs w:val="18"/>
              </w:rPr>
              <w:t>81.0</w:t>
            </w:r>
            <w:r>
              <w:rPr>
                <w:sz w:val="18"/>
                <w:szCs w:val="18"/>
              </w:rPr>
              <w:t>% (</w:t>
            </w:r>
            <w:r w:rsidRPr="009F6685">
              <w:rPr>
                <w:sz w:val="18"/>
                <w:szCs w:val="18"/>
              </w:rPr>
              <w:t>2013)</w:t>
            </w:r>
          </w:p>
          <w:p w:rsidR="0035443E" w:rsidRPr="009F6685" w:rsidRDefault="0035443E" w:rsidP="00183DCC">
            <w:pPr>
              <w:spacing w:after="120"/>
              <w:rPr>
                <w:sz w:val="18"/>
                <w:szCs w:val="18"/>
              </w:rPr>
            </w:pPr>
          </w:p>
          <w:p w:rsidR="0035443E" w:rsidRDefault="0035443E" w:rsidP="00183DCC">
            <w:pPr>
              <w:spacing w:after="120"/>
              <w:rPr>
                <w:sz w:val="18"/>
                <w:szCs w:val="18"/>
              </w:rPr>
            </w:pPr>
          </w:p>
          <w:p w:rsidR="0035443E" w:rsidRPr="009F6685" w:rsidRDefault="0035443E" w:rsidP="00183DCC">
            <w:pPr>
              <w:spacing w:after="120"/>
              <w:rPr>
                <w:sz w:val="18"/>
                <w:szCs w:val="18"/>
              </w:rPr>
            </w:pPr>
            <w:r w:rsidRPr="009F6685">
              <w:rPr>
                <w:sz w:val="18"/>
                <w:szCs w:val="18"/>
              </w:rPr>
              <w:t>19.0</w:t>
            </w:r>
            <w:r>
              <w:rPr>
                <w:sz w:val="18"/>
                <w:szCs w:val="18"/>
              </w:rPr>
              <w:t xml:space="preserve">% </w:t>
            </w:r>
            <w:r w:rsidRPr="009F6685">
              <w:rPr>
                <w:sz w:val="18"/>
                <w:szCs w:val="18"/>
              </w:rPr>
              <w:t>(2011)</w:t>
            </w:r>
          </w:p>
          <w:p w:rsidR="0035443E" w:rsidRPr="009F6685" w:rsidRDefault="0035443E" w:rsidP="00183DCC">
            <w:pPr>
              <w:spacing w:after="120"/>
              <w:rPr>
                <w:sz w:val="18"/>
                <w:szCs w:val="18"/>
              </w:rPr>
            </w:pPr>
          </w:p>
          <w:p w:rsidR="0035443E" w:rsidRDefault="0035443E" w:rsidP="00183DCC">
            <w:pPr>
              <w:spacing w:after="120"/>
              <w:rPr>
                <w:sz w:val="18"/>
                <w:szCs w:val="18"/>
              </w:rPr>
            </w:pPr>
          </w:p>
          <w:p w:rsidR="0035443E" w:rsidRDefault="0035443E" w:rsidP="00183DCC">
            <w:pPr>
              <w:spacing w:after="120"/>
              <w:rPr>
                <w:sz w:val="18"/>
                <w:szCs w:val="18"/>
              </w:rPr>
            </w:pPr>
          </w:p>
          <w:p w:rsidR="0035443E" w:rsidRPr="009F6685" w:rsidRDefault="0035443E" w:rsidP="00183DCC">
            <w:pPr>
              <w:spacing w:after="120"/>
              <w:rPr>
                <w:sz w:val="18"/>
                <w:szCs w:val="18"/>
              </w:rPr>
            </w:pPr>
            <w:r>
              <w:rPr>
                <w:sz w:val="18"/>
                <w:szCs w:val="18"/>
              </w:rPr>
              <w:t xml:space="preserve">37.0% </w:t>
            </w:r>
            <w:r w:rsidRPr="009F6685">
              <w:rPr>
                <w:sz w:val="18"/>
                <w:szCs w:val="18"/>
              </w:rPr>
              <w:t>(2011)</w:t>
            </w:r>
          </w:p>
        </w:tc>
        <w:tc>
          <w:tcPr>
            <w:tcW w:w="649" w:type="pct"/>
          </w:tcPr>
          <w:p w:rsidR="0035443E" w:rsidRPr="009F6685" w:rsidRDefault="0035443E" w:rsidP="00183DCC">
            <w:pPr>
              <w:spacing w:after="120"/>
              <w:rPr>
                <w:sz w:val="18"/>
                <w:szCs w:val="18"/>
              </w:rPr>
            </w:pPr>
            <w:r>
              <w:rPr>
                <w:sz w:val="18"/>
                <w:szCs w:val="18"/>
              </w:rPr>
              <w:t>88.0%</w:t>
            </w:r>
          </w:p>
          <w:p w:rsidR="0035443E" w:rsidRPr="009F6685" w:rsidRDefault="0035443E" w:rsidP="00183DCC">
            <w:pPr>
              <w:spacing w:after="120"/>
              <w:rPr>
                <w:sz w:val="18"/>
                <w:szCs w:val="18"/>
              </w:rPr>
            </w:pPr>
          </w:p>
          <w:p w:rsidR="0035443E" w:rsidRDefault="0035443E" w:rsidP="00183DCC">
            <w:pPr>
              <w:spacing w:after="120"/>
              <w:rPr>
                <w:sz w:val="18"/>
                <w:szCs w:val="18"/>
              </w:rPr>
            </w:pPr>
          </w:p>
          <w:p w:rsidR="0035443E" w:rsidRPr="009F6685" w:rsidRDefault="0035443E" w:rsidP="00183DCC">
            <w:pPr>
              <w:spacing w:after="120"/>
              <w:rPr>
                <w:sz w:val="18"/>
                <w:szCs w:val="18"/>
              </w:rPr>
            </w:pPr>
            <w:r w:rsidRPr="009F6685">
              <w:rPr>
                <w:sz w:val="18"/>
                <w:szCs w:val="18"/>
              </w:rPr>
              <w:t>25.0</w:t>
            </w:r>
            <w:r>
              <w:rPr>
                <w:sz w:val="18"/>
                <w:szCs w:val="18"/>
              </w:rPr>
              <w:t>%</w:t>
            </w:r>
          </w:p>
          <w:p w:rsidR="0035443E" w:rsidRPr="009F6685" w:rsidRDefault="0035443E" w:rsidP="00183DCC">
            <w:pPr>
              <w:spacing w:after="120"/>
              <w:rPr>
                <w:sz w:val="18"/>
                <w:szCs w:val="18"/>
              </w:rPr>
            </w:pPr>
          </w:p>
          <w:p w:rsidR="0035443E" w:rsidRPr="009F6685" w:rsidRDefault="0035443E" w:rsidP="00183DCC">
            <w:pPr>
              <w:spacing w:after="120"/>
              <w:rPr>
                <w:sz w:val="18"/>
                <w:szCs w:val="18"/>
              </w:rPr>
            </w:pPr>
          </w:p>
          <w:p w:rsidR="0035443E" w:rsidRDefault="0035443E" w:rsidP="00183DCC">
            <w:pPr>
              <w:spacing w:after="120"/>
              <w:rPr>
                <w:sz w:val="18"/>
                <w:szCs w:val="18"/>
              </w:rPr>
            </w:pPr>
          </w:p>
          <w:p w:rsidR="0035443E" w:rsidRPr="009F6685" w:rsidRDefault="0035443E" w:rsidP="00183DCC">
            <w:pPr>
              <w:spacing w:after="120"/>
              <w:rPr>
                <w:sz w:val="18"/>
                <w:szCs w:val="18"/>
              </w:rPr>
            </w:pPr>
            <w:r>
              <w:rPr>
                <w:sz w:val="18"/>
                <w:szCs w:val="18"/>
              </w:rPr>
              <w:t>50.0%</w:t>
            </w:r>
          </w:p>
        </w:tc>
      </w:tr>
      <w:tr w:rsidR="0035443E" w:rsidRPr="009F6685" w:rsidTr="00395F8D">
        <w:trPr>
          <w:trHeight w:val="399"/>
        </w:trPr>
        <w:tc>
          <w:tcPr>
            <w:tcW w:w="481" w:type="pct"/>
          </w:tcPr>
          <w:p w:rsidR="0035443E" w:rsidRPr="009F6685" w:rsidRDefault="0035443E" w:rsidP="00183DCC">
            <w:pPr>
              <w:spacing w:after="120"/>
              <w:rPr>
                <w:bCs/>
                <w:sz w:val="18"/>
                <w:szCs w:val="18"/>
              </w:rPr>
            </w:pPr>
            <w:r w:rsidRPr="00B83FD8">
              <w:rPr>
                <w:bCs/>
                <w:sz w:val="18"/>
                <w:szCs w:val="18"/>
              </w:rPr>
              <w:t>Reducing and preventing early school leaving</w:t>
            </w:r>
          </w:p>
        </w:tc>
        <w:tc>
          <w:tcPr>
            <w:tcW w:w="354" w:type="pct"/>
          </w:tcPr>
          <w:p w:rsidR="0035443E" w:rsidRPr="009F6685" w:rsidRDefault="0035443E" w:rsidP="00183DCC">
            <w:pPr>
              <w:spacing w:after="120"/>
              <w:rPr>
                <w:b/>
                <w:bCs/>
                <w:sz w:val="18"/>
                <w:szCs w:val="18"/>
              </w:rPr>
            </w:pPr>
            <w:r w:rsidRPr="009F6685">
              <w:rPr>
                <w:bCs/>
                <w:sz w:val="18"/>
                <w:szCs w:val="18"/>
              </w:rPr>
              <w:t>ES 2014 CSR 4.3</w:t>
            </w:r>
          </w:p>
        </w:tc>
        <w:tc>
          <w:tcPr>
            <w:tcW w:w="275" w:type="pct"/>
          </w:tcPr>
          <w:p w:rsidR="0035443E" w:rsidRPr="009F6685" w:rsidRDefault="0035443E" w:rsidP="00183DCC">
            <w:pPr>
              <w:spacing w:after="120"/>
              <w:rPr>
                <w:sz w:val="18"/>
                <w:szCs w:val="18"/>
              </w:rPr>
            </w:pPr>
            <w:r w:rsidRPr="009F6685">
              <w:rPr>
                <w:sz w:val="18"/>
                <w:szCs w:val="18"/>
              </w:rPr>
              <w:t>EMPL</w:t>
            </w:r>
          </w:p>
        </w:tc>
        <w:tc>
          <w:tcPr>
            <w:tcW w:w="413" w:type="pct"/>
          </w:tcPr>
          <w:p w:rsidR="0035443E" w:rsidRPr="009F6685" w:rsidRDefault="0035443E" w:rsidP="00183DCC">
            <w:pPr>
              <w:spacing w:after="120"/>
              <w:rPr>
                <w:sz w:val="18"/>
                <w:szCs w:val="18"/>
              </w:rPr>
            </w:pPr>
            <w:r w:rsidRPr="009F6685">
              <w:rPr>
                <w:sz w:val="18"/>
                <w:szCs w:val="18"/>
              </w:rPr>
              <w:t>2014ES05SFOP002</w:t>
            </w:r>
          </w:p>
        </w:tc>
        <w:tc>
          <w:tcPr>
            <w:tcW w:w="938" w:type="pct"/>
          </w:tcPr>
          <w:p w:rsidR="0035443E" w:rsidRPr="009F6685" w:rsidRDefault="0035443E" w:rsidP="00183DCC">
            <w:pPr>
              <w:spacing w:after="120"/>
              <w:rPr>
                <w:sz w:val="18"/>
                <w:szCs w:val="18"/>
              </w:rPr>
            </w:pPr>
            <w:r w:rsidRPr="009F6685">
              <w:rPr>
                <w:sz w:val="18"/>
                <w:szCs w:val="18"/>
              </w:rPr>
              <w:t>SO 10i1 Reduce the number of students who leave school early</w:t>
            </w:r>
            <w:r>
              <w:rPr>
                <w:sz w:val="18"/>
                <w:szCs w:val="18"/>
              </w:rPr>
              <w:t>,</w:t>
            </w:r>
            <w:r w:rsidRPr="009F6685">
              <w:rPr>
                <w:sz w:val="18"/>
                <w:szCs w:val="18"/>
              </w:rPr>
              <w:t xml:space="preserve"> involved in basic vocational training and new itineraries of compulsory secondary education</w:t>
            </w:r>
          </w:p>
        </w:tc>
        <w:tc>
          <w:tcPr>
            <w:tcW w:w="1232" w:type="pct"/>
          </w:tcPr>
          <w:p w:rsidR="00A34358" w:rsidRPr="00183DCC" w:rsidRDefault="0035443E" w:rsidP="00183DCC">
            <w:pPr>
              <w:numPr>
                <w:ilvl w:val="0"/>
                <w:numId w:val="12"/>
              </w:numPr>
              <w:spacing w:after="120"/>
              <w:ind w:left="232" w:hanging="232"/>
              <w:rPr>
                <w:sz w:val="18"/>
                <w:szCs w:val="18"/>
              </w:rPr>
            </w:pPr>
            <w:r w:rsidRPr="009F6685">
              <w:rPr>
                <w:sz w:val="18"/>
                <w:szCs w:val="18"/>
              </w:rPr>
              <w:t xml:space="preserve">Third year secondary school students who pass the academic year </w:t>
            </w:r>
          </w:p>
        </w:tc>
        <w:tc>
          <w:tcPr>
            <w:tcW w:w="658" w:type="pct"/>
          </w:tcPr>
          <w:p w:rsidR="0035443E" w:rsidRPr="009F6685" w:rsidRDefault="0035443E" w:rsidP="00183DCC">
            <w:pPr>
              <w:spacing w:after="120"/>
              <w:rPr>
                <w:sz w:val="18"/>
                <w:szCs w:val="18"/>
              </w:rPr>
            </w:pPr>
            <w:r w:rsidRPr="009F6685">
              <w:rPr>
                <w:sz w:val="18"/>
                <w:szCs w:val="18"/>
              </w:rPr>
              <w:t>84.0</w:t>
            </w:r>
            <w:r>
              <w:rPr>
                <w:sz w:val="18"/>
                <w:szCs w:val="18"/>
              </w:rPr>
              <w:t>%</w:t>
            </w:r>
            <w:r w:rsidRPr="009F6685">
              <w:rPr>
                <w:sz w:val="18"/>
                <w:szCs w:val="18"/>
              </w:rPr>
              <w:t xml:space="preserve"> (2013)</w:t>
            </w:r>
          </w:p>
        </w:tc>
        <w:tc>
          <w:tcPr>
            <w:tcW w:w="649" w:type="pct"/>
          </w:tcPr>
          <w:p w:rsidR="0035443E" w:rsidRPr="009F6685" w:rsidRDefault="0035443E" w:rsidP="00183DCC">
            <w:pPr>
              <w:spacing w:after="120"/>
              <w:rPr>
                <w:sz w:val="18"/>
                <w:szCs w:val="18"/>
              </w:rPr>
            </w:pPr>
            <w:r w:rsidRPr="009F6685">
              <w:rPr>
                <w:sz w:val="18"/>
                <w:szCs w:val="18"/>
              </w:rPr>
              <w:t>88.0%</w:t>
            </w:r>
          </w:p>
        </w:tc>
      </w:tr>
      <w:tr w:rsidR="0035443E" w:rsidRPr="009F6685" w:rsidTr="00395F8D">
        <w:trPr>
          <w:trHeight w:val="399"/>
        </w:trPr>
        <w:tc>
          <w:tcPr>
            <w:tcW w:w="481" w:type="pct"/>
          </w:tcPr>
          <w:p w:rsidR="0035443E" w:rsidRPr="009F6685" w:rsidRDefault="0035443E" w:rsidP="00183DCC">
            <w:pPr>
              <w:spacing w:after="120"/>
              <w:rPr>
                <w:bCs/>
                <w:sz w:val="18"/>
                <w:szCs w:val="18"/>
              </w:rPr>
            </w:pPr>
            <w:r w:rsidRPr="00B83FD8">
              <w:rPr>
                <w:bCs/>
                <w:sz w:val="18"/>
                <w:szCs w:val="18"/>
              </w:rPr>
              <w:t>Gender equality (including reconciliation of work and private life)</w:t>
            </w:r>
          </w:p>
        </w:tc>
        <w:tc>
          <w:tcPr>
            <w:tcW w:w="354" w:type="pct"/>
          </w:tcPr>
          <w:p w:rsidR="0035443E" w:rsidRPr="009F6685" w:rsidRDefault="0035443E" w:rsidP="00183DCC">
            <w:pPr>
              <w:spacing w:after="120"/>
              <w:rPr>
                <w:bCs/>
                <w:sz w:val="18"/>
                <w:szCs w:val="18"/>
              </w:rPr>
            </w:pPr>
            <w:r w:rsidRPr="009F6685">
              <w:rPr>
                <w:bCs/>
                <w:sz w:val="18"/>
                <w:szCs w:val="18"/>
              </w:rPr>
              <w:t>SK 2013 CSR 3.2</w:t>
            </w:r>
          </w:p>
          <w:p w:rsidR="0035443E" w:rsidRPr="009F6685" w:rsidRDefault="0035443E" w:rsidP="00183DCC">
            <w:pPr>
              <w:spacing w:after="120"/>
              <w:rPr>
                <w:b/>
                <w:bCs/>
                <w:sz w:val="18"/>
                <w:szCs w:val="18"/>
              </w:rPr>
            </w:pPr>
            <w:r w:rsidRPr="009F6685">
              <w:rPr>
                <w:bCs/>
                <w:sz w:val="18"/>
                <w:szCs w:val="18"/>
              </w:rPr>
              <w:t>SK 2014 CSR 3.3</w:t>
            </w:r>
          </w:p>
        </w:tc>
        <w:tc>
          <w:tcPr>
            <w:tcW w:w="275" w:type="pct"/>
          </w:tcPr>
          <w:p w:rsidR="0035443E" w:rsidRPr="009F6685" w:rsidRDefault="0035443E" w:rsidP="00183DCC">
            <w:pPr>
              <w:spacing w:after="120"/>
              <w:rPr>
                <w:sz w:val="18"/>
                <w:szCs w:val="18"/>
              </w:rPr>
            </w:pPr>
            <w:r w:rsidRPr="009F6685">
              <w:rPr>
                <w:sz w:val="18"/>
                <w:szCs w:val="18"/>
              </w:rPr>
              <w:t>EMPL</w:t>
            </w:r>
          </w:p>
        </w:tc>
        <w:tc>
          <w:tcPr>
            <w:tcW w:w="413" w:type="pct"/>
          </w:tcPr>
          <w:p w:rsidR="0035443E" w:rsidRPr="009F6685" w:rsidRDefault="0035443E" w:rsidP="00183DCC">
            <w:pPr>
              <w:spacing w:after="120"/>
              <w:rPr>
                <w:sz w:val="18"/>
                <w:szCs w:val="18"/>
              </w:rPr>
            </w:pPr>
            <w:r w:rsidRPr="009F6685">
              <w:rPr>
                <w:sz w:val="18"/>
                <w:szCs w:val="18"/>
              </w:rPr>
              <w:t>2014SK05M0OP001</w:t>
            </w:r>
          </w:p>
        </w:tc>
        <w:tc>
          <w:tcPr>
            <w:tcW w:w="938" w:type="pct"/>
          </w:tcPr>
          <w:p w:rsidR="0035443E" w:rsidRPr="009F6685" w:rsidRDefault="0035443E" w:rsidP="00183DCC">
            <w:pPr>
              <w:spacing w:after="120"/>
              <w:rPr>
                <w:sz w:val="18"/>
                <w:szCs w:val="18"/>
              </w:rPr>
            </w:pPr>
            <w:r w:rsidRPr="009F6685">
              <w:rPr>
                <w:sz w:val="18"/>
                <w:szCs w:val="18"/>
              </w:rPr>
              <w:t>SO 3.2.1 Increasing employment of persons with parental duties, women in particular, by improving conditions for the reconciliation of work and family life</w:t>
            </w:r>
          </w:p>
        </w:tc>
        <w:tc>
          <w:tcPr>
            <w:tcW w:w="1232" w:type="pct"/>
          </w:tcPr>
          <w:p w:rsidR="00A34358" w:rsidRPr="00183DCC" w:rsidRDefault="0035443E" w:rsidP="00183DCC">
            <w:pPr>
              <w:numPr>
                <w:ilvl w:val="0"/>
                <w:numId w:val="12"/>
              </w:numPr>
              <w:spacing w:after="120"/>
              <w:ind w:left="232" w:hanging="232"/>
              <w:rPr>
                <w:sz w:val="18"/>
                <w:szCs w:val="18"/>
              </w:rPr>
            </w:pPr>
            <w:r>
              <w:rPr>
                <w:sz w:val="18"/>
                <w:szCs w:val="18"/>
              </w:rPr>
              <w:t>N</w:t>
            </w:r>
            <w:r w:rsidRPr="009F6685">
              <w:rPr>
                <w:sz w:val="18"/>
                <w:szCs w:val="18"/>
              </w:rPr>
              <w:t>umber of parents who are granted allowance and childcare</w:t>
            </w:r>
            <w:r>
              <w:rPr>
                <w:sz w:val="18"/>
                <w:szCs w:val="18"/>
              </w:rPr>
              <w:t>,</w:t>
            </w:r>
            <w:r w:rsidRPr="009F6685">
              <w:rPr>
                <w:sz w:val="18"/>
                <w:szCs w:val="18"/>
              </w:rPr>
              <w:t xml:space="preserve"> six months after leaving empl</w:t>
            </w:r>
            <w:r>
              <w:rPr>
                <w:sz w:val="18"/>
                <w:szCs w:val="18"/>
              </w:rPr>
              <w:t>oyment, including self-employed</w:t>
            </w:r>
          </w:p>
        </w:tc>
        <w:tc>
          <w:tcPr>
            <w:tcW w:w="658" w:type="pct"/>
          </w:tcPr>
          <w:p w:rsidR="0035443E" w:rsidRPr="009F6685" w:rsidRDefault="0035443E" w:rsidP="00183DCC">
            <w:pPr>
              <w:spacing w:after="120"/>
              <w:rPr>
                <w:sz w:val="18"/>
                <w:szCs w:val="18"/>
              </w:rPr>
            </w:pPr>
            <w:r w:rsidRPr="009F6685">
              <w:rPr>
                <w:sz w:val="18"/>
                <w:szCs w:val="18"/>
              </w:rPr>
              <w:t>4,152.0</w:t>
            </w:r>
            <w:r>
              <w:rPr>
                <w:sz w:val="18"/>
                <w:szCs w:val="18"/>
              </w:rPr>
              <w:t xml:space="preserve"> </w:t>
            </w:r>
            <w:r w:rsidRPr="009F6685">
              <w:rPr>
                <w:sz w:val="18"/>
                <w:szCs w:val="18"/>
              </w:rPr>
              <w:t>(2013)</w:t>
            </w:r>
          </w:p>
          <w:p w:rsidR="0035443E" w:rsidRDefault="0035443E" w:rsidP="00183DCC">
            <w:pPr>
              <w:spacing w:after="120"/>
              <w:rPr>
                <w:sz w:val="18"/>
                <w:szCs w:val="18"/>
              </w:rPr>
            </w:pPr>
          </w:p>
          <w:p w:rsidR="0035443E" w:rsidRPr="009F6685" w:rsidRDefault="0035443E" w:rsidP="00183DCC">
            <w:pPr>
              <w:spacing w:after="120"/>
              <w:rPr>
                <w:sz w:val="18"/>
                <w:szCs w:val="18"/>
              </w:rPr>
            </w:pPr>
          </w:p>
        </w:tc>
        <w:tc>
          <w:tcPr>
            <w:tcW w:w="649" w:type="pct"/>
          </w:tcPr>
          <w:p w:rsidR="0035443E" w:rsidRPr="009F6685" w:rsidRDefault="0035443E" w:rsidP="00183DCC">
            <w:pPr>
              <w:spacing w:after="120"/>
              <w:rPr>
                <w:sz w:val="18"/>
                <w:szCs w:val="18"/>
              </w:rPr>
            </w:pPr>
            <w:r w:rsidRPr="009F6685">
              <w:rPr>
                <w:sz w:val="18"/>
                <w:szCs w:val="18"/>
              </w:rPr>
              <w:t>5,198.0</w:t>
            </w:r>
          </w:p>
          <w:p w:rsidR="0035443E" w:rsidRPr="009F6685" w:rsidRDefault="0035443E" w:rsidP="00183DCC">
            <w:pPr>
              <w:spacing w:after="120"/>
              <w:rPr>
                <w:sz w:val="18"/>
                <w:szCs w:val="18"/>
              </w:rPr>
            </w:pPr>
          </w:p>
        </w:tc>
      </w:tr>
      <w:tr w:rsidR="0035443E" w:rsidRPr="009F6685" w:rsidTr="00395F8D">
        <w:trPr>
          <w:trHeight w:val="399"/>
        </w:trPr>
        <w:tc>
          <w:tcPr>
            <w:tcW w:w="481" w:type="pct"/>
          </w:tcPr>
          <w:p w:rsidR="0035443E" w:rsidRPr="009F6685" w:rsidRDefault="0035443E" w:rsidP="00183DCC">
            <w:pPr>
              <w:spacing w:after="120"/>
              <w:rPr>
                <w:bCs/>
                <w:sz w:val="18"/>
                <w:szCs w:val="18"/>
              </w:rPr>
            </w:pPr>
            <w:r w:rsidRPr="007C722E">
              <w:rPr>
                <w:bCs/>
                <w:sz w:val="18"/>
                <w:szCs w:val="18"/>
              </w:rPr>
              <w:t>Improving life-l</w:t>
            </w:r>
            <w:r>
              <w:rPr>
                <w:bCs/>
                <w:sz w:val="18"/>
                <w:szCs w:val="18"/>
              </w:rPr>
              <w:t>ong learning for all age groups</w:t>
            </w:r>
          </w:p>
        </w:tc>
        <w:tc>
          <w:tcPr>
            <w:tcW w:w="354" w:type="pct"/>
          </w:tcPr>
          <w:p w:rsidR="0035443E" w:rsidRPr="009F6685" w:rsidRDefault="0035443E" w:rsidP="00183DCC">
            <w:pPr>
              <w:spacing w:after="120"/>
              <w:rPr>
                <w:b/>
                <w:bCs/>
                <w:sz w:val="18"/>
                <w:szCs w:val="18"/>
              </w:rPr>
            </w:pPr>
            <w:r w:rsidRPr="009F6685">
              <w:rPr>
                <w:bCs/>
                <w:sz w:val="18"/>
                <w:szCs w:val="18"/>
              </w:rPr>
              <w:t xml:space="preserve">FR </w:t>
            </w:r>
            <w:r w:rsidR="004B0236">
              <w:rPr>
                <w:bCs/>
                <w:sz w:val="18"/>
                <w:szCs w:val="18"/>
              </w:rPr>
              <w:t>2013</w:t>
            </w:r>
            <w:r w:rsidR="004B0236" w:rsidRPr="009F6685">
              <w:rPr>
                <w:bCs/>
                <w:sz w:val="18"/>
                <w:szCs w:val="18"/>
              </w:rPr>
              <w:t xml:space="preserve"> </w:t>
            </w:r>
            <w:r w:rsidRPr="009F6685">
              <w:rPr>
                <w:bCs/>
                <w:sz w:val="18"/>
                <w:szCs w:val="18"/>
              </w:rPr>
              <w:t xml:space="preserve">CSR </w:t>
            </w:r>
            <w:r w:rsidR="00E878B0">
              <w:rPr>
                <w:bCs/>
                <w:sz w:val="18"/>
                <w:szCs w:val="18"/>
              </w:rPr>
              <w:t>6.2</w:t>
            </w:r>
          </w:p>
        </w:tc>
        <w:tc>
          <w:tcPr>
            <w:tcW w:w="275" w:type="pct"/>
          </w:tcPr>
          <w:p w:rsidR="0035443E" w:rsidRPr="009F6685" w:rsidRDefault="0035443E" w:rsidP="00183DCC">
            <w:pPr>
              <w:spacing w:after="120"/>
              <w:rPr>
                <w:bCs/>
                <w:sz w:val="18"/>
                <w:szCs w:val="18"/>
              </w:rPr>
            </w:pPr>
            <w:r w:rsidRPr="009F6685">
              <w:rPr>
                <w:bCs/>
                <w:sz w:val="18"/>
                <w:szCs w:val="18"/>
              </w:rPr>
              <w:t>EMPL</w:t>
            </w:r>
          </w:p>
        </w:tc>
        <w:tc>
          <w:tcPr>
            <w:tcW w:w="413" w:type="pct"/>
          </w:tcPr>
          <w:p w:rsidR="009C3119" w:rsidRDefault="009C3119" w:rsidP="00183DCC">
            <w:pPr>
              <w:spacing w:after="120"/>
              <w:rPr>
                <w:bCs/>
                <w:sz w:val="18"/>
                <w:szCs w:val="18"/>
              </w:rPr>
            </w:pPr>
            <w:r>
              <w:rPr>
                <w:bCs/>
                <w:sz w:val="18"/>
                <w:szCs w:val="18"/>
              </w:rPr>
              <w:t>2014FR16M0OP006</w:t>
            </w:r>
          </w:p>
          <w:p w:rsidR="0035443E" w:rsidRPr="009F6685" w:rsidRDefault="0035443E" w:rsidP="00183DCC">
            <w:pPr>
              <w:spacing w:after="120"/>
              <w:rPr>
                <w:sz w:val="18"/>
                <w:szCs w:val="18"/>
              </w:rPr>
            </w:pPr>
          </w:p>
        </w:tc>
        <w:tc>
          <w:tcPr>
            <w:tcW w:w="938" w:type="pct"/>
          </w:tcPr>
          <w:p w:rsidR="00E878B0" w:rsidRDefault="00E878B0" w:rsidP="00183DCC">
            <w:pPr>
              <w:spacing w:after="120"/>
              <w:rPr>
                <w:sz w:val="18"/>
                <w:szCs w:val="18"/>
              </w:rPr>
            </w:pPr>
            <w:r w:rsidRPr="00E878B0">
              <w:rPr>
                <w:sz w:val="18"/>
                <w:szCs w:val="18"/>
              </w:rPr>
              <w:t>SO2 Increase quality and efficiency of training systems</w:t>
            </w:r>
          </w:p>
          <w:p w:rsidR="0035443E" w:rsidRPr="009F6685" w:rsidRDefault="0035443E" w:rsidP="00183DCC">
            <w:pPr>
              <w:spacing w:after="120"/>
              <w:rPr>
                <w:sz w:val="18"/>
                <w:szCs w:val="18"/>
                <w:lang w:val="en-US"/>
              </w:rPr>
            </w:pPr>
          </w:p>
        </w:tc>
        <w:tc>
          <w:tcPr>
            <w:tcW w:w="1232" w:type="pct"/>
          </w:tcPr>
          <w:p w:rsidR="00A34358" w:rsidRPr="00183DCC" w:rsidRDefault="00D72599" w:rsidP="00183DCC">
            <w:pPr>
              <w:numPr>
                <w:ilvl w:val="0"/>
                <w:numId w:val="12"/>
              </w:numPr>
              <w:spacing w:after="120"/>
              <w:ind w:left="232" w:hanging="232"/>
              <w:rPr>
                <w:sz w:val="18"/>
                <w:szCs w:val="18"/>
              </w:rPr>
            </w:pPr>
            <w:r w:rsidRPr="00D72599">
              <w:rPr>
                <w:sz w:val="18"/>
                <w:szCs w:val="18"/>
              </w:rPr>
              <w:t>Success rate for skills training diplomas</w:t>
            </w:r>
          </w:p>
          <w:p w:rsidR="00A34358" w:rsidRPr="00183DCC" w:rsidRDefault="00FE5C6A" w:rsidP="00183DCC">
            <w:pPr>
              <w:numPr>
                <w:ilvl w:val="0"/>
                <w:numId w:val="12"/>
              </w:numPr>
              <w:spacing w:after="120"/>
              <w:ind w:left="232" w:hanging="232"/>
              <w:rPr>
                <w:sz w:val="18"/>
                <w:szCs w:val="18"/>
              </w:rPr>
            </w:pPr>
            <w:r>
              <w:rPr>
                <w:sz w:val="18"/>
                <w:szCs w:val="18"/>
              </w:rPr>
              <w:t>Discontinuation rate in training courses</w:t>
            </w:r>
          </w:p>
        </w:tc>
        <w:tc>
          <w:tcPr>
            <w:tcW w:w="658" w:type="pct"/>
          </w:tcPr>
          <w:p w:rsidR="00E878B0" w:rsidRDefault="00E878B0" w:rsidP="00183DCC">
            <w:pPr>
              <w:spacing w:after="120"/>
              <w:rPr>
                <w:sz w:val="18"/>
                <w:szCs w:val="18"/>
              </w:rPr>
            </w:pPr>
            <w:r>
              <w:rPr>
                <w:sz w:val="18"/>
                <w:szCs w:val="18"/>
              </w:rPr>
              <w:t>80%</w:t>
            </w:r>
          </w:p>
          <w:p w:rsidR="008E40C5" w:rsidRDefault="008E40C5" w:rsidP="00183DCC">
            <w:pPr>
              <w:spacing w:after="120"/>
              <w:rPr>
                <w:sz w:val="18"/>
                <w:szCs w:val="18"/>
              </w:rPr>
            </w:pPr>
          </w:p>
          <w:p w:rsidR="00FE5C6A" w:rsidRPr="009F6685" w:rsidRDefault="00FE5C6A" w:rsidP="00183DCC">
            <w:pPr>
              <w:spacing w:after="120"/>
              <w:rPr>
                <w:sz w:val="18"/>
                <w:szCs w:val="18"/>
              </w:rPr>
            </w:pPr>
            <w:r>
              <w:rPr>
                <w:sz w:val="18"/>
                <w:szCs w:val="18"/>
              </w:rPr>
              <w:t>28.7%</w:t>
            </w:r>
          </w:p>
        </w:tc>
        <w:tc>
          <w:tcPr>
            <w:tcW w:w="649" w:type="pct"/>
          </w:tcPr>
          <w:p w:rsidR="00E878B0" w:rsidRDefault="00E878B0" w:rsidP="00183DCC">
            <w:pPr>
              <w:spacing w:after="120"/>
              <w:rPr>
                <w:sz w:val="18"/>
                <w:szCs w:val="18"/>
              </w:rPr>
            </w:pPr>
            <w:r>
              <w:rPr>
                <w:sz w:val="18"/>
                <w:szCs w:val="18"/>
              </w:rPr>
              <w:t>85%</w:t>
            </w:r>
          </w:p>
          <w:p w:rsidR="008E40C5" w:rsidRDefault="008E40C5" w:rsidP="00183DCC">
            <w:pPr>
              <w:spacing w:after="120"/>
              <w:rPr>
                <w:sz w:val="18"/>
                <w:szCs w:val="18"/>
              </w:rPr>
            </w:pPr>
          </w:p>
          <w:p w:rsidR="00FE5C6A" w:rsidRPr="009F6685" w:rsidRDefault="00FE5C6A" w:rsidP="00183DCC">
            <w:pPr>
              <w:spacing w:after="120"/>
              <w:rPr>
                <w:sz w:val="18"/>
                <w:szCs w:val="18"/>
              </w:rPr>
            </w:pPr>
            <w:r>
              <w:rPr>
                <w:sz w:val="18"/>
                <w:szCs w:val="18"/>
              </w:rPr>
              <w:t>25%</w:t>
            </w:r>
          </w:p>
        </w:tc>
      </w:tr>
      <w:tr w:rsidR="0035443E" w:rsidRPr="009F6685" w:rsidTr="00395F8D">
        <w:trPr>
          <w:trHeight w:val="399"/>
        </w:trPr>
        <w:tc>
          <w:tcPr>
            <w:tcW w:w="481" w:type="pct"/>
          </w:tcPr>
          <w:p w:rsidR="0035443E" w:rsidRPr="009F6685" w:rsidRDefault="0035443E" w:rsidP="00183DCC">
            <w:pPr>
              <w:spacing w:after="120"/>
              <w:rPr>
                <w:bCs/>
                <w:sz w:val="18"/>
                <w:szCs w:val="18"/>
              </w:rPr>
            </w:pPr>
            <w:r w:rsidRPr="00480BD6">
              <w:rPr>
                <w:bCs/>
                <w:sz w:val="18"/>
                <w:szCs w:val="18"/>
              </w:rPr>
              <w:t>Digital infrastructure and services</w:t>
            </w:r>
          </w:p>
        </w:tc>
        <w:tc>
          <w:tcPr>
            <w:tcW w:w="354" w:type="pct"/>
          </w:tcPr>
          <w:p w:rsidR="0035443E" w:rsidRPr="009F6685" w:rsidRDefault="0035443E" w:rsidP="00183DCC">
            <w:pPr>
              <w:spacing w:after="120"/>
              <w:rPr>
                <w:bCs/>
                <w:sz w:val="18"/>
                <w:szCs w:val="18"/>
              </w:rPr>
            </w:pPr>
            <w:r w:rsidRPr="009F6685">
              <w:rPr>
                <w:bCs/>
                <w:sz w:val="18"/>
                <w:szCs w:val="18"/>
              </w:rPr>
              <w:t>PL 2013 CSR 6.4</w:t>
            </w:r>
          </w:p>
          <w:p w:rsidR="0035443E" w:rsidRPr="009F6685" w:rsidRDefault="0035443E" w:rsidP="00183DCC">
            <w:pPr>
              <w:spacing w:after="120"/>
              <w:rPr>
                <w:b/>
                <w:bCs/>
                <w:sz w:val="18"/>
                <w:szCs w:val="18"/>
              </w:rPr>
            </w:pPr>
            <w:r w:rsidRPr="009F6685">
              <w:rPr>
                <w:bCs/>
                <w:sz w:val="18"/>
                <w:szCs w:val="18"/>
              </w:rPr>
              <w:t>PL 2014 CSR 5.3</w:t>
            </w:r>
          </w:p>
        </w:tc>
        <w:tc>
          <w:tcPr>
            <w:tcW w:w="275" w:type="pct"/>
          </w:tcPr>
          <w:p w:rsidR="0035443E" w:rsidRPr="009F6685" w:rsidRDefault="0035443E" w:rsidP="00183DCC">
            <w:pPr>
              <w:spacing w:after="120"/>
              <w:rPr>
                <w:bCs/>
                <w:sz w:val="18"/>
                <w:szCs w:val="18"/>
              </w:rPr>
            </w:pPr>
            <w:r w:rsidRPr="009F6685">
              <w:rPr>
                <w:bCs/>
                <w:sz w:val="18"/>
                <w:szCs w:val="18"/>
              </w:rPr>
              <w:t>REGIO</w:t>
            </w:r>
          </w:p>
        </w:tc>
        <w:tc>
          <w:tcPr>
            <w:tcW w:w="413" w:type="pct"/>
          </w:tcPr>
          <w:p w:rsidR="0035443E" w:rsidRPr="009F6685" w:rsidRDefault="0035443E" w:rsidP="00183DCC">
            <w:pPr>
              <w:spacing w:after="120"/>
              <w:rPr>
                <w:sz w:val="18"/>
                <w:szCs w:val="18"/>
              </w:rPr>
            </w:pPr>
            <w:r w:rsidRPr="009F6685">
              <w:rPr>
                <w:bCs/>
                <w:sz w:val="18"/>
                <w:szCs w:val="18"/>
              </w:rPr>
              <w:t>2014PL16RFOP002</w:t>
            </w:r>
          </w:p>
        </w:tc>
        <w:tc>
          <w:tcPr>
            <w:tcW w:w="938" w:type="pct"/>
          </w:tcPr>
          <w:p w:rsidR="0035443E" w:rsidRPr="009F6685" w:rsidRDefault="0035443E" w:rsidP="00183DCC">
            <w:pPr>
              <w:spacing w:after="120"/>
              <w:rPr>
                <w:sz w:val="18"/>
                <w:szCs w:val="18"/>
              </w:rPr>
            </w:pPr>
            <w:r w:rsidRPr="009F6685">
              <w:rPr>
                <w:sz w:val="18"/>
                <w:szCs w:val="18"/>
              </w:rPr>
              <w:t>SO 1 Eliminating the territorial differences in accessing high-broadband bandwidth (Less developed regions)</w:t>
            </w:r>
          </w:p>
        </w:tc>
        <w:tc>
          <w:tcPr>
            <w:tcW w:w="1232" w:type="pct"/>
          </w:tcPr>
          <w:p w:rsidR="00A34358" w:rsidRPr="00183DCC" w:rsidRDefault="0035443E" w:rsidP="00183DCC">
            <w:pPr>
              <w:numPr>
                <w:ilvl w:val="0"/>
                <w:numId w:val="12"/>
              </w:numPr>
              <w:spacing w:after="120"/>
              <w:ind w:left="232" w:hanging="232"/>
              <w:rPr>
                <w:sz w:val="18"/>
                <w:szCs w:val="18"/>
              </w:rPr>
            </w:pPr>
            <w:r w:rsidRPr="009F6685">
              <w:rPr>
                <w:sz w:val="18"/>
                <w:szCs w:val="18"/>
              </w:rPr>
              <w:t>ICT Infrastructure: Additional households with broadband access of at least 30 Mbps</w:t>
            </w:r>
          </w:p>
        </w:tc>
        <w:tc>
          <w:tcPr>
            <w:tcW w:w="658" w:type="pct"/>
          </w:tcPr>
          <w:p w:rsidR="0035443E" w:rsidRPr="009F6685" w:rsidRDefault="0035443E" w:rsidP="00183DCC">
            <w:pPr>
              <w:spacing w:after="120"/>
              <w:rPr>
                <w:sz w:val="18"/>
                <w:szCs w:val="18"/>
              </w:rPr>
            </w:pPr>
            <w:r w:rsidRPr="009F6685">
              <w:rPr>
                <w:sz w:val="18"/>
                <w:szCs w:val="18"/>
              </w:rPr>
              <w:t>44.5</w:t>
            </w:r>
            <w:r>
              <w:rPr>
                <w:sz w:val="18"/>
                <w:szCs w:val="18"/>
              </w:rPr>
              <w:t>%</w:t>
            </w:r>
          </w:p>
        </w:tc>
        <w:tc>
          <w:tcPr>
            <w:tcW w:w="649" w:type="pct"/>
          </w:tcPr>
          <w:p w:rsidR="0035443E" w:rsidRPr="009F6685" w:rsidRDefault="0035443E" w:rsidP="00183DCC">
            <w:pPr>
              <w:spacing w:after="120"/>
              <w:rPr>
                <w:sz w:val="18"/>
                <w:szCs w:val="18"/>
              </w:rPr>
            </w:pPr>
            <w:r w:rsidRPr="009F6685">
              <w:rPr>
                <w:sz w:val="18"/>
                <w:szCs w:val="18"/>
              </w:rPr>
              <w:t>100.0%</w:t>
            </w:r>
          </w:p>
        </w:tc>
      </w:tr>
      <w:tr w:rsidR="0035443E" w:rsidRPr="005A19F1" w:rsidTr="00395F8D">
        <w:trPr>
          <w:trHeight w:val="399"/>
        </w:trPr>
        <w:tc>
          <w:tcPr>
            <w:tcW w:w="481" w:type="pct"/>
          </w:tcPr>
          <w:p w:rsidR="0035443E" w:rsidRPr="009F6685" w:rsidRDefault="0035443E" w:rsidP="00183DCC">
            <w:pPr>
              <w:spacing w:after="120"/>
              <w:rPr>
                <w:bCs/>
                <w:sz w:val="18"/>
                <w:szCs w:val="18"/>
              </w:rPr>
            </w:pPr>
            <w:r w:rsidRPr="005A19F1">
              <w:rPr>
                <w:bCs/>
                <w:sz w:val="18"/>
                <w:szCs w:val="18"/>
              </w:rPr>
              <w:t>Research, technology development and innovation</w:t>
            </w:r>
          </w:p>
        </w:tc>
        <w:tc>
          <w:tcPr>
            <w:tcW w:w="354" w:type="pct"/>
          </w:tcPr>
          <w:p w:rsidR="0035443E" w:rsidRPr="009F6685" w:rsidRDefault="0035443E" w:rsidP="00183DCC">
            <w:pPr>
              <w:spacing w:after="120"/>
              <w:rPr>
                <w:b/>
                <w:bCs/>
                <w:sz w:val="18"/>
                <w:szCs w:val="18"/>
              </w:rPr>
            </w:pPr>
            <w:r w:rsidRPr="009F6685">
              <w:rPr>
                <w:bCs/>
                <w:sz w:val="18"/>
                <w:szCs w:val="18"/>
              </w:rPr>
              <w:t>PT 2014 CSR 4.3</w:t>
            </w:r>
          </w:p>
        </w:tc>
        <w:tc>
          <w:tcPr>
            <w:tcW w:w="275" w:type="pct"/>
          </w:tcPr>
          <w:p w:rsidR="0035443E" w:rsidRPr="009F6685" w:rsidRDefault="0035443E" w:rsidP="00183DCC">
            <w:pPr>
              <w:spacing w:after="120"/>
              <w:rPr>
                <w:bCs/>
                <w:sz w:val="18"/>
                <w:szCs w:val="18"/>
              </w:rPr>
            </w:pPr>
            <w:r w:rsidRPr="009F6685">
              <w:rPr>
                <w:bCs/>
                <w:sz w:val="18"/>
                <w:szCs w:val="18"/>
              </w:rPr>
              <w:t>REGIO</w:t>
            </w:r>
          </w:p>
        </w:tc>
        <w:tc>
          <w:tcPr>
            <w:tcW w:w="413" w:type="pct"/>
          </w:tcPr>
          <w:p w:rsidR="0035443E" w:rsidRPr="009F6685" w:rsidRDefault="0035443E" w:rsidP="00183DCC">
            <w:pPr>
              <w:spacing w:after="120"/>
              <w:rPr>
                <w:sz w:val="18"/>
                <w:szCs w:val="18"/>
              </w:rPr>
            </w:pPr>
            <w:r w:rsidRPr="009F6685">
              <w:rPr>
                <w:bCs/>
                <w:sz w:val="18"/>
                <w:szCs w:val="18"/>
              </w:rPr>
              <w:t>2014PT16M3OP001</w:t>
            </w:r>
          </w:p>
        </w:tc>
        <w:tc>
          <w:tcPr>
            <w:tcW w:w="938" w:type="pct"/>
          </w:tcPr>
          <w:p w:rsidR="0035443E" w:rsidRPr="009F6685" w:rsidRDefault="0035443E" w:rsidP="00183DCC">
            <w:pPr>
              <w:spacing w:after="120"/>
              <w:rPr>
                <w:sz w:val="18"/>
                <w:szCs w:val="18"/>
              </w:rPr>
            </w:pPr>
            <w:r w:rsidRPr="009F6685">
              <w:rPr>
                <w:sz w:val="18"/>
                <w:szCs w:val="18"/>
              </w:rPr>
              <w:t>SO 4 Reinforce networks, partnerships and cooperation towards business innovation and internationalization</w:t>
            </w:r>
          </w:p>
        </w:tc>
        <w:tc>
          <w:tcPr>
            <w:tcW w:w="1232" w:type="pct"/>
          </w:tcPr>
          <w:p w:rsidR="00A34358" w:rsidRPr="00183DCC" w:rsidRDefault="0035443E" w:rsidP="00183DCC">
            <w:pPr>
              <w:numPr>
                <w:ilvl w:val="0"/>
                <w:numId w:val="12"/>
              </w:numPr>
              <w:spacing w:after="120"/>
              <w:ind w:left="232" w:hanging="232"/>
              <w:rPr>
                <w:sz w:val="18"/>
                <w:szCs w:val="18"/>
              </w:rPr>
            </w:pPr>
            <w:r w:rsidRPr="009F6685">
              <w:rPr>
                <w:sz w:val="18"/>
                <w:szCs w:val="18"/>
              </w:rPr>
              <w:t>Companies with 10 or more employees involved in cooperation for innovation, out of the total surveyed companies</w:t>
            </w:r>
          </w:p>
        </w:tc>
        <w:tc>
          <w:tcPr>
            <w:tcW w:w="658" w:type="pct"/>
          </w:tcPr>
          <w:p w:rsidR="0035443E" w:rsidRPr="009F6685" w:rsidRDefault="0035443E" w:rsidP="00183DCC">
            <w:pPr>
              <w:spacing w:after="120"/>
              <w:rPr>
                <w:sz w:val="18"/>
                <w:szCs w:val="18"/>
              </w:rPr>
            </w:pPr>
            <w:r w:rsidRPr="009F6685">
              <w:rPr>
                <w:sz w:val="18"/>
                <w:szCs w:val="18"/>
              </w:rPr>
              <w:t>13</w:t>
            </w:r>
            <w:r>
              <w:rPr>
                <w:sz w:val="18"/>
                <w:szCs w:val="18"/>
              </w:rPr>
              <w:t>.</w:t>
            </w:r>
            <w:r w:rsidRPr="009F6685">
              <w:rPr>
                <w:sz w:val="18"/>
                <w:szCs w:val="18"/>
              </w:rPr>
              <w:t>6% (2010)</w:t>
            </w:r>
          </w:p>
        </w:tc>
        <w:tc>
          <w:tcPr>
            <w:tcW w:w="649" w:type="pct"/>
          </w:tcPr>
          <w:p w:rsidR="0035443E" w:rsidRPr="009F6685" w:rsidRDefault="0035443E" w:rsidP="00183DCC">
            <w:pPr>
              <w:spacing w:after="120"/>
              <w:rPr>
                <w:sz w:val="18"/>
                <w:szCs w:val="18"/>
              </w:rPr>
            </w:pPr>
            <w:r w:rsidRPr="009F6685">
              <w:rPr>
                <w:sz w:val="18"/>
                <w:szCs w:val="18"/>
              </w:rPr>
              <w:t>20-30%</w:t>
            </w:r>
          </w:p>
        </w:tc>
      </w:tr>
      <w:tr w:rsidR="0035443E" w:rsidRPr="009F6685" w:rsidTr="00395F8D">
        <w:trPr>
          <w:trHeight w:val="399"/>
        </w:trPr>
        <w:tc>
          <w:tcPr>
            <w:tcW w:w="481" w:type="pct"/>
          </w:tcPr>
          <w:p w:rsidR="0035443E" w:rsidRPr="009F6685" w:rsidRDefault="0035443E" w:rsidP="00183DCC">
            <w:pPr>
              <w:spacing w:after="120"/>
              <w:rPr>
                <w:bCs/>
                <w:sz w:val="18"/>
                <w:szCs w:val="18"/>
              </w:rPr>
            </w:pPr>
            <w:r w:rsidRPr="005A6002">
              <w:rPr>
                <w:bCs/>
                <w:sz w:val="18"/>
                <w:szCs w:val="18"/>
              </w:rPr>
              <w:t>Institutional capacity, public administration and justice systems</w:t>
            </w:r>
          </w:p>
        </w:tc>
        <w:tc>
          <w:tcPr>
            <w:tcW w:w="354" w:type="pct"/>
          </w:tcPr>
          <w:p w:rsidR="0035443E" w:rsidRPr="009F6685" w:rsidRDefault="0035443E" w:rsidP="00183DCC">
            <w:pPr>
              <w:spacing w:after="120"/>
              <w:rPr>
                <w:b/>
                <w:bCs/>
                <w:sz w:val="18"/>
                <w:szCs w:val="18"/>
              </w:rPr>
            </w:pPr>
            <w:r w:rsidRPr="009F6685">
              <w:rPr>
                <w:bCs/>
                <w:sz w:val="18"/>
                <w:szCs w:val="18"/>
              </w:rPr>
              <w:t>IT 2013 CSR 2.1</w:t>
            </w:r>
          </w:p>
        </w:tc>
        <w:tc>
          <w:tcPr>
            <w:tcW w:w="275" w:type="pct"/>
          </w:tcPr>
          <w:p w:rsidR="0035443E" w:rsidRPr="009F6685" w:rsidRDefault="0035443E" w:rsidP="00183DCC">
            <w:pPr>
              <w:spacing w:after="120"/>
              <w:rPr>
                <w:bCs/>
                <w:sz w:val="18"/>
                <w:szCs w:val="18"/>
              </w:rPr>
            </w:pPr>
            <w:r w:rsidRPr="009F6685">
              <w:rPr>
                <w:bCs/>
                <w:sz w:val="18"/>
                <w:szCs w:val="18"/>
              </w:rPr>
              <w:t>EMPL</w:t>
            </w:r>
          </w:p>
        </w:tc>
        <w:tc>
          <w:tcPr>
            <w:tcW w:w="413" w:type="pct"/>
          </w:tcPr>
          <w:p w:rsidR="0035443E" w:rsidRPr="009F6685" w:rsidRDefault="0035443E" w:rsidP="00183DCC">
            <w:pPr>
              <w:spacing w:after="120"/>
              <w:rPr>
                <w:sz w:val="18"/>
                <w:szCs w:val="18"/>
              </w:rPr>
            </w:pPr>
            <w:r w:rsidRPr="009F6685">
              <w:rPr>
                <w:bCs/>
                <w:sz w:val="18"/>
                <w:szCs w:val="18"/>
              </w:rPr>
              <w:t>2014IT05M2OP002</w:t>
            </w:r>
          </w:p>
        </w:tc>
        <w:tc>
          <w:tcPr>
            <w:tcW w:w="938" w:type="pct"/>
          </w:tcPr>
          <w:p w:rsidR="0035443E" w:rsidRPr="009F6685" w:rsidRDefault="0035443E" w:rsidP="00183DCC">
            <w:pPr>
              <w:spacing w:after="120"/>
              <w:rPr>
                <w:sz w:val="18"/>
                <w:szCs w:val="18"/>
              </w:rPr>
            </w:pPr>
            <w:r w:rsidRPr="009F6685">
              <w:rPr>
                <w:sz w:val="18"/>
                <w:szCs w:val="18"/>
              </w:rPr>
              <w:t>SO 11.6 - Improvement of multi-level governance and administrative and technical capacity of government in public investment programmes</w:t>
            </w:r>
          </w:p>
        </w:tc>
        <w:tc>
          <w:tcPr>
            <w:tcW w:w="1232" w:type="pct"/>
          </w:tcPr>
          <w:p w:rsidR="00A34358" w:rsidRPr="00183DCC" w:rsidRDefault="0035443E" w:rsidP="00183DCC">
            <w:pPr>
              <w:numPr>
                <w:ilvl w:val="0"/>
                <w:numId w:val="12"/>
              </w:numPr>
              <w:spacing w:after="120"/>
              <w:ind w:left="232" w:hanging="232"/>
              <w:rPr>
                <w:sz w:val="18"/>
                <w:szCs w:val="18"/>
              </w:rPr>
            </w:pPr>
            <w:r w:rsidRPr="009F6685">
              <w:rPr>
                <w:sz w:val="18"/>
                <w:szCs w:val="18"/>
              </w:rPr>
              <w:t xml:space="preserve">Share of operations with implementation </w:t>
            </w:r>
            <w:r>
              <w:rPr>
                <w:sz w:val="18"/>
                <w:szCs w:val="18"/>
              </w:rPr>
              <w:t>duration</w:t>
            </w:r>
            <w:r w:rsidRPr="009F6685">
              <w:rPr>
                <w:sz w:val="18"/>
                <w:szCs w:val="18"/>
              </w:rPr>
              <w:t xml:space="preserve"> higher than the reference values indicated by VISTO</w:t>
            </w:r>
            <w:r w:rsidRPr="00183DCC">
              <w:footnoteReference w:id="23"/>
            </w:r>
            <w:r>
              <w:rPr>
                <w:sz w:val="18"/>
                <w:szCs w:val="18"/>
              </w:rPr>
              <w:t xml:space="preserve"> (Less developed regions)</w:t>
            </w:r>
          </w:p>
        </w:tc>
        <w:tc>
          <w:tcPr>
            <w:tcW w:w="658" w:type="pct"/>
          </w:tcPr>
          <w:p w:rsidR="0035443E" w:rsidRDefault="0035443E" w:rsidP="00183DCC">
            <w:pPr>
              <w:spacing w:after="120"/>
              <w:rPr>
                <w:sz w:val="18"/>
                <w:szCs w:val="18"/>
              </w:rPr>
            </w:pPr>
            <w:r w:rsidRPr="009F6685">
              <w:rPr>
                <w:sz w:val="18"/>
                <w:szCs w:val="18"/>
              </w:rPr>
              <w:t>66.0</w:t>
            </w:r>
            <w:r>
              <w:rPr>
                <w:sz w:val="18"/>
                <w:szCs w:val="18"/>
              </w:rPr>
              <w:t>% (2013)</w:t>
            </w:r>
          </w:p>
          <w:p w:rsidR="0035443E" w:rsidRPr="009F6685" w:rsidRDefault="0035443E" w:rsidP="00183DCC">
            <w:pPr>
              <w:spacing w:after="120"/>
              <w:rPr>
                <w:sz w:val="18"/>
                <w:szCs w:val="18"/>
              </w:rPr>
            </w:pPr>
          </w:p>
        </w:tc>
        <w:tc>
          <w:tcPr>
            <w:tcW w:w="649" w:type="pct"/>
          </w:tcPr>
          <w:p w:rsidR="0035443E" w:rsidRPr="009F6685" w:rsidRDefault="0035443E" w:rsidP="00183DCC">
            <w:pPr>
              <w:spacing w:after="120"/>
              <w:rPr>
                <w:sz w:val="18"/>
                <w:szCs w:val="18"/>
              </w:rPr>
            </w:pPr>
            <w:r w:rsidRPr="009F6685">
              <w:rPr>
                <w:sz w:val="18"/>
                <w:szCs w:val="18"/>
              </w:rPr>
              <w:t>40.0</w:t>
            </w:r>
            <w:r>
              <w:rPr>
                <w:sz w:val="18"/>
                <w:szCs w:val="18"/>
              </w:rPr>
              <w:t>%</w:t>
            </w:r>
          </w:p>
        </w:tc>
      </w:tr>
      <w:tr w:rsidR="0035443E" w:rsidRPr="009F6685" w:rsidTr="00395F8D">
        <w:trPr>
          <w:trHeight w:val="399"/>
        </w:trPr>
        <w:tc>
          <w:tcPr>
            <w:tcW w:w="481" w:type="pct"/>
          </w:tcPr>
          <w:p w:rsidR="0035443E" w:rsidRPr="009F6685" w:rsidRDefault="0035443E" w:rsidP="00183DCC">
            <w:pPr>
              <w:spacing w:after="120"/>
              <w:rPr>
                <w:bCs/>
                <w:sz w:val="18"/>
                <w:szCs w:val="18"/>
              </w:rPr>
            </w:pPr>
            <w:r w:rsidRPr="005A6002">
              <w:rPr>
                <w:bCs/>
                <w:sz w:val="18"/>
                <w:szCs w:val="18"/>
              </w:rPr>
              <w:t xml:space="preserve">Resources efficiency </w:t>
            </w:r>
          </w:p>
        </w:tc>
        <w:tc>
          <w:tcPr>
            <w:tcW w:w="354" w:type="pct"/>
          </w:tcPr>
          <w:p w:rsidR="0035443E" w:rsidRPr="009F6685" w:rsidRDefault="0035443E" w:rsidP="00183DCC">
            <w:pPr>
              <w:spacing w:after="120"/>
              <w:rPr>
                <w:b/>
                <w:bCs/>
                <w:sz w:val="18"/>
                <w:szCs w:val="18"/>
              </w:rPr>
            </w:pPr>
            <w:r w:rsidRPr="009F6685">
              <w:rPr>
                <w:bCs/>
                <w:sz w:val="18"/>
                <w:szCs w:val="18"/>
              </w:rPr>
              <w:t>PL 2013 CSR 6.5</w:t>
            </w:r>
          </w:p>
        </w:tc>
        <w:tc>
          <w:tcPr>
            <w:tcW w:w="275" w:type="pct"/>
          </w:tcPr>
          <w:p w:rsidR="0035443E" w:rsidRPr="009F6685" w:rsidRDefault="0035443E" w:rsidP="00183DCC">
            <w:pPr>
              <w:spacing w:after="120"/>
              <w:rPr>
                <w:bCs/>
                <w:sz w:val="18"/>
                <w:szCs w:val="18"/>
              </w:rPr>
            </w:pPr>
            <w:r w:rsidRPr="009F6685">
              <w:rPr>
                <w:bCs/>
                <w:sz w:val="18"/>
                <w:szCs w:val="18"/>
              </w:rPr>
              <w:t>REGIO</w:t>
            </w:r>
          </w:p>
        </w:tc>
        <w:tc>
          <w:tcPr>
            <w:tcW w:w="413" w:type="pct"/>
          </w:tcPr>
          <w:p w:rsidR="0035443E" w:rsidRPr="009F6685" w:rsidRDefault="0035443E" w:rsidP="00183DCC">
            <w:pPr>
              <w:spacing w:after="120"/>
              <w:rPr>
                <w:sz w:val="18"/>
                <w:szCs w:val="18"/>
              </w:rPr>
            </w:pPr>
            <w:r w:rsidRPr="009F6685">
              <w:rPr>
                <w:bCs/>
                <w:sz w:val="18"/>
                <w:szCs w:val="18"/>
              </w:rPr>
              <w:t>2014PL16M1OP001</w:t>
            </w:r>
          </w:p>
        </w:tc>
        <w:tc>
          <w:tcPr>
            <w:tcW w:w="938" w:type="pct"/>
          </w:tcPr>
          <w:p w:rsidR="0035443E" w:rsidRPr="009F6685" w:rsidRDefault="0035443E" w:rsidP="00183DCC">
            <w:pPr>
              <w:spacing w:after="120"/>
              <w:rPr>
                <w:sz w:val="18"/>
                <w:szCs w:val="18"/>
              </w:rPr>
            </w:pPr>
            <w:r w:rsidRPr="009F6685">
              <w:rPr>
                <w:sz w:val="18"/>
                <w:szCs w:val="18"/>
              </w:rPr>
              <w:t>SO 6a.1 – Smaller amount of municipal waste subject to storage</w:t>
            </w:r>
          </w:p>
        </w:tc>
        <w:tc>
          <w:tcPr>
            <w:tcW w:w="1232" w:type="pct"/>
          </w:tcPr>
          <w:p w:rsidR="00A34358" w:rsidRPr="00183DCC" w:rsidRDefault="0035443E" w:rsidP="00183DCC">
            <w:pPr>
              <w:numPr>
                <w:ilvl w:val="0"/>
                <w:numId w:val="12"/>
              </w:numPr>
              <w:spacing w:after="120"/>
              <w:ind w:left="232" w:hanging="232"/>
              <w:rPr>
                <w:sz w:val="18"/>
                <w:szCs w:val="18"/>
              </w:rPr>
            </w:pPr>
            <w:r w:rsidRPr="009F6685">
              <w:rPr>
                <w:sz w:val="18"/>
                <w:szCs w:val="18"/>
              </w:rPr>
              <w:t>The share of municipal waste collected selectively</w:t>
            </w:r>
          </w:p>
        </w:tc>
        <w:tc>
          <w:tcPr>
            <w:tcW w:w="658" w:type="pct"/>
          </w:tcPr>
          <w:p w:rsidR="0035443E" w:rsidRPr="009F6685" w:rsidRDefault="0035443E" w:rsidP="00183DCC">
            <w:pPr>
              <w:spacing w:after="120"/>
              <w:rPr>
                <w:sz w:val="18"/>
                <w:szCs w:val="18"/>
              </w:rPr>
            </w:pPr>
            <w:r w:rsidRPr="009F6685">
              <w:rPr>
                <w:sz w:val="18"/>
                <w:szCs w:val="18"/>
              </w:rPr>
              <w:t>10.0</w:t>
            </w:r>
            <w:r>
              <w:rPr>
                <w:sz w:val="18"/>
                <w:szCs w:val="18"/>
              </w:rPr>
              <w:t>%</w:t>
            </w:r>
            <w:r w:rsidRPr="009F6685">
              <w:rPr>
                <w:sz w:val="18"/>
                <w:szCs w:val="18"/>
              </w:rPr>
              <w:t xml:space="preserve"> ( 2011)</w:t>
            </w:r>
          </w:p>
        </w:tc>
        <w:tc>
          <w:tcPr>
            <w:tcW w:w="649" w:type="pct"/>
          </w:tcPr>
          <w:p w:rsidR="0035443E" w:rsidRPr="009F6685" w:rsidRDefault="0035443E" w:rsidP="00183DCC">
            <w:pPr>
              <w:spacing w:after="120"/>
              <w:rPr>
                <w:sz w:val="18"/>
                <w:szCs w:val="18"/>
              </w:rPr>
            </w:pPr>
            <w:r w:rsidRPr="009F6685">
              <w:rPr>
                <w:sz w:val="18"/>
                <w:szCs w:val="18"/>
              </w:rPr>
              <w:t>50.0</w:t>
            </w:r>
            <w:r>
              <w:rPr>
                <w:sz w:val="18"/>
                <w:szCs w:val="18"/>
              </w:rPr>
              <w:t>%</w:t>
            </w:r>
            <w:r w:rsidRPr="009F6685">
              <w:rPr>
                <w:sz w:val="18"/>
                <w:szCs w:val="18"/>
              </w:rPr>
              <w:t xml:space="preserve"> </w:t>
            </w:r>
          </w:p>
        </w:tc>
      </w:tr>
      <w:tr w:rsidR="0035443E" w:rsidRPr="009F6685" w:rsidTr="00395F8D">
        <w:trPr>
          <w:trHeight w:val="399"/>
        </w:trPr>
        <w:tc>
          <w:tcPr>
            <w:tcW w:w="481" w:type="pct"/>
          </w:tcPr>
          <w:p w:rsidR="0035443E" w:rsidRPr="00C164FD" w:rsidRDefault="0035443E" w:rsidP="00183DCC">
            <w:pPr>
              <w:spacing w:after="120"/>
              <w:rPr>
                <w:bCs/>
                <w:sz w:val="18"/>
                <w:szCs w:val="18"/>
              </w:rPr>
            </w:pPr>
            <w:r w:rsidRPr="0027274E">
              <w:rPr>
                <w:bCs/>
                <w:sz w:val="18"/>
                <w:szCs w:val="18"/>
              </w:rPr>
              <w:t xml:space="preserve">Access to employment and employability of workers (including activation, LM </w:t>
            </w:r>
            <w:r>
              <w:rPr>
                <w:bCs/>
                <w:sz w:val="18"/>
                <w:szCs w:val="18"/>
              </w:rPr>
              <w:t>p</w:t>
            </w:r>
            <w:r w:rsidRPr="0027274E">
              <w:rPr>
                <w:bCs/>
                <w:sz w:val="18"/>
                <w:szCs w:val="18"/>
              </w:rPr>
              <w:t>articipation and labour tax wedge)</w:t>
            </w:r>
          </w:p>
        </w:tc>
        <w:tc>
          <w:tcPr>
            <w:tcW w:w="354" w:type="pct"/>
          </w:tcPr>
          <w:p w:rsidR="0035443E" w:rsidRPr="0030332A" w:rsidRDefault="0035443E" w:rsidP="00183DCC">
            <w:pPr>
              <w:spacing w:after="120"/>
              <w:rPr>
                <w:bCs/>
                <w:sz w:val="18"/>
                <w:szCs w:val="18"/>
              </w:rPr>
            </w:pPr>
            <w:r w:rsidRPr="0027274E">
              <w:rPr>
                <w:bCs/>
                <w:sz w:val="18"/>
                <w:szCs w:val="18"/>
              </w:rPr>
              <w:t>BE</w:t>
            </w:r>
            <w:r>
              <w:rPr>
                <w:bCs/>
                <w:sz w:val="18"/>
                <w:szCs w:val="18"/>
              </w:rPr>
              <w:t xml:space="preserve"> 2015 </w:t>
            </w:r>
            <w:r w:rsidRPr="0027274E">
              <w:rPr>
                <w:bCs/>
                <w:sz w:val="18"/>
                <w:szCs w:val="18"/>
              </w:rPr>
              <w:t>CSR</w:t>
            </w:r>
            <w:r>
              <w:rPr>
                <w:bCs/>
                <w:sz w:val="18"/>
                <w:szCs w:val="18"/>
              </w:rPr>
              <w:t xml:space="preserve"> </w:t>
            </w:r>
            <w:r w:rsidRPr="0027274E">
              <w:rPr>
                <w:bCs/>
                <w:sz w:val="18"/>
                <w:szCs w:val="18"/>
              </w:rPr>
              <w:t>3.1</w:t>
            </w:r>
          </w:p>
        </w:tc>
        <w:tc>
          <w:tcPr>
            <w:tcW w:w="275" w:type="pct"/>
          </w:tcPr>
          <w:p w:rsidR="0035443E" w:rsidRDefault="0035443E" w:rsidP="00183DCC">
            <w:pPr>
              <w:spacing w:after="120"/>
              <w:rPr>
                <w:sz w:val="18"/>
                <w:szCs w:val="18"/>
              </w:rPr>
            </w:pPr>
            <w:r>
              <w:rPr>
                <w:sz w:val="18"/>
                <w:szCs w:val="18"/>
              </w:rPr>
              <w:t>AGRI</w:t>
            </w:r>
          </w:p>
        </w:tc>
        <w:tc>
          <w:tcPr>
            <w:tcW w:w="413" w:type="pct"/>
          </w:tcPr>
          <w:p w:rsidR="0035443E" w:rsidRPr="00B04023" w:rsidRDefault="0035443E" w:rsidP="00183DCC">
            <w:pPr>
              <w:spacing w:after="120"/>
              <w:rPr>
                <w:sz w:val="18"/>
                <w:szCs w:val="18"/>
              </w:rPr>
            </w:pPr>
            <w:r w:rsidRPr="0027274E">
              <w:rPr>
                <w:sz w:val="18"/>
                <w:szCs w:val="18"/>
              </w:rPr>
              <w:t>2014BE06RDRP001</w:t>
            </w:r>
          </w:p>
        </w:tc>
        <w:tc>
          <w:tcPr>
            <w:tcW w:w="938" w:type="pct"/>
          </w:tcPr>
          <w:p w:rsidR="0035443E" w:rsidRPr="00027C03" w:rsidRDefault="0035443E" w:rsidP="00183DCC">
            <w:pPr>
              <w:spacing w:after="120"/>
              <w:rPr>
                <w:sz w:val="18"/>
                <w:szCs w:val="18"/>
              </w:rPr>
            </w:pPr>
            <w:r w:rsidRPr="0027274E">
              <w:rPr>
                <w:sz w:val="18"/>
                <w:szCs w:val="18"/>
              </w:rPr>
              <w:t>UP6FAa</w:t>
            </w:r>
            <w:r>
              <w:rPr>
                <w:sz w:val="18"/>
                <w:szCs w:val="18"/>
              </w:rPr>
              <w:t xml:space="preserve"> - </w:t>
            </w:r>
            <w:r w:rsidRPr="0027274E">
              <w:rPr>
                <w:sz w:val="18"/>
                <w:szCs w:val="18"/>
              </w:rPr>
              <w:t xml:space="preserve"> facilitating   diversification,   creation   and   development   of small  enterprises,  as  well  as  job  creation</w:t>
            </w:r>
          </w:p>
        </w:tc>
        <w:tc>
          <w:tcPr>
            <w:tcW w:w="1232" w:type="pct"/>
          </w:tcPr>
          <w:p w:rsidR="00A34358" w:rsidRPr="00183DCC" w:rsidRDefault="0035443E" w:rsidP="00183DCC">
            <w:pPr>
              <w:numPr>
                <w:ilvl w:val="0"/>
                <w:numId w:val="12"/>
              </w:numPr>
              <w:spacing w:after="120"/>
              <w:ind w:left="232" w:hanging="232"/>
              <w:rPr>
                <w:sz w:val="18"/>
                <w:szCs w:val="18"/>
              </w:rPr>
            </w:pPr>
            <w:r w:rsidRPr="0027274E">
              <w:rPr>
                <w:sz w:val="18"/>
                <w:szCs w:val="18"/>
              </w:rPr>
              <w:t>Number of agriculture holdings with RDP supported business development plan/investments for young farmers</w:t>
            </w:r>
          </w:p>
        </w:tc>
        <w:tc>
          <w:tcPr>
            <w:tcW w:w="658" w:type="pct"/>
          </w:tcPr>
          <w:p w:rsidR="0035443E" w:rsidRPr="00515DDB" w:rsidRDefault="0035443E" w:rsidP="00183DCC">
            <w:pPr>
              <w:spacing w:after="120"/>
              <w:rPr>
                <w:sz w:val="18"/>
                <w:szCs w:val="18"/>
              </w:rPr>
            </w:pPr>
            <w:r>
              <w:rPr>
                <w:sz w:val="18"/>
                <w:szCs w:val="18"/>
              </w:rPr>
              <w:t>N/A</w:t>
            </w:r>
          </w:p>
        </w:tc>
        <w:tc>
          <w:tcPr>
            <w:tcW w:w="649" w:type="pct"/>
          </w:tcPr>
          <w:p w:rsidR="0035443E" w:rsidRDefault="0035443E" w:rsidP="00183DCC">
            <w:pPr>
              <w:spacing w:after="120"/>
              <w:rPr>
                <w:sz w:val="18"/>
                <w:szCs w:val="18"/>
              </w:rPr>
            </w:pPr>
            <w:r>
              <w:rPr>
                <w:sz w:val="18"/>
                <w:szCs w:val="18"/>
              </w:rPr>
              <w:t xml:space="preserve">1,400.0 </w:t>
            </w:r>
          </w:p>
          <w:p w:rsidR="0035443E" w:rsidRDefault="0035443E" w:rsidP="00A10C76">
            <w:pPr>
              <w:spacing w:after="120"/>
              <w:rPr>
                <w:sz w:val="18"/>
                <w:szCs w:val="18"/>
              </w:rPr>
            </w:pPr>
            <w:r>
              <w:rPr>
                <w:sz w:val="18"/>
                <w:szCs w:val="18"/>
              </w:rPr>
              <w:t xml:space="preserve">(Context indicator of </w:t>
            </w:r>
            <w:r w:rsidRPr="00A0302C">
              <w:rPr>
                <w:sz w:val="18"/>
                <w:szCs w:val="18"/>
              </w:rPr>
              <w:t>Agricultural holdings</w:t>
            </w:r>
            <w:r>
              <w:rPr>
                <w:sz w:val="18"/>
                <w:szCs w:val="18"/>
              </w:rPr>
              <w:t xml:space="preserve">: </w:t>
            </w:r>
            <w:r w:rsidRPr="00A0302C">
              <w:rPr>
                <w:sz w:val="18"/>
                <w:szCs w:val="18"/>
              </w:rPr>
              <w:t>25,217.0</w:t>
            </w:r>
            <w:r>
              <w:rPr>
                <w:sz w:val="18"/>
                <w:szCs w:val="18"/>
              </w:rPr>
              <w:t>)</w:t>
            </w:r>
          </w:p>
        </w:tc>
      </w:tr>
      <w:tr w:rsidR="0035443E" w:rsidRPr="009F6685" w:rsidTr="00395F8D">
        <w:trPr>
          <w:trHeight w:val="399"/>
        </w:trPr>
        <w:tc>
          <w:tcPr>
            <w:tcW w:w="481" w:type="pct"/>
          </w:tcPr>
          <w:p w:rsidR="0035443E" w:rsidRPr="005A6002" w:rsidRDefault="0035443E" w:rsidP="00183DCC">
            <w:pPr>
              <w:spacing w:after="120"/>
              <w:rPr>
                <w:bCs/>
                <w:sz w:val="18"/>
                <w:szCs w:val="18"/>
              </w:rPr>
            </w:pPr>
            <w:r w:rsidRPr="00C164FD">
              <w:rPr>
                <w:bCs/>
                <w:sz w:val="18"/>
                <w:szCs w:val="18"/>
              </w:rPr>
              <w:t>Energy networks, RES and emissions</w:t>
            </w:r>
          </w:p>
        </w:tc>
        <w:tc>
          <w:tcPr>
            <w:tcW w:w="354" w:type="pct"/>
          </w:tcPr>
          <w:p w:rsidR="0035443E" w:rsidRPr="009F6685" w:rsidRDefault="0035443E" w:rsidP="00183DCC">
            <w:pPr>
              <w:spacing w:after="120"/>
              <w:rPr>
                <w:bCs/>
                <w:sz w:val="18"/>
                <w:szCs w:val="18"/>
              </w:rPr>
            </w:pPr>
            <w:r w:rsidRPr="0030332A">
              <w:rPr>
                <w:bCs/>
                <w:sz w:val="18"/>
                <w:szCs w:val="18"/>
              </w:rPr>
              <w:t>BE</w:t>
            </w:r>
            <w:r>
              <w:rPr>
                <w:bCs/>
                <w:sz w:val="18"/>
                <w:szCs w:val="18"/>
              </w:rPr>
              <w:t xml:space="preserve"> </w:t>
            </w:r>
            <w:r w:rsidRPr="0030332A">
              <w:rPr>
                <w:bCs/>
                <w:sz w:val="18"/>
                <w:szCs w:val="18"/>
              </w:rPr>
              <w:t>2014</w:t>
            </w:r>
            <w:r>
              <w:rPr>
                <w:bCs/>
                <w:sz w:val="18"/>
                <w:szCs w:val="18"/>
              </w:rPr>
              <w:t xml:space="preserve"> </w:t>
            </w:r>
            <w:r w:rsidRPr="0030332A">
              <w:rPr>
                <w:bCs/>
                <w:sz w:val="18"/>
                <w:szCs w:val="18"/>
              </w:rPr>
              <w:t>CSR</w:t>
            </w:r>
            <w:r>
              <w:rPr>
                <w:bCs/>
                <w:sz w:val="18"/>
                <w:szCs w:val="18"/>
              </w:rPr>
              <w:t xml:space="preserve"> </w:t>
            </w:r>
            <w:r w:rsidRPr="0030332A">
              <w:rPr>
                <w:bCs/>
                <w:sz w:val="18"/>
                <w:szCs w:val="18"/>
              </w:rPr>
              <w:t>6.1</w:t>
            </w:r>
          </w:p>
        </w:tc>
        <w:tc>
          <w:tcPr>
            <w:tcW w:w="275" w:type="pct"/>
          </w:tcPr>
          <w:p w:rsidR="0035443E" w:rsidRPr="009F6685" w:rsidRDefault="0035443E" w:rsidP="00183DCC">
            <w:pPr>
              <w:spacing w:after="120"/>
              <w:rPr>
                <w:sz w:val="18"/>
                <w:szCs w:val="18"/>
              </w:rPr>
            </w:pPr>
            <w:r>
              <w:rPr>
                <w:sz w:val="18"/>
                <w:szCs w:val="18"/>
              </w:rPr>
              <w:t>MARE</w:t>
            </w:r>
          </w:p>
        </w:tc>
        <w:tc>
          <w:tcPr>
            <w:tcW w:w="413" w:type="pct"/>
          </w:tcPr>
          <w:p w:rsidR="0035443E" w:rsidRPr="009F6685" w:rsidRDefault="0035443E" w:rsidP="00183DCC">
            <w:pPr>
              <w:spacing w:after="120"/>
              <w:rPr>
                <w:sz w:val="18"/>
                <w:szCs w:val="18"/>
              </w:rPr>
            </w:pPr>
            <w:r w:rsidRPr="00B04023">
              <w:rPr>
                <w:sz w:val="18"/>
                <w:szCs w:val="18"/>
              </w:rPr>
              <w:t>2014BE14MFOP001</w:t>
            </w:r>
          </w:p>
        </w:tc>
        <w:tc>
          <w:tcPr>
            <w:tcW w:w="938" w:type="pct"/>
          </w:tcPr>
          <w:p w:rsidR="0035443E" w:rsidRPr="009F6685" w:rsidRDefault="0035443E" w:rsidP="00183DCC">
            <w:pPr>
              <w:spacing w:after="120"/>
              <w:rPr>
                <w:sz w:val="18"/>
                <w:szCs w:val="18"/>
              </w:rPr>
            </w:pPr>
            <w:r w:rsidRPr="00027C03">
              <w:rPr>
                <w:sz w:val="18"/>
                <w:szCs w:val="18"/>
              </w:rPr>
              <w:t>UP1(a) reduction  of  the  impact  of  fisheries  on  the  marine  environment,  including  the  avoidance  and  reduction,  as  far  as  possible,  of  unwanted  catches</w:t>
            </w:r>
          </w:p>
        </w:tc>
        <w:tc>
          <w:tcPr>
            <w:tcW w:w="1232" w:type="pct"/>
          </w:tcPr>
          <w:p w:rsidR="00A34358" w:rsidRPr="00183DCC" w:rsidRDefault="0035443E" w:rsidP="00183DCC">
            <w:pPr>
              <w:numPr>
                <w:ilvl w:val="0"/>
                <w:numId w:val="12"/>
              </w:numPr>
              <w:spacing w:after="120"/>
              <w:ind w:left="232" w:hanging="232"/>
              <w:rPr>
                <w:sz w:val="18"/>
                <w:szCs w:val="18"/>
              </w:rPr>
            </w:pPr>
            <w:r w:rsidRPr="00A7323F">
              <w:rPr>
                <w:sz w:val="18"/>
                <w:szCs w:val="18"/>
              </w:rPr>
              <w:t>Change in the fuel efficiency of fishing (fuel consumption)</w:t>
            </w:r>
          </w:p>
        </w:tc>
        <w:tc>
          <w:tcPr>
            <w:tcW w:w="658" w:type="pct"/>
          </w:tcPr>
          <w:p w:rsidR="0035443E" w:rsidRPr="00A7323F" w:rsidRDefault="0035443E" w:rsidP="00183DCC">
            <w:pPr>
              <w:spacing w:after="120"/>
              <w:rPr>
                <w:sz w:val="18"/>
                <w:szCs w:val="18"/>
              </w:rPr>
            </w:pPr>
            <w:r w:rsidRPr="00515DDB">
              <w:rPr>
                <w:sz w:val="18"/>
                <w:szCs w:val="18"/>
              </w:rPr>
              <w:t>1</w:t>
            </w:r>
            <w:r>
              <w:rPr>
                <w:sz w:val="18"/>
                <w:szCs w:val="18"/>
              </w:rPr>
              <w:t>,</w:t>
            </w:r>
            <w:r w:rsidRPr="00515DDB">
              <w:rPr>
                <w:sz w:val="18"/>
                <w:szCs w:val="18"/>
              </w:rPr>
              <w:t>730</w:t>
            </w:r>
            <w:r>
              <w:rPr>
                <w:sz w:val="18"/>
                <w:szCs w:val="18"/>
              </w:rPr>
              <w:t>.</w:t>
            </w:r>
            <w:r w:rsidRPr="00515DDB">
              <w:rPr>
                <w:sz w:val="18"/>
                <w:szCs w:val="18"/>
              </w:rPr>
              <w:t>0</w:t>
            </w:r>
            <w:r w:rsidRPr="00A7323F">
              <w:rPr>
                <w:sz w:val="18"/>
                <w:szCs w:val="18"/>
              </w:rPr>
              <w:t xml:space="preserve"> (</w:t>
            </w:r>
            <w:r w:rsidRPr="00515DDB">
              <w:rPr>
                <w:rStyle w:val="shorttext"/>
                <w:sz w:val="18"/>
                <w:szCs w:val="18"/>
              </w:rPr>
              <w:t>Litres of fuel per barrel</w:t>
            </w:r>
            <w:r w:rsidRPr="00515DDB">
              <w:rPr>
                <w:sz w:val="18"/>
                <w:szCs w:val="18"/>
              </w:rPr>
              <w:br/>
            </w:r>
            <w:r w:rsidRPr="00515DDB">
              <w:rPr>
                <w:rStyle w:val="shorttext"/>
                <w:sz w:val="18"/>
                <w:szCs w:val="18"/>
              </w:rPr>
              <w:t>of fish delivered)</w:t>
            </w:r>
          </w:p>
        </w:tc>
        <w:tc>
          <w:tcPr>
            <w:tcW w:w="649" w:type="pct"/>
          </w:tcPr>
          <w:p w:rsidR="0035443E" w:rsidRPr="00A7323F" w:rsidRDefault="0035443E" w:rsidP="00183DCC">
            <w:pPr>
              <w:spacing w:after="120"/>
              <w:rPr>
                <w:sz w:val="18"/>
                <w:szCs w:val="18"/>
              </w:rPr>
            </w:pPr>
            <w:r>
              <w:rPr>
                <w:sz w:val="18"/>
                <w:szCs w:val="18"/>
              </w:rPr>
              <w:t>1,645.0</w:t>
            </w:r>
            <w:r w:rsidRPr="00A7323F">
              <w:rPr>
                <w:sz w:val="18"/>
                <w:szCs w:val="18"/>
              </w:rPr>
              <w:t xml:space="preserve"> (</w:t>
            </w:r>
            <w:r w:rsidRPr="00515DDB">
              <w:rPr>
                <w:rStyle w:val="shorttext"/>
                <w:sz w:val="18"/>
                <w:szCs w:val="18"/>
              </w:rPr>
              <w:t>Litres of fuel per barrel</w:t>
            </w:r>
            <w:r w:rsidRPr="00515DDB">
              <w:rPr>
                <w:sz w:val="18"/>
                <w:szCs w:val="18"/>
              </w:rPr>
              <w:br/>
            </w:r>
            <w:r w:rsidRPr="00515DDB">
              <w:rPr>
                <w:rStyle w:val="shorttext"/>
                <w:sz w:val="18"/>
                <w:szCs w:val="18"/>
              </w:rPr>
              <w:t>of fish delivered)</w:t>
            </w:r>
          </w:p>
        </w:tc>
      </w:tr>
    </w:tbl>
    <w:p w:rsidR="0035443E" w:rsidRDefault="0035443E" w:rsidP="0035443E"/>
    <w:p w:rsidR="0035443E" w:rsidRPr="0035443E" w:rsidRDefault="0035443E" w:rsidP="0035443E"/>
    <w:p w:rsidR="00171A1A" w:rsidRDefault="00171A1A" w:rsidP="003D0E01"/>
    <w:p w:rsidR="00171A1A" w:rsidRDefault="00171A1A" w:rsidP="003D0E01">
      <w:pPr>
        <w:rPr>
          <w:b/>
        </w:rPr>
        <w:sectPr w:rsidR="00171A1A" w:rsidSect="00171A1A">
          <w:pgSz w:w="16839" w:h="11907" w:orient="landscape" w:code="9"/>
          <w:pgMar w:top="1701" w:right="1418" w:bottom="1418" w:left="851" w:header="567" w:footer="720" w:gutter="0"/>
          <w:cols w:space="720"/>
          <w:docGrid w:linePitch="326"/>
        </w:sectPr>
      </w:pPr>
    </w:p>
    <w:p w:rsidR="003D0E01" w:rsidRPr="00B07C9D" w:rsidRDefault="003D0E01" w:rsidP="003D0E01">
      <w:pPr>
        <w:rPr>
          <w:b/>
        </w:rPr>
      </w:pPr>
      <w:r w:rsidRPr="00B07C9D">
        <w:rPr>
          <w:b/>
        </w:rPr>
        <w:t xml:space="preserve">Overall assessment of how </w:t>
      </w:r>
      <w:r>
        <w:rPr>
          <w:b/>
        </w:rPr>
        <w:t xml:space="preserve">programming and </w:t>
      </w:r>
      <w:r w:rsidRPr="00B07C9D">
        <w:rPr>
          <w:b/>
        </w:rPr>
        <w:t>implementation of ESI Funds was influenced</w:t>
      </w:r>
      <w:r w:rsidR="00B44630">
        <w:rPr>
          <w:b/>
        </w:rPr>
        <w:t xml:space="preserve"> by CSRs</w:t>
      </w:r>
      <w:r w:rsidR="00454BC0">
        <w:rPr>
          <w:b/>
        </w:rPr>
        <w:t xml:space="preserve"> </w:t>
      </w:r>
      <w:r w:rsidR="003026BA">
        <w:rPr>
          <w:b/>
        </w:rPr>
        <w:t>a</w:t>
      </w:r>
      <w:r w:rsidR="00454BC0">
        <w:rPr>
          <w:b/>
        </w:rPr>
        <w:t>nd the EU Semester</w:t>
      </w:r>
    </w:p>
    <w:p w:rsidR="003D0E01" w:rsidRDefault="003D0E01" w:rsidP="003D0E01">
      <w:r>
        <w:t>The assessment of whether and how implementation of ESI Funds was influenced by the Semester reflects the extent to which CSR</w:t>
      </w:r>
      <w:r w:rsidR="002D0078">
        <w:t>/CR structural challenges</w:t>
      </w:r>
      <w:r>
        <w:t xml:space="preserve"> are covered in the documents. In other words, as the coverage was wide on average, the influence on programming and implementation tend to be also significant. </w:t>
      </w:r>
    </w:p>
    <w:p w:rsidR="003D0E01" w:rsidRDefault="003D0E01" w:rsidP="003D0E01">
      <w:r>
        <w:t>In several countries</w:t>
      </w:r>
      <w:r w:rsidR="008D7B71">
        <w:t xml:space="preserve">, </w:t>
      </w:r>
      <w:r w:rsidR="00715371">
        <w:t>Austria, Belgium, Bulgaria, Czech Republic, Estonia, Spain, Italy, Malta, Romania</w:t>
      </w:r>
      <w:r w:rsidR="008D7B71">
        <w:t xml:space="preserve"> and</w:t>
      </w:r>
      <w:r w:rsidR="00715371">
        <w:t xml:space="preserve"> Sweden</w:t>
      </w:r>
      <w:r>
        <w:t xml:space="preserve">, </w:t>
      </w:r>
      <w:r w:rsidRPr="00533773">
        <w:t>the CSRs/</w:t>
      </w:r>
      <w:r w:rsidR="001E2A3A">
        <w:t xml:space="preserve">CR </w:t>
      </w:r>
      <w:r w:rsidRPr="00533773">
        <w:t xml:space="preserve">structural challenges had a significant impact on the programming and implementation of ESI Funds, at least as far as ESF </w:t>
      </w:r>
      <w:r w:rsidR="00715371">
        <w:t>as ERDF are</w:t>
      </w:r>
      <w:r w:rsidRPr="00533773">
        <w:t xml:space="preserve"> concerned. </w:t>
      </w:r>
      <w:r w:rsidR="00715371">
        <w:t xml:space="preserve">The role of CSR/structural challenges was particularly important in the early stages of programming in Croatia, Slovenia and Lithuania. </w:t>
      </w:r>
      <w:r w:rsidRPr="00533773">
        <w:t>As most CSRs referred to challenges in the labour markets,</w:t>
      </w:r>
      <w:r>
        <w:t xml:space="preserve"> public employment services,</w:t>
      </w:r>
      <w:r w:rsidRPr="00533773">
        <w:t xml:space="preserve"> </w:t>
      </w:r>
      <w:r>
        <w:t>social inclusion,</w:t>
      </w:r>
      <w:r w:rsidRPr="00533773">
        <w:t xml:space="preserve"> equality and education, </w:t>
      </w:r>
      <w:r>
        <w:t xml:space="preserve">marginalised communities (e.g. Roma), </w:t>
      </w:r>
      <w:r w:rsidRPr="00533773">
        <w:t>it was especially the ESF OP</w:t>
      </w:r>
      <w:r>
        <w:t>s</w:t>
      </w:r>
      <w:r w:rsidRPr="00533773">
        <w:t xml:space="preserve"> that </w:t>
      </w:r>
      <w:r>
        <w:t>were</w:t>
      </w:r>
      <w:r w:rsidRPr="00533773">
        <w:t xml:space="preserve"> affected most by the European Semester. </w:t>
      </w:r>
    </w:p>
    <w:p w:rsidR="003D0E01" w:rsidRDefault="003D0E01" w:rsidP="003D0E01">
      <w:r w:rsidRPr="00AA6605">
        <w:t xml:space="preserve">CSR/structural challenges </w:t>
      </w:r>
      <w:r>
        <w:t xml:space="preserve">are </w:t>
      </w:r>
      <w:r w:rsidRPr="00AA6605">
        <w:t>less relevant for the other funds</w:t>
      </w:r>
      <w:r>
        <w:t>. Overall the CSRs/structural challenges that seem to be more integrated in the OPs and their priority axes are those focusing on: business environment and R&amp;D support, energy efficiency, public administration, education, regional accessibility, health and long-term care, life-long learning.</w:t>
      </w:r>
    </w:p>
    <w:p w:rsidR="003D0E01" w:rsidRDefault="003D0E01" w:rsidP="003D0E01">
      <w:r>
        <w:t xml:space="preserve">Overall, </w:t>
      </w:r>
      <w:r w:rsidR="00B44630">
        <w:t>i</w:t>
      </w:r>
      <w:r w:rsidRPr="00AA6605">
        <w:t xml:space="preserve">n most </w:t>
      </w:r>
      <w:r>
        <w:t xml:space="preserve">EU13 </w:t>
      </w:r>
      <w:r w:rsidRPr="00AA6605">
        <w:t xml:space="preserve">cases, the </w:t>
      </w:r>
      <w:r w:rsidR="002D0078">
        <w:t>CSR/CR structural challenges</w:t>
      </w:r>
      <w:r w:rsidRPr="00AA6605">
        <w:t xml:space="preserve"> played the role of important standpoints for the definition of developmental problems and funding needs and priorities</w:t>
      </w:r>
      <w:r w:rsidR="00715371">
        <w:t xml:space="preserve"> as emerged during the interviews with key stakeholders who highlighted that the definition of development issues, funding needs and priority was influenced by CSR/structural challenges and hence the selection of TOs and IPs was largely based on them</w:t>
      </w:r>
      <w:r w:rsidRPr="00AA6605">
        <w:t xml:space="preserve">. </w:t>
      </w:r>
      <w:r>
        <w:t xml:space="preserve">In </w:t>
      </w:r>
      <w:r w:rsidR="00766B4F">
        <w:t xml:space="preserve">10 </w:t>
      </w:r>
      <w:r w:rsidR="009A200C">
        <w:t xml:space="preserve">of </w:t>
      </w:r>
      <w:r>
        <w:t>EU15</w:t>
      </w:r>
      <w:r w:rsidR="00715371">
        <w:t xml:space="preserve"> countries (Austria, Belgium, Denmark, Italy, </w:t>
      </w:r>
      <w:r w:rsidR="009A200C">
        <w:t>Ireland, Luxembourg, Netherlands, Portugal, Sweden, United Kingdom)</w:t>
      </w:r>
      <w:r>
        <w:t>, t</w:t>
      </w:r>
      <w:r w:rsidRPr="009B5E82">
        <w:t>he ESI Funds programming was hence clearly influenced by the CSRs, apart from those of legislative or regulatory nature</w:t>
      </w:r>
      <w:r>
        <w:t xml:space="preserve"> (e.g. Spain)</w:t>
      </w:r>
      <w:r w:rsidRPr="009B5E82">
        <w:t>.</w:t>
      </w:r>
      <w:r>
        <w:t xml:space="preserve"> Some CSR/structural challenges were a point of reference for programming but not an exclusive one. It is pointed that that there is a broad convergence but not a direct causal relationship between some CSRs/structural challenges and national as well as regional programming (e.g. France).</w:t>
      </w:r>
    </w:p>
    <w:p w:rsidR="003D0E01" w:rsidRDefault="003D0E01" w:rsidP="003D0E01">
      <w:r w:rsidRPr="00FC3391">
        <w:t xml:space="preserve">The high alignment </w:t>
      </w:r>
      <w:r>
        <w:t xml:space="preserve">is not surprising considering that CSR/structural challenges are wide ranging and are in line with </w:t>
      </w:r>
      <w:r w:rsidRPr="00FC3391">
        <w:t xml:space="preserve">the majority of recommendations </w:t>
      </w:r>
      <w:r>
        <w:t xml:space="preserve">of </w:t>
      </w:r>
      <w:r w:rsidRPr="00FC3391">
        <w:t xml:space="preserve">domestic strategic documents. </w:t>
      </w:r>
      <w:r w:rsidRPr="00AA6605">
        <w:t>In some cases the analysis highlights that that CSRs/structural challenges were important especially in the early stage of programming but, according to the interviews, despite the coherence between the various documents, the actual alignment can be more accidental than sought: the range of goals of Cohesion policy is so wide that it is relatively easy to find implicit references to CSR</w:t>
      </w:r>
      <w:r w:rsidR="009A200C">
        <w:t xml:space="preserve">. This emerged in </w:t>
      </w:r>
      <w:r w:rsidRPr="00AA6605">
        <w:t>Lithuania</w:t>
      </w:r>
      <w:r w:rsidR="0080199B">
        <w:t>,</w:t>
      </w:r>
      <w:r w:rsidR="009A200C">
        <w:t xml:space="preserve"> Latvia, </w:t>
      </w:r>
      <w:r w:rsidR="0080199B">
        <w:t>,</w:t>
      </w:r>
      <w:r w:rsidR="009A200C">
        <w:t xml:space="preserve"> Hungary and Poland</w:t>
      </w:r>
      <w:r w:rsidRPr="00AA6605">
        <w:t>.</w:t>
      </w:r>
      <w:r w:rsidR="009A200C">
        <w:t xml:space="preserve"> This observation can lead to opposite conclusion</w:t>
      </w:r>
      <w:r w:rsidR="000058C4">
        <w:t>s</w:t>
      </w:r>
      <w:r w:rsidR="009A200C">
        <w:t>. On a one hand it can be considered positively as an indicator of convergence between the two policy approaches (European Semester and Cohesion policy). On the other hand</w:t>
      </w:r>
      <w:r w:rsidR="00301615">
        <w:t>,</w:t>
      </w:r>
      <w:r w:rsidR="009A200C">
        <w:t xml:space="preserve"> </w:t>
      </w:r>
      <w:r w:rsidR="00951888">
        <w:t xml:space="preserve">it </w:t>
      </w:r>
      <w:r w:rsidR="009424D5">
        <w:t xml:space="preserve">raises </w:t>
      </w:r>
      <w:r w:rsidR="00951888">
        <w:t xml:space="preserve">doubts on the </w:t>
      </w:r>
      <w:r w:rsidR="009424D5">
        <w:t xml:space="preserve">actual contribution that ESI Funds are able to provide to structural reforms. Only when the funds are concentrated in areas where a country has challenges, ESIF are likely to be influential but this may require that concentration rules are not equal across countries. </w:t>
      </w:r>
      <w:r w:rsidR="00951888">
        <w:t xml:space="preserve"> </w:t>
      </w:r>
      <w:r w:rsidR="009A200C">
        <w:t xml:space="preserve"> </w:t>
      </w:r>
    </w:p>
    <w:p w:rsidR="003D0E01" w:rsidRDefault="003D0E01" w:rsidP="003D0E01">
      <w:r w:rsidRPr="00FC3391">
        <w:t>In addition, the identified close interconnection of CSRs/structural challenges with ESIF programming documents can be also attributed to the fact that most of the structural recommendations are in line with the respective ex-ante conditionalities</w:t>
      </w:r>
      <w:r w:rsidR="00951888">
        <w:t xml:space="preserve">, as it was mentioned in the case of </w:t>
      </w:r>
      <w:r>
        <w:t>Czech Republic</w:t>
      </w:r>
      <w:r w:rsidR="00951888">
        <w:t xml:space="preserve"> in relation to: </w:t>
      </w:r>
      <w:r w:rsidRPr="00FC3391">
        <w:t>efficiency and transparency of public administration, namely the Public Service Act; social inclusion of Roma people; performance-based funding of research institutions.</w:t>
      </w:r>
    </w:p>
    <w:p w:rsidR="003D0E01" w:rsidRDefault="003D0E01" w:rsidP="003D0E01">
      <w:r>
        <w:t>Given that not all CSR/structural challenges require the use of ESI Funds and that the national budget for addressing structural issues in some Member States (e.g. Germany) is substantially larger than the EU resources, OPs are only one of the several “instruments” that contribute to tackle CSR/structural challenges.</w:t>
      </w:r>
      <w:r w:rsidRPr="00AA6605">
        <w:t xml:space="preserve"> Also in the EU13 the scale of resources is considered important. Due to the limited funds and to the complexity of structural reforms, which would need a very broad, systematic and inclusive approach, the impact of ESI Funds is likely to be limited (e.g. Slovenia), and the actual extent to which this strategic alignment will be reflected in actual spending can be assessed only in the next years (Slovakia).</w:t>
      </w:r>
    </w:p>
    <w:p w:rsidR="003D0E01" w:rsidRDefault="003D0E01" w:rsidP="003D0E01">
      <w:r>
        <w:t xml:space="preserve">Distribution of competences plays an important role. </w:t>
      </w:r>
      <w:r w:rsidR="00951888">
        <w:t>I</w:t>
      </w:r>
      <w:r>
        <w:t>n Germany,</w:t>
      </w:r>
      <w:r w:rsidR="00951888">
        <w:t xml:space="preserve"> which is a federal state,</w:t>
      </w:r>
      <w:r>
        <w:t xml:space="preserve"> as programming is mostly managed at regional (</w:t>
      </w:r>
      <w:proofErr w:type="spellStart"/>
      <w:r>
        <w:t>Länder</w:t>
      </w:r>
      <w:proofErr w:type="spellEnd"/>
      <w:r>
        <w:t>) level, the specific situation and policy priorities in the respective Land play an important role. The influence of these priorities on the programming process is stronger than the influence of CSR.</w:t>
      </w:r>
      <w:r w:rsidR="00951888">
        <w:t xml:space="preserve"> In other large and regionalised but not federal states such as Italy and Spain the interviews highlighted that the influence of the Semester was stronger even on regional OPs. </w:t>
      </w:r>
    </w:p>
    <w:p w:rsidR="003D0E01" w:rsidRDefault="003D0E01" w:rsidP="003D0E01">
      <w:r>
        <w:t xml:space="preserve">In the </w:t>
      </w:r>
      <w:r w:rsidR="009F5E22">
        <w:t xml:space="preserve">particular </w:t>
      </w:r>
      <w:r>
        <w:t xml:space="preserve">case of Portugal, the </w:t>
      </w:r>
      <w:r w:rsidR="00951888">
        <w:t>interviews</w:t>
      </w:r>
      <w:r>
        <w:t xml:space="preserve"> highlight</w:t>
      </w:r>
      <w:r w:rsidR="00951888">
        <w:t>ed</w:t>
      </w:r>
      <w:r>
        <w:t xml:space="preserve"> that, despite the</w:t>
      </w:r>
      <w:r w:rsidRPr="009B5E82">
        <w:t xml:space="preserve"> great overall alignment between the priorities presented in the Portuguese ESI Funds programming documents and the structural challenges/CSRs</w:t>
      </w:r>
      <w:r>
        <w:t xml:space="preserve">, </w:t>
      </w:r>
      <w:r w:rsidRPr="009B5E82">
        <w:t>in retrospective, a great part of the issues addressed by the structural challenges/CSRs produced in the context of the European Semester were already steering the programming and implementation of ESI Funds in the previous programming period.</w:t>
      </w:r>
      <w:r w:rsidR="009F5E22">
        <w:t xml:space="preserve"> </w:t>
      </w:r>
    </w:p>
    <w:p w:rsidR="003D0E01" w:rsidRPr="00B07C9D" w:rsidRDefault="003D0E01" w:rsidP="003D0E01">
      <w:pPr>
        <w:rPr>
          <w:b/>
        </w:rPr>
      </w:pPr>
      <w:r w:rsidRPr="00B07C9D">
        <w:rPr>
          <w:b/>
        </w:rPr>
        <w:t>Obstacles to the use of ESI Funds to pursue structural reforms</w:t>
      </w:r>
    </w:p>
    <w:p w:rsidR="003D0E01" w:rsidRDefault="006B7AFD" w:rsidP="003D0E01">
      <w:r>
        <w:t>According to the desk analysis and the interviews t</w:t>
      </w:r>
      <w:r w:rsidR="003D0E01">
        <w:t xml:space="preserve">here </w:t>
      </w:r>
      <w:r>
        <w:t>are</w:t>
      </w:r>
      <w:r w:rsidR="003D0E01">
        <w:t xml:space="preserve"> no </w:t>
      </w:r>
      <w:r>
        <w:t xml:space="preserve">major </w:t>
      </w:r>
      <w:r w:rsidR="003D0E01">
        <w:t>obstacle</w:t>
      </w:r>
      <w:r>
        <w:t>s</w:t>
      </w:r>
      <w:r w:rsidR="003D0E01">
        <w:t xml:space="preserve"> </w:t>
      </w:r>
      <w:r>
        <w:t>to use</w:t>
      </w:r>
      <w:r w:rsidR="003D0E01">
        <w:t xml:space="preserve"> ESI Funds to address structural challenges and contribute to reforms. Indeed, as previously highlighted, the funds are being used to a significant extent in most cases to </w:t>
      </w:r>
      <w:r>
        <w:t>pursue</w:t>
      </w:r>
      <w:r w:rsidR="003D0E01">
        <w:t xml:space="preserve"> structural</w:t>
      </w:r>
      <w:r>
        <w:t xml:space="preserve"> challenges</w:t>
      </w:r>
      <w:r w:rsidR="003D0E01">
        <w:t xml:space="preserve">, even though they role may vary considerably across countries, funds and policy areas. </w:t>
      </w:r>
    </w:p>
    <w:p w:rsidR="00A401BB" w:rsidRDefault="003D0E01" w:rsidP="003D0E01">
      <w:r>
        <w:t>Nonetheless, several impediments are underlined</w:t>
      </w:r>
      <w:r w:rsidR="00A401BB">
        <w:t>:</w:t>
      </w:r>
      <w:r>
        <w:t xml:space="preserve"> </w:t>
      </w:r>
    </w:p>
    <w:p w:rsidR="00A401BB" w:rsidRDefault="00A401BB" w:rsidP="00A401BB">
      <w:pPr>
        <w:pStyle w:val="Bulletpoint1"/>
      </w:pPr>
      <w:r>
        <w:t>T</w:t>
      </w:r>
      <w:r w:rsidR="003D0E01">
        <w:t xml:space="preserve">he </w:t>
      </w:r>
      <w:r w:rsidR="00D72599" w:rsidRPr="006D5D58">
        <w:rPr>
          <w:b/>
        </w:rPr>
        <w:t>division of competences</w:t>
      </w:r>
      <w:r w:rsidR="003D0E01">
        <w:t xml:space="preserve"> between various levels of government can be a constraint</w:t>
      </w:r>
      <w:r w:rsidR="00326D52">
        <w:t xml:space="preserve"> in federal states</w:t>
      </w:r>
      <w:r w:rsidR="003D0E01">
        <w:t xml:space="preserve">. </w:t>
      </w:r>
    </w:p>
    <w:p w:rsidR="003D0E01" w:rsidRDefault="00A401BB" w:rsidP="00A401BB">
      <w:pPr>
        <w:pStyle w:val="Bulletpoint1"/>
        <w:numPr>
          <w:ilvl w:val="1"/>
          <w:numId w:val="7"/>
        </w:numPr>
      </w:pPr>
      <w:r>
        <w:t>I</w:t>
      </w:r>
      <w:r w:rsidR="003D0E01">
        <w:t xml:space="preserve">n Germany </w:t>
      </w:r>
      <w:r w:rsidR="003D0E01" w:rsidRPr="00F408CA">
        <w:t xml:space="preserve">some recommendations concern policy areas that go beyond the sphere of </w:t>
      </w:r>
      <w:r w:rsidR="006A0622">
        <w:t>competence</w:t>
      </w:r>
      <w:r w:rsidR="006A0622" w:rsidRPr="00F408CA">
        <w:t xml:space="preserve"> </w:t>
      </w:r>
      <w:r w:rsidR="003D0E01" w:rsidRPr="00F408CA">
        <w:t xml:space="preserve">of </w:t>
      </w:r>
      <w:proofErr w:type="spellStart"/>
      <w:r w:rsidR="003D0E01" w:rsidRPr="00F408CA">
        <w:t>Länders</w:t>
      </w:r>
      <w:proofErr w:type="spellEnd"/>
      <w:r w:rsidR="003D0E01" w:rsidRPr="00F408CA">
        <w:t xml:space="preserve"> which man</w:t>
      </w:r>
      <w:r w:rsidR="003D0E01">
        <w:t>age the bulk of ESIF</w:t>
      </w:r>
      <w:r w:rsidR="003D0E01" w:rsidRPr="00F408CA">
        <w:t>.</w:t>
      </w:r>
      <w:r w:rsidR="003D0E01">
        <w:t xml:space="preserve"> </w:t>
      </w:r>
    </w:p>
    <w:p w:rsidR="009F5E22" w:rsidRDefault="003D0E01" w:rsidP="00A401BB">
      <w:pPr>
        <w:pStyle w:val="Bulletpoint1"/>
        <w:numPr>
          <w:ilvl w:val="1"/>
          <w:numId w:val="7"/>
        </w:numPr>
      </w:pPr>
      <w:r>
        <w:t xml:space="preserve">In Belgium, the fragmentation of responsibilities is seen as the main obstacle to implement the structural reforms. Indeed, while education and training are for instance under the responsibility of the communities (as they are related to the language spoken), employment is a regional competence. The major issue is therefore how to comply with the EU Regulations while respecting the range of competencies in each region. For instance, during the preparation of the ESF OP in the Brussels-capital region, </w:t>
      </w:r>
      <w:proofErr w:type="spellStart"/>
      <w:r>
        <w:t>Actiris</w:t>
      </w:r>
      <w:proofErr w:type="spellEnd"/>
      <w:r>
        <w:t xml:space="preserve"> (the regional PES) prepared a proposal for a new traineeship financed with the YEI resources but the State Council rejected the measure, arguing that the region did not have the necessary competencies yet. The difficulty is also to ensure a proper coordination between the regions in a context where priorities are different and are managed by various institutions. In this context, it is important to highlight the creation of </w:t>
      </w:r>
      <w:proofErr w:type="spellStart"/>
      <w:r>
        <w:t>Synerjob</w:t>
      </w:r>
      <w:proofErr w:type="spellEnd"/>
      <w:r>
        <w:t xml:space="preserve">, which is a non-profit organisation in charge of ensuring the coordination in terms of employment and training between the various PES offices in Belgium (but it also includes institutions specialised in training). Related to the previous obstacle is </w:t>
      </w:r>
      <w:r w:rsidRPr="004B4CC5">
        <w:t xml:space="preserve">the fact that all CSR are provided at the level of the country and none at the level of the regions. </w:t>
      </w:r>
    </w:p>
    <w:p w:rsidR="003D0E01" w:rsidRDefault="009F5E22" w:rsidP="00A401BB">
      <w:pPr>
        <w:pStyle w:val="Bulletpoint1"/>
        <w:numPr>
          <w:ilvl w:val="1"/>
          <w:numId w:val="7"/>
        </w:numPr>
      </w:pPr>
      <w:r>
        <w:t>In Austria, which is another "federation" this issue was not mentioned</w:t>
      </w:r>
    </w:p>
    <w:p w:rsidR="003D0E01" w:rsidRDefault="003D0E01" w:rsidP="00A401BB">
      <w:pPr>
        <w:pStyle w:val="Bulletpoint1"/>
      </w:pPr>
      <w:r>
        <w:t xml:space="preserve">The </w:t>
      </w:r>
      <w:r w:rsidR="00D72599" w:rsidRPr="006D5D58">
        <w:rPr>
          <w:b/>
        </w:rPr>
        <w:t>mismatch between annual CSR and multiannual ESIF planning</w:t>
      </w:r>
      <w:r>
        <w:t xml:space="preserve"> is another mentioned impediment</w:t>
      </w:r>
      <w:r w:rsidRPr="00C74765">
        <w:t xml:space="preserve">. </w:t>
      </w:r>
      <w:r>
        <w:t>The c</w:t>
      </w:r>
      <w:r w:rsidRPr="00C74765">
        <w:t>urrent design of OPs (including the N+3 rule) as well as the lengthy procedure of OP amendment limits significantly the space for incorporation of newly formulated recommendations.</w:t>
      </w:r>
      <w:r w:rsidR="000058C4">
        <w:t xml:space="preserve"> However, the fact that a significant number of challenges (52% of total 2012-2015) are actually repeated, at least in part, mitigates such problem which is mentioned in the interviews but it is actually more “theoretical” than real. Certainly, considering also the heavy bureaucratic load that the Managing Authorities have to deal with, a further streamlining of CSRs could be beneficial, in the sense, for example, of producing recommendations with a frequency lower than annual. </w:t>
      </w:r>
      <w:r w:rsidRPr="00C74765">
        <w:t xml:space="preserve"> </w:t>
      </w:r>
    </w:p>
    <w:p w:rsidR="003D0E01" w:rsidRDefault="00A315D3" w:rsidP="00F7741C">
      <w:pPr>
        <w:pStyle w:val="Bulletpoint1"/>
      </w:pPr>
      <w:r w:rsidRPr="00807960">
        <w:rPr>
          <w:b/>
        </w:rPr>
        <w:t>Nature of challenges</w:t>
      </w:r>
      <w:r>
        <w:t>: 53% of CSR/structural challenges require a mix of investments and regulatory changes and 13% require only regulatory changes. Summing the two, 66% of CSR/structural challenges require, to a varying degree, some regulatory change. A</w:t>
      </w:r>
      <w:r w:rsidR="003D0E01">
        <w:t>s a consequence the</w:t>
      </w:r>
      <w:r>
        <w:t>se</w:t>
      </w:r>
      <w:r w:rsidR="003D0E01">
        <w:t xml:space="preserve"> </w:t>
      </w:r>
      <w:r w:rsidR="003D0E01" w:rsidRPr="009B5E82">
        <w:t xml:space="preserve">can be addressed by </w:t>
      </w:r>
      <w:r w:rsidR="00DB15D7">
        <w:t>an investment policy</w:t>
      </w:r>
      <w:r w:rsidR="00DB15D7" w:rsidRPr="009B5E82">
        <w:t xml:space="preserve"> </w:t>
      </w:r>
      <w:r w:rsidR="003D0E01" w:rsidRPr="009B5E82">
        <w:t>only to a limited extent.</w:t>
      </w:r>
      <w:r w:rsidR="003D0E01" w:rsidRPr="004B4CC5">
        <w:t xml:space="preserve"> </w:t>
      </w:r>
      <w:r w:rsidR="00A401BB">
        <w:t xml:space="preserve">The implementation of </w:t>
      </w:r>
      <w:r w:rsidR="003D0E01" w:rsidRPr="004B4CC5">
        <w:t>CSRs related to national responsibilities</w:t>
      </w:r>
      <w:r w:rsidR="00DB15D7">
        <w:t xml:space="preserve"> requiring national legislative changes</w:t>
      </w:r>
      <w:r w:rsidR="003D0E01" w:rsidRPr="004B4CC5">
        <w:t xml:space="preserve"> </w:t>
      </w:r>
      <w:r w:rsidR="00A401BB">
        <w:t xml:space="preserve">cannot be easily supported by </w:t>
      </w:r>
      <w:r w:rsidR="00A401BB" w:rsidRPr="004B4CC5">
        <w:t>ESI funds</w:t>
      </w:r>
      <w:r w:rsidR="00E039D3">
        <w:t xml:space="preserve"> or, to put it differently, ESI Funds can only contribute to some extent</w:t>
      </w:r>
      <w:r w:rsidR="00A401BB">
        <w:t xml:space="preserve">. </w:t>
      </w:r>
      <w:r w:rsidR="00E039D3">
        <w:t xml:space="preserve">This concerns to a varying degree all Member States. </w:t>
      </w:r>
      <w:r w:rsidR="00503C93">
        <w:t>F</w:t>
      </w:r>
      <w:r w:rsidR="00A401BB">
        <w:t>or example</w:t>
      </w:r>
      <w:r w:rsidR="003D0E01">
        <w:t xml:space="preserve"> in Spain,</w:t>
      </w:r>
      <w:r w:rsidR="003D0E01" w:rsidRPr="004B4CC5">
        <w:t xml:space="preserve"> </w:t>
      </w:r>
      <w:r w:rsidR="00503C93">
        <w:t xml:space="preserve">54% of recommendations require both investments and national regulatory changes (a mix of the two or only regulations). These concern, for instance, </w:t>
      </w:r>
      <w:r w:rsidR="003D0E01" w:rsidRPr="004B4CC5">
        <w:t>the electricity tariff deficit</w:t>
      </w:r>
      <w:r w:rsidR="003D0E01">
        <w:t>,</w:t>
      </w:r>
      <w:r w:rsidR="003D0E01" w:rsidRPr="004B4CC5">
        <w:t xml:space="preserve"> the national R</w:t>
      </w:r>
      <w:r w:rsidR="003D0E01">
        <w:t xml:space="preserve">TDI </w:t>
      </w:r>
      <w:r w:rsidR="003D0E01" w:rsidRPr="004B4CC5">
        <w:t>strategy or the set-up of an independent body to assess major transport infrastructures</w:t>
      </w:r>
      <w:r w:rsidR="003D0E01">
        <w:t>.</w:t>
      </w:r>
      <w:r w:rsidR="003D0E01" w:rsidRPr="009F42B0">
        <w:t xml:space="preserve"> </w:t>
      </w:r>
      <w:r w:rsidR="006438E5">
        <w:t>When</w:t>
      </w:r>
      <w:r w:rsidR="003D0E01" w:rsidRPr="009F42B0">
        <w:t xml:space="preserve"> CSRs raise issues that </w:t>
      </w:r>
      <w:r w:rsidR="00F7741C">
        <w:t xml:space="preserve">have a regulatory component and/or that </w:t>
      </w:r>
      <w:r w:rsidR="003D0E01" w:rsidRPr="009F42B0">
        <w:t xml:space="preserve">are mostly relevant for the national policy </w:t>
      </w:r>
      <w:r w:rsidR="001F2908">
        <w:t>rather than regional intervention</w:t>
      </w:r>
      <w:r w:rsidR="00E039D3">
        <w:t xml:space="preserve"> such as the mentioned examples</w:t>
      </w:r>
      <w:r w:rsidR="001F2908">
        <w:t>, regional OPs are less likely</w:t>
      </w:r>
      <w:r w:rsidR="00F7741C">
        <w:t xml:space="preserve"> or </w:t>
      </w:r>
      <w:r w:rsidR="00722F1D">
        <w:t>suitable</w:t>
      </w:r>
      <w:r w:rsidR="001F2908">
        <w:t xml:space="preserve"> to contribute</w:t>
      </w:r>
      <w:r w:rsidR="00F7741C">
        <w:t xml:space="preserve"> because their </w:t>
      </w:r>
      <w:r w:rsidR="00722F1D">
        <w:t>focus is on a specific territory</w:t>
      </w:r>
      <w:r w:rsidR="0072527D">
        <w:t xml:space="preserve">. This is not a problem as such but it must be noted that some national issues would require a coordinated national intervention and the contribution of regional policy, which has a different </w:t>
      </w:r>
      <w:r w:rsidR="00722F1D">
        <w:t xml:space="preserve">and narrower </w:t>
      </w:r>
      <w:r w:rsidR="0072527D">
        <w:t>scope, can be limited.</w:t>
      </w:r>
      <w:r w:rsidR="003D0E01" w:rsidRPr="009F42B0">
        <w:t xml:space="preserve"> </w:t>
      </w:r>
      <w:r w:rsidR="00F7741C" w:rsidRPr="00F7741C">
        <w:t>There are implications/questions for the future</w:t>
      </w:r>
      <w:r w:rsidR="00F7741C">
        <w:t>, for instance whether</w:t>
      </w:r>
      <w:r w:rsidR="00F7741C" w:rsidRPr="00F7741C">
        <w:t xml:space="preserve"> a single-size-fit-all approach (</w:t>
      </w:r>
      <w:r w:rsidR="00F7741C">
        <w:t xml:space="preserve">policy recommendations </w:t>
      </w:r>
      <w:r w:rsidR="00F7741C" w:rsidRPr="00F7741C">
        <w:t xml:space="preserve">which do not </w:t>
      </w:r>
      <w:r w:rsidR="00F7741C">
        <w:t>consider</w:t>
      </w:r>
      <w:r w:rsidR="00F7741C" w:rsidRPr="00F7741C">
        <w:t xml:space="preserve"> regional disparities) </w:t>
      </w:r>
      <w:r w:rsidR="00F7741C">
        <w:t xml:space="preserve">is </w:t>
      </w:r>
      <w:r w:rsidR="00F7741C" w:rsidRPr="00F7741C">
        <w:t>the best possible option</w:t>
      </w:r>
      <w:r w:rsidR="00F7741C">
        <w:t xml:space="preserve"> or there</w:t>
      </w:r>
      <w:r w:rsidR="00F7741C" w:rsidRPr="00F7741C">
        <w:t xml:space="preserve"> are </w:t>
      </w:r>
      <w:r w:rsidR="00F7741C">
        <w:t xml:space="preserve">viable </w:t>
      </w:r>
      <w:r w:rsidR="00F7741C" w:rsidRPr="00F7741C">
        <w:t>alternatives</w:t>
      </w:r>
      <w:r w:rsidR="00F7741C">
        <w:t>. This will be considered and discussed in the conclusions.</w:t>
      </w:r>
      <w:r w:rsidR="00F7741C" w:rsidRPr="00F7741C">
        <w:t xml:space="preserve"> </w:t>
      </w:r>
      <w:r w:rsidR="003D0E01" w:rsidRPr="009F42B0">
        <w:t xml:space="preserve">  </w:t>
      </w:r>
    </w:p>
    <w:p w:rsidR="006F525E" w:rsidRDefault="003D0E01" w:rsidP="003D0E01">
      <w:pPr>
        <w:pStyle w:val="Bulletpoint1"/>
      </w:pPr>
      <w:r w:rsidRPr="009B5E82">
        <w:t xml:space="preserve">The </w:t>
      </w:r>
      <w:r w:rsidR="00D72599" w:rsidRPr="006D5D58">
        <w:rPr>
          <w:b/>
        </w:rPr>
        <w:t>limited amount of ESIF resources</w:t>
      </w:r>
      <w:r w:rsidRPr="009B5E82">
        <w:t xml:space="preserve"> made available in a certain context can be an important constraint for what is actually feasible</w:t>
      </w:r>
      <w:r>
        <w:t xml:space="preserve"> </w:t>
      </w:r>
      <w:r w:rsidR="00F85EC5">
        <w:t xml:space="preserve">in relation to contributing to structural change </w:t>
      </w:r>
      <w:r>
        <w:t xml:space="preserve">(e.g. </w:t>
      </w:r>
      <w:r w:rsidR="00412A5C">
        <w:t xml:space="preserve">this was clearly mentioned in the </w:t>
      </w:r>
      <w:r>
        <w:t xml:space="preserve">Netherlands, </w:t>
      </w:r>
      <w:r w:rsidR="00412A5C">
        <w:t xml:space="preserve">in </w:t>
      </w:r>
      <w:r>
        <w:t>Germany</w:t>
      </w:r>
      <w:r w:rsidR="00412A5C">
        <w:t xml:space="preserve"> and in</w:t>
      </w:r>
      <w:r>
        <w:t xml:space="preserve"> France</w:t>
      </w:r>
      <w:r w:rsidR="00412A5C">
        <w:t>, as well as in some Eastern European countries – see below</w:t>
      </w:r>
      <w:r>
        <w:t>)</w:t>
      </w:r>
      <w:r w:rsidRPr="009B5E82">
        <w:t>. For instance</w:t>
      </w:r>
      <w:r>
        <w:t xml:space="preserve"> in Germany</w:t>
      </w:r>
      <w:r w:rsidRPr="009B5E82">
        <w:t xml:space="preserve">, ESI Funds can be used to address regional shortages in the availability of fulltime childcare facilities and all-day schools. Nevertheless, it is only relevant for some </w:t>
      </w:r>
      <w:proofErr w:type="spellStart"/>
      <w:r w:rsidRPr="009B5E82">
        <w:t>Länder</w:t>
      </w:r>
      <w:proofErr w:type="spellEnd"/>
      <w:r w:rsidRPr="009B5E82">
        <w:t xml:space="preserve"> that have sufficient resources or already perform relatively well. </w:t>
      </w:r>
      <w:r>
        <w:t xml:space="preserve">In France, the ESI Funds have a marginal financial weight compared to the </w:t>
      </w:r>
      <w:r w:rsidR="00A03778">
        <w:t xml:space="preserve">national </w:t>
      </w:r>
      <w:r>
        <w:t>public funding available for innovation support, SMEs development, training and life-long learning and active inclusion policies.</w:t>
      </w:r>
      <w:r w:rsidR="00A03778">
        <w:t xml:space="preserve"> Therefore</w:t>
      </w:r>
      <w:r w:rsidR="005A689E">
        <w:t>,</w:t>
      </w:r>
      <w:r w:rsidR="00A03778">
        <w:t xml:space="preserve"> the role of ESIF in these cases can be only marginal as regards structural change. </w:t>
      </w:r>
      <w:r>
        <w:t>Also in some EU13 cases resources are considered few for implement</w:t>
      </w:r>
      <w:r w:rsidR="00336C73">
        <w:t>ing</w:t>
      </w:r>
      <w:r>
        <w:t xml:space="preserve"> </w:t>
      </w:r>
      <w:r w:rsidRPr="00DF5895">
        <w:t>complex structural reforms (Slovenia, Slovakia)</w:t>
      </w:r>
      <w:r w:rsidR="006F525E">
        <w:t>, despite on average ESIF represent a large share of resources invested in several policies in most EU13 countries</w:t>
      </w:r>
      <w:r>
        <w:t xml:space="preserve">. </w:t>
      </w:r>
    </w:p>
    <w:p w:rsidR="003D0E01" w:rsidRDefault="006F525E" w:rsidP="003D0E01">
      <w:pPr>
        <w:pStyle w:val="Bulletpoint1"/>
      </w:pPr>
      <w:r>
        <w:t xml:space="preserve">Other </w:t>
      </w:r>
      <w:r w:rsidRPr="006F525E">
        <w:rPr>
          <w:b/>
        </w:rPr>
        <w:t>administrative and institutional difficulties</w:t>
      </w:r>
      <w:r>
        <w:t xml:space="preserve"> also play a role. </w:t>
      </w:r>
      <w:r w:rsidR="005A689E">
        <w:t>T</w:t>
      </w:r>
      <w:r w:rsidR="003D0E01" w:rsidRPr="004F70A1">
        <w:t>he frequent changes in the structures and human resources of relevant state organi</w:t>
      </w:r>
      <w:r w:rsidR="00DB15D7">
        <w:t>s</w:t>
      </w:r>
      <w:r w:rsidR="003D0E01" w:rsidRPr="004F70A1">
        <w:t xml:space="preserve">ations </w:t>
      </w:r>
      <w:r w:rsidR="005A689E">
        <w:t xml:space="preserve">can </w:t>
      </w:r>
      <w:r w:rsidR="003D0E01" w:rsidRPr="004F70A1">
        <w:t xml:space="preserve"> hinder reforms</w:t>
      </w:r>
      <w:r w:rsidR="005177C9">
        <w:t xml:space="preserve">; this was mentioned in </w:t>
      </w:r>
      <w:r w:rsidR="003D0E01">
        <w:t>Hungary</w:t>
      </w:r>
      <w:r w:rsidR="005177C9">
        <w:t xml:space="preserve"> but may as well concern other Eastern European countries which have suffered from high staff turnover in 2007-2013 and are still affected. This is, according to the ex post evaluation of Cohesion policy one of the features which prevented an efficient use of the structural funds</w:t>
      </w:r>
      <w:r w:rsidR="003D0E01" w:rsidRPr="004F70A1">
        <w:t>.</w:t>
      </w:r>
      <w:r>
        <w:t xml:space="preserve"> </w:t>
      </w:r>
      <w:r w:rsidR="003D0E01">
        <w:t>In some cases, e.g. France, despite the Commission's proposals to simplify the use of ESI Funds, there are still problems related to the mobilisation of stakeholders, the implementation of management systems and the implementation and use of the “</w:t>
      </w:r>
      <w:proofErr w:type="spellStart"/>
      <w:r w:rsidR="003D0E01">
        <w:t>Synergie</w:t>
      </w:r>
      <w:proofErr w:type="spellEnd"/>
      <w:r w:rsidR="003D0E01">
        <w:t xml:space="preserve">” information system.  </w:t>
      </w:r>
    </w:p>
    <w:p w:rsidR="003D0E01" w:rsidRDefault="003D0E01" w:rsidP="005177C9">
      <w:pPr>
        <w:pStyle w:val="Bulletpoint1"/>
      </w:pPr>
      <w:r>
        <w:t xml:space="preserve">The </w:t>
      </w:r>
      <w:r w:rsidR="00D72599" w:rsidRPr="006D5D58">
        <w:rPr>
          <w:b/>
        </w:rPr>
        <w:t>adverse macro-economic context</w:t>
      </w:r>
      <w:r>
        <w:t xml:space="preserve"> may make the progress in tackling structural challenges insufficient</w:t>
      </w:r>
      <w:r w:rsidR="00E12134">
        <w:t xml:space="preserve">, even though </w:t>
      </w:r>
      <w:r w:rsidRPr="009B5E82">
        <w:t xml:space="preserve">is still no evaluation </w:t>
      </w:r>
      <w:r w:rsidR="00E12134">
        <w:t xml:space="preserve">evidence </w:t>
      </w:r>
      <w:r w:rsidRPr="009B5E82">
        <w:t xml:space="preserve">on the implementation of the ESI Funds </w:t>
      </w:r>
      <w:r w:rsidR="000C73B9">
        <w:t xml:space="preserve">in 2014-2020 </w:t>
      </w:r>
      <w:r w:rsidRPr="009B5E82">
        <w:t xml:space="preserve">and it is too early to </w:t>
      </w:r>
      <w:r>
        <w:t>assess</w:t>
      </w:r>
      <w:r w:rsidRPr="009B5E82">
        <w:t xml:space="preserve"> effectiveness.</w:t>
      </w:r>
      <w:r w:rsidR="000058C4">
        <w:t xml:space="preserve"> </w:t>
      </w:r>
      <w:r w:rsidR="000C73B9">
        <w:t>P</w:t>
      </w:r>
      <w:r w:rsidR="000058C4">
        <w:t>ast experience with the funds points to this.</w:t>
      </w:r>
      <w:r w:rsidR="005177C9">
        <w:t xml:space="preserve"> As highlighted in the recent ex post evaluations of Cohesion policy 2007-2013, t</w:t>
      </w:r>
      <w:r w:rsidR="005177C9" w:rsidRPr="005177C9">
        <w:t xml:space="preserve">he onset of the economic and financial crisis radically altered the context in which </w:t>
      </w:r>
      <w:r w:rsidR="005177C9">
        <w:t xml:space="preserve">operational </w:t>
      </w:r>
      <w:r w:rsidR="005177C9" w:rsidRPr="005177C9">
        <w:t xml:space="preserve">programmes were implemented. The assumption when the programmes were formulated was that growth would continue at the relatively high rate experienced over the previous </w:t>
      </w:r>
      <w:r w:rsidR="000C73B9">
        <w:t xml:space="preserve">decade </w:t>
      </w:r>
      <w:r w:rsidR="005177C9" w:rsidRPr="005177C9">
        <w:t xml:space="preserve">or so. </w:t>
      </w:r>
      <w:r w:rsidR="000C73B9">
        <w:t>However, t</w:t>
      </w:r>
      <w:r w:rsidR="005177C9" w:rsidRPr="005177C9">
        <w:t>he global recession and the economic and financial crisis which followed led to severe pressure on public finances</w:t>
      </w:r>
      <w:r w:rsidR="005177C9">
        <w:t xml:space="preserve">, </w:t>
      </w:r>
      <w:r w:rsidR="000C73B9">
        <w:t xml:space="preserve">and </w:t>
      </w:r>
      <w:r w:rsidR="005177C9" w:rsidRPr="005177C9">
        <w:t xml:space="preserve">to cutbacks in public investment and in central government transfers to regional and local authorities to carry out such investment. The resources available for co-financing projects were, therefore, reduced and Cohesion policy funding became even more important than before as a source of finance for development expenditure in many parts of the EU, especially in the </w:t>
      </w:r>
      <w:r w:rsidR="000C73B9">
        <w:t xml:space="preserve">new Member States and in </w:t>
      </w:r>
      <w:r w:rsidR="005177C9" w:rsidRPr="005177C9">
        <w:t xml:space="preserve">southern </w:t>
      </w:r>
      <w:r w:rsidR="000C73B9">
        <w:t>Europe (</w:t>
      </w:r>
      <w:r w:rsidR="005177C9" w:rsidRPr="005177C9">
        <w:t>Greece, Spain, Italy and Portugal</w:t>
      </w:r>
      <w:r w:rsidR="000C73B9">
        <w:t xml:space="preserve">). </w:t>
      </w:r>
      <w:r w:rsidR="000058C4">
        <w:t xml:space="preserve"> </w:t>
      </w:r>
    </w:p>
    <w:p w:rsidR="00F90276" w:rsidRDefault="00D72599" w:rsidP="006D5D58">
      <w:pPr>
        <w:pStyle w:val="Bulletpoint1"/>
      </w:pPr>
      <w:r w:rsidRPr="006D5D58">
        <w:rPr>
          <w:b/>
        </w:rPr>
        <w:t>Tensions among stakeholders</w:t>
      </w:r>
      <w:r w:rsidR="00E12134">
        <w:t xml:space="preserve"> may arise when resources are reallocated from some activities to others in order to </w:t>
      </w:r>
      <w:r w:rsidR="003D0E01">
        <w:t>address</w:t>
      </w:r>
      <w:r w:rsidR="00E12134">
        <w:t xml:space="preserve"> </w:t>
      </w:r>
      <w:r w:rsidR="003D0E01">
        <w:t>CSRs</w:t>
      </w:r>
      <w:r w:rsidR="00E12134">
        <w:t xml:space="preserve">. This </w:t>
      </w:r>
      <w:r w:rsidR="003D0E01">
        <w:t xml:space="preserve">is another potentially relevant obstacle for using ESIF for </w:t>
      </w:r>
      <w:r w:rsidR="00E12134">
        <w:t>targeting</w:t>
      </w:r>
      <w:r w:rsidR="003D0E01">
        <w:t xml:space="preserve"> CSRs, even though a rather minor one</w:t>
      </w:r>
      <w:r w:rsidR="000C73B9">
        <w:t>, as it was only mentioned by the interviewees in Czech Republic</w:t>
      </w:r>
      <w:r w:rsidR="003D0E01">
        <w:t xml:space="preserve">.  </w:t>
      </w:r>
    </w:p>
    <w:p w:rsidR="00C54A96" w:rsidRDefault="003D0E01" w:rsidP="00C54A96">
      <w:pPr>
        <w:pStyle w:val="Bulletpoint1"/>
      </w:pPr>
      <w:r>
        <w:t xml:space="preserve">The </w:t>
      </w:r>
      <w:r w:rsidR="00D72599" w:rsidRPr="006D5D58">
        <w:rPr>
          <w:b/>
        </w:rPr>
        <w:t>lack of political will as regards the implementation of structural reforms and the poor institutional capacities</w:t>
      </w:r>
      <w:r w:rsidR="00DB15D7">
        <w:t xml:space="preserve"> </w:t>
      </w:r>
      <w:r w:rsidR="00334A50">
        <w:t>were mentioned as</w:t>
      </w:r>
      <w:r w:rsidR="00DB15D7">
        <w:t xml:space="preserve"> additional obstacle</w:t>
      </w:r>
      <w:r w:rsidR="00E12134">
        <w:t>s</w:t>
      </w:r>
      <w:r w:rsidR="00334A50">
        <w:t xml:space="preserve"> </w:t>
      </w:r>
      <w:r w:rsidR="0042526E">
        <w:t>in some</w:t>
      </w:r>
      <w:r w:rsidR="00334A50">
        <w:t xml:space="preserve"> Eastern European Member States</w:t>
      </w:r>
      <w:r w:rsidR="0042526E">
        <w:t>:</w:t>
      </w:r>
      <w:r w:rsidR="00334A50">
        <w:t xml:space="preserve"> Lithuania, Slovakia and Slovenia</w:t>
      </w:r>
      <w:r>
        <w:t xml:space="preserve">. </w:t>
      </w:r>
      <w:r w:rsidR="00334A50">
        <w:t xml:space="preserve">This is accompanied often by a poor coordination among political parties and ministries, in those countries as well as in Estonia and Croatia. </w:t>
      </w:r>
      <w:r>
        <w:t xml:space="preserve">Political will may help to ensure the correspondence between CSRs/structural challenges and ESIF programming documents. Good institutional capacities are vital for ensuring the smooth implementation of ESI </w:t>
      </w:r>
      <w:r w:rsidR="00E12134">
        <w:t>F</w:t>
      </w:r>
      <w:r>
        <w:t>und</w:t>
      </w:r>
      <w:r w:rsidR="00E12134">
        <w:t xml:space="preserve"> </w:t>
      </w:r>
      <w:r w:rsidR="004D68AB">
        <w:t>initiatives</w:t>
      </w:r>
      <w:r>
        <w:t xml:space="preserve"> and, accordingly, CSRs/structural challenges that these funds address (</w:t>
      </w:r>
      <w:r w:rsidR="00E12134">
        <w:t xml:space="preserve">e.g. </w:t>
      </w:r>
      <w:r>
        <w:t xml:space="preserve">Lithuania). In some cases a lack of credible national policies makes it difficult to address the challenges raised (e.g. </w:t>
      </w:r>
      <w:r w:rsidR="00E12134">
        <w:t>Slovakia</w:t>
      </w:r>
      <w:r>
        <w:t xml:space="preserve">). A lot of CSRs/structural </w:t>
      </w:r>
      <w:r w:rsidR="00082263">
        <w:t xml:space="preserve">challenges </w:t>
      </w:r>
      <w:r>
        <w:t>(e.g. labour market, integration of marginalised groups, RTDI, education etc.) are periodically raised by the European Commission, however their implementation requires political commitment and political will. CSRs are not always adequately communicated (</w:t>
      </w:r>
      <w:r w:rsidR="00E12134">
        <w:t>e.g. Slovenia</w:t>
      </w:r>
      <w:r>
        <w:t>).</w:t>
      </w:r>
      <w:r w:rsidR="00E12134">
        <w:t xml:space="preserve"> Sometimes h</w:t>
      </w:r>
      <w:r>
        <w:t>orizontal coordination between ministries is not adequate</w:t>
      </w:r>
      <w:r w:rsidR="00147227">
        <w:t xml:space="preserve">, </w:t>
      </w:r>
      <w:r w:rsidR="00665D22">
        <w:t>this happens for instance in  Estonia, Croatia</w:t>
      </w:r>
      <w:r w:rsidR="004D69E4">
        <w:t xml:space="preserve"> and</w:t>
      </w:r>
      <w:r w:rsidR="00665D22">
        <w:t xml:space="preserve"> Slovenia</w:t>
      </w:r>
      <w:r>
        <w:t>(CSRs very often require inter-ministerial coordination)</w:t>
      </w:r>
      <w:r w:rsidR="000C73B9">
        <w:t xml:space="preserve"> or there are</w:t>
      </w:r>
      <w:r>
        <w:t xml:space="preserve"> different views among political parties, ministries and experts on what would be politically and economically feasible.</w:t>
      </w:r>
      <w:r w:rsidR="00334A50">
        <w:t xml:space="preserve"> </w:t>
      </w:r>
      <w:r w:rsidR="00C54A96">
        <w:t xml:space="preserve">As it will be highlighted in the Task 5 of this study, fragmented governance and scarce cooperation between public authorities is considered a challenge in several New Member States due to limited experience (Estonia, Czech Republic, Croatia, Lithuania, Latvia, Slovakia and Romania), but also in </w:t>
      </w:r>
      <w:r w:rsidR="00C54A96" w:rsidRPr="00C54A96">
        <w:t>southern Europe (e.g. Greece, Portugal) and</w:t>
      </w:r>
      <w:r w:rsidR="00C54A96">
        <w:t>, to a more relative extent,</w:t>
      </w:r>
      <w:r w:rsidR="00C54A96" w:rsidRPr="00C54A96">
        <w:t xml:space="preserve"> in some central European Member States (e.g. Belgium, Austria, France).</w:t>
      </w:r>
    </w:p>
    <w:p w:rsidR="00D4563C" w:rsidRDefault="001401F4" w:rsidP="003D0E01">
      <w:r>
        <w:t xml:space="preserve">More </w:t>
      </w:r>
      <w:r w:rsidRPr="00B52E8E">
        <w:t xml:space="preserve">details on the key findings from the analysis of Operational Programmes are included in the table in </w:t>
      </w:r>
      <w:r w:rsidR="00B52E8E" w:rsidRPr="00807960">
        <w:t>A</w:t>
      </w:r>
      <w:r w:rsidRPr="00B52E8E">
        <w:t>nnex</w:t>
      </w:r>
      <w:r w:rsidR="00B52E8E" w:rsidRPr="00B52E8E">
        <w:t xml:space="preserve"> 5</w:t>
      </w:r>
      <w:r w:rsidRPr="00B52E8E">
        <w:t>, w</w:t>
      </w:r>
      <w:r w:rsidRPr="00807960">
        <w:t>hile</w:t>
      </w:r>
      <w:r>
        <w:t xml:space="preserve"> the following synoptic table summarises the overall analysis of the alignment between CSR/structural challenges and ESI Funds programming, based on the “programming chain”: CPP </w:t>
      </w:r>
      <w:r>
        <w:sym w:font="Wingdings" w:char="F0E0"/>
      </w:r>
      <w:r>
        <w:t xml:space="preserve"> PA </w:t>
      </w:r>
      <w:r>
        <w:sym w:font="Wingdings" w:char="F0E0"/>
      </w:r>
      <w:r>
        <w:t xml:space="preserve"> OPs.</w:t>
      </w:r>
    </w:p>
    <w:p w:rsidR="00A5792A" w:rsidRDefault="00A5792A" w:rsidP="003D0E01">
      <w:r>
        <w:t>In most countries there is a high degree of coherence between the various programming stages, starting from the position paper until the programmes. In the majority of the Member States, the influence of CSR/structural challenges on ESIF programming is significant and this is often reflected in the high share of resources mobilised in order to contribute to tackle structural challenges. This is the case, for instance, of Austria, Belgium, Finland, Spain, Italy etc. as well as of Bulgaria, Estonia, Hungary, Malta, Romania, Slovakia. In the Czech Republic, the significant influence of the Semester on programming does not seem to be fully matched by the financial contribution of ESIF to CSR which is moderate.</w:t>
      </w:r>
    </w:p>
    <w:p w:rsidR="003D0E01" w:rsidRDefault="00A5792A" w:rsidP="003D0E01">
      <w:r>
        <w:t xml:space="preserve">In other countries the influence of CSR/structural challenges on ESIF programming is moderate. Despite this weaker strategic influence, in several cases the share of funds allocated to CSRs/structural challenges in the relevant policy areas is high. This is the case of Denmark, UK, Latvia, Poland, Slovenia as well as Portugal and Netherlands where the strategic influence of the Semester is considered limited. In other cases, a weaker strategic influence is also matched by a </w:t>
      </w:r>
      <w:r w:rsidR="00F37D50">
        <w:t xml:space="preserve">lower financial contribution of ESIF towards CSR/structural challenges. </w:t>
      </w:r>
      <w:r>
        <w:t xml:space="preserve">    </w:t>
      </w:r>
      <w:r w:rsidR="001401F4">
        <w:t xml:space="preserve">  </w:t>
      </w:r>
      <w:r w:rsidR="003D0E01">
        <w:br w:type="page"/>
      </w:r>
    </w:p>
    <w:p w:rsidR="003D0E01" w:rsidRDefault="003D0E01" w:rsidP="003D0E01">
      <w:pPr>
        <w:pStyle w:val="Caption"/>
        <w:sectPr w:rsidR="003D0E01" w:rsidSect="003D0E01">
          <w:pgSz w:w="11907" w:h="16839" w:code="9"/>
          <w:pgMar w:top="1418" w:right="1418" w:bottom="851" w:left="1701" w:header="567" w:footer="720" w:gutter="0"/>
          <w:cols w:space="720"/>
          <w:docGrid w:linePitch="326"/>
        </w:sectPr>
      </w:pPr>
    </w:p>
    <w:p w:rsidR="00982776" w:rsidRDefault="00982776" w:rsidP="00982776">
      <w:pPr>
        <w:pStyle w:val="Caption"/>
      </w:pPr>
      <w:r>
        <w:t xml:space="preserve">Table </w:t>
      </w:r>
      <w:fldSimple w:instr=" SEQ Table \* ARABIC ">
        <w:r w:rsidR="00183DCC">
          <w:rPr>
            <w:noProof/>
          </w:rPr>
          <w:t>11</w:t>
        </w:r>
      </w:fldSimple>
      <w:r>
        <w:t xml:space="preserve"> - Summary of the alignment between CSR/structural challenges and ESI Funds programming</w:t>
      </w:r>
    </w:p>
    <w:tbl>
      <w:tblPr>
        <w:tblStyle w:val="TableGrid"/>
        <w:tblW w:w="0" w:type="auto"/>
        <w:tblLook w:val="04A0" w:firstRow="1" w:lastRow="0" w:firstColumn="1" w:lastColumn="0" w:noHBand="0" w:noVBand="1"/>
      </w:tblPr>
      <w:tblGrid>
        <w:gridCol w:w="1384"/>
        <w:gridCol w:w="1985"/>
        <w:gridCol w:w="2126"/>
        <w:gridCol w:w="2268"/>
        <w:gridCol w:w="7023"/>
      </w:tblGrid>
      <w:tr w:rsidR="00EF2AC6" w:rsidRPr="00503351" w:rsidTr="00D452EC">
        <w:trPr>
          <w:tblHeader/>
        </w:trPr>
        <w:tc>
          <w:tcPr>
            <w:tcW w:w="1384" w:type="dxa"/>
            <w:shd w:val="clear" w:color="auto" w:fill="BFBFBF" w:themeFill="background1" w:themeFillShade="BF"/>
          </w:tcPr>
          <w:p w:rsidR="00982776" w:rsidRPr="00503351" w:rsidRDefault="00982776" w:rsidP="00982776">
            <w:pPr>
              <w:rPr>
                <w:sz w:val="16"/>
                <w:szCs w:val="16"/>
              </w:rPr>
            </w:pPr>
            <w:r w:rsidRPr="00503351">
              <w:rPr>
                <w:sz w:val="16"/>
                <w:szCs w:val="16"/>
              </w:rPr>
              <w:t>Member State</w:t>
            </w:r>
          </w:p>
        </w:tc>
        <w:tc>
          <w:tcPr>
            <w:tcW w:w="1985" w:type="dxa"/>
            <w:shd w:val="clear" w:color="auto" w:fill="BFBFBF" w:themeFill="background1" w:themeFillShade="BF"/>
          </w:tcPr>
          <w:p w:rsidR="00982776" w:rsidRPr="00503351" w:rsidRDefault="00982776" w:rsidP="00982776">
            <w:pPr>
              <w:rPr>
                <w:sz w:val="16"/>
                <w:szCs w:val="16"/>
              </w:rPr>
            </w:pPr>
            <w:r w:rsidRPr="00503351">
              <w:rPr>
                <w:sz w:val="16"/>
                <w:szCs w:val="16"/>
              </w:rPr>
              <w:t>Position Paper</w:t>
            </w:r>
          </w:p>
        </w:tc>
        <w:tc>
          <w:tcPr>
            <w:tcW w:w="2126" w:type="dxa"/>
            <w:shd w:val="clear" w:color="auto" w:fill="BFBFBF" w:themeFill="background1" w:themeFillShade="BF"/>
          </w:tcPr>
          <w:p w:rsidR="00982776" w:rsidRPr="00503351" w:rsidRDefault="00982776" w:rsidP="00982776">
            <w:pPr>
              <w:rPr>
                <w:sz w:val="16"/>
                <w:szCs w:val="16"/>
              </w:rPr>
            </w:pPr>
            <w:r w:rsidRPr="00503351">
              <w:rPr>
                <w:sz w:val="16"/>
                <w:szCs w:val="16"/>
              </w:rPr>
              <w:t>Partnership Agreement</w:t>
            </w:r>
          </w:p>
        </w:tc>
        <w:tc>
          <w:tcPr>
            <w:tcW w:w="2268" w:type="dxa"/>
            <w:shd w:val="clear" w:color="auto" w:fill="BFBFBF" w:themeFill="background1" w:themeFillShade="BF"/>
          </w:tcPr>
          <w:p w:rsidR="00982776" w:rsidRPr="00503351" w:rsidRDefault="00982776" w:rsidP="00982776">
            <w:pPr>
              <w:rPr>
                <w:sz w:val="16"/>
                <w:szCs w:val="16"/>
              </w:rPr>
            </w:pPr>
            <w:r w:rsidRPr="00503351">
              <w:rPr>
                <w:sz w:val="16"/>
                <w:szCs w:val="16"/>
              </w:rPr>
              <w:t>Operational Programmes</w:t>
            </w:r>
          </w:p>
        </w:tc>
        <w:tc>
          <w:tcPr>
            <w:tcW w:w="7023" w:type="dxa"/>
            <w:shd w:val="clear" w:color="auto" w:fill="BFBFBF" w:themeFill="background1" w:themeFillShade="BF"/>
          </w:tcPr>
          <w:p w:rsidR="00982776" w:rsidRPr="00503351" w:rsidRDefault="00982776" w:rsidP="00982776">
            <w:pPr>
              <w:rPr>
                <w:sz w:val="16"/>
                <w:szCs w:val="16"/>
              </w:rPr>
            </w:pPr>
            <w:r w:rsidRPr="00503351">
              <w:rPr>
                <w:sz w:val="16"/>
                <w:szCs w:val="16"/>
              </w:rPr>
              <w:t xml:space="preserve">General Assessment </w:t>
            </w:r>
          </w:p>
        </w:tc>
      </w:tr>
      <w:tr w:rsidR="00EF2AC6" w:rsidRPr="00503351" w:rsidTr="00D452EC">
        <w:trPr>
          <w:tblHeader/>
        </w:trPr>
        <w:tc>
          <w:tcPr>
            <w:tcW w:w="1384" w:type="dxa"/>
          </w:tcPr>
          <w:p w:rsidR="00447B2B" w:rsidRPr="00503351" w:rsidRDefault="00447B2B" w:rsidP="00982776">
            <w:pPr>
              <w:rPr>
                <w:sz w:val="16"/>
                <w:szCs w:val="16"/>
              </w:rPr>
            </w:pPr>
            <w:r w:rsidRPr="00503351">
              <w:rPr>
                <w:sz w:val="16"/>
                <w:szCs w:val="16"/>
              </w:rPr>
              <w:t>Austria</w:t>
            </w:r>
          </w:p>
        </w:tc>
        <w:tc>
          <w:tcPr>
            <w:tcW w:w="1985" w:type="dxa"/>
          </w:tcPr>
          <w:p w:rsidR="00447B2B" w:rsidRPr="00503351" w:rsidRDefault="00447B2B" w:rsidP="00982776">
            <w:pPr>
              <w:rPr>
                <w:sz w:val="16"/>
                <w:szCs w:val="16"/>
              </w:rPr>
            </w:pPr>
            <w:r w:rsidRPr="00503351">
              <w:rPr>
                <w:sz w:val="16"/>
                <w:szCs w:val="16"/>
              </w:rPr>
              <w:t>High alignment</w:t>
            </w:r>
          </w:p>
        </w:tc>
        <w:tc>
          <w:tcPr>
            <w:tcW w:w="2126" w:type="dxa"/>
          </w:tcPr>
          <w:p w:rsidR="00447B2B" w:rsidRPr="00503351" w:rsidRDefault="00447B2B" w:rsidP="00E47AD0">
            <w:pPr>
              <w:rPr>
                <w:sz w:val="16"/>
                <w:szCs w:val="16"/>
              </w:rPr>
            </w:pPr>
            <w:r w:rsidRPr="00503351">
              <w:rPr>
                <w:sz w:val="16"/>
                <w:szCs w:val="16"/>
              </w:rPr>
              <w:t>High alignment</w:t>
            </w:r>
          </w:p>
        </w:tc>
        <w:tc>
          <w:tcPr>
            <w:tcW w:w="2268" w:type="dxa"/>
          </w:tcPr>
          <w:p w:rsidR="00447B2B" w:rsidRPr="00503351" w:rsidRDefault="00726EE0" w:rsidP="00982776">
            <w:pPr>
              <w:rPr>
                <w:sz w:val="16"/>
                <w:szCs w:val="16"/>
              </w:rPr>
            </w:pPr>
            <w:r w:rsidRPr="00503351">
              <w:rPr>
                <w:sz w:val="16"/>
                <w:szCs w:val="16"/>
              </w:rPr>
              <w:t xml:space="preserve">Medium-High alignment </w:t>
            </w:r>
          </w:p>
        </w:tc>
        <w:tc>
          <w:tcPr>
            <w:tcW w:w="7023" w:type="dxa"/>
          </w:tcPr>
          <w:p w:rsidR="00FA7E17" w:rsidRPr="00503351" w:rsidRDefault="00FA7E17" w:rsidP="00D452EC">
            <w:pPr>
              <w:pStyle w:val="bullettable2"/>
              <w:ind w:left="317" w:hanging="283"/>
              <w:rPr>
                <w:sz w:val="16"/>
                <w:szCs w:val="16"/>
              </w:rPr>
            </w:pPr>
            <w:r w:rsidRPr="00503351">
              <w:rPr>
                <w:sz w:val="16"/>
                <w:szCs w:val="16"/>
              </w:rPr>
              <w:t>Significant influence of CSR/structural challenges on ESIF programming</w:t>
            </w:r>
            <w:r w:rsidR="00EF2AC6" w:rsidRPr="00503351">
              <w:rPr>
                <w:sz w:val="16"/>
                <w:szCs w:val="16"/>
              </w:rPr>
              <w:t xml:space="preserve">; </w:t>
            </w:r>
            <w:r w:rsidRPr="00503351">
              <w:rPr>
                <w:sz w:val="16"/>
                <w:szCs w:val="16"/>
              </w:rPr>
              <w:t xml:space="preserve">coherence between </w:t>
            </w:r>
            <w:r w:rsidR="001C5332" w:rsidRPr="00503351">
              <w:rPr>
                <w:sz w:val="16"/>
                <w:szCs w:val="16"/>
              </w:rPr>
              <w:t xml:space="preserve">programming </w:t>
            </w:r>
            <w:r w:rsidRPr="00503351">
              <w:rPr>
                <w:sz w:val="16"/>
                <w:szCs w:val="16"/>
              </w:rPr>
              <w:t>documents</w:t>
            </w:r>
            <w:r w:rsidR="001C5332" w:rsidRPr="00503351">
              <w:rPr>
                <w:sz w:val="16"/>
                <w:szCs w:val="16"/>
              </w:rPr>
              <w:t>.</w:t>
            </w:r>
          </w:p>
          <w:p w:rsidR="00FA7E17" w:rsidRPr="00503351" w:rsidRDefault="001C5332" w:rsidP="00D452EC">
            <w:pPr>
              <w:pStyle w:val="bullettable2"/>
              <w:ind w:left="317" w:hanging="283"/>
              <w:rPr>
                <w:sz w:val="16"/>
                <w:szCs w:val="16"/>
              </w:rPr>
            </w:pPr>
            <w:r w:rsidRPr="00503351">
              <w:rPr>
                <w:sz w:val="16"/>
                <w:szCs w:val="16"/>
              </w:rPr>
              <w:t>H</w:t>
            </w:r>
            <w:r w:rsidR="009778C5" w:rsidRPr="00503351">
              <w:rPr>
                <w:sz w:val="16"/>
                <w:szCs w:val="16"/>
              </w:rPr>
              <w:t>igh financial contribution of ESIF to structural challenges.</w:t>
            </w:r>
          </w:p>
        </w:tc>
      </w:tr>
      <w:tr w:rsidR="00EF2AC6" w:rsidRPr="00503351" w:rsidTr="00D452EC">
        <w:trPr>
          <w:tblHeader/>
        </w:trPr>
        <w:tc>
          <w:tcPr>
            <w:tcW w:w="1384" w:type="dxa"/>
          </w:tcPr>
          <w:p w:rsidR="00726EE0" w:rsidRPr="00503351" w:rsidRDefault="00726EE0" w:rsidP="00982776">
            <w:pPr>
              <w:rPr>
                <w:sz w:val="16"/>
                <w:szCs w:val="16"/>
              </w:rPr>
            </w:pPr>
            <w:r w:rsidRPr="00503351">
              <w:rPr>
                <w:sz w:val="16"/>
                <w:szCs w:val="16"/>
              </w:rPr>
              <w:t>Belgium</w:t>
            </w:r>
          </w:p>
        </w:tc>
        <w:tc>
          <w:tcPr>
            <w:tcW w:w="1985" w:type="dxa"/>
          </w:tcPr>
          <w:p w:rsidR="00726EE0" w:rsidRPr="00503351" w:rsidRDefault="00726EE0" w:rsidP="00982776">
            <w:pPr>
              <w:rPr>
                <w:sz w:val="16"/>
                <w:szCs w:val="16"/>
              </w:rPr>
            </w:pPr>
            <w:r w:rsidRPr="00503351">
              <w:rPr>
                <w:sz w:val="16"/>
                <w:szCs w:val="16"/>
              </w:rPr>
              <w:t>High alignment</w:t>
            </w:r>
          </w:p>
        </w:tc>
        <w:tc>
          <w:tcPr>
            <w:tcW w:w="2126" w:type="dxa"/>
          </w:tcPr>
          <w:p w:rsidR="00726EE0" w:rsidRPr="00503351" w:rsidRDefault="00726EE0" w:rsidP="00982776">
            <w:pPr>
              <w:rPr>
                <w:sz w:val="16"/>
                <w:szCs w:val="16"/>
              </w:rPr>
            </w:pPr>
            <w:r w:rsidRPr="00503351">
              <w:rPr>
                <w:sz w:val="16"/>
                <w:szCs w:val="16"/>
              </w:rPr>
              <w:t xml:space="preserve">Medium-High alignment </w:t>
            </w:r>
          </w:p>
        </w:tc>
        <w:tc>
          <w:tcPr>
            <w:tcW w:w="2268" w:type="dxa"/>
          </w:tcPr>
          <w:p w:rsidR="00726EE0" w:rsidRPr="00503351" w:rsidRDefault="00726EE0" w:rsidP="00982776">
            <w:pPr>
              <w:rPr>
                <w:sz w:val="16"/>
                <w:szCs w:val="16"/>
              </w:rPr>
            </w:pPr>
            <w:r w:rsidRPr="00503351">
              <w:rPr>
                <w:sz w:val="16"/>
                <w:szCs w:val="16"/>
              </w:rPr>
              <w:t xml:space="preserve">Medium-High alignment </w:t>
            </w:r>
          </w:p>
        </w:tc>
        <w:tc>
          <w:tcPr>
            <w:tcW w:w="7023" w:type="dxa"/>
          </w:tcPr>
          <w:p w:rsidR="00726EE0" w:rsidRPr="00503351" w:rsidRDefault="00E2529C" w:rsidP="00D452EC">
            <w:pPr>
              <w:pStyle w:val="bullettable2"/>
              <w:ind w:left="317" w:hanging="283"/>
              <w:rPr>
                <w:sz w:val="16"/>
                <w:szCs w:val="16"/>
              </w:rPr>
            </w:pPr>
            <w:r w:rsidRPr="00503351">
              <w:rPr>
                <w:sz w:val="16"/>
                <w:szCs w:val="16"/>
              </w:rPr>
              <w:t>Significant influence of CSR/structural challenges on ESIF programming</w:t>
            </w:r>
            <w:r w:rsidR="00EF2AC6" w:rsidRPr="00503351">
              <w:rPr>
                <w:sz w:val="16"/>
                <w:szCs w:val="16"/>
              </w:rPr>
              <w:t xml:space="preserve">; </w:t>
            </w:r>
            <w:r w:rsidRPr="00503351">
              <w:rPr>
                <w:sz w:val="16"/>
                <w:szCs w:val="16"/>
              </w:rPr>
              <w:t>coherence between documents</w:t>
            </w:r>
          </w:p>
          <w:p w:rsidR="009778C5" w:rsidRPr="00503351" w:rsidRDefault="001C5332" w:rsidP="00D452EC">
            <w:pPr>
              <w:pStyle w:val="bullettable2"/>
              <w:ind w:left="317" w:hanging="283"/>
              <w:rPr>
                <w:sz w:val="16"/>
                <w:szCs w:val="16"/>
              </w:rPr>
            </w:pPr>
            <w:r w:rsidRPr="00503351">
              <w:rPr>
                <w:sz w:val="16"/>
                <w:szCs w:val="16"/>
              </w:rPr>
              <w:t>H</w:t>
            </w:r>
            <w:r w:rsidR="009778C5" w:rsidRPr="00503351">
              <w:rPr>
                <w:sz w:val="16"/>
                <w:szCs w:val="16"/>
              </w:rPr>
              <w:t>igh financial contribution of ESIF to structural challenges.</w:t>
            </w:r>
          </w:p>
        </w:tc>
      </w:tr>
      <w:tr w:rsidR="00EF2AC6" w:rsidRPr="00503351" w:rsidTr="00D452EC">
        <w:trPr>
          <w:tblHeader/>
        </w:trPr>
        <w:tc>
          <w:tcPr>
            <w:tcW w:w="1384" w:type="dxa"/>
          </w:tcPr>
          <w:p w:rsidR="00726EE0" w:rsidRPr="00503351" w:rsidRDefault="00726EE0" w:rsidP="00982776">
            <w:pPr>
              <w:rPr>
                <w:sz w:val="16"/>
                <w:szCs w:val="16"/>
              </w:rPr>
            </w:pPr>
            <w:r w:rsidRPr="00503351">
              <w:rPr>
                <w:sz w:val="16"/>
                <w:szCs w:val="16"/>
              </w:rPr>
              <w:t>Bulgaria</w:t>
            </w:r>
          </w:p>
        </w:tc>
        <w:tc>
          <w:tcPr>
            <w:tcW w:w="1985" w:type="dxa"/>
          </w:tcPr>
          <w:p w:rsidR="00726EE0" w:rsidRPr="00503351" w:rsidRDefault="00726EE0" w:rsidP="00982776">
            <w:pPr>
              <w:rPr>
                <w:sz w:val="16"/>
                <w:szCs w:val="16"/>
              </w:rPr>
            </w:pPr>
            <w:r w:rsidRPr="00503351">
              <w:rPr>
                <w:sz w:val="16"/>
                <w:szCs w:val="16"/>
              </w:rPr>
              <w:t>Medium alignment</w:t>
            </w:r>
          </w:p>
        </w:tc>
        <w:tc>
          <w:tcPr>
            <w:tcW w:w="2126" w:type="dxa"/>
          </w:tcPr>
          <w:p w:rsidR="00726EE0" w:rsidRPr="00503351" w:rsidRDefault="00726EE0" w:rsidP="00982776">
            <w:pPr>
              <w:rPr>
                <w:sz w:val="16"/>
                <w:szCs w:val="16"/>
              </w:rPr>
            </w:pPr>
            <w:r w:rsidRPr="00503351">
              <w:rPr>
                <w:sz w:val="16"/>
                <w:szCs w:val="16"/>
              </w:rPr>
              <w:t xml:space="preserve">Medium alignment </w:t>
            </w:r>
          </w:p>
        </w:tc>
        <w:tc>
          <w:tcPr>
            <w:tcW w:w="2268" w:type="dxa"/>
          </w:tcPr>
          <w:p w:rsidR="00726EE0" w:rsidRPr="00503351" w:rsidRDefault="00726EE0" w:rsidP="00982776">
            <w:pPr>
              <w:rPr>
                <w:sz w:val="16"/>
                <w:szCs w:val="16"/>
              </w:rPr>
            </w:pPr>
            <w:r w:rsidRPr="00503351">
              <w:rPr>
                <w:sz w:val="16"/>
                <w:szCs w:val="16"/>
              </w:rPr>
              <w:t xml:space="preserve">Medium-High alignment </w:t>
            </w:r>
          </w:p>
        </w:tc>
        <w:tc>
          <w:tcPr>
            <w:tcW w:w="7023" w:type="dxa"/>
          </w:tcPr>
          <w:p w:rsidR="00726EE0" w:rsidRPr="00503351" w:rsidRDefault="00E2529C" w:rsidP="00D452EC">
            <w:pPr>
              <w:pStyle w:val="bullettable2"/>
              <w:ind w:left="317" w:hanging="283"/>
              <w:rPr>
                <w:sz w:val="16"/>
                <w:szCs w:val="16"/>
              </w:rPr>
            </w:pPr>
            <w:r w:rsidRPr="00503351">
              <w:rPr>
                <w:sz w:val="16"/>
                <w:szCs w:val="16"/>
              </w:rPr>
              <w:t>Significant influence of CSR/structural challenges on ESIF programming</w:t>
            </w:r>
            <w:r w:rsidR="00EF2AC6" w:rsidRPr="00503351">
              <w:rPr>
                <w:sz w:val="16"/>
                <w:szCs w:val="16"/>
              </w:rPr>
              <w:t>; c</w:t>
            </w:r>
            <w:r w:rsidRPr="00503351">
              <w:rPr>
                <w:sz w:val="16"/>
                <w:szCs w:val="16"/>
              </w:rPr>
              <w:t>oherence between documents</w:t>
            </w:r>
          </w:p>
          <w:p w:rsidR="009778C5" w:rsidRPr="00503351" w:rsidRDefault="001C5332" w:rsidP="00D452EC">
            <w:pPr>
              <w:pStyle w:val="bullettable2"/>
              <w:ind w:left="317" w:hanging="283"/>
              <w:rPr>
                <w:sz w:val="16"/>
                <w:szCs w:val="16"/>
              </w:rPr>
            </w:pPr>
            <w:r w:rsidRPr="00503351">
              <w:rPr>
                <w:sz w:val="16"/>
                <w:szCs w:val="16"/>
              </w:rPr>
              <w:t>H</w:t>
            </w:r>
            <w:r w:rsidR="009778C5" w:rsidRPr="00503351">
              <w:rPr>
                <w:sz w:val="16"/>
                <w:szCs w:val="16"/>
              </w:rPr>
              <w:t xml:space="preserve">igh financial contribution of ESIF to </w:t>
            </w:r>
            <w:r w:rsidRPr="00503351">
              <w:rPr>
                <w:sz w:val="16"/>
                <w:szCs w:val="16"/>
              </w:rPr>
              <w:t>CSR in policy areas where there are challenges</w:t>
            </w:r>
            <w:r w:rsidR="009778C5" w:rsidRPr="00503351">
              <w:rPr>
                <w:sz w:val="16"/>
                <w:szCs w:val="16"/>
              </w:rPr>
              <w:t>.</w:t>
            </w:r>
          </w:p>
        </w:tc>
      </w:tr>
      <w:tr w:rsidR="00D452EC" w:rsidRPr="00503351" w:rsidTr="00D452EC">
        <w:trPr>
          <w:tblHeader/>
        </w:trPr>
        <w:tc>
          <w:tcPr>
            <w:tcW w:w="1384" w:type="dxa"/>
          </w:tcPr>
          <w:p w:rsidR="00D452EC" w:rsidRPr="00503351" w:rsidRDefault="00D452EC" w:rsidP="00183DCC">
            <w:pPr>
              <w:rPr>
                <w:sz w:val="16"/>
                <w:szCs w:val="16"/>
              </w:rPr>
            </w:pPr>
            <w:r w:rsidRPr="00503351">
              <w:rPr>
                <w:sz w:val="16"/>
                <w:szCs w:val="16"/>
              </w:rPr>
              <w:t>Croatia</w:t>
            </w:r>
          </w:p>
        </w:tc>
        <w:tc>
          <w:tcPr>
            <w:tcW w:w="1985" w:type="dxa"/>
          </w:tcPr>
          <w:p w:rsidR="00D452EC" w:rsidRPr="00503351" w:rsidRDefault="00D452EC" w:rsidP="00183DCC">
            <w:pPr>
              <w:rPr>
                <w:sz w:val="16"/>
                <w:szCs w:val="16"/>
              </w:rPr>
            </w:pPr>
            <w:r w:rsidRPr="00503351">
              <w:rPr>
                <w:sz w:val="16"/>
                <w:szCs w:val="16"/>
              </w:rPr>
              <w:t xml:space="preserve">High alignment </w:t>
            </w:r>
          </w:p>
        </w:tc>
        <w:tc>
          <w:tcPr>
            <w:tcW w:w="2126" w:type="dxa"/>
          </w:tcPr>
          <w:p w:rsidR="00D452EC" w:rsidRPr="00503351" w:rsidRDefault="00D452EC" w:rsidP="00183DCC">
            <w:pPr>
              <w:rPr>
                <w:sz w:val="16"/>
                <w:szCs w:val="16"/>
              </w:rPr>
            </w:pPr>
            <w:r w:rsidRPr="00503351">
              <w:rPr>
                <w:sz w:val="16"/>
                <w:szCs w:val="16"/>
              </w:rPr>
              <w:t>High alignment</w:t>
            </w:r>
          </w:p>
        </w:tc>
        <w:tc>
          <w:tcPr>
            <w:tcW w:w="2268" w:type="dxa"/>
          </w:tcPr>
          <w:p w:rsidR="00D452EC" w:rsidRPr="00503351" w:rsidRDefault="00D452EC" w:rsidP="00183DCC">
            <w:pPr>
              <w:rPr>
                <w:sz w:val="16"/>
                <w:szCs w:val="16"/>
              </w:rPr>
            </w:pPr>
            <w:r w:rsidRPr="00503351">
              <w:rPr>
                <w:sz w:val="16"/>
                <w:szCs w:val="16"/>
              </w:rPr>
              <w:t xml:space="preserve">Medium-High alignment </w:t>
            </w:r>
          </w:p>
        </w:tc>
        <w:tc>
          <w:tcPr>
            <w:tcW w:w="7023" w:type="dxa"/>
          </w:tcPr>
          <w:p w:rsidR="00D452EC" w:rsidRPr="00503351" w:rsidRDefault="00D452EC" w:rsidP="00D452EC">
            <w:pPr>
              <w:pStyle w:val="bullettable2"/>
              <w:ind w:left="317" w:hanging="283"/>
              <w:rPr>
                <w:sz w:val="16"/>
                <w:szCs w:val="16"/>
              </w:rPr>
            </w:pPr>
            <w:r w:rsidRPr="00503351">
              <w:rPr>
                <w:sz w:val="16"/>
                <w:szCs w:val="16"/>
              </w:rPr>
              <w:t>Significant influence of CSR/structural challenges on ESIF programming.</w:t>
            </w:r>
          </w:p>
          <w:p w:rsidR="00D452EC" w:rsidRPr="00503351" w:rsidRDefault="00D452EC" w:rsidP="00D452EC">
            <w:pPr>
              <w:pStyle w:val="bullettable2"/>
              <w:ind w:left="317" w:hanging="283"/>
              <w:rPr>
                <w:sz w:val="16"/>
                <w:szCs w:val="16"/>
              </w:rPr>
            </w:pPr>
            <w:r w:rsidRPr="00503351">
              <w:rPr>
                <w:sz w:val="16"/>
                <w:szCs w:val="16"/>
              </w:rPr>
              <w:t>Coherence between programming documents</w:t>
            </w:r>
          </w:p>
        </w:tc>
      </w:tr>
      <w:tr w:rsidR="00EF2AC6" w:rsidRPr="00503351" w:rsidTr="00D452EC">
        <w:trPr>
          <w:tblHeader/>
        </w:trPr>
        <w:tc>
          <w:tcPr>
            <w:tcW w:w="1384" w:type="dxa"/>
          </w:tcPr>
          <w:p w:rsidR="00726EE0" w:rsidRPr="00503351" w:rsidRDefault="00726EE0" w:rsidP="00982776">
            <w:pPr>
              <w:rPr>
                <w:sz w:val="16"/>
                <w:szCs w:val="16"/>
              </w:rPr>
            </w:pPr>
            <w:r w:rsidRPr="00503351">
              <w:rPr>
                <w:sz w:val="16"/>
                <w:szCs w:val="16"/>
              </w:rPr>
              <w:t>Czech Republic</w:t>
            </w:r>
          </w:p>
        </w:tc>
        <w:tc>
          <w:tcPr>
            <w:tcW w:w="1985" w:type="dxa"/>
          </w:tcPr>
          <w:p w:rsidR="00726EE0" w:rsidRPr="00503351" w:rsidRDefault="00726EE0" w:rsidP="00982776">
            <w:pPr>
              <w:rPr>
                <w:sz w:val="16"/>
                <w:szCs w:val="16"/>
              </w:rPr>
            </w:pPr>
            <w:r w:rsidRPr="00503351">
              <w:rPr>
                <w:sz w:val="16"/>
                <w:szCs w:val="16"/>
              </w:rPr>
              <w:t>High alignment</w:t>
            </w:r>
          </w:p>
        </w:tc>
        <w:tc>
          <w:tcPr>
            <w:tcW w:w="2126" w:type="dxa"/>
          </w:tcPr>
          <w:p w:rsidR="00726EE0" w:rsidRPr="00503351" w:rsidRDefault="00726EE0" w:rsidP="00982776">
            <w:pPr>
              <w:rPr>
                <w:sz w:val="16"/>
                <w:szCs w:val="16"/>
              </w:rPr>
            </w:pPr>
            <w:r w:rsidRPr="00503351">
              <w:rPr>
                <w:sz w:val="16"/>
                <w:szCs w:val="16"/>
              </w:rPr>
              <w:t xml:space="preserve">Medium-High alignment </w:t>
            </w:r>
          </w:p>
        </w:tc>
        <w:tc>
          <w:tcPr>
            <w:tcW w:w="2268" w:type="dxa"/>
          </w:tcPr>
          <w:p w:rsidR="00726EE0" w:rsidRPr="00503351" w:rsidRDefault="00726EE0" w:rsidP="00982776">
            <w:pPr>
              <w:rPr>
                <w:sz w:val="16"/>
                <w:szCs w:val="16"/>
              </w:rPr>
            </w:pPr>
            <w:r w:rsidRPr="00503351">
              <w:rPr>
                <w:sz w:val="16"/>
                <w:szCs w:val="16"/>
              </w:rPr>
              <w:t xml:space="preserve">Medium-High alignment </w:t>
            </w:r>
          </w:p>
        </w:tc>
        <w:tc>
          <w:tcPr>
            <w:tcW w:w="7023" w:type="dxa"/>
          </w:tcPr>
          <w:p w:rsidR="00726EE0" w:rsidRPr="00503351" w:rsidRDefault="00E2529C" w:rsidP="00D452EC">
            <w:pPr>
              <w:pStyle w:val="bullettable2"/>
              <w:ind w:left="317" w:hanging="283"/>
              <w:rPr>
                <w:sz w:val="16"/>
                <w:szCs w:val="16"/>
              </w:rPr>
            </w:pPr>
            <w:r w:rsidRPr="00503351">
              <w:rPr>
                <w:sz w:val="16"/>
                <w:szCs w:val="16"/>
              </w:rPr>
              <w:t>Significant influence of CSR/structural</w:t>
            </w:r>
            <w:r w:rsidR="00EF2AC6" w:rsidRPr="00503351">
              <w:rPr>
                <w:sz w:val="16"/>
                <w:szCs w:val="16"/>
              </w:rPr>
              <w:t xml:space="preserve"> challenges on ESIF programming; </w:t>
            </w:r>
            <w:r w:rsidRPr="00503351">
              <w:rPr>
                <w:sz w:val="16"/>
                <w:szCs w:val="16"/>
              </w:rPr>
              <w:t>coherence between documents</w:t>
            </w:r>
          </w:p>
          <w:p w:rsidR="009778C5" w:rsidRPr="00503351" w:rsidRDefault="009778C5" w:rsidP="00D452EC">
            <w:pPr>
              <w:pStyle w:val="bullettable2"/>
              <w:ind w:left="317" w:hanging="283"/>
              <w:rPr>
                <w:sz w:val="16"/>
                <w:szCs w:val="16"/>
              </w:rPr>
            </w:pPr>
            <w:r w:rsidRPr="00503351">
              <w:rPr>
                <w:sz w:val="16"/>
                <w:szCs w:val="16"/>
              </w:rPr>
              <w:t>Moderate financial contribution of ESIF to structural challenges.</w:t>
            </w:r>
          </w:p>
        </w:tc>
      </w:tr>
      <w:tr w:rsidR="00D452EC" w:rsidRPr="00503351" w:rsidTr="00183DCC">
        <w:trPr>
          <w:tblHeader/>
        </w:trPr>
        <w:tc>
          <w:tcPr>
            <w:tcW w:w="1384" w:type="dxa"/>
          </w:tcPr>
          <w:p w:rsidR="00D452EC" w:rsidRPr="00503351" w:rsidRDefault="00D452EC" w:rsidP="00183DCC">
            <w:pPr>
              <w:rPr>
                <w:sz w:val="16"/>
                <w:szCs w:val="16"/>
              </w:rPr>
            </w:pPr>
            <w:r w:rsidRPr="00503351">
              <w:rPr>
                <w:sz w:val="16"/>
                <w:szCs w:val="16"/>
              </w:rPr>
              <w:t>Cyprus</w:t>
            </w:r>
          </w:p>
        </w:tc>
        <w:tc>
          <w:tcPr>
            <w:tcW w:w="1985" w:type="dxa"/>
          </w:tcPr>
          <w:p w:rsidR="00D452EC" w:rsidRPr="00503351" w:rsidRDefault="00D452EC" w:rsidP="00183DCC">
            <w:pPr>
              <w:rPr>
                <w:sz w:val="16"/>
                <w:szCs w:val="16"/>
              </w:rPr>
            </w:pPr>
            <w:r>
              <w:rPr>
                <w:sz w:val="16"/>
                <w:szCs w:val="16"/>
              </w:rPr>
              <w:t xml:space="preserve">Medium alignment </w:t>
            </w:r>
          </w:p>
        </w:tc>
        <w:tc>
          <w:tcPr>
            <w:tcW w:w="2126" w:type="dxa"/>
          </w:tcPr>
          <w:p w:rsidR="00D452EC" w:rsidRPr="00503351" w:rsidRDefault="00D452EC" w:rsidP="00183DCC">
            <w:pPr>
              <w:rPr>
                <w:sz w:val="16"/>
                <w:szCs w:val="16"/>
              </w:rPr>
            </w:pPr>
            <w:r>
              <w:rPr>
                <w:sz w:val="16"/>
                <w:szCs w:val="16"/>
              </w:rPr>
              <w:t>High alignment</w:t>
            </w:r>
          </w:p>
        </w:tc>
        <w:tc>
          <w:tcPr>
            <w:tcW w:w="2268" w:type="dxa"/>
          </w:tcPr>
          <w:p w:rsidR="00D452EC" w:rsidRPr="00503351" w:rsidRDefault="00D452EC" w:rsidP="00183DCC">
            <w:pPr>
              <w:rPr>
                <w:sz w:val="16"/>
                <w:szCs w:val="16"/>
              </w:rPr>
            </w:pPr>
            <w:r w:rsidRPr="00503351">
              <w:rPr>
                <w:sz w:val="16"/>
                <w:szCs w:val="16"/>
              </w:rPr>
              <w:t xml:space="preserve">Medium-High alignment </w:t>
            </w:r>
          </w:p>
        </w:tc>
        <w:tc>
          <w:tcPr>
            <w:tcW w:w="7023" w:type="dxa"/>
          </w:tcPr>
          <w:p w:rsidR="00D452EC" w:rsidRDefault="00D452EC" w:rsidP="00183DCC">
            <w:pPr>
              <w:pStyle w:val="bullettable2"/>
              <w:ind w:left="317" w:hanging="283"/>
              <w:rPr>
                <w:sz w:val="16"/>
                <w:szCs w:val="16"/>
              </w:rPr>
            </w:pPr>
            <w:r w:rsidRPr="00503351">
              <w:rPr>
                <w:sz w:val="16"/>
                <w:szCs w:val="16"/>
              </w:rPr>
              <w:t>Significant influence of CSR/structural challenges on ESIF programming</w:t>
            </w:r>
            <w:r>
              <w:rPr>
                <w:sz w:val="16"/>
                <w:szCs w:val="16"/>
              </w:rPr>
              <w:t>.</w:t>
            </w:r>
          </w:p>
          <w:p w:rsidR="00D452EC" w:rsidRPr="00A7648E" w:rsidRDefault="00D452EC" w:rsidP="00183DCC">
            <w:pPr>
              <w:pStyle w:val="bullettable2"/>
              <w:ind w:left="317" w:hanging="283"/>
              <w:rPr>
                <w:sz w:val="16"/>
                <w:szCs w:val="16"/>
              </w:rPr>
            </w:pPr>
            <w:r>
              <w:rPr>
                <w:sz w:val="16"/>
                <w:szCs w:val="16"/>
              </w:rPr>
              <w:t>C</w:t>
            </w:r>
            <w:r w:rsidRPr="00503351">
              <w:rPr>
                <w:sz w:val="16"/>
                <w:szCs w:val="16"/>
              </w:rPr>
              <w:t xml:space="preserve">oherence between </w:t>
            </w:r>
            <w:r>
              <w:rPr>
                <w:sz w:val="16"/>
                <w:szCs w:val="16"/>
              </w:rPr>
              <w:t xml:space="preserve">programming </w:t>
            </w:r>
            <w:r w:rsidRPr="00503351">
              <w:rPr>
                <w:sz w:val="16"/>
                <w:szCs w:val="16"/>
              </w:rPr>
              <w:t>documents</w:t>
            </w:r>
            <w:r>
              <w:rPr>
                <w:sz w:val="16"/>
                <w:szCs w:val="16"/>
              </w:rPr>
              <w:t xml:space="preserve"> but PA and OPs are more comprehensive than the CPP in relation to challenges targeted.</w:t>
            </w:r>
          </w:p>
        </w:tc>
      </w:tr>
      <w:tr w:rsidR="00D452EC" w:rsidRPr="00503351" w:rsidTr="00183DCC">
        <w:trPr>
          <w:tblHeader/>
        </w:trPr>
        <w:tc>
          <w:tcPr>
            <w:tcW w:w="1384" w:type="dxa"/>
          </w:tcPr>
          <w:p w:rsidR="00D452EC" w:rsidRPr="00503351" w:rsidRDefault="00D452EC" w:rsidP="00183DCC">
            <w:pPr>
              <w:rPr>
                <w:sz w:val="16"/>
                <w:szCs w:val="16"/>
              </w:rPr>
            </w:pPr>
            <w:r w:rsidRPr="00503351">
              <w:rPr>
                <w:sz w:val="16"/>
                <w:szCs w:val="16"/>
              </w:rPr>
              <w:t>Denmark</w:t>
            </w:r>
          </w:p>
        </w:tc>
        <w:tc>
          <w:tcPr>
            <w:tcW w:w="1985" w:type="dxa"/>
          </w:tcPr>
          <w:p w:rsidR="00D452EC" w:rsidRPr="00503351" w:rsidRDefault="00D452EC" w:rsidP="00183DCC">
            <w:pPr>
              <w:rPr>
                <w:sz w:val="16"/>
                <w:szCs w:val="16"/>
              </w:rPr>
            </w:pPr>
            <w:r w:rsidRPr="00503351">
              <w:rPr>
                <w:sz w:val="16"/>
                <w:szCs w:val="16"/>
              </w:rPr>
              <w:t>Medium-Low alignment</w:t>
            </w:r>
          </w:p>
        </w:tc>
        <w:tc>
          <w:tcPr>
            <w:tcW w:w="2126" w:type="dxa"/>
          </w:tcPr>
          <w:p w:rsidR="00D452EC" w:rsidRPr="00503351" w:rsidRDefault="00D452EC" w:rsidP="00183DCC">
            <w:pPr>
              <w:rPr>
                <w:sz w:val="16"/>
                <w:szCs w:val="16"/>
              </w:rPr>
            </w:pPr>
            <w:r w:rsidRPr="00503351">
              <w:rPr>
                <w:sz w:val="16"/>
                <w:szCs w:val="16"/>
              </w:rPr>
              <w:t>Medium alignment</w:t>
            </w:r>
          </w:p>
        </w:tc>
        <w:tc>
          <w:tcPr>
            <w:tcW w:w="2268" w:type="dxa"/>
          </w:tcPr>
          <w:p w:rsidR="00D452EC" w:rsidRPr="00503351" w:rsidRDefault="00D452EC" w:rsidP="00183DCC">
            <w:pPr>
              <w:rPr>
                <w:sz w:val="16"/>
                <w:szCs w:val="16"/>
              </w:rPr>
            </w:pPr>
            <w:r w:rsidRPr="00503351">
              <w:rPr>
                <w:sz w:val="16"/>
                <w:szCs w:val="16"/>
              </w:rPr>
              <w:t xml:space="preserve">Medium alignment </w:t>
            </w:r>
          </w:p>
        </w:tc>
        <w:tc>
          <w:tcPr>
            <w:tcW w:w="7023" w:type="dxa"/>
          </w:tcPr>
          <w:p w:rsidR="00D452EC" w:rsidRPr="00503351" w:rsidRDefault="00D452EC" w:rsidP="00183DCC">
            <w:pPr>
              <w:pStyle w:val="bullettable2"/>
              <w:ind w:left="317" w:hanging="283"/>
              <w:rPr>
                <w:sz w:val="16"/>
                <w:szCs w:val="16"/>
              </w:rPr>
            </w:pPr>
            <w:r w:rsidRPr="00503351">
              <w:rPr>
                <w:sz w:val="16"/>
                <w:szCs w:val="16"/>
              </w:rPr>
              <w:t>Moderate influence of CSR/structural challenges on ESIF programming; coherence between documents</w:t>
            </w:r>
          </w:p>
          <w:p w:rsidR="00D452EC" w:rsidRPr="00503351" w:rsidRDefault="00D452EC" w:rsidP="00183DCC">
            <w:pPr>
              <w:pStyle w:val="bullettable2"/>
              <w:ind w:left="317" w:hanging="283"/>
              <w:rPr>
                <w:sz w:val="16"/>
                <w:szCs w:val="16"/>
              </w:rPr>
            </w:pPr>
            <w:r w:rsidRPr="00503351">
              <w:rPr>
                <w:sz w:val="16"/>
                <w:szCs w:val="16"/>
              </w:rPr>
              <w:t>High financial contribution of ESIF to CSR in policy areas where there are challenges.</w:t>
            </w:r>
          </w:p>
        </w:tc>
      </w:tr>
      <w:tr w:rsidR="00D452EC" w:rsidRPr="00503351" w:rsidTr="00183DCC">
        <w:trPr>
          <w:tblHeader/>
        </w:trPr>
        <w:tc>
          <w:tcPr>
            <w:tcW w:w="1384" w:type="dxa"/>
          </w:tcPr>
          <w:p w:rsidR="00D452EC" w:rsidRPr="00503351" w:rsidRDefault="00D452EC" w:rsidP="00183DCC">
            <w:pPr>
              <w:rPr>
                <w:sz w:val="16"/>
                <w:szCs w:val="16"/>
              </w:rPr>
            </w:pPr>
            <w:r w:rsidRPr="00503351">
              <w:rPr>
                <w:sz w:val="16"/>
                <w:szCs w:val="16"/>
              </w:rPr>
              <w:t>Estonia</w:t>
            </w:r>
          </w:p>
        </w:tc>
        <w:tc>
          <w:tcPr>
            <w:tcW w:w="1985" w:type="dxa"/>
          </w:tcPr>
          <w:p w:rsidR="00D452EC" w:rsidRPr="00503351" w:rsidRDefault="00D452EC" w:rsidP="00183DCC">
            <w:pPr>
              <w:rPr>
                <w:sz w:val="16"/>
                <w:szCs w:val="16"/>
              </w:rPr>
            </w:pPr>
            <w:r w:rsidRPr="00503351">
              <w:rPr>
                <w:sz w:val="16"/>
                <w:szCs w:val="16"/>
              </w:rPr>
              <w:t>High alignment</w:t>
            </w:r>
          </w:p>
        </w:tc>
        <w:tc>
          <w:tcPr>
            <w:tcW w:w="2126" w:type="dxa"/>
          </w:tcPr>
          <w:p w:rsidR="00D452EC" w:rsidRPr="00503351" w:rsidRDefault="00D452EC" w:rsidP="00183DCC">
            <w:pPr>
              <w:rPr>
                <w:sz w:val="16"/>
                <w:szCs w:val="16"/>
              </w:rPr>
            </w:pPr>
            <w:r w:rsidRPr="00503351">
              <w:rPr>
                <w:sz w:val="16"/>
                <w:szCs w:val="16"/>
              </w:rPr>
              <w:t>High alignment</w:t>
            </w:r>
          </w:p>
        </w:tc>
        <w:tc>
          <w:tcPr>
            <w:tcW w:w="2268" w:type="dxa"/>
          </w:tcPr>
          <w:p w:rsidR="00D452EC" w:rsidRPr="00503351" w:rsidRDefault="00D452EC" w:rsidP="00183DCC">
            <w:pPr>
              <w:rPr>
                <w:sz w:val="16"/>
                <w:szCs w:val="16"/>
              </w:rPr>
            </w:pPr>
            <w:r w:rsidRPr="00503351">
              <w:rPr>
                <w:sz w:val="16"/>
                <w:szCs w:val="16"/>
              </w:rPr>
              <w:t xml:space="preserve">Medium-High alignment </w:t>
            </w:r>
          </w:p>
        </w:tc>
        <w:tc>
          <w:tcPr>
            <w:tcW w:w="7023" w:type="dxa"/>
          </w:tcPr>
          <w:p w:rsidR="00D452EC" w:rsidRPr="00503351" w:rsidRDefault="00D452EC" w:rsidP="00183DCC">
            <w:pPr>
              <w:pStyle w:val="bullettable2"/>
              <w:ind w:left="317" w:hanging="283"/>
              <w:rPr>
                <w:sz w:val="16"/>
                <w:szCs w:val="16"/>
              </w:rPr>
            </w:pPr>
            <w:r w:rsidRPr="00503351">
              <w:rPr>
                <w:sz w:val="16"/>
                <w:szCs w:val="16"/>
              </w:rPr>
              <w:t>Significant influence of CSR/structural challenges on ESIF programming; coherence between documents</w:t>
            </w:r>
          </w:p>
          <w:p w:rsidR="00D452EC" w:rsidRPr="00503351" w:rsidRDefault="00D452EC" w:rsidP="00183DCC">
            <w:pPr>
              <w:pStyle w:val="bullettable2"/>
              <w:ind w:left="317" w:hanging="283"/>
              <w:rPr>
                <w:sz w:val="16"/>
                <w:szCs w:val="16"/>
              </w:rPr>
            </w:pPr>
            <w:r w:rsidRPr="00503351">
              <w:rPr>
                <w:sz w:val="16"/>
                <w:szCs w:val="16"/>
              </w:rPr>
              <w:t>High financial contribution of ESIF to structural challenges.</w:t>
            </w:r>
          </w:p>
        </w:tc>
      </w:tr>
      <w:tr w:rsidR="00D452EC" w:rsidRPr="00503351" w:rsidTr="00183DCC">
        <w:trPr>
          <w:tblHeader/>
        </w:trPr>
        <w:tc>
          <w:tcPr>
            <w:tcW w:w="1384" w:type="dxa"/>
          </w:tcPr>
          <w:p w:rsidR="00D452EC" w:rsidRPr="00503351" w:rsidRDefault="00D452EC" w:rsidP="00183DCC">
            <w:pPr>
              <w:rPr>
                <w:sz w:val="16"/>
                <w:szCs w:val="16"/>
              </w:rPr>
            </w:pPr>
            <w:r w:rsidRPr="00503351">
              <w:rPr>
                <w:sz w:val="16"/>
                <w:szCs w:val="16"/>
              </w:rPr>
              <w:t>Finland</w:t>
            </w:r>
          </w:p>
        </w:tc>
        <w:tc>
          <w:tcPr>
            <w:tcW w:w="1985" w:type="dxa"/>
          </w:tcPr>
          <w:p w:rsidR="00D452EC" w:rsidRPr="00503351" w:rsidRDefault="00D452EC" w:rsidP="00183DCC">
            <w:pPr>
              <w:rPr>
                <w:sz w:val="16"/>
                <w:szCs w:val="16"/>
              </w:rPr>
            </w:pPr>
            <w:r w:rsidRPr="00503351">
              <w:rPr>
                <w:sz w:val="16"/>
                <w:szCs w:val="16"/>
              </w:rPr>
              <w:t>High alignment</w:t>
            </w:r>
          </w:p>
        </w:tc>
        <w:tc>
          <w:tcPr>
            <w:tcW w:w="2126" w:type="dxa"/>
          </w:tcPr>
          <w:p w:rsidR="00D452EC" w:rsidRPr="00503351" w:rsidRDefault="00D452EC" w:rsidP="00183DCC">
            <w:pPr>
              <w:rPr>
                <w:sz w:val="16"/>
                <w:szCs w:val="16"/>
              </w:rPr>
            </w:pPr>
            <w:r w:rsidRPr="00503351">
              <w:rPr>
                <w:sz w:val="16"/>
                <w:szCs w:val="16"/>
              </w:rPr>
              <w:t>High alignment</w:t>
            </w:r>
          </w:p>
        </w:tc>
        <w:tc>
          <w:tcPr>
            <w:tcW w:w="2268" w:type="dxa"/>
          </w:tcPr>
          <w:p w:rsidR="00D452EC" w:rsidRPr="00503351" w:rsidRDefault="00D452EC" w:rsidP="00183DCC">
            <w:pPr>
              <w:rPr>
                <w:sz w:val="16"/>
                <w:szCs w:val="16"/>
              </w:rPr>
            </w:pPr>
            <w:r w:rsidRPr="00503351">
              <w:rPr>
                <w:sz w:val="16"/>
                <w:szCs w:val="16"/>
              </w:rPr>
              <w:t xml:space="preserve">Medium alignment </w:t>
            </w:r>
          </w:p>
        </w:tc>
        <w:tc>
          <w:tcPr>
            <w:tcW w:w="7023" w:type="dxa"/>
          </w:tcPr>
          <w:p w:rsidR="00D452EC" w:rsidRPr="00503351" w:rsidRDefault="00D452EC" w:rsidP="00183DCC">
            <w:pPr>
              <w:pStyle w:val="bullettable2"/>
              <w:ind w:left="317" w:hanging="283"/>
              <w:rPr>
                <w:sz w:val="16"/>
                <w:szCs w:val="16"/>
              </w:rPr>
            </w:pPr>
            <w:r w:rsidRPr="00503351">
              <w:rPr>
                <w:sz w:val="16"/>
                <w:szCs w:val="16"/>
              </w:rPr>
              <w:t>Significant influence of CSR/structural challenges on ESIF programming; coherence between documents</w:t>
            </w:r>
          </w:p>
          <w:p w:rsidR="00D452EC" w:rsidRPr="00503351" w:rsidRDefault="00D452EC" w:rsidP="00183DCC">
            <w:pPr>
              <w:pStyle w:val="bullettable2"/>
              <w:ind w:left="317" w:hanging="283"/>
              <w:rPr>
                <w:sz w:val="16"/>
                <w:szCs w:val="16"/>
              </w:rPr>
            </w:pPr>
            <w:r w:rsidRPr="00503351">
              <w:rPr>
                <w:sz w:val="16"/>
                <w:szCs w:val="16"/>
              </w:rPr>
              <w:t>High financial contribution of ESIF to structural challenges.</w:t>
            </w:r>
          </w:p>
        </w:tc>
      </w:tr>
      <w:tr w:rsidR="00D452EC" w:rsidRPr="00503351" w:rsidTr="00183DCC">
        <w:trPr>
          <w:tblHeader/>
        </w:trPr>
        <w:tc>
          <w:tcPr>
            <w:tcW w:w="1384" w:type="dxa"/>
          </w:tcPr>
          <w:p w:rsidR="00D452EC" w:rsidRPr="00503351" w:rsidRDefault="00D452EC" w:rsidP="00183DCC">
            <w:pPr>
              <w:rPr>
                <w:sz w:val="16"/>
                <w:szCs w:val="16"/>
              </w:rPr>
            </w:pPr>
            <w:r w:rsidRPr="00503351">
              <w:rPr>
                <w:sz w:val="16"/>
                <w:szCs w:val="16"/>
              </w:rPr>
              <w:t>France</w:t>
            </w:r>
          </w:p>
        </w:tc>
        <w:tc>
          <w:tcPr>
            <w:tcW w:w="1985" w:type="dxa"/>
          </w:tcPr>
          <w:p w:rsidR="00D452EC" w:rsidRPr="00503351" w:rsidRDefault="00D452EC" w:rsidP="00183DCC">
            <w:pPr>
              <w:rPr>
                <w:sz w:val="16"/>
                <w:szCs w:val="16"/>
              </w:rPr>
            </w:pPr>
            <w:r w:rsidRPr="00503351">
              <w:rPr>
                <w:sz w:val="16"/>
                <w:szCs w:val="16"/>
              </w:rPr>
              <w:t>Medium alignment</w:t>
            </w:r>
          </w:p>
        </w:tc>
        <w:tc>
          <w:tcPr>
            <w:tcW w:w="2126" w:type="dxa"/>
          </w:tcPr>
          <w:p w:rsidR="00D452EC" w:rsidRPr="00503351" w:rsidRDefault="00D452EC" w:rsidP="00183DCC">
            <w:pPr>
              <w:rPr>
                <w:sz w:val="16"/>
                <w:szCs w:val="16"/>
              </w:rPr>
            </w:pPr>
            <w:r w:rsidRPr="00503351">
              <w:rPr>
                <w:sz w:val="16"/>
                <w:szCs w:val="16"/>
              </w:rPr>
              <w:t xml:space="preserve">Medium-Low alignment </w:t>
            </w:r>
          </w:p>
        </w:tc>
        <w:tc>
          <w:tcPr>
            <w:tcW w:w="2268" w:type="dxa"/>
          </w:tcPr>
          <w:p w:rsidR="00D452EC" w:rsidRPr="00503351" w:rsidRDefault="00D452EC" w:rsidP="00183DCC">
            <w:pPr>
              <w:rPr>
                <w:sz w:val="16"/>
                <w:szCs w:val="16"/>
              </w:rPr>
            </w:pPr>
            <w:r w:rsidRPr="00503351">
              <w:rPr>
                <w:sz w:val="16"/>
                <w:szCs w:val="16"/>
              </w:rPr>
              <w:t xml:space="preserve">Medium-Low alignment </w:t>
            </w:r>
          </w:p>
        </w:tc>
        <w:tc>
          <w:tcPr>
            <w:tcW w:w="7023" w:type="dxa"/>
          </w:tcPr>
          <w:p w:rsidR="00D452EC" w:rsidRPr="00503351" w:rsidRDefault="00D452EC" w:rsidP="00183DCC">
            <w:pPr>
              <w:pStyle w:val="bullettable2"/>
              <w:ind w:left="317" w:hanging="283"/>
              <w:rPr>
                <w:sz w:val="16"/>
                <w:szCs w:val="16"/>
              </w:rPr>
            </w:pPr>
            <w:r w:rsidRPr="00503351">
              <w:rPr>
                <w:sz w:val="16"/>
                <w:szCs w:val="16"/>
              </w:rPr>
              <w:t>Limited influence of CSR/structural challenges on ESIF programming.</w:t>
            </w:r>
          </w:p>
          <w:p w:rsidR="00D452EC" w:rsidRPr="00503351" w:rsidRDefault="00D452EC" w:rsidP="00183DCC">
            <w:pPr>
              <w:pStyle w:val="bullettable2"/>
              <w:ind w:left="317" w:hanging="283"/>
              <w:rPr>
                <w:sz w:val="16"/>
                <w:szCs w:val="16"/>
              </w:rPr>
            </w:pPr>
            <w:r w:rsidRPr="00503351">
              <w:rPr>
                <w:sz w:val="16"/>
                <w:szCs w:val="16"/>
              </w:rPr>
              <w:t>Coherence between programming documents.</w:t>
            </w:r>
          </w:p>
        </w:tc>
      </w:tr>
      <w:tr w:rsidR="00EF2AC6" w:rsidRPr="00503351" w:rsidTr="00D452EC">
        <w:trPr>
          <w:tblHeader/>
        </w:trPr>
        <w:tc>
          <w:tcPr>
            <w:tcW w:w="1384" w:type="dxa"/>
          </w:tcPr>
          <w:p w:rsidR="00726EE0" w:rsidRPr="00503351" w:rsidRDefault="00726EE0" w:rsidP="00982776">
            <w:pPr>
              <w:rPr>
                <w:sz w:val="16"/>
                <w:szCs w:val="16"/>
              </w:rPr>
            </w:pPr>
            <w:r w:rsidRPr="00503351">
              <w:rPr>
                <w:sz w:val="16"/>
                <w:szCs w:val="16"/>
              </w:rPr>
              <w:t>Germany</w:t>
            </w:r>
          </w:p>
        </w:tc>
        <w:tc>
          <w:tcPr>
            <w:tcW w:w="1985" w:type="dxa"/>
          </w:tcPr>
          <w:p w:rsidR="00726EE0" w:rsidRPr="00503351" w:rsidRDefault="00726EE0" w:rsidP="00982776">
            <w:pPr>
              <w:rPr>
                <w:sz w:val="16"/>
                <w:szCs w:val="16"/>
              </w:rPr>
            </w:pPr>
            <w:r w:rsidRPr="00503351">
              <w:rPr>
                <w:sz w:val="16"/>
                <w:szCs w:val="16"/>
              </w:rPr>
              <w:t>Medium alignment</w:t>
            </w:r>
          </w:p>
        </w:tc>
        <w:tc>
          <w:tcPr>
            <w:tcW w:w="2126" w:type="dxa"/>
          </w:tcPr>
          <w:p w:rsidR="00726EE0" w:rsidRPr="00503351" w:rsidRDefault="00726EE0" w:rsidP="00982776">
            <w:pPr>
              <w:rPr>
                <w:sz w:val="16"/>
                <w:szCs w:val="16"/>
              </w:rPr>
            </w:pPr>
            <w:r w:rsidRPr="00503351">
              <w:rPr>
                <w:sz w:val="16"/>
                <w:szCs w:val="16"/>
              </w:rPr>
              <w:t xml:space="preserve">Medium alignment </w:t>
            </w:r>
          </w:p>
        </w:tc>
        <w:tc>
          <w:tcPr>
            <w:tcW w:w="2268" w:type="dxa"/>
          </w:tcPr>
          <w:p w:rsidR="00726EE0" w:rsidRPr="00503351" w:rsidRDefault="00726EE0" w:rsidP="00982776">
            <w:pPr>
              <w:rPr>
                <w:sz w:val="16"/>
                <w:szCs w:val="16"/>
              </w:rPr>
            </w:pPr>
            <w:r w:rsidRPr="00503351">
              <w:rPr>
                <w:sz w:val="16"/>
                <w:szCs w:val="16"/>
              </w:rPr>
              <w:t xml:space="preserve">Medium alignment </w:t>
            </w:r>
          </w:p>
        </w:tc>
        <w:tc>
          <w:tcPr>
            <w:tcW w:w="7023" w:type="dxa"/>
          </w:tcPr>
          <w:p w:rsidR="00726EE0" w:rsidRPr="00503351" w:rsidRDefault="00E2529C" w:rsidP="00D452EC">
            <w:pPr>
              <w:pStyle w:val="bullettable2"/>
              <w:ind w:left="317" w:hanging="283"/>
              <w:rPr>
                <w:sz w:val="16"/>
                <w:szCs w:val="16"/>
              </w:rPr>
            </w:pPr>
            <w:r w:rsidRPr="00503351">
              <w:rPr>
                <w:sz w:val="16"/>
                <w:szCs w:val="16"/>
              </w:rPr>
              <w:t>Moderate influence of CSR/structural challenges on ESIF programming</w:t>
            </w:r>
            <w:r w:rsidR="00EF2AC6" w:rsidRPr="00503351">
              <w:rPr>
                <w:sz w:val="16"/>
                <w:szCs w:val="16"/>
              </w:rPr>
              <w:t xml:space="preserve">; </w:t>
            </w:r>
            <w:r w:rsidRPr="00503351">
              <w:rPr>
                <w:sz w:val="16"/>
                <w:szCs w:val="16"/>
              </w:rPr>
              <w:t>coherence between documents</w:t>
            </w:r>
          </w:p>
          <w:p w:rsidR="009778C5" w:rsidRPr="00503351" w:rsidRDefault="009778C5" w:rsidP="00D452EC">
            <w:pPr>
              <w:pStyle w:val="bullettable2"/>
              <w:ind w:left="317" w:hanging="283"/>
              <w:rPr>
                <w:sz w:val="16"/>
                <w:szCs w:val="16"/>
              </w:rPr>
            </w:pPr>
            <w:r w:rsidRPr="00503351">
              <w:rPr>
                <w:sz w:val="16"/>
                <w:szCs w:val="16"/>
              </w:rPr>
              <w:t>Moderate financial contribution of ESIF to structural challenges.</w:t>
            </w:r>
          </w:p>
        </w:tc>
      </w:tr>
      <w:tr w:rsidR="00D452EC" w:rsidRPr="00503351" w:rsidTr="00183DCC">
        <w:trPr>
          <w:tblHeader/>
        </w:trPr>
        <w:tc>
          <w:tcPr>
            <w:tcW w:w="1384" w:type="dxa"/>
          </w:tcPr>
          <w:p w:rsidR="00D452EC" w:rsidRPr="00503351" w:rsidRDefault="00D452EC" w:rsidP="00183DCC">
            <w:pPr>
              <w:rPr>
                <w:sz w:val="16"/>
                <w:szCs w:val="16"/>
              </w:rPr>
            </w:pPr>
            <w:r w:rsidRPr="00503351">
              <w:rPr>
                <w:sz w:val="16"/>
                <w:szCs w:val="16"/>
              </w:rPr>
              <w:t>Greece</w:t>
            </w:r>
          </w:p>
        </w:tc>
        <w:tc>
          <w:tcPr>
            <w:tcW w:w="1985" w:type="dxa"/>
          </w:tcPr>
          <w:p w:rsidR="00D452EC" w:rsidRPr="00503351" w:rsidRDefault="00D452EC" w:rsidP="00183DCC">
            <w:pPr>
              <w:rPr>
                <w:sz w:val="16"/>
                <w:szCs w:val="16"/>
              </w:rPr>
            </w:pPr>
            <w:r>
              <w:rPr>
                <w:sz w:val="16"/>
                <w:szCs w:val="16"/>
              </w:rPr>
              <w:t>Medium alignment</w:t>
            </w:r>
          </w:p>
        </w:tc>
        <w:tc>
          <w:tcPr>
            <w:tcW w:w="2126" w:type="dxa"/>
          </w:tcPr>
          <w:p w:rsidR="00D452EC" w:rsidRPr="00503351" w:rsidRDefault="00D452EC" w:rsidP="00183DCC">
            <w:pPr>
              <w:rPr>
                <w:sz w:val="16"/>
                <w:szCs w:val="16"/>
              </w:rPr>
            </w:pPr>
            <w:r>
              <w:rPr>
                <w:sz w:val="16"/>
                <w:szCs w:val="16"/>
              </w:rPr>
              <w:t xml:space="preserve">High alignment </w:t>
            </w:r>
          </w:p>
        </w:tc>
        <w:tc>
          <w:tcPr>
            <w:tcW w:w="2268" w:type="dxa"/>
          </w:tcPr>
          <w:p w:rsidR="00D452EC" w:rsidRPr="00503351" w:rsidRDefault="00D452EC" w:rsidP="00183DCC">
            <w:pPr>
              <w:rPr>
                <w:sz w:val="16"/>
                <w:szCs w:val="16"/>
              </w:rPr>
            </w:pPr>
            <w:r w:rsidRPr="00503351">
              <w:rPr>
                <w:sz w:val="16"/>
                <w:szCs w:val="16"/>
              </w:rPr>
              <w:t xml:space="preserve">Medium-High alignment </w:t>
            </w:r>
          </w:p>
        </w:tc>
        <w:tc>
          <w:tcPr>
            <w:tcW w:w="7023" w:type="dxa"/>
          </w:tcPr>
          <w:p w:rsidR="00D452EC" w:rsidRDefault="00D452EC" w:rsidP="00183DCC">
            <w:pPr>
              <w:pStyle w:val="bullettable2"/>
              <w:ind w:left="317" w:hanging="283"/>
              <w:rPr>
                <w:sz w:val="16"/>
                <w:szCs w:val="16"/>
              </w:rPr>
            </w:pPr>
            <w:r w:rsidRPr="00503351">
              <w:rPr>
                <w:sz w:val="16"/>
                <w:szCs w:val="16"/>
              </w:rPr>
              <w:t xml:space="preserve">Significant influence of CSR/structural challenges on ESIF programming; </w:t>
            </w:r>
          </w:p>
          <w:p w:rsidR="00D452EC" w:rsidRPr="00A7648E" w:rsidRDefault="00D452EC" w:rsidP="00183DCC">
            <w:pPr>
              <w:pStyle w:val="bullettable2"/>
              <w:ind w:left="317" w:hanging="283"/>
              <w:rPr>
                <w:sz w:val="16"/>
                <w:szCs w:val="16"/>
              </w:rPr>
            </w:pPr>
            <w:r>
              <w:rPr>
                <w:sz w:val="16"/>
                <w:szCs w:val="16"/>
              </w:rPr>
              <w:t>C</w:t>
            </w:r>
            <w:r w:rsidRPr="00503351">
              <w:rPr>
                <w:sz w:val="16"/>
                <w:szCs w:val="16"/>
              </w:rPr>
              <w:t xml:space="preserve">oherence between </w:t>
            </w:r>
            <w:r>
              <w:rPr>
                <w:sz w:val="16"/>
                <w:szCs w:val="16"/>
              </w:rPr>
              <w:t xml:space="preserve">programming </w:t>
            </w:r>
            <w:r w:rsidRPr="00503351">
              <w:rPr>
                <w:sz w:val="16"/>
                <w:szCs w:val="16"/>
              </w:rPr>
              <w:t>documents</w:t>
            </w:r>
            <w:r>
              <w:rPr>
                <w:sz w:val="16"/>
                <w:szCs w:val="16"/>
              </w:rPr>
              <w:t xml:space="preserve"> but PA and OPs are more comprehensive than the CPP in relation to challenges targeted.</w:t>
            </w:r>
          </w:p>
        </w:tc>
      </w:tr>
      <w:tr w:rsidR="00EF2AC6" w:rsidRPr="00503351" w:rsidTr="00D452EC">
        <w:trPr>
          <w:tblHeader/>
        </w:trPr>
        <w:tc>
          <w:tcPr>
            <w:tcW w:w="1384" w:type="dxa"/>
          </w:tcPr>
          <w:p w:rsidR="00E2529C" w:rsidRPr="00503351" w:rsidRDefault="00E2529C" w:rsidP="00982776">
            <w:pPr>
              <w:rPr>
                <w:sz w:val="16"/>
                <w:szCs w:val="16"/>
              </w:rPr>
            </w:pPr>
            <w:r w:rsidRPr="00503351">
              <w:rPr>
                <w:sz w:val="16"/>
                <w:szCs w:val="16"/>
              </w:rPr>
              <w:t>Spain</w:t>
            </w:r>
          </w:p>
        </w:tc>
        <w:tc>
          <w:tcPr>
            <w:tcW w:w="1985" w:type="dxa"/>
          </w:tcPr>
          <w:p w:rsidR="00E2529C" w:rsidRPr="00503351" w:rsidRDefault="00E2529C" w:rsidP="00982776">
            <w:pPr>
              <w:rPr>
                <w:sz w:val="16"/>
                <w:szCs w:val="16"/>
              </w:rPr>
            </w:pPr>
            <w:r w:rsidRPr="00503351">
              <w:rPr>
                <w:sz w:val="16"/>
                <w:szCs w:val="16"/>
              </w:rPr>
              <w:t xml:space="preserve">High alignment </w:t>
            </w:r>
          </w:p>
        </w:tc>
        <w:tc>
          <w:tcPr>
            <w:tcW w:w="2126" w:type="dxa"/>
          </w:tcPr>
          <w:p w:rsidR="00E2529C" w:rsidRPr="00503351" w:rsidRDefault="00E2529C" w:rsidP="00982776">
            <w:pPr>
              <w:rPr>
                <w:sz w:val="16"/>
                <w:szCs w:val="16"/>
              </w:rPr>
            </w:pPr>
            <w:r w:rsidRPr="00503351">
              <w:rPr>
                <w:sz w:val="16"/>
                <w:szCs w:val="16"/>
              </w:rPr>
              <w:t>High alignment</w:t>
            </w:r>
          </w:p>
        </w:tc>
        <w:tc>
          <w:tcPr>
            <w:tcW w:w="2268" w:type="dxa"/>
          </w:tcPr>
          <w:p w:rsidR="00E2529C" w:rsidRPr="00503351" w:rsidRDefault="00E2529C" w:rsidP="00982776">
            <w:pPr>
              <w:rPr>
                <w:sz w:val="16"/>
                <w:szCs w:val="16"/>
              </w:rPr>
            </w:pPr>
            <w:r w:rsidRPr="00503351">
              <w:rPr>
                <w:sz w:val="16"/>
                <w:szCs w:val="16"/>
              </w:rPr>
              <w:t xml:space="preserve">Medium-High alignment </w:t>
            </w:r>
          </w:p>
        </w:tc>
        <w:tc>
          <w:tcPr>
            <w:tcW w:w="7023" w:type="dxa"/>
          </w:tcPr>
          <w:p w:rsidR="00E2529C" w:rsidRPr="00503351" w:rsidRDefault="00E2529C" w:rsidP="00D452EC">
            <w:pPr>
              <w:pStyle w:val="bullettable2"/>
              <w:ind w:left="317" w:hanging="283"/>
              <w:rPr>
                <w:sz w:val="16"/>
                <w:szCs w:val="16"/>
              </w:rPr>
            </w:pPr>
            <w:r w:rsidRPr="00503351">
              <w:rPr>
                <w:sz w:val="16"/>
                <w:szCs w:val="16"/>
              </w:rPr>
              <w:t>Significant influence of CSR/structural challenges on ESIF programming</w:t>
            </w:r>
            <w:r w:rsidR="00EF2AC6" w:rsidRPr="00503351">
              <w:rPr>
                <w:sz w:val="16"/>
                <w:szCs w:val="16"/>
              </w:rPr>
              <w:t xml:space="preserve">; </w:t>
            </w:r>
            <w:r w:rsidRPr="00503351">
              <w:rPr>
                <w:sz w:val="16"/>
                <w:szCs w:val="16"/>
              </w:rPr>
              <w:t>coherence between documents</w:t>
            </w:r>
          </w:p>
          <w:p w:rsidR="00BB1DBE" w:rsidRPr="00503351" w:rsidRDefault="00BB1DBE" w:rsidP="00D452EC">
            <w:pPr>
              <w:pStyle w:val="bullettable2"/>
              <w:ind w:left="317" w:hanging="283"/>
              <w:rPr>
                <w:sz w:val="16"/>
                <w:szCs w:val="16"/>
              </w:rPr>
            </w:pPr>
            <w:r w:rsidRPr="00503351">
              <w:rPr>
                <w:sz w:val="16"/>
                <w:szCs w:val="16"/>
              </w:rPr>
              <w:t>High financial contribution of ESIF to structural challenges.</w:t>
            </w:r>
          </w:p>
        </w:tc>
      </w:tr>
      <w:tr w:rsidR="00EF2AC6" w:rsidRPr="00503351" w:rsidTr="00D452EC">
        <w:trPr>
          <w:tblHeader/>
        </w:trPr>
        <w:tc>
          <w:tcPr>
            <w:tcW w:w="1384" w:type="dxa"/>
          </w:tcPr>
          <w:p w:rsidR="00E2529C" w:rsidRPr="00503351" w:rsidRDefault="00E2529C" w:rsidP="00982776">
            <w:pPr>
              <w:rPr>
                <w:sz w:val="16"/>
                <w:szCs w:val="16"/>
              </w:rPr>
            </w:pPr>
            <w:r w:rsidRPr="00503351">
              <w:rPr>
                <w:sz w:val="16"/>
                <w:szCs w:val="16"/>
              </w:rPr>
              <w:t>Hungary</w:t>
            </w:r>
          </w:p>
        </w:tc>
        <w:tc>
          <w:tcPr>
            <w:tcW w:w="1985" w:type="dxa"/>
          </w:tcPr>
          <w:p w:rsidR="00E2529C" w:rsidRPr="00503351" w:rsidRDefault="00E2529C" w:rsidP="00982776">
            <w:pPr>
              <w:rPr>
                <w:sz w:val="16"/>
                <w:szCs w:val="16"/>
              </w:rPr>
            </w:pPr>
            <w:r w:rsidRPr="00503351">
              <w:rPr>
                <w:sz w:val="16"/>
                <w:szCs w:val="16"/>
              </w:rPr>
              <w:t xml:space="preserve">High alignment </w:t>
            </w:r>
          </w:p>
        </w:tc>
        <w:tc>
          <w:tcPr>
            <w:tcW w:w="2126" w:type="dxa"/>
          </w:tcPr>
          <w:p w:rsidR="00E2529C" w:rsidRPr="00503351" w:rsidRDefault="00E2529C" w:rsidP="00982776">
            <w:pPr>
              <w:rPr>
                <w:sz w:val="16"/>
                <w:szCs w:val="16"/>
              </w:rPr>
            </w:pPr>
            <w:r w:rsidRPr="00503351">
              <w:rPr>
                <w:sz w:val="16"/>
                <w:szCs w:val="16"/>
              </w:rPr>
              <w:t>High alignment</w:t>
            </w:r>
          </w:p>
        </w:tc>
        <w:tc>
          <w:tcPr>
            <w:tcW w:w="2268" w:type="dxa"/>
          </w:tcPr>
          <w:p w:rsidR="00E2529C" w:rsidRPr="00503351" w:rsidRDefault="00E2529C" w:rsidP="00982776">
            <w:pPr>
              <w:rPr>
                <w:sz w:val="16"/>
                <w:szCs w:val="16"/>
              </w:rPr>
            </w:pPr>
            <w:r w:rsidRPr="00503351">
              <w:rPr>
                <w:sz w:val="16"/>
                <w:szCs w:val="16"/>
              </w:rPr>
              <w:t xml:space="preserve">Medium-High alignment </w:t>
            </w:r>
          </w:p>
        </w:tc>
        <w:tc>
          <w:tcPr>
            <w:tcW w:w="7023" w:type="dxa"/>
          </w:tcPr>
          <w:p w:rsidR="00E2529C" w:rsidRPr="00503351" w:rsidRDefault="00E2529C" w:rsidP="00D452EC">
            <w:pPr>
              <w:pStyle w:val="bullettable2"/>
              <w:ind w:left="317" w:hanging="283"/>
              <w:rPr>
                <w:sz w:val="16"/>
                <w:szCs w:val="16"/>
              </w:rPr>
            </w:pPr>
            <w:r w:rsidRPr="00503351">
              <w:rPr>
                <w:sz w:val="16"/>
                <w:szCs w:val="16"/>
              </w:rPr>
              <w:t>Significant influence of CSR/structural challenges on ESIF programming</w:t>
            </w:r>
            <w:r w:rsidR="00EF2AC6" w:rsidRPr="00503351">
              <w:rPr>
                <w:sz w:val="16"/>
                <w:szCs w:val="16"/>
              </w:rPr>
              <w:t xml:space="preserve">; </w:t>
            </w:r>
            <w:r w:rsidRPr="00503351">
              <w:rPr>
                <w:sz w:val="16"/>
                <w:szCs w:val="16"/>
              </w:rPr>
              <w:t>coherence between documents</w:t>
            </w:r>
            <w:r w:rsidR="001C5332" w:rsidRPr="00503351">
              <w:rPr>
                <w:sz w:val="16"/>
                <w:szCs w:val="16"/>
              </w:rPr>
              <w:t>.</w:t>
            </w:r>
          </w:p>
          <w:p w:rsidR="00BB1DBE" w:rsidRPr="00503351" w:rsidRDefault="00BB1DBE" w:rsidP="00D452EC">
            <w:pPr>
              <w:pStyle w:val="bullettable2"/>
              <w:ind w:left="317" w:hanging="283"/>
              <w:rPr>
                <w:sz w:val="16"/>
                <w:szCs w:val="16"/>
              </w:rPr>
            </w:pPr>
            <w:r w:rsidRPr="00503351">
              <w:rPr>
                <w:sz w:val="16"/>
                <w:szCs w:val="16"/>
              </w:rPr>
              <w:t>High financial contribution of ESIF to structural challenges.</w:t>
            </w:r>
          </w:p>
        </w:tc>
      </w:tr>
      <w:tr w:rsidR="00EF2AC6" w:rsidRPr="00503351" w:rsidTr="00D452EC">
        <w:trPr>
          <w:tblHeader/>
        </w:trPr>
        <w:tc>
          <w:tcPr>
            <w:tcW w:w="1384" w:type="dxa"/>
          </w:tcPr>
          <w:p w:rsidR="00E2529C" w:rsidRPr="00503351" w:rsidRDefault="00E2529C" w:rsidP="00982776">
            <w:pPr>
              <w:rPr>
                <w:sz w:val="16"/>
                <w:szCs w:val="16"/>
              </w:rPr>
            </w:pPr>
            <w:r w:rsidRPr="00503351">
              <w:rPr>
                <w:sz w:val="16"/>
                <w:szCs w:val="16"/>
              </w:rPr>
              <w:t>Ireland</w:t>
            </w:r>
          </w:p>
        </w:tc>
        <w:tc>
          <w:tcPr>
            <w:tcW w:w="1985" w:type="dxa"/>
          </w:tcPr>
          <w:p w:rsidR="00E2529C" w:rsidRPr="00503351" w:rsidRDefault="00E2529C" w:rsidP="00982776">
            <w:pPr>
              <w:rPr>
                <w:sz w:val="16"/>
                <w:szCs w:val="16"/>
              </w:rPr>
            </w:pPr>
            <w:r w:rsidRPr="00503351">
              <w:rPr>
                <w:sz w:val="16"/>
                <w:szCs w:val="16"/>
              </w:rPr>
              <w:t xml:space="preserve">Medium alignment </w:t>
            </w:r>
          </w:p>
        </w:tc>
        <w:tc>
          <w:tcPr>
            <w:tcW w:w="2126" w:type="dxa"/>
          </w:tcPr>
          <w:p w:rsidR="00E2529C" w:rsidRPr="00503351" w:rsidRDefault="00E2529C" w:rsidP="00982776">
            <w:pPr>
              <w:rPr>
                <w:sz w:val="16"/>
                <w:szCs w:val="16"/>
              </w:rPr>
            </w:pPr>
            <w:r w:rsidRPr="00503351">
              <w:rPr>
                <w:sz w:val="16"/>
                <w:szCs w:val="16"/>
              </w:rPr>
              <w:t>High alignment</w:t>
            </w:r>
          </w:p>
        </w:tc>
        <w:tc>
          <w:tcPr>
            <w:tcW w:w="2268" w:type="dxa"/>
          </w:tcPr>
          <w:p w:rsidR="00E2529C" w:rsidRPr="00503351" w:rsidRDefault="00E2529C" w:rsidP="00982776">
            <w:pPr>
              <w:rPr>
                <w:sz w:val="16"/>
                <w:szCs w:val="16"/>
              </w:rPr>
            </w:pPr>
            <w:r w:rsidRPr="00503351">
              <w:rPr>
                <w:sz w:val="16"/>
                <w:szCs w:val="16"/>
              </w:rPr>
              <w:t xml:space="preserve">Medium-High alignment </w:t>
            </w:r>
          </w:p>
        </w:tc>
        <w:tc>
          <w:tcPr>
            <w:tcW w:w="7023" w:type="dxa"/>
          </w:tcPr>
          <w:p w:rsidR="00E2529C" w:rsidRPr="00503351" w:rsidRDefault="00E2529C" w:rsidP="00D452EC">
            <w:pPr>
              <w:pStyle w:val="bullettable2"/>
              <w:ind w:left="317" w:hanging="283"/>
              <w:rPr>
                <w:sz w:val="16"/>
                <w:szCs w:val="16"/>
              </w:rPr>
            </w:pPr>
            <w:r w:rsidRPr="00503351">
              <w:rPr>
                <w:sz w:val="16"/>
                <w:szCs w:val="16"/>
              </w:rPr>
              <w:t>Significant influence of CSR/structural challenges on ESIF programming</w:t>
            </w:r>
            <w:r w:rsidR="00EF2AC6" w:rsidRPr="00503351">
              <w:rPr>
                <w:sz w:val="16"/>
                <w:szCs w:val="16"/>
              </w:rPr>
              <w:t>; c</w:t>
            </w:r>
            <w:r w:rsidRPr="00503351">
              <w:rPr>
                <w:sz w:val="16"/>
                <w:szCs w:val="16"/>
              </w:rPr>
              <w:t>oherence between documents</w:t>
            </w:r>
            <w:r w:rsidR="001C5332" w:rsidRPr="00503351">
              <w:rPr>
                <w:sz w:val="16"/>
                <w:szCs w:val="16"/>
              </w:rPr>
              <w:t>.</w:t>
            </w:r>
          </w:p>
          <w:p w:rsidR="00BB1DBE" w:rsidRPr="00503351" w:rsidRDefault="00BB1DBE" w:rsidP="00D452EC">
            <w:pPr>
              <w:pStyle w:val="bullettable2"/>
              <w:ind w:left="317" w:hanging="283"/>
              <w:rPr>
                <w:sz w:val="16"/>
                <w:szCs w:val="16"/>
              </w:rPr>
            </w:pPr>
            <w:r w:rsidRPr="00503351">
              <w:rPr>
                <w:sz w:val="16"/>
                <w:szCs w:val="16"/>
              </w:rPr>
              <w:t>High financial contribution of ESIF to structural challenges.</w:t>
            </w:r>
          </w:p>
        </w:tc>
      </w:tr>
      <w:tr w:rsidR="00EF2AC6" w:rsidRPr="00503351" w:rsidTr="00D452EC">
        <w:trPr>
          <w:tblHeader/>
        </w:trPr>
        <w:tc>
          <w:tcPr>
            <w:tcW w:w="1384" w:type="dxa"/>
          </w:tcPr>
          <w:p w:rsidR="00E2529C" w:rsidRPr="00503351" w:rsidRDefault="00E2529C" w:rsidP="00982776">
            <w:pPr>
              <w:rPr>
                <w:sz w:val="16"/>
                <w:szCs w:val="16"/>
              </w:rPr>
            </w:pPr>
            <w:r w:rsidRPr="00503351">
              <w:rPr>
                <w:sz w:val="16"/>
                <w:szCs w:val="16"/>
              </w:rPr>
              <w:t>Italy</w:t>
            </w:r>
          </w:p>
        </w:tc>
        <w:tc>
          <w:tcPr>
            <w:tcW w:w="1985" w:type="dxa"/>
          </w:tcPr>
          <w:p w:rsidR="00E2529C" w:rsidRPr="00503351" w:rsidRDefault="00E2529C" w:rsidP="00982776">
            <w:pPr>
              <w:rPr>
                <w:sz w:val="16"/>
                <w:szCs w:val="16"/>
              </w:rPr>
            </w:pPr>
            <w:r w:rsidRPr="00503351">
              <w:rPr>
                <w:sz w:val="16"/>
                <w:szCs w:val="16"/>
              </w:rPr>
              <w:t xml:space="preserve">High alignment </w:t>
            </w:r>
          </w:p>
        </w:tc>
        <w:tc>
          <w:tcPr>
            <w:tcW w:w="2126" w:type="dxa"/>
          </w:tcPr>
          <w:p w:rsidR="00E2529C" w:rsidRPr="00503351" w:rsidRDefault="00E2529C" w:rsidP="00982776">
            <w:pPr>
              <w:rPr>
                <w:sz w:val="16"/>
                <w:szCs w:val="16"/>
              </w:rPr>
            </w:pPr>
            <w:r w:rsidRPr="00503351">
              <w:rPr>
                <w:sz w:val="16"/>
                <w:szCs w:val="16"/>
              </w:rPr>
              <w:t>High alignment</w:t>
            </w:r>
          </w:p>
        </w:tc>
        <w:tc>
          <w:tcPr>
            <w:tcW w:w="2268" w:type="dxa"/>
          </w:tcPr>
          <w:p w:rsidR="00E2529C" w:rsidRPr="00503351" w:rsidRDefault="00E2529C" w:rsidP="00982776">
            <w:pPr>
              <w:rPr>
                <w:sz w:val="16"/>
                <w:szCs w:val="16"/>
              </w:rPr>
            </w:pPr>
            <w:r w:rsidRPr="00503351">
              <w:rPr>
                <w:sz w:val="16"/>
                <w:szCs w:val="16"/>
              </w:rPr>
              <w:t xml:space="preserve">Medium-High alignment </w:t>
            </w:r>
          </w:p>
        </w:tc>
        <w:tc>
          <w:tcPr>
            <w:tcW w:w="7023" w:type="dxa"/>
          </w:tcPr>
          <w:p w:rsidR="00E2529C" w:rsidRPr="00503351" w:rsidRDefault="00E2529C" w:rsidP="00D452EC">
            <w:pPr>
              <w:pStyle w:val="bullettable2"/>
              <w:ind w:left="317" w:hanging="283"/>
              <w:rPr>
                <w:sz w:val="16"/>
                <w:szCs w:val="16"/>
              </w:rPr>
            </w:pPr>
            <w:r w:rsidRPr="00503351">
              <w:rPr>
                <w:sz w:val="16"/>
                <w:szCs w:val="16"/>
              </w:rPr>
              <w:t>Significant influence of CSR/structural</w:t>
            </w:r>
            <w:r w:rsidR="00EF2AC6" w:rsidRPr="00503351">
              <w:rPr>
                <w:sz w:val="16"/>
                <w:szCs w:val="16"/>
              </w:rPr>
              <w:t xml:space="preserve"> challenges on ESIF programming</w:t>
            </w:r>
            <w:r w:rsidR="001C5332" w:rsidRPr="00503351">
              <w:rPr>
                <w:sz w:val="16"/>
                <w:szCs w:val="16"/>
              </w:rPr>
              <w:t>;</w:t>
            </w:r>
            <w:r w:rsidRPr="00503351">
              <w:rPr>
                <w:sz w:val="16"/>
                <w:szCs w:val="16"/>
              </w:rPr>
              <w:t xml:space="preserve"> coherence between documents</w:t>
            </w:r>
            <w:r w:rsidR="001C5332" w:rsidRPr="00503351">
              <w:rPr>
                <w:sz w:val="16"/>
                <w:szCs w:val="16"/>
              </w:rPr>
              <w:t>.</w:t>
            </w:r>
          </w:p>
          <w:p w:rsidR="00BB1DBE" w:rsidRPr="00503351" w:rsidRDefault="00BB1DBE" w:rsidP="00D452EC">
            <w:pPr>
              <w:pStyle w:val="bullettable2"/>
              <w:ind w:left="317" w:hanging="283"/>
              <w:rPr>
                <w:sz w:val="16"/>
                <w:szCs w:val="16"/>
              </w:rPr>
            </w:pPr>
            <w:r w:rsidRPr="00503351">
              <w:rPr>
                <w:sz w:val="16"/>
                <w:szCs w:val="16"/>
              </w:rPr>
              <w:t>High financial contribution of ESIF to structural challenges.</w:t>
            </w:r>
          </w:p>
        </w:tc>
      </w:tr>
      <w:tr w:rsidR="00EF2AC6" w:rsidRPr="00503351" w:rsidTr="00D452EC">
        <w:trPr>
          <w:tblHeader/>
        </w:trPr>
        <w:tc>
          <w:tcPr>
            <w:tcW w:w="1384" w:type="dxa"/>
          </w:tcPr>
          <w:p w:rsidR="00E2529C" w:rsidRPr="00503351" w:rsidRDefault="00E2529C" w:rsidP="00982776">
            <w:pPr>
              <w:rPr>
                <w:sz w:val="16"/>
                <w:szCs w:val="16"/>
              </w:rPr>
            </w:pPr>
            <w:r w:rsidRPr="00503351">
              <w:rPr>
                <w:sz w:val="16"/>
                <w:szCs w:val="16"/>
              </w:rPr>
              <w:t>Lithuania</w:t>
            </w:r>
          </w:p>
        </w:tc>
        <w:tc>
          <w:tcPr>
            <w:tcW w:w="1985" w:type="dxa"/>
          </w:tcPr>
          <w:p w:rsidR="00E2529C" w:rsidRPr="00503351" w:rsidRDefault="00E2529C" w:rsidP="00982776">
            <w:pPr>
              <w:rPr>
                <w:sz w:val="16"/>
                <w:szCs w:val="16"/>
              </w:rPr>
            </w:pPr>
            <w:r w:rsidRPr="00503351">
              <w:rPr>
                <w:sz w:val="16"/>
                <w:szCs w:val="16"/>
              </w:rPr>
              <w:t xml:space="preserve">High alignment </w:t>
            </w:r>
          </w:p>
        </w:tc>
        <w:tc>
          <w:tcPr>
            <w:tcW w:w="2126" w:type="dxa"/>
          </w:tcPr>
          <w:p w:rsidR="00E2529C" w:rsidRPr="00503351" w:rsidRDefault="00E2529C" w:rsidP="00982776">
            <w:pPr>
              <w:rPr>
                <w:sz w:val="16"/>
                <w:szCs w:val="16"/>
              </w:rPr>
            </w:pPr>
            <w:r w:rsidRPr="00503351">
              <w:rPr>
                <w:sz w:val="16"/>
                <w:szCs w:val="16"/>
              </w:rPr>
              <w:t>High alignment</w:t>
            </w:r>
          </w:p>
        </w:tc>
        <w:tc>
          <w:tcPr>
            <w:tcW w:w="2268" w:type="dxa"/>
          </w:tcPr>
          <w:p w:rsidR="00E2529C" w:rsidRPr="00503351" w:rsidRDefault="00E2529C" w:rsidP="00982776">
            <w:pPr>
              <w:rPr>
                <w:sz w:val="16"/>
                <w:szCs w:val="16"/>
              </w:rPr>
            </w:pPr>
            <w:r w:rsidRPr="00503351">
              <w:rPr>
                <w:sz w:val="16"/>
                <w:szCs w:val="16"/>
              </w:rPr>
              <w:t xml:space="preserve">Medium alignment </w:t>
            </w:r>
          </w:p>
        </w:tc>
        <w:tc>
          <w:tcPr>
            <w:tcW w:w="7023" w:type="dxa"/>
          </w:tcPr>
          <w:p w:rsidR="00E2529C" w:rsidRPr="00503351" w:rsidRDefault="00E2529C" w:rsidP="00D452EC">
            <w:pPr>
              <w:pStyle w:val="bullettable2"/>
              <w:ind w:left="317" w:hanging="283"/>
              <w:rPr>
                <w:sz w:val="16"/>
                <w:szCs w:val="16"/>
              </w:rPr>
            </w:pPr>
            <w:r w:rsidRPr="00503351">
              <w:rPr>
                <w:sz w:val="16"/>
                <w:szCs w:val="16"/>
              </w:rPr>
              <w:t>Moderate influence of CSR/structural challenges on ESIF programming</w:t>
            </w:r>
            <w:r w:rsidR="001C5332" w:rsidRPr="00503351">
              <w:rPr>
                <w:sz w:val="16"/>
                <w:szCs w:val="16"/>
              </w:rPr>
              <w:t xml:space="preserve">; </w:t>
            </w:r>
            <w:r w:rsidRPr="00503351">
              <w:rPr>
                <w:sz w:val="16"/>
                <w:szCs w:val="16"/>
              </w:rPr>
              <w:t>coherence between documents</w:t>
            </w:r>
          </w:p>
          <w:p w:rsidR="00BB1DBE" w:rsidRPr="00503351" w:rsidRDefault="00BB1DBE" w:rsidP="00D452EC">
            <w:pPr>
              <w:pStyle w:val="bullettable2"/>
              <w:ind w:left="317" w:hanging="283"/>
              <w:rPr>
                <w:sz w:val="16"/>
                <w:szCs w:val="16"/>
              </w:rPr>
            </w:pPr>
            <w:r w:rsidRPr="00503351">
              <w:rPr>
                <w:sz w:val="16"/>
                <w:szCs w:val="16"/>
              </w:rPr>
              <w:t>High financial contribution of ESIF to structural challenges.</w:t>
            </w:r>
          </w:p>
        </w:tc>
      </w:tr>
      <w:tr w:rsidR="00183DCC" w:rsidRPr="00503351" w:rsidTr="00183DCC">
        <w:trPr>
          <w:tblHeader/>
        </w:trPr>
        <w:tc>
          <w:tcPr>
            <w:tcW w:w="1384" w:type="dxa"/>
          </w:tcPr>
          <w:p w:rsidR="00183DCC" w:rsidRPr="00503351" w:rsidRDefault="00183DCC" w:rsidP="00183DCC">
            <w:pPr>
              <w:rPr>
                <w:sz w:val="16"/>
                <w:szCs w:val="16"/>
              </w:rPr>
            </w:pPr>
            <w:r w:rsidRPr="00503351">
              <w:rPr>
                <w:sz w:val="16"/>
                <w:szCs w:val="16"/>
              </w:rPr>
              <w:t>Latvia</w:t>
            </w:r>
          </w:p>
        </w:tc>
        <w:tc>
          <w:tcPr>
            <w:tcW w:w="1985" w:type="dxa"/>
          </w:tcPr>
          <w:p w:rsidR="00183DCC" w:rsidRPr="00503351" w:rsidRDefault="00183DCC" w:rsidP="00183DCC">
            <w:pPr>
              <w:rPr>
                <w:sz w:val="16"/>
                <w:szCs w:val="16"/>
              </w:rPr>
            </w:pPr>
            <w:r w:rsidRPr="00503351">
              <w:rPr>
                <w:sz w:val="16"/>
                <w:szCs w:val="16"/>
              </w:rPr>
              <w:t xml:space="preserve">High alignment </w:t>
            </w:r>
          </w:p>
        </w:tc>
        <w:tc>
          <w:tcPr>
            <w:tcW w:w="2126" w:type="dxa"/>
          </w:tcPr>
          <w:p w:rsidR="00183DCC" w:rsidRPr="00503351" w:rsidRDefault="00183DCC" w:rsidP="00183DCC">
            <w:pPr>
              <w:rPr>
                <w:sz w:val="16"/>
                <w:szCs w:val="16"/>
              </w:rPr>
            </w:pPr>
            <w:r w:rsidRPr="00503351">
              <w:rPr>
                <w:sz w:val="16"/>
                <w:szCs w:val="16"/>
              </w:rPr>
              <w:t>High alignment</w:t>
            </w:r>
          </w:p>
        </w:tc>
        <w:tc>
          <w:tcPr>
            <w:tcW w:w="2268" w:type="dxa"/>
          </w:tcPr>
          <w:p w:rsidR="00183DCC" w:rsidRPr="00503351" w:rsidRDefault="00183DCC" w:rsidP="00183DCC">
            <w:pPr>
              <w:rPr>
                <w:sz w:val="16"/>
                <w:szCs w:val="16"/>
              </w:rPr>
            </w:pPr>
            <w:r w:rsidRPr="00503351">
              <w:rPr>
                <w:sz w:val="16"/>
                <w:szCs w:val="16"/>
              </w:rPr>
              <w:t>High alignment</w:t>
            </w:r>
          </w:p>
        </w:tc>
        <w:tc>
          <w:tcPr>
            <w:tcW w:w="7023" w:type="dxa"/>
          </w:tcPr>
          <w:p w:rsidR="00183DCC" w:rsidRPr="00503351" w:rsidRDefault="00183DCC" w:rsidP="00183DCC">
            <w:pPr>
              <w:pStyle w:val="bullettable2"/>
              <w:ind w:left="317" w:hanging="283"/>
              <w:rPr>
                <w:sz w:val="16"/>
                <w:szCs w:val="16"/>
              </w:rPr>
            </w:pPr>
            <w:r w:rsidRPr="00503351">
              <w:rPr>
                <w:sz w:val="16"/>
                <w:szCs w:val="16"/>
              </w:rPr>
              <w:t xml:space="preserve">Significant influence of CSR/structural challenges on ESIF programming. </w:t>
            </w:r>
          </w:p>
          <w:p w:rsidR="00183DCC" w:rsidRPr="00503351" w:rsidRDefault="00183DCC" w:rsidP="00183DCC">
            <w:pPr>
              <w:pStyle w:val="bullettable2"/>
              <w:ind w:left="317" w:hanging="283"/>
              <w:rPr>
                <w:sz w:val="16"/>
                <w:szCs w:val="16"/>
              </w:rPr>
            </w:pPr>
            <w:r w:rsidRPr="00503351">
              <w:rPr>
                <w:sz w:val="16"/>
                <w:szCs w:val="16"/>
              </w:rPr>
              <w:t>Coherence between programming documents.</w:t>
            </w:r>
          </w:p>
        </w:tc>
      </w:tr>
      <w:tr w:rsidR="00EF2AC6" w:rsidRPr="00503351" w:rsidTr="00D452EC">
        <w:trPr>
          <w:tblHeader/>
        </w:trPr>
        <w:tc>
          <w:tcPr>
            <w:tcW w:w="1384" w:type="dxa"/>
          </w:tcPr>
          <w:p w:rsidR="00E2529C" w:rsidRPr="00503351" w:rsidRDefault="00E2529C" w:rsidP="00982776">
            <w:pPr>
              <w:rPr>
                <w:sz w:val="16"/>
                <w:szCs w:val="16"/>
              </w:rPr>
            </w:pPr>
            <w:r w:rsidRPr="00503351">
              <w:rPr>
                <w:sz w:val="16"/>
                <w:szCs w:val="16"/>
              </w:rPr>
              <w:t>Luxembourg</w:t>
            </w:r>
          </w:p>
        </w:tc>
        <w:tc>
          <w:tcPr>
            <w:tcW w:w="1985" w:type="dxa"/>
          </w:tcPr>
          <w:p w:rsidR="00E2529C" w:rsidRPr="00503351" w:rsidRDefault="00E2529C" w:rsidP="00982776">
            <w:pPr>
              <w:rPr>
                <w:sz w:val="16"/>
                <w:szCs w:val="16"/>
              </w:rPr>
            </w:pPr>
            <w:r w:rsidRPr="00503351">
              <w:rPr>
                <w:sz w:val="16"/>
                <w:szCs w:val="16"/>
              </w:rPr>
              <w:t xml:space="preserve">High alignment </w:t>
            </w:r>
          </w:p>
        </w:tc>
        <w:tc>
          <w:tcPr>
            <w:tcW w:w="2126" w:type="dxa"/>
          </w:tcPr>
          <w:p w:rsidR="00E2529C" w:rsidRPr="00503351" w:rsidRDefault="00E2529C" w:rsidP="00982776">
            <w:pPr>
              <w:rPr>
                <w:sz w:val="16"/>
                <w:szCs w:val="16"/>
              </w:rPr>
            </w:pPr>
            <w:r w:rsidRPr="00503351">
              <w:rPr>
                <w:sz w:val="16"/>
                <w:szCs w:val="16"/>
              </w:rPr>
              <w:t>High alignment</w:t>
            </w:r>
          </w:p>
        </w:tc>
        <w:tc>
          <w:tcPr>
            <w:tcW w:w="2268" w:type="dxa"/>
          </w:tcPr>
          <w:p w:rsidR="00E2529C" w:rsidRPr="00503351" w:rsidRDefault="00E2529C" w:rsidP="00982776">
            <w:pPr>
              <w:rPr>
                <w:sz w:val="16"/>
                <w:szCs w:val="16"/>
              </w:rPr>
            </w:pPr>
            <w:r w:rsidRPr="00503351">
              <w:rPr>
                <w:sz w:val="16"/>
                <w:szCs w:val="16"/>
              </w:rPr>
              <w:t xml:space="preserve">Medium alignment </w:t>
            </w:r>
          </w:p>
        </w:tc>
        <w:tc>
          <w:tcPr>
            <w:tcW w:w="7023" w:type="dxa"/>
          </w:tcPr>
          <w:p w:rsidR="001C5332" w:rsidRPr="00503351" w:rsidRDefault="00E2529C" w:rsidP="00D452EC">
            <w:pPr>
              <w:pStyle w:val="bullettable2"/>
              <w:ind w:left="317" w:hanging="283"/>
              <w:rPr>
                <w:sz w:val="16"/>
                <w:szCs w:val="16"/>
              </w:rPr>
            </w:pPr>
            <w:r w:rsidRPr="00503351">
              <w:rPr>
                <w:sz w:val="16"/>
                <w:szCs w:val="16"/>
              </w:rPr>
              <w:t>Significant influence of CSR/structural challenges on ESIF programming</w:t>
            </w:r>
            <w:r w:rsidR="001C5332" w:rsidRPr="00503351">
              <w:rPr>
                <w:sz w:val="16"/>
                <w:szCs w:val="16"/>
              </w:rPr>
              <w:t>.</w:t>
            </w:r>
          </w:p>
          <w:p w:rsidR="00E2529C" w:rsidRPr="00503351" w:rsidRDefault="001C5332" w:rsidP="00D452EC">
            <w:pPr>
              <w:pStyle w:val="bullettable2"/>
              <w:ind w:left="317" w:hanging="283"/>
              <w:rPr>
                <w:sz w:val="16"/>
                <w:szCs w:val="16"/>
              </w:rPr>
            </w:pPr>
            <w:r w:rsidRPr="00503351">
              <w:rPr>
                <w:sz w:val="16"/>
                <w:szCs w:val="16"/>
              </w:rPr>
              <w:t>C</w:t>
            </w:r>
            <w:r w:rsidR="00E2529C" w:rsidRPr="00503351">
              <w:rPr>
                <w:sz w:val="16"/>
                <w:szCs w:val="16"/>
              </w:rPr>
              <w:t xml:space="preserve">oherence between </w:t>
            </w:r>
            <w:r w:rsidRPr="00503351">
              <w:rPr>
                <w:sz w:val="16"/>
                <w:szCs w:val="16"/>
              </w:rPr>
              <w:t xml:space="preserve">programming </w:t>
            </w:r>
            <w:r w:rsidR="00E2529C" w:rsidRPr="00503351">
              <w:rPr>
                <w:sz w:val="16"/>
                <w:szCs w:val="16"/>
              </w:rPr>
              <w:t>documents</w:t>
            </w:r>
            <w:r w:rsidRPr="00503351">
              <w:rPr>
                <w:sz w:val="16"/>
                <w:szCs w:val="16"/>
              </w:rPr>
              <w:t>.</w:t>
            </w:r>
          </w:p>
        </w:tc>
      </w:tr>
      <w:tr w:rsidR="00EF2AC6" w:rsidRPr="00503351" w:rsidTr="00D452EC">
        <w:trPr>
          <w:tblHeader/>
        </w:trPr>
        <w:tc>
          <w:tcPr>
            <w:tcW w:w="1384" w:type="dxa"/>
          </w:tcPr>
          <w:p w:rsidR="00E2529C" w:rsidRPr="00503351" w:rsidRDefault="00E2529C" w:rsidP="00982776">
            <w:pPr>
              <w:rPr>
                <w:sz w:val="16"/>
                <w:szCs w:val="16"/>
              </w:rPr>
            </w:pPr>
            <w:r w:rsidRPr="00503351">
              <w:rPr>
                <w:sz w:val="16"/>
                <w:szCs w:val="16"/>
              </w:rPr>
              <w:t>Malta</w:t>
            </w:r>
          </w:p>
        </w:tc>
        <w:tc>
          <w:tcPr>
            <w:tcW w:w="1985" w:type="dxa"/>
          </w:tcPr>
          <w:p w:rsidR="00E2529C" w:rsidRPr="00503351" w:rsidRDefault="00E2529C" w:rsidP="00982776">
            <w:pPr>
              <w:rPr>
                <w:sz w:val="16"/>
                <w:szCs w:val="16"/>
              </w:rPr>
            </w:pPr>
            <w:r w:rsidRPr="00503351">
              <w:rPr>
                <w:sz w:val="16"/>
                <w:szCs w:val="16"/>
              </w:rPr>
              <w:t xml:space="preserve">High alignment </w:t>
            </w:r>
          </w:p>
        </w:tc>
        <w:tc>
          <w:tcPr>
            <w:tcW w:w="2126" w:type="dxa"/>
          </w:tcPr>
          <w:p w:rsidR="00E2529C" w:rsidRPr="00503351" w:rsidRDefault="00E2529C" w:rsidP="00982776">
            <w:pPr>
              <w:rPr>
                <w:sz w:val="16"/>
                <w:szCs w:val="16"/>
              </w:rPr>
            </w:pPr>
            <w:r w:rsidRPr="00503351">
              <w:rPr>
                <w:sz w:val="16"/>
                <w:szCs w:val="16"/>
              </w:rPr>
              <w:t>High alignment</w:t>
            </w:r>
          </w:p>
        </w:tc>
        <w:tc>
          <w:tcPr>
            <w:tcW w:w="2268" w:type="dxa"/>
          </w:tcPr>
          <w:p w:rsidR="00E2529C" w:rsidRPr="00503351" w:rsidRDefault="00E2529C" w:rsidP="00982776">
            <w:pPr>
              <w:rPr>
                <w:sz w:val="16"/>
                <w:szCs w:val="16"/>
              </w:rPr>
            </w:pPr>
            <w:r w:rsidRPr="00503351">
              <w:rPr>
                <w:sz w:val="16"/>
                <w:szCs w:val="16"/>
              </w:rPr>
              <w:t xml:space="preserve">High alignment </w:t>
            </w:r>
          </w:p>
        </w:tc>
        <w:tc>
          <w:tcPr>
            <w:tcW w:w="7023" w:type="dxa"/>
          </w:tcPr>
          <w:p w:rsidR="00E2529C" w:rsidRPr="00503351" w:rsidRDefault="00E2529C" w:rsidP="00D452EC">
            <w:pPr>
              <w:pStyle w:val="bullettable2"/>
              <w:ind w:left="317" w:hanging="283"/>
              <w:rPr>
                <w:sz w:val="16"/>
                <w:szCs w:val="16"/>
              </w:rPr>
            </w:pPr>
            <w:r w:rsidRPr="00503351">
              <w:rPr>
                <w:sz w:val="16"/>
                <w:szCs w:val="16"/>
              </w:rPr>
              <w:t>Significant influence of CSR/structural challenges on ESIF programming</w:t>
            </w:r>
            <w:r w:rsidR="00EF2AC6" w:rsidRPr="00503351">
              <w:rPr>
                <w:sz w:val="16"/>
                <w:szCs w:val="16"/>
              </w:rPr>
              <w:t xml:space="preserve">; </w:t>
            </w:r>
            <w:r w:rsidRPr="00503351">
              <w:rPr>
                <w:sz w:val="16"/>
                <w:szCs w:val="16"/>
              </w:rPr>
              <w:t>coherence between documents</w:t>
            </w:r>
          </w:p>
          <w:p w:rsidR="00BB1DBE" w:rsidRPr="00503351" w:rsidRDefault="00BB1DBE" w:rsidP="00D452EC">
            <w:pPr>
              <w:pStyle w:val="bullettable2"/>
              <w:ind w:left="317" w:hanging="283"/>
              <w:rPr>
                <w:sz w:val="16"/>
                <w:szCs w:val="16"/>
              </w:rPr>
            </w:pPr>
            <w:r w:rsidRPr="00503351">
              <w:rPr>
                <w:sz w:val="16"/>
                <w:szCs w:val="16"/>
              </w:rPr>
              <w:t>High financial contribution of ESIF to structural challenges.</w:t>
            </w:r>
          </w:p>
        </w:tc>
      </w:tr>
      <w:tr w:rsidR="00EF2AC6" w:rsidRPr="00503351" w:rsidTr="00D452EC">
        <w:trPr>
          <w:tblHeader/>
        </w:trPr>
        <w:tc>
          <w:tcPr>
            <w:tcW w:w="1384" w:type="dxa"/>
          </w:tcPr>
          <w:p w:rsidR="00E2529C" w:rsidRPr="00503351" w:rsidRDefault="00E2529C" w:rsidP="00982776">
            <w:pPr>
              <w:rPr>
                <w:sz w:val="16"/>
                <w:szCs w:val="16"/>
              </w:rPr>
            </w:pPr>
            <w:r w:rsidRPr="00503351">
              <w:rPr>
                <w:sz w:val="16"/>
                <w:szCs w:val="16"/>
              </w:rPr>
              <w:t>Netherlands</w:t>
            </w:r>
          </w:p>
        </w:tc>
        <w:tc>
          <w:tcPr>
            <w:tcW w:w="1985" w:type="dxa"/>
          </w:tcPr>
          <w:p w:rsidR="00E2529C" w:rsidRPr="00503351" w:rsidRDefault="00E2529C" w:rsidP="00982776">
            <w:pPr>
              <w:rPr>
                <w:sz w:val="16"/>
                <w:szCs w:val="16"/>
              </w:rPr>
            </w:pPr>
            <w:r w:rsidRPr="00503351">
              <w:rPr>
                <w:sz w:val="16"/>
                <w:szCs w:val="16"/>
              </w:rPr>
              <w:t xml:space="preserve">High alignment </w:t>
            </w:r>
          </w:p>
        </w:tc>
        <w:tc>
          <w:tcPr>
            <w:tcW w:w="2126" w:type="dxa"/>
          </w:tcPr>
          <w:p w:rsidR="00E2529C" w:rsidRPr="00503351" w:rsidRDefault="00E2529C" w:rsidP="00982776">
            <w:pPr>
              <w:rPr>
                <w:sz w:val="16"/>
                <w:szCs w:val="16"/>
              </w:rPr>
            </w:pPr>
            <w:r w:rsidRPr="00503351">
              <w:rPr>
                <w:sz w:val="16"/>
                <w:szCs w:val="16"/>
              </w:rPr>
              <w:t>High alignment</w:t>
            </w:r>
          </w:p>
        </w:tc>
        <w:tc>
          <w:tcPr>
            <w:tcW w:w="2268" w:type="dxa"/>
          </w:tcPr>
          <w:p w:rsidR="00E2529C" w:rsidRPr="00503351" w:rsidRDefault="00E2529C" w:rsidP="00982776">
            <w:pPr>
              <w:rPr>
                <w:sz w:val="16"/>
                <w:szCs w:val="16"/>
              </w:rPr>
            </w:pPr>
            <w:r w:rsidRPr="00503351">
              <w:rPr>
                <w:sz w:val="16"/>
                <w:szCs w:val="16"/>
              </w:rPr>
              <w:t xml:space="preserve">Medium-Low alignment </w:t>
            </w:r>
          </w:p>
        </w:tc>
        <w:tc>
          <w:tcPr>
            <w:tcW w:w="7023" w:type="dxa"/>
          </w:tcPr>
          <w:p w:rsidR="00E2529C" w:rsidRPr="00503351" w:rsidRDefault="00E2529C" w:rsidP="00D452EC">
            <w:pPr>
              <w:pStyle w:val="bullettable2"/>
              <w:ind w:left="317" w:hanging="283"/>
              <w:rPr>
                <w:sz w:val="16"/>
                <w:szCs w:val="16"/>
              </w:rPr>
            </w:pPr>
            <w:r w:rsidRPr="00503351">
              <w:rPr>
                <w:sz w:val="16"/>
                <w:szCs w:val="16"/>
              </w:rPr>
              <w:t>Limited influence of CSR/structural challenges on ESIF programming</w:t>
            </w:r>
            <w:r w:rsidR="00EF2AC6" w:rsidRPr="00503351">
              <w:rPr>
                <w:sz w:val="16"/>
                <w:szCs w:val="16"/>
              </w:rPr>
              <w:t xml:space="preserve">; </w:t>
            </w:r>
            <w:r w:rsidRPr="00503351">
              <w:rPr>
                <w:sz w:val="16"/>
                <w:szCs w:val="16"/>
              </w:rPr>
              <w:t>OPs do not reflect the emphasis that CPP and PA put on CSRs.</w:t>
            </w:r>
          </w:p>
          <w:p w:rsidR="00BB1DBE" w:rsidRPr="00503351" w:rsidRDefault="00BB1DBE" w:rsidP="00D452EC">
            <w:pPr>
              <w:pStyle w:val="bullettable2"/>
              <w:ind w:left="317" w:hanging="283"/>
              <w:rPr>
                <w:sz w:val="16"/>
                <w:szCs w:val="16"/>
              </w:rPr>
            </w:pPr>
            <w:r w:rsidRPr="00503351">
              <w:rPr>
                <w:sz w:val="16"/>
                <w:szCs w:val="16"/>
              </w:rPr>
              <w:t xml:space="preserve">High financial contribution of ESIF to </w:t>
            </w:r>
            <w:r w:rsidR="001C5332" w:rsidRPr="00503351">
              <w:rPr>
                <w:sz w:val="16"/>
                <w:szCs w:val="16"/>
              </w:rPr>
              <w:t>CSR in policy areas where there are challenges</w:t>
            </w:r>
            <w:r w:rsidRPr="00503351">
              <w:rPr>
                <w:sz w:val="16"/>
                <w:szCs w:val="16"/>
              </w:rPr>
              <w:t>.</w:t>
            </w:r>
          </w:p>
        </w:tc>
      </w:tr>
      <w:tr w:rsidR="00EF2AC6" w:rsidRPr="00503351" w:rsidTr="00D452EC">
        <w:trPr>
          <w:tblHeader/>
        </w:trPr>
        <w:tc>
          <w:tcPr>
            <w:tcW w:w="1384" w:type="dxa"/>
          </w:tcPr>
          <w:p w:rsidR="00E2529C" w:rsidRPr="00503351" w:rsidRDefault="00E2529C" w:rsidP="00982776">
            <w:pPr>
              <w:rPr>
                <w:sz w:val="16"/>
                <w:szCs w:val="16"/>
              </w:rPr>
            </w:pPr>
            <w:r w:rsidRPr="00503351">
              <w:rPr>
                <w:sz w:val="16"/>
                <w:szCs w:val="16"/>
              </w:rPr>
              <w:t>Poland</w:t>
            </w:r>
          </w:p>
        </w:tc>
        <w:tc>
          <w:tcPr>
            <w:tcW w:w="1985" w:type="dxa"/>
          </w:tcPr>
          <w:p w:rsidR="00E2529C" w:rsidRPr="00503351" w:rsidRDefault="00E2529C" w:rsidP="00982776">
            <w:pPr>
              <w:rPr>
                <w:sz w:val="16"/>
                <w:szCs w:val="16"/>
              </w:rPr>
            </w:pPr>
            <w:r w:rsidRPr="00503351">
              <w:rPr>
                <w:sz w:val="16"/>
                <w:szCs w:val="16"/>
              </w:rPr>
              <w:t xml:space="preserve">High alignment </w:t>
            </w:r>
          </w:p>
        </w:tc>
        <w:tc>
          <w:tcPr>
            <w:tcW w:w="2126" w:type="dxa"/>
          </w:tcPr>
          <w:p w:rsidR="00E2529C" w:rsidRPr="00503351" w:rsidRDefault="00E2529C" w:rsidP="00982776">
            <w:pPr>
              <w:rPr>
                <w:sz w:val="16"/>
                <w:szCs w:val="16"/>
              </w:rPr>
            </w:pPr>
            <w:r w:rsidRPr="00503351">
              <w:rPr>
                <w:sz w:val="16"/>
                <w:szCs w:val="16"/>
              </w:rPr>
              <w:t>High alignment</w:t>
            </w:r>
          </w:p>
        </w:tc>
        <w:tc>
          <w:tcPr>
            <w:tcW w:w="2268" w:type="dxa"/>
          </w:tcPr>
          <w:p w:rsidR="00E2529C" w:rsidRPr="00503351" w:rsidRDefault="00E2529C" w:rsidP="00982776">
            <w:pPr>
              <w:rPr>
                <w:sz w:val="16"/>
                <w:szCs w:val="16"/>
              </w:rPr>
            </w:pPr>
            <w:r w:rsidRPr="00503351">
              <w:rPr>
                <w:sz w:val="16"/>
                <w:szCs w:val="16"/>
              </w:rPr>
              <w:t xml:space="preserve">Medium alignment </w:t>
            </w:r>
          </w:p>
        </w:tc>
        <w:tc>
          <w:tcPr>
            <w:tcW w:w="7023" w:type="dxa"/>
          </w:tcPr>
          <w:p w:rsidR="00E2529C" w:rsidRPr="00503351" w:rsidRDefault="00E2529C" w:rsidP="00D452EC">
            <w:pPr>
              <w:pStyle w:val="bullettable2"/>
              <w:ind w:left="317" w:hanging="283"/>
              <w:rPr>
                <w:sz w:val="16"/>
                <w:szCs w:val="16"/>
              </w:rPr>
            </w:pPr>
            <w:r w:rsidRPr="00503351">
              <w:rPr>
                <w:sz w:val="16"/>
                <w:szCs w:val="16"/>
              </w:rPr>
              <w:t>Moderate influence of CSR/structural challenges on ESIF programming</w:t>
            </w:r>
            <w:r w:rsidR="00EF2AC6" w:rsidRPr="00503351">
              <w:rPr>
                <w:sz w:val="16"/>
                <w:szCs w:val="16"/>
              </w:rPr>
              <w:t>; c</w:t>
            </w:r>
            <w:r w:rsidRPr="00503351">
              <w:rPr>
                <w:sz w:val="16"/>
                <w:szCs w:val="16"/>
              </w:rPr>
              <w:t>oherence between documents</w:t>
            </w:r>
            <w:r w:rsidR="001C5332" w:rsidRPr="00503351">
              <w:rPr>
                <w:sz w:val="16"/>
                <w:szCs w:val="16"/>
              </w:rPr>
              <w:t>.</w:t>
            </w:r>
          </w:p>
          <w:p w:rsidR="00BB1DBE" w:rsidRPr="00503351" w:rsidRDefault="00BB1DBE" w:rsidP="00D452EC">
            <w:pPr>
              <w:pStyle w:val="bullettable2"/>
              <w:ind w:left="317" w:hanging="283"/>
              <w:rPr>
                <w:sz w:val="16"/>
                <w:szCs w:val="16"/>
              </w:rPr>
            </w:pPr>
            <w:r w:rsidRPr="00503351">
              <w:rPr>
                <w:sz w:val="16"/>
                <w:szCs w:val="16"/>
              </w:rPr>
              <w:t xml:space="preserve">High financial contribution of ESIF to </w:t>
            </w:r>
            <w:r w:rsidR="001C5332" w:rsidRPr="00503351">
              <w:rPr>
                <w:sz w:val="16"/>
                <w:szCs w:val="16"/>
              </w:rPr>
              <w:t xml:space="preserve">CSR in policy areas where there are </w:t>
            </w:r>
            <w:r w:rsidRPr="00503351">
              <w:rPr>
                <w:sz w:val="16"/>
                <w:szCs w:val="16"/>
              </w:rPr>
              <w:t>challenges.</w:t>
            </w:r>
          </w:p>
        </w:tc>
      </w:tr>
      <w:tr w:rsidR="00EF2AC6" w:rsidRPr="00503351" w:rsidTr="00D452EC">
        <w:trPr>
          <w:tblHeader/>
        </w:trPr>
        <w:tc>
          <w:tcPr>
            <w:tcW w:w="1384" w:type="dxa"/>
          </w:tcPr>
          <w:p w:rsidR="00E2529C" w:rsidRPr="00503351" w:rsidRDefault="00E2529C" w:rsidP="00982776">
            <w:pPr>
              <w:rPr>
                <w:sz w:val="16"/>
                <w:szCs w:val="16"/>
              </w:rPr>
            </w:pPr>
            <w:r w:rsidRPr="00503351">
              <w:rPr>
                <w:sz w:val="16"/>
                <w:szCs w:val="16"/>
              </w:rPr>
              <w:t>Portugal</w:t>
            </w:r>
          </w:p>
        </w:tc>
        <w:tc>
          <w:tcPr>
            <w:tcW w:w="1985" w:type="dxa"/>
          </w:tcPr>
          <w:p w:rsidR="00E2529C" w:rsidRPr="00503351" w:rsidRDefault="00E2529C" w:rsidP="00982776">
            <w:pPr>
              <w:rPr>
                <w:sz w:val="16"/>
                <w:szCs w:val="16"/>
              </w:rPr>
            </w:pPr>
            <w:r w:rsidRPr="00503351">
              <w:rPr>
                <w:sz w:val="16"/>
                <w:szCs w:val="16"/>
              </w:rPr>
              <w:t xml:space="preserve">Medium alignment </w:t>
            </w:r>
          </w:p>
        </w:tc>
        <w:tc>
          <w:tcPr>
            <w:tcW w:w="2126" w:type="dxa"/>
          </w:tcPr>
          <w:p w:rsidR="00E2529C" w:rsidRPr="00503351" w:rsidRDefault="00E2529C" w:rsidP="00982776">
            <w:pPr>
              <w:rPr>
                <w:sz w:val="16"/>
                <w:szCs w:val="16"/>
              </w:rPr>
            </w:pPr>
            <w:r w:rsidRPr="00503351">
              <w:rPr>
                <w:sz w:val="16"/>
                <w:szCs w:val="16"/>
              </w:rPr>
              <w:t xml:space="preserve">Medium alignment </w:t>
            </w:r>
          </w:p>
        </w:tc>
        <w:tc>
          <w:tcPr>
            <w:tcW w:w="2268" w:type="dxa"/>
          </w:tcPr>
          <w:p w:rsidR="00E2529C" w:rsidRPr="00503351" w:rsidRDefault="00E2529C" w:rsidP="00982776">
            <w:pPr>
              <w:rPr>
                <w:sz w:val="16"/>
                <w:szCs w:val="16"/>
              </w:rPr>
            </w:pPr>
            <w:r w:rsidRPr="00503351">
              <w:rPr>
                <w:sz w:val="16"/>
                <w:szCs w:val="16"/>
              </w:rPr>
              <w:t xml:space="preserve">Medium alignment </w:t>
            </w:r>
          </w:p>
        </w:tc>
        <w:tc>
          <w:tcPr>
            <w:tcW w:w="7023" w:type="dxa"/>
          </w:tcPr>
          <w:p w:rsidR="00E2529C" w:rsidRPr="00503351" w:rsidRDefault="00E2529C" w:rsidP="00D452EC">
            <w:pPr>
              <w:pStyle w:val="bullettable2"/>
              <w:ind w:left="317" w:hanging="283"/>
              <w:rPr>
                <w:sz w:val="16"/>
                <w:szCs w:val="16"/>
              </w:rPr>
            </w:pPr>
            <w:r w:rsidRPr="00503351">
              <w:rPr>
                <w:sz w:val="16"/>
                <w:szCs w:val="16"/>
              </w:rPr>
              <w:t>Limited influence of CSR/structural</w:t>
            </w:r>
            <w:r w:rsidR="00EF2AC6" w:rsidRPr="00503351">
              <w:rPr>
                <w:sz w:val="16"/>
                <w:szCs w:val="16"/>
              </w:rPr>
              <w:t xml:space="preserve"> challenges on ESIF programming; c</w:t>
            </w:r>
            <w:r w:rsidRPr="00503351">
              <w:rPr>
                <w:sz w:val="16"/>
                <w:szCs w:val="16"/>
              </w:rPr>
              <w:t>oherence between documents</w:t>
            </w:r>
            <w:r w:rsidR="001C5332" w:rsidRPr="00503351">
              <w:rPr>
                <w:sz w:val="16"/>
                <w:szCs w:val="16"/>
              </w:rPr>
              <w:t>.</w:t>
            </w:r>
          </w:p>
          <w:p w:rsidR="00BB1DBE" w:rsidRPr="00503351" w:rsidRDefault="00BB1DBE" w:rsidP="00D452EC">
            <w:pPr>
              <w:pStyle w:val="bullettable2"/>
              <w:ind w:left="317" w:hanging="283"/>
              <w:rPr>
                <w:sz w:val="16"/>
                <w:szCs w:val="16"/>
              </w:rPr>
            </w:pPr>
            <w:r w:rsidRPr="00503351">
              <w:rPr>
                <w:sz w:val="16"/>
                <w:szCs w:val="16"/>
              </w:rPr>
              <w:t xml:space="preserve">High financial contribution of ESIF </w:t>
            </w:r>
            <w:r w:rsidR="001C5332" w:rsidRPr="00503351">
              <w:rPr>
                <w:sz w:val="16"/>
                <w:szCs w:val="16"/>
              </w:rPr>
              <w:t xml:space="preserve">in policy areas where there are </w:t>
            </w:r>
            <w:r w:rsidRPr="00503351">
              <w:rPr>
                <w:sz w:val="16"/>
                <w:szCs w:val="16"/>
              </w:rPr>
              <w:t>structural challenges.</w:t>
            </w:r>
          </w:p>
        </w:tc>
      </w:tr>
      <w:tr w:rsidR="00EF2AC6" w:rsidRPr="00503351" w:rsidTr="00D452EC">
        <w:trPr>
          <w:tblHeader/>
        </w:trPr>
        <w:tc>
          <w:tcPr>
            <w:tcW w:w="1384" w:type="dxa"/>
          </w:tcPr>
          <w:p w:rsidR="00E2529C" w:rsidRPr="00503351" w:rsidRDefault="00E2529C" w:rsidP="00982776">
            <w:pPr>
              <w:rPr>
                <w:sz w:val="16"/>
                <w:szCs w:val="16"/>
              </w:rPr>
            </w:pPr>
            <w:r w:rsidRPr="00503351">
              <w:rPr>
                <w:sz w:val="16"/>
                <w:szCs w:val="16"/>
              </w:rPr>
              <w:t>Romania</w:t>
            </w:r>
          </w:p>
        </w:tc>
        <w:tc>
          <w:tcPr>
            <w:tcW w:w="1985" w:type="dxa"/>
          </w:tcPr>
          <w:p w:rsidR="00E2529C" w:rsidRPr="00503351" w:rsidRDefault="00E2529C" w:rsidP="00982776">
            <w:pPr>
              <w:rPr>
                <w:sz w:val="16"/>
                <w:szCs w:val="16"/>
              </w:rPr>
            </w:pPr>
            <w:r w:rsidRPr="00503351">
              <w:rPr>
                <w:sz w:val="16"/>
                <w:szCs w:val="16"/>
              </w:rPr>
              <w:t xml:space="preserve">High alignment </w:t>
            </w:r>
          </w:p>
        </w:tc>
        <w:tc>
          <w:tcPr>
            <w:tcW w:w="2126" w:type="dxa"/>
          </w:tcPr>
          <w:p w:rsidR="00E2529C" w:rsidRPr="00503351" w:rsidRDefault="00E2529C" w:rsidP="00982776">
            <w:pPr>
              <w:rPr>
                <w:sz w:val="16"/>
                <w:szCs w:val="16"/>
              </w:rPr>
            </w:pPr>
            <w:r w:rsidRPr="00503351">
              <w:rPr>
                <w:sz w:val="16"/>
                <w:szCs w:val="16"/>
              </w:rPr>
              <w:t>High alignment</w:t>
            </w:r>
          </w:p>
        </w:tc>
        <w:tc>
          <w:tcPr>
            <w:tcW w:w="2268" w:type="dxa"/>
          </w:tcPr>
          <w:p w:rsidR="00E2529C" w:rsidRPr="00503351" w:rsidRDefault="00E2529C" w:rsidP="00982776">
            <w:pPr>
              <w:rPr>
                <w:sz w:val="16"/>
                <w:szCs w:val="16"/>
              </w:rPr>
            </w:pPr>
            <w:r w:rsidRPr="00503351">
              <w:rPr>
                <w:sz w:val="16"/>
                <w:szCs w:val="16"/>
              </w:rPr>
              <w:t xml:space="preserve">Medium-High alignment </w:t>
            </w:r>
          </w:p>
        </w:tc>
        <w:tc>
          <w:tcPr>
            <w:tcW w:w="7023" w:type="dxa"/>
          </w:tcPr>
          <w:p w:rsidR="00E2529C" w:rsidRPr="00503351" w:rsidRDefault="00E2529C" w:rsidP="00D452EC">
            <w:pPr>
              <w:pStyle w:val="bullettable2"/>
              <w:ind w:left="317" w:hanging="283"/>
              <w:rPr>
                <w:sz w:val="16"/>
                <w:szCs w:val="16"/>
              </w:rPr>
            </w:pPr>
            <w:r w:rsidRPr="00503351">
              <w:rPr>
                <w:sz w:val="16"/>
                <w:szCs w:val="16"/>
              </w:rPr>
              <w:t>Significant influence of CSR/structural challenges on ESIF programming</w:t>
            </w:r>
            <w:r w:rsidR="00503351" w:rsidRPr="00503351">
              <w:rPr>
                <w:sz w:val="16"/>
                <w:szCs w:val="16"/>
              </w:rPr>
              <w:t xml:space="preserve">; </w:t>
            </w:r>
            <w:r w:rsidRPr="00503351">
              <w:rPr>
                <w:sz w:val="16"/>
                <w:szCs w:val="16"/>
              </w:rPr>
              <w:t>coherence between documents</w:t>
            </w:r>
            <w:r w:rsidR="00C965A8" w:rsidRPr="00503351">
              <w:rPr>
                <w:sz w:val="16"/>
                <w:szCs w:val="16"/>
              </w:rPr>
              <w:t>.</w:t>
            </w:r>
          </w:p>
          <w:p w:rsidR="00BB1DBE" w:rsidRPr="00503351" w:rsidRDefault="00BB1DBE" w:rsidP="00D452EC">
            <w:pPr>
              <w:pStyle w:val="bullettable2"/>
              <w:ind w:left="317" w:hanging="283"/>
              <w:rPr>
                <w:sz w:val="16"/>
                <w:szCs w:val="16"/>
              </w:rPr>
            </w:pPr>
            <w:r w:rsidRPr="00503351">
              <w:rPr>
                <w:sz w:val="16"/>
                <w:szCs w:val="16"/>
              </w:rPr>
              <w:t>High financial contribution of ESIF to structural challenges.</w:t>
            </w:r>
          </w:p>
        </w:tc>
      </w:tr>
      <w:tr w:rsidR="00183DCC" w:rsidRPr="00503351" w:rsidTr="00183DCC">
        <w:trPr>
          <w:tblHeader/>
        </w:trPr>
        <w:tc>
          <w:tcPr>
            <w:tcW w:w="1384" w:type="dxa"/>
          </w:tcPr>
          <w:p w:rsidR="00183DCC" w:rsidRPr="00503351" w:rsidRDefault="00183DCC" w:rsidP="00183DCC">
            <w:pPr>
              <w:rPr>
                <w:sz w:val="16"/>
                <w:szCs w:val="16"/>
              </w:rPr>
            </w:pPr>
            <w:r w:rsidRPr="00503351">
              <w:rPr>
                <w:sz w:val="16"/>
                <w:szCs w:val="16"/>
              </w:rPr>
              <w:t>Slovakia</w:t>
            </w:r>
          </w:p>
        </w:tc>
        <w:tc>
          <w:tcPr>
            <w:tcW w:w="1985" w:type="dxa"/>
          </w:tcPr>
          <w:p w:rsidR="00183DCC" w:rsidRPr="00503351" w:rsidRDefault="00183DCC" w:rsidP="00183DCC">
            <w:pPr>
              <w:rPr>
                <w:sz w:val="16"/>
                <w:szCs w:val="16"/>
              </w:rPr>
            </w:pPr>
            <w:r w:rsidRPr="00503351">
              <w:rPr>
                <w:sz w:val="16"/>
                <w:szCs w:val="16"/>
              </w:rPr>
              <w:t xml:space="preserve">High alignment </w:t>
            </w:r>
          </w:p>
        </w:tc>
        <w:tc>
          <w:tcPr>
            <w:tcW w:w="2126" w:type="dxa"/>
          </w:tcPr>
          <w:p w:rsidR="00183DCC" w:rsidRPr="00503351" w:rsidRDefault="00183DCC" w:rsidP="00183DCC">
            <w:pPr>
              <w:rPr>
                <w:sz w:val="16"/>
                <w:szCs w:val="16"/>
              </w:rPr>
            </w:pPr>
            <w:r w:rsidRPr="00503351">
              <w:rPr>
                <w:sz w:val="16"/>
                <w:szCs w:val="16"/>
              </w:rPr>
              <w:t>High alignment</w:t>
            </w:r>
          </w:p>
        </w:tc>
        <w:tc>
          <w:tcPr>
            <w:tcW w:w="2268" w:type="dxa"/>
          </w:tcPr>
          <w:p w:rsidR="00183DCC" w:rsidRPr="00503351" w:rsidRDefault="00183DCC" w:rsidP="00183DCC">
            <w:pPr>
              <w:rPr>
                <w:sz w:val="16"/>
                <w:szCs w:val="16"/>
              </w:rPr>
            </w:pPr>
            <w:r w:rsidRPr="00503351">
              <w:rPr>
                <w:sz w:val="16"/>
                <w:szCs w:val="16"/>
              </w:rPr>
              <w:t xml:space="preserve">High alignment </w:t>
            </w:r>
          </w:p>
        </w:tc>
        <w:tc>
          <w:tcPr>
            <w:tcW w:w="7023" w:type="dxa"/>
          </w:tcPr>
          <w:p w:rsidR="00183DCC" w:rsidRPr="00503351" w:rsidRDefault="00183DCC" w:rsidP="00183DCC">
            <w:pPr>
              <w:pStyle w:val="bullettable2"/>
              <w:ind w:left="317" w:hanging="283"/>
              <w:rPr>
                <w:sz w:val="16"/>
                <w:szCs w:val="16"/>
              </w:rPr>
            </w:pPr>
            <w:r w:rsidRPr="00503351">
              <w:rPr>
                <w:sz w:val="16"/>
                <w:szCs w:val="16"/>
              </w:rPr>
              <w:t>Significant influence of CSR/structural challenges on ESIF programming; coherence between documents</w:t>
            </w:r>
          </w:p>
          <w:p w:rsidR="00183DCC" w:rsidRPr="00503351" w:rsidRDefault="00183DCC" w:rsidP="00183DCC">
            <w:pPr>
              <w:pStyle w:val="bullettable2"/>
              <w:ind w:left="317" w:hanging="283"/>
              <w:rPr>
                <w:sz w:val="16"/>
                <w:szCs w:val="16"/>
              </w:rPr>
            </w:pPr>
            <w:r w:rsidRPr="00503351">
              <w:rPr>
                <w:sz w:val="16"/>
                <w:szCs w:val="16"/>
              </w:rPr>
              <w:t>High financial contribution of ESIF to structural challenges.</w:t>
            </w:r>
          </w:p>
        </w:tc>
      </w:tr>
      <w:tr w:rsidR="00183DCC" w:rsidRPr="00503351" w:rsidTr="00183DCC">
        <w:trPr>
          <w:tblHeader/>
        </w:trPr>
        <w:tc>
          <w:tcPr>
            <w:tcW w:w="1384" w:type="dxa"/>
          </w:tcPr>
          <w:p w:rsidR="00183DCC" w:rsidRPr="00503351" w:rsidRDefault="00183DCC" w:rsidP="00183DCC">
            <w:pPr>
              <w:rPr>
                <w:sz w:val="16"/>
                <w:szCs w:val="16"/>
              </w:rPr>
            </w:pPr>
            <w:r w:rsidRPr="00503351">
              <w:rPr>
                <w:sz w:val="16"/>
                <w:szCs w:val="16"/>
              </w:rPr>
              <w:t>Slovenia</w:t>
            </w:r>
          </w:p>
        </w:tc>
        <w:tc>
          <w:tcPr>
            <w:tcW w:w="1985" w:type="dxa"/>
          </w:tcPr>
          <w:p w:rsidR="00183DCC" w:rsidRPr="00503351" w:rsidRDefault="00183DCC" w:rsidP="00183DCC">
            <w:pPr>
              <w:rPr>
                <w:sz w:val="16"/>
                <w:szCs w:val="16"/>
              </w:rPr>
            </w:pPr>
            <w:r w:rsidRPr="00503351">
              <w:rPr>
                <w:sz w:val="16"/>
                <w:szCs w:val="16"/>
              </w:rPr>
              <w:t xml:space="preserve">High alignment </w:t>
            </w:r>
          </w:p>
        </w:tc>
        <w:tc>
          <w:tcPr>
            <w:tcW w:w="2126" w:type="dxa"/>
          </w:tcPr>
          <w:p w:rsidR="00183DCC" w:rsidRPr="00503351" w:rsidRDefault="00183DCC" w:rsidP="00183DCC">
            <w:pPr>
              <w:rPr>
                <w:sz w:val="16"/>
                <w:szCs w:val="16"/>
              </w:rPr>
            </w:pPr>
            <w:r w:rsidRPr="00503351">
              <w:rPr>
                <w:sz w:val="16"/>
                <w:szCs w:val="16"/>
              </w:rPr>
              <w:t>High alignment</w:t>
            </w:r>
          </w:p>
        </w:tc>
        <w:tc>
          <w:tcPr>
            <w:tcW w:w="2268" w:type="dxa"/>
          </w:tcPr>
          <w:p w:rsidR="00183DCC" w:rsidRPr="00503351" w:rsidRDefault="00183DCC" w:rsidP="00183DCC">
            <w:pPr>
              <w:rPr>
                <w:sz w:val="16"/>
                <w:szCs w:val="16"/>
              </w:rPr>
            </w:pPr>
            <w:r w:rsidRPr="00503351">
              <w:rPr>
                <w:sz w:val="16"/>
                <w:szCs w:val="16"/>
              </w:rPr>
              <w:t xml:space="preserve">Medium-High alignment </w:t>
            </w:r>
          </w:p>
        </w:tc>
        <w:tc>
          <w:tcPr>
            <w:tcW w:w="7023" w:type="dxa"/>
          </w:tcPr>
          <w:p w:rsidR="00183DCC" w:rsidRPr="00503351" w:rsidRDefault="00183DCC" w:rsidP="00183DCC">
            <w:pPr>
              <w:pStyle w:val="bullettable2"/>
              <w:ind w:left="317" w:hanging="283"/>
              <w:rPr>
                <w:sz w:val="16"/>
                <w:szCs w:val="16"/>
              </w:rPr>
            </w:pPr>
            <w:r w:rsidRPr="00503351">
              <w:rPr>
                <w:sz w:val="16"/>
                <w:szCs w:val="16"/>
              </w:rPr>
              <w:t>Moderate influence of CSR/structural challenges on ESIF programming; coherence between documents</w:t>
            </w:r>
          </w:p>
          <w:p w:rsidR="00183DCC" w:rsidRPr="00503351" w:rsidRDefault="00183DCC" w:rsidP="00183DCC">
            <w:pPr>
              <w:pStyle w:val="bullettable2"/>
              <w:ind w:left="317" w:hanging="283"/>
              <w:rPr>
                <w:sz w:val="16"/>
                <w:szCs w:val="16"/>
              </w:rPr>
            </w:pPr>
            <w:r w:rsidRPr="00503351">
              <w:rPr>
                <w:sz w:val="16"/>
                <w:szCs w:val="16"/>
              </w:rPr>
              <w:t>High financial contribution of ESIF in policy areas where there are structural challenges.</w:t>
            </w:r>
          </w:p>
        </w:tc>
      </w:tr>
      <w:tr w:rsidR="00EF2AC6" w:rsidRPr="00503351" w:rsidTr="00D452EC">
        <w:trPr>
          <w:tblHeader/>
        </w:trPr>
        <w:tc>
          <w:tcPr>
            <w:tcW w:w="1384" w:type="dxa"/>
          </w:tcPr>
          <w:p w:rsidR="00E2529C" w:rsidRPr="00503351" w:rsidRDefault="00E2529C" w:rsidP="00982776">
            <w:pPr>
              <w:rPr>
                <w:sz w:val="16"/>
                <w:szCs w:val="16"/>
              </w:rPr>
            </w:pPr>
            <w:r w:rsidRPr="00503351">
              <w:rPr>
                <w:sz w:val="16"/>
                <w:szCs w:val="16"/>
              </w:rPr>
              <w:t>Sweden</w:t>
            </w:r>
          </w:p>
        </w:tc>
        <w:tc>
          <w:tcPr>
            <w:tcW w:w="1985" w:type="dxa"/>
          </w:tcPr>
          <w:p w:rsidR="00E2529C" w:rsidRPr="00503351" w:rsidRDefault="00E2529C" w:rsidP="00982776">
            <w:pPr>
              <w:rPr>
                <w:sz w:val="16"/>
                <w:szCs w:val="16"/>
              </w:rPr>
            </w:pPr>
            <w:r w:rsidRPr="00503351">
              <w:rPr>
                <w:sz w:val="16"/>
                <w:szCs w:val="16"/>
              </w:rPr>
              <w:t xml:space="preserve">High alignment </w:t>
            </w:r>
          </w:p>
        </w:tc>
        <w:tc>
          <w:tcPr>
            <w:tcW w:w="2126" w:type="dxa"/>
          </w:tcPr>
          <w:p w:rsidR="00E2529C" w:rsidRPr="00503351" w:rsidRDefault="00E2529C" w:rsidP="00982776">
            <w:pPr>
              <w:rPr>
                <w:sz w:val="16"/>
                <w:szCs w:val="16"/>
              </w:rPr>
            </w:pPr>
            <w:r w:rsidRPr="00503351">
              <w:rPr>
                <w:sz w:val="16"/>
                <w:szCs w:val="16"/>
              </w:rPr>
              <w:t>High alignment</w:t>
            </w:r>
          </w:p>
        </w:tc>
        <w:tc>
          <w:tcPr>
            <w:tcW w:w="2268" w:type="dxa"/>
          </w:tcPr>
          <w:p w:rsidR="00E2529C" w:rsidRPr="00503351" w:rsidRDefault="00E2529C" w:rsidP="00982776">
            <w:pPr>
              <w:rPr>
                <w:sz w:val="16"/>
                <w:szCs w:val="16"/>
              </w:rPr>
            </w:pPr>
            <w:r w:rsidRPr="00503351">
              <w:rPr>
                <w:sz w:val="16"/>
                <w:szCs w:val="16"/>
              </w:rPr>
              <w:t xml:space="preserve">Medium-High alignment </w:t>
            </w:r>
          </w:p>
        </w:tc>
        <w:tc>
          <w:tcPr>
            <w:tcW w:w="7023" w:type="dxa"/>
          </w:tcPr>
          <w:p w:rsidR="00E2529C" w:rsidRPr="00503351" w:rsidRDefault="00E2529C" w:rsidP="00D452EC">
            <w:pPr>
              <w:pStyle w:val="bullettable2"/>
              <w:ind w:left="317" w:hanging="283"/>
              <w:rPr>
                <w:sz w:val="16"/>
                <w:szCs w:val="16"/>
              </w:rPr>
            </w:pPr>
            <w:r w:rsidRPr="00503351">
              <w:rPr>
                <w:sz w:val="16"/>
                <w:szCs w:val="16"/>
              </w:rPr>
              <w:t>Moderate influence of CSR/structural challenges on ESIF programming</w:t>
            </w:r>
            <w:r w:rsidR="00EF2AC6" w:rsidRPr="00503351">
              <w:rPr>
                <w:sz w:val="16"/>
                <w:szCs w:val="16"/>
              </w:rPr>
              <w:t>; c</w:t>
            </w:r>
            <w:r w:rsidRPr="00503351">
              <w:rPr>
                <w:sz w:val="16"/>
                <w:szCs w:val="16"/>
              </w:rPr>
              <w:t>oherence between documents</w:t>
            </w:r>
            <w:r w:rsidR="00C965A8" w:rsidRPr="00503351">
              <w:rPr>
                <w:sz w:val="16"/>
                <w:szCs w:val="16"/>
              </w:rPr>
              <w:t>.</w:t>
            </w:r>
          </w:p>
          <w:p w:rsidR="00BB1DBE" w:rsidRPr="00503351" w:rsidRDefault="00BB1DBE" w:rsidP="00D452EC">
            <w:pPr>
              <w:pStyle w:val="bullettable2"/>
              <w:ind w:left="317" w:hanging="283"/>
              <w:rPr>
                <w:sz w:val="16"/>
                <w:szCs w:val="16"/>
              </w:rPr>
            </w:pPr>
            <w:r w:rsidRPr="00503351">
              <w:rPr>
                <w:sz w:val="16"/>
                <w:szCs w:val="16"/>
              </w:rPr>
              <w:t>Moderate financial contribution of ESIF to structural challenges.</w:t>
            </w:r>
          </w:p>
        </w:tc>
      </w:tr>
      <w:tr w:rsidR="00EF2AC6" w:rsidRPr="00503351" w:rsidTr="00D452EC">
        <w:trPr>
          <w:tblHeader/>
        </w:trPr>
        <w:tc>
          <w:tcPr>
            <w:tcW w:w="1384" w:type="dxa"/>
          </w:tcPr>
          <w:p w:rsidR="00E2529C" w:rsidRPr="00503351" w:rsidRDefault="00E2529C" w:rsidP="00982776">
            <w:pPr>
              <w:rPr>
                <w:sz w:val="16"/>
                <w:szCs w:val="16"/>
              </w:rPr>
            </w:pPr>
            <w:r w:rsidRPr="00503351">
              <w:rPr>
                <w:sz w:val="16"/>
                <w:szCs w:val="16"/>
              </w:rPr>
              <w:t>United Kingdom</w:t>
            </w:r>
          </w:p>
        </w:tc>
        <w:tc>
          <w:tcPr>
            <w:tcW w:w="1985" w:type="dxa"/>
          </w:tcPr>
          <w:p w:rsidR="00E2529C" w:rsidRPr="00503351" w:rsidRDefault="00E2529C" w:rsidP="00982776">
            <w:pPr>
              <w:rPr>
                <w:sz w:val="16"/>
                <w:szCs w:val="16"/>
              </w:rPr>
            </w:pPr>
            <w:r w:rsidRPr="00503351">
              <w:rPr>
                <w:sz w:val="16"/>
                <w:szCs w:val="16"/>
              </w:rPr>
              <w:t xml:space="preserve">Medium alignment </w:t>
            </w:r>
          </w:p>
        </w:tc>
        <w:tc>
          <w:tcPr>
            <w:tcW w:w="2126" w:type="dxa"/>
          </w:tcPr>
          <w:p w:rsidR="00E2529C" w:rsidRPr="00503351" w:rsidRDefault="00E2529C" w:rsidP="00982776">
            <w:pPr>
              <w:rPr>
                <w:sz w:val="16"/>
                <w:szCs w:val="16"/>
              </w:rPr>
            </w:pPr>
            <w:r w:rsidRPr="00503351">
              <w:rPr>
                <w:sz w:val="16"/>
                <w:szCs w:val="16"/>
              </w:rPr>
              <w:t>High alignment</w:t>
            </w:r>
          </w:p>
        </w:tc>
        <w:tc>
          <w:tcPr>
            <w:tcW w:w="2268" w:type="dxa"/>
          </w:tcPr>
          <w:p w:rsidR="00E2529C" w:rsidRPr="00503351" w:rsidRDefault="00E2529C" w:rsidP="00982776">
            <w:pPr>
              <w:rPr>
                <w:sz w:val="16"/>
                <w:szCs w:val="16"/>
              </w:rPr>
            </w:pPr>
            <w:r w:rsidRPr="00503351">
              <w:rPr>
                <w:sz w:val="16"/>
                <w:szCs w:val="16"/>
              </w:rPr>
              <w:t xml:space="preserve">Medium-High alignment </w:t>
            </w:r>
          </w:p>
        </w:tc>
        <w:tc>
          <w:tcPr>
            <w:tcW w:w="7023" w:type="dxa"/>
          </w:tcPr>
          <w:p w:rsidR="00E2529C" w:rsidRPr="00503351" w:rsidRDefault="00E2529C" w:rsidP="00D452EC">
            <w:pPr>
              <w:pStyle w:val="bullettable2"/>
              <w:ind w:left="317" w:hanging="283"/>
              <w:rPr>
                <w:sz w:val="16"/>
                <w:szCs w:val="16"/>
              </w:rPr>
            </w:pPr>
            <w:r w:rsidRPr="00503351">
              <w:rPr>
                <w:sz w:val="16"/>
                <w:szCs w:val="16"/>
              </w:rPr>
              <w:t>Moderate influence of CSR/structural challenges on ESIF programming</w:t>
            </w:r>
            <w:r w:rsidR="00EF2AC6" w:rsidRPr="00503351">
              <w:rPr>
                <w:sz w:val="16"/>
                <w:szCs w:val="16"/>
              </w:rPr>
              <w:t>; c</w:t>
            </w:r>
            <w:r w:rsidRPr="00503351">
              <w:rPr>
                <w:sz w:val="16"/>
                <w:szCs w:val="16"/>
              </w:rPr>
              <w:t>oherence between documents</w:t>
            </w:r>
          </w:p>
          <w:p w:rsidR="00BB1DBE" w:rsidRPr="00503351" w:rsidRDefault="00BB1DBE" w:rsidP="00D452EC">
            <w:pPr>
              <w:pStyle w:val="bullettable2"/>
              <w:ind w:left="317" w:hanging="283"/>
              <w:rPr>
                <w:sz w:val="16"/>
                <w:szCs w:val="16"/>
              </w:rPr>
            </w:pPr>
            <w:r w:rsidRPr="00503351">
              <w:rPr>
                <w:sz w:val="16"/>
                <w:szCs w:val="16"/>
              </w:rPr>
              <w:t xml:space="preserve">High financial contribution of ESIF </w:t>
            </w:r>
            <w:r w:rsidR="00503351" w:rsidRPr="00503351">
              <w:rPr>
                <w:sz w:val="16"/>
                <w:szCs w:val="16"/>
              </w:rPr>
              <w:t xml:space="preserve">in policy areas in which there are </w:t>
            </w:r>
            <w:r w:rsidRPr="00503351">
              <w:rPr>
                <w:sz w:val="16"/>
                <w:szCs w:val="16"/>
              </w:rPr>
              <w:t>structural challenges.</w:t>
            </w:r>
          </w:p>
        </w:tc>
      </w:tr>
    </w:tbl>
    <w:p w:rsidR="00982776" w:rsidRDefault="00982776" w:rsidP="00982776"/>
    <w:p w:rsidR="00982776" w:rsidRPr="00982776" w:rsidRDefault="00982776" w:rsidP="00982776">
      <w:pPr>
        <w:sectPr w:rsidR="00982776" w:rsidRPr="00982776" w:rsidSect="003D0E01">
          <w:footerReference w:type="default" r:id="rId30"/>
          <w:pgSz w:w="16839" w:h="11907" w:orient="landscape" w:code="9"/>
          <w:pgMar w:top="1701" w:right="1418" w:bottom="1418" w:left="851" w:header="567" w:footer="720" w:gutter="0"/>
          <w:cols w:space="720"/>
          <w:docGrid w:linePitch="326"/>
        </w:sectPr>
      </w:pPr>
    </w:p>
    <w:p w:rsidR="00D6604A" w:rsidRPr="00F454B6" w:rsidRDefault="00D6604A" w:rsidP="00D6604A">
      <w:pPr>
        <w:pStyle w:val="Header"/>
        <w:tabs>
          <w:tab w:val="left" w:pos="3420"/>
          <w:tab w:val="right" w:pos="9000"/>
        </w:tabs>
        <w:jc w:val="left"/>
        <w:rPr>
          <w:color w:val="333333"/>
        </w:rPr>
      </w:pPr>
    </w:p>
    <w:p w:rsidR="00D6604A" w:rsidRPr="00D40ADA" w:rsidRDefault="00D6604A" w:rsidP="00D6604A">
      <w:pPr>
        <w:pStyle w:val="Heading2"/>
      </w:pPr>
      <w:bookmarkStart w:id="31" w:name="_Toc466826798"/>
      <w:r>
        <w:t>eSurvey: first results concerning Task 3</w:t>
      </w:r>
      <w:bookmarkEnd w:id="31"/>
      <w:r>
        <w:t xml:space="preserve"> </w:t>
      </w:r>
    </w:p>
    <w:p w:rsidR="00D6604A" w:rsidRDefault="00D6604A" w:rsidP="00D6604A">
      <w:r>
        <w:t xml:space="preserve">An eSurvey was launched to collect information on whether and how, in the experience of the MAs, CSRs have been taken into account in programming and implementation. The results of the survey are useful to “triangulate” the information collected through the desk analysis and the interviews in order to obtain a solid understanding of how CSRs have steered the programming and implementation of ESIF, going beyond, as far as possible, the possibly biased views of a single group of stakeholders.  </w:t>
      </w:r>
    </w:p>
    <w:p w:rsidR="00D6604A" w:rsidRDefault="00D6604A" w:rsidP="00D6604A">
      <w:r>
        <w:t xml:space="preserve">The survey collects information for task 3 as well as for tasks 4 and 5. A list of 376 Managing Authorities with contact details was received from the Commission, with several repeated address and invalid emails. This list was integrated manually as far as possible. </w:t>
      </w:r>
    </w:p>
    <w:p w:rsidR="00D6604A" w:rsidRDefault="00D6604A" w:rsidP="00D6604A">
      <w:r>
        <w:t xml:space="preserve">To make sure that the dataset refers to a representative sample of OPs, basic stratification techniques have been used based on the following main criteria: distribution of OPs by country group, distribution of OPs by fund and typology. The survey was constantly monitored and a weekly reminder was sent.  </w:t>
      </w:r>
    </w:p>
    <w:p w:rsidR="00D6604A" w:rsidRDefault="00D6604A" w:rsidP="00D6604A">
      <w:r>
        <w:t>As far as task 3 is concerned, at the end of June, we received answers from 104 authorities of which 90 were complete and usable. The response rate is therefore approximately 25%</w:t>
      </w:r>
      <w:r w:rsidR="00224027">
        <w:t xml:space="preserve"> which is an above average outcome for a EU28 survey</w:t>
      </w:r>
      <w:r>
        <w:t xml:space="preserve">. </w:t>
      </w:r>
    </w:p>
    <w:p w:rsidR="00D6604A" w:rsidRDefault="00D6604A" w:rsidP="00D6604A">
      <w:r>
        <w:t xml:space="preserve">The questionnaire was kept relatively simple (i.e. mostly based on a limited number of closed-ended questions such as Likert-scales integrated, where necessary, by a few open-ended questions to allow for feedback) to maximise response rate and hence avoid causing an additional burden on the MAs. </w:t>
      </w:r>
    </w:p>
    <w:p w:rsidR="00D6604A" w:rsidRDefault="00D6604A" w:rsidP="00D6604A">
      <w:r>
        <w:t xml:space="preserve">Closed-ended questions and Likert scales facilitate cross-analysis, consolidation of results to examine patterns across Member States, funds and areas of intervention. Some open-ended questions make it possible to gather perceptions of the role played by ESIF in structural reforms and to better understand the kind of interventions triggered or supported by the OPs. </w:t>
      </w:r>
    </w:p>
    <w:p w:rsidR="00D6604A" w:rsidRDefault="00D6604A" w:rsidP="00D6604A">
      <w:r>
        <w:t xml:space="preserve">The following survey questions are the most relevant for task 3: </w:t>
      </w:r>
    </w:p>
    <w:p w:rsidR="00D6604A" w:rsidRDefault="00D6604A" w:rsidP="00D6604A">
      <w:pPr>
        <w:pStyle w:val="Bulletpoint1"/>
      </w:pPr>
      <w:r w:rsidRPr="00DD6349">
        <w:t xml:space="preserve">To what extent the 2014-2020 programming took into account Country-Specific Recommendations and structural reform needs, </w:t>
      </w:r>
      <w:r>
        <w:t xml:space="preserve">proposed </w:t>
      </w:r>
      <w:r w:rsidRPr="00DD6349">
        <w:t>within the European Semester? To what extent do the programmes actually contribute to address structural challenges?</w:t>
      </w:r>
    </w:p>
    <w:p w:rsidR="00D6604A" w:rsidRDefault="00D6604A" w:rsidP="00D6604A">
      <w:pPr>
        <w:pStyle w:val="Bulletpoint1"/>
        <w:rPr>
          <w:rFonts w:ascii="ArialMT" w:hAnsi="ArialMT" w:cs="ArialMT"/>
          <w:sz w:val="21"/>
          <w:szCs w:val="21"/>
        </w:rPr>
      </w:pPr>
      <w:r>
        <w:rPr>
          <w:rFonts w:ascii="ArialMT" w:hAnsi="ArialMT" w:cs="ArialMT"/>
          <w:sz w:val="21"/>
          <w:szCs w:val="21"/>
        </w:rPr>
        <w:t>What are the main obstacles to address CSR/structural challenges in the Operational Programmes?</w:t>
      </w:r>
    </w:p>
    <w:p w:rsidR="00D6604A" w:rsidRDefault="00D6604A" w:rsidP="00D6604A">
      <w:pPr>
        <w:pStyle w:val="Bulletpoint1"/>
        <w:rPr>
          <w:rFonts w:ascii="ArialMT" w:hAnsi="ArialMT" w:cs="ArialMT"/>
          <w:sz w:val="21"/>
          <w:szCs w:val="21"/>
        </w:rPr>
      </w:pPr>
      <w:r>
        <w:rPr>
          <w:rFonts w:ascii="ArialMT" w:hAnsi="ArialMT" w:cs="ArialMT"/>
          <w:sz w:val="21"/>
          <w:szCs w:val="21"/>
        </w:rPr>
        <w:t>In which policy area, in the experience of the Managing Authorities, were ESI Funds able to contribute more, directly or indirectly, to the implementation of CSR?</w:t>
      </w:r>
    </w:p>
    <w:p w:rsidR="00D6604A" w:rsidRDefault="00D6604A" w:rsidP="00D6604A">
      <w:pPr>
        <w:pStyle w:val="Bulletpoint1"/>
        <w:rPr>
          <w:rFonts w:ascii="ArialMT" w:hAnsi="ArialMT" w:cs="ArialMT"/>
          <w:sz w:val="21"/>
          <w:szCs w:val="21"/>
        </w:rPr>
      </w:pPr>
      <w:r>
        <w:rPr>
          <w:rFonts w:ascii="ArialMT" w:hAnsi="ArialMT" w:cs="ArialMT"/>
          <w:sz w:val="21"/>
          <w:szCs w:val="21"/>
        </w:rPr>
        <w:t xml:space="preserve">Does the Managing Authority monitor the implementation of CSR? If so, is there a feedback mechanism? </w:t>
      </w:r>
    </w:p>
    <w:p w:rsidR="00D6604A" w:rsidRDefault="00D6604A" w:rsidP="00D6604A">
      <w:pPr>
        <w:autoSpaceDE w:val="0"/>
        <w:autoSpaceDN w:val="0"/>
        <w:adjustRightInd w:val="0"/>
        <w:spacing w:after="0" w:line="240" w:lineRule="auto"/>
        <w:jc w:val="left"/>
        <w:rPr>
          <w:rFonts w:ascii="ArialMT" w:hAnsi="ArialMT" w:cs="ArialMT"/>
          <w:sz w:val="21"/>
          <w:szCs w:val="21"/>
        </w:rPr>
      </w:pPr>
    </w:p>
    <w:p w:rsidR="00D6604A" w:rsidRDefault="00D6604A" w:rsidP="00D6604A">
      <w:pPr>
        <w:pStyle w:val="Heading3"/>
      </w:pPr>
      <w:bookmarkStart w:id="32" w:name="_Toc466826799"/>
      <w:r>
        <w:t>Influence of the European Semester on programming</w:t>
      </w:r>
      <w:bookmarkEnd w:id="32"/>
    </w:p>
    <w:p w:rsidR="00D6604A" w:rsidRDefault="00D6604A" w:rsidP="00D6604A">
      <w:r>
        <w:t xml:space="preserve">The following graph shows </w:t>
      </w:r>
      <w:r w:rsidR="00380E6A">
        <w:t xml:space="preserve">to what extent </w:t>
      </w:r>
      <w:r>
        <w:t xml:space="preserve">the MAs </w:t>
      </w:r>
      <w:r w:rsidR="00380E6A">
        <w:t>agree with</w:t>
      </w:r>
      <w:r>
        <w:t xml:space="preserve"> a number of claims concerning the influence of the Semester on programming. In general, </w:t>
      </w:r>
      <w:r w:rsidR="00380E6A">
        <w:t>nearly 90% of</w:t>
      </w:r>
      <w:r>
        <w:t xml:space="preserve"> MAs agree on the influential role of CSR. </w:t>
      </w:r>
    </w:p>
    <w:p w:rsidR="00D6604A" w:rsidRDefault="00D6604A" w:rsidP="00D6604A">
      <w:r>
        <w:t xml:space="preserve">According to the MAs, CSR have been taken into account in the preparation of 2014-2020 programmes, which confirms the outcome of our desk analysis. </w:t>
      </w:r>
      <w:r w:rsidR="00380E6A">
        <w:t>74% of the</w:t>
      </w:r>
      <w:r>
        <w:t xml:space="preserve"> respondents also confirm that the OPs contribute, through the planned initiatives, to pursue structural reform needs suggested as part of CSR. </w:t>
      </w:r>
    </w:p>
    <w:p w:rsidR="00D6604A" w:rsidRDefault="00D6604A" w:rsidP="00D6604A">
      <w:r>
        <w:t xml:space="preserve">Moreover, </w:t>
      </w:r>
      <w:r w:rsidR="00380E6A">
        <w:t xml:space="preserve">three quarters of </w:t>
      </w:r>
      <w:r>
        <w:t>the Managing Authorities highlight that CSR are reflected in the selection of the Specific Objectives. The Specific Objectives actually mobilised for pursuing CSR/structural reforms are indicated in the Overview Tables compiled by national experts during the analysis of the OPs. It must be noted that these are not standard or standardisable, if not at a very high level of generalisation, as they are defined by the OPs or, sometimes, at the PA level. Therefore it is not possible to cross-analyse Specific Objective</w:t>
      </w:r>
      <w:r w:rsidR="00C968D6">
        <w:t>s</w:t>
      </w:r>
      <w:r>
        <w:t xml:space="preserve"> but, at the same time, in most cases they provide precise information of the lines of initiative taken with the funds.         </w:t>
      </w:r>
    </w:p>
    <w:p w:rsidR="00D6604A" w:rsidRDefault="00D6604A" w:rsidP="00D6604A">
      <w:r>
        <w:t xml:space="preserve">Interestingly, according to </w:t>
      </w:r>
      <w:r w:rsidR="00380E6A">
        <w:t xml:space="preserve">57% of the </w:t>
      </w:r>
      <w:r>
        <w:t xml:space="preserve">MAs, the CSR were somewhat reflected in the design of the selection criteria defined in the OPs, and the partnership principle had a role in the pursuit of CSR </w:t>
      </w:r>
      <w:r w:rsidR="00380E6A">
        <w:t xml:space="preserve">in 63% of the cases, </w:t>
      </w:r>
      <w:r>
        <w:t>as it helps to build consensus around the structural reform needs.</w:t>
      </w:r>
    </w:p>
    <w:p w:rsidR="00D6604A" w:rsidRDefault="00D6604A" w:rsidP="00D6604A">
      <w:r>
        <w:t xml:space="preserve">The examples made by respondents in relation to the use of selection criteria are various. For instance: </w:t>
      </w:r>
    </w:p>
    <w:p w:rsidR="00D6604A" w:rsidRDefault="00D6604A" w:rsidP="00D6604A">
      <w:pPr>
        <w:pStyle w:val="Bulletpoint1"/>
      </w:pPr>
      <w:r>
        <w:t xml:space="preserve">New jobs creation is one of the selection criteria for most of the measures, and this is relevant, according to MAs, to contribute to CSR/structural challenges concerning the increase in employment.   </w:t>
      </w:r>
    </w:p>
    <w:p w:rsidR="00D6604A" w:rsidRDefault="00D6604A" w:rsidP="00D6604A">
      <w:pPr>
        <w:pStyle w:val="Bulletpoint1"/>
      </w:pPr>
      <w:r>
        <w:t xml:space="preserve">The socio-economic conditions of prospective beneficiaries is used to “pilot” investments towards certain targets (when there are relevant CSR/structural challenges pointing to them). E.g. the assessment of the economic conditions of families is used to select targets, within TO9. </w:t>
      </w:r>
    </w:p>
    <w:p w:rsidR="00D6604A" w:rsidRDefault="00D6604A" w:rsidP="00D6604A">
      <w:pPr>
        <w:pStyle w:val="Bulletpoint1"/>
      </w:pPr>
      <w:r w:rsidRPr="00AF6C07">
        <w:t>Results orientation</w:t>
      </w:r>
      <w:r>
        <w:t xml:space="preserve"> is also a way MA can make a contribution to structural challenges. For example, p</w:t>
      </w:r>
      <w:r w:rsidRPr="00AF6C07">
        <w:t xml:space="preserve">rojects </w:t>
      </w:r>
      <w:r>
        <w:t xml:space="preserve">can be </w:t>
      </w:r>
      <w:r w:rsidRPr="00AF6C07">
        <w:t>selected taking into account the envisaged effect on certain groups of beneficiaries</w:t>
      </w:r>
      <w:r>
        <w:t xml:space="preserve"> and territories</w:t>
      </w:r>
      <w:r w:rsidRPr="00AF6C07">
        <w:t xml:space="preserve">. </w:t>
      </w:r>
    </w:p>
    <w:p w:rsidR="00D6604A" w:rsidRDefault="00D6604A" w:rsidP="00D6604A">
      <w:pPr>
        <w:pStyle w:val="Bulletpoint1"/>
      </w:pPr>
      <w:r>
        <w:t xml:space="preserve">Pre-conditions for accessing funds may be required, such as for example innovation plans to be drafted by SMEs, if there are challenges concerned with the improvement of the business environment. </w:t>
      </w:r>
    </w:p>
    <w:p w:rsidR="00D6604A" w:rsidRDefault="00D6604A" w:rsidP="00D6604A">
      <w:pPr>
        <w:pStyle w:val="Bulletpoint1"/>
      </w:pPr>
      <w:r>
        <w:t xml:space="preserve">The involvement of high level experts may be useful to select projects that are capable to effectively boost RTDI, if there are challenges focused on strengthening research and technological development.  </w:t>
      </w:r>
    </w:p>
    <w:p w:rsidR="00D6604A" w:rsidRDefault="00D6604A" w:rsidP="00D6604A">
      <w:pPr>
        <w:pStyle w:val="Bulletpoint1"/>
      </w:pPr>
      <w:r>
        <w:t xml:space="preserve">Low carbon criteria are used when the OP is faced with challenges concerning GHG emissions </w:t>
      </w:r>
    </w:p>
    <w:p w:rsidR="00D6604A" w:rsidRDefault="00D6604A" w:rsidP="00D6604A">
      <w:pPr>
        <w:pStyle w:val="Bulletpoint1"/>
      </w:pPr>
      <w:r>
        <w:t>The likely impact on horizontal themes (e.g. climate change, gender equality) is also referred to as selection criterion which can contribute to purse relevant challenges concerned with such themes.</w:t>
      </w:r>
    </w:p>
    <w:p w:rsidR="00D6604A" w:rsidRDefault="00D6604A" w:rsidP="00D6604A">
      <w:pPr>
        <w:autoSpaceDE w:val="0"/>
        <w:autoSpaceDN w:val="0"/>
        <w:adjustRightInd w:val="0"/>
        <w:spacing w:after="0" w:line="240" w:lineRule="auto"/>
        <w:jc w:val="left"/>
      </w:pPr>
    </w:p>
    <w:p w:rsidR="00D6604A" w:rsidRDefault="00D6604A" w:rsidP="00545758">
      <w:pPr>
        <w:pStyle w:val="Caption"/>
        <w:keepNext/>
        <w:rPr>
          <w:b w:val="0"/>
        </w:rPr>
      </w:pPr>
      <w:r>
        <w:t xml:space="preserve">Figure </w:t>
      </w:r>
      <w:r w:rsidR="00C52F7F">
        <w:fldChar w:fldCharType="begin"/>
      </w:r>
      <w:r>
        <w:instrText xml:space="preserve"> SEQ Figure \* ARABIC </w:instrText>
      </w:r>
      <w:r w:rsidR="00C52F7F">
        <w:fldChar w:fldCharType="separate"/>
      </w:r>
      <w:r w:rsidR="00183DCC">
        <w:rPr>
          <w:noProof/>
        </w:rPr>
        <w:t>8</w:t>
      </w:r>
      <w:r w:rsidR="00C52F7F">
        <w:rPr>
          <w:noProof/>
        </w:rPr>
        <w:fldChar w:fldCharType="end"/>
      </w:r>
      <w:r>
        <w:t xml:space="preserve"> - To what extent the 2014-20 programming took into account needs for structural reforms suggested within the European Semester?</w:t>
      </w:r>
      <w:r w:rsidRPr="0059645C">
        <w:t xml:space="preserve"> </w:t>
      </w:r>
    </w:p>
    <w:p w:rsidR="00380E6A" w:rsidRPr="00380E6A" w:rsidRDefault="00380E6A" w:rsidP="00380E6A">
      <w:r>
        <w:rPr>
          <w:noProof/>
          <w:lang w:eastAsia="en-GB"/>
        </w:rPr>
        <w:drawing>
          <wp:inline distT="0" distB="0" distL="0" distR="0" wp14:anchorId="3D27D77D" wp14:editId="3C82AEC0">
            <wp:extent cx="5663101" cy="37338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66993" cy="3736366"/>
                    </a:xfrm>
                    <a:prstGeom prst="rect">
                      <a:avLst/>
                    </a:prstGeom>
                    <a:noFill/>
                  </pic:spPr>
                </pic:pic>
              </a:graphicData>
            </a:graphic>
          </wp:inline>
        </w:drawing>
      </w:r>
    </w:p>
    <w:p w:rsidR="00D6604A" w:rsidRDefault="00D6604A" w:rsidP="00D6604A">
      <w:pPr>
        <w:autoSpaceDE w:val="0"/>
        <w:autoSpaceDN w:val="0"/>
        <w:adjustRightInd w:val="0"/>
        <w:spacing w:after="0" w:line="240" w:lineRule="auto"/>
        <w:jc w:val="left"/>
      </w:pPr>
      <w:r>
        <w:t>Source: eSurvey of Managing Authorities.</w:t>
      </w:r>
    </w:p>
    <w:p w:rsidR="00D6604A" w:rsidRDefault="00D6604A" w:rsidP="00D6604A">
      <w:pPr>
        <w:autoSpaceDE w:val="0"/>
        <w:autoSpaceDN w:val="0"/>
        <w:adjustRightInd w:val="0"/>
        <w:spacing w:after="0" w:line="240" w:lineRule="auto"/>
        <w:jc w:val="left"/>
      </w:pPr>
    </w:p>
    <w:p w:rsidR="00D6604A" w:rsidRDefault="00D6604A" w:rsidP="00D6604A"/>
    <w:p w:rsidR="00D6604A" w:rsidRDefault="00D6604A" w:rsidP="00D6604A"/>
    <w:p w:rsidR="00D6604A" w:rsidRDefault="00D6604A" w:rsidP="00D6604A">
      <w:pPr>
        <w:pStyle w:val="Heading3"/>
      </w:pPr>
      <w:bookmarkStart w:id="33" w:name="_Toc466826800"/>
      <w:r>
        <w:t>Key o</w:t>
      </w:r>
      <w:r w:rsidRPr="00137E3C">
        <w:t xml:space="preserve">bstacles </w:t>
      </w:r>
      <w:r>
        <w:t xml:space="preserve">which may prevent MAs from using ESI Funds </w:t>
      </w:r>
      <w:r w:rsidRPr="00137E3C">
        <w:t>to address CSR/structural challenges</w:t>
      </w:r>
      <w:bookmarkEnd w:id="33"/>
    </w:p>
    <w:p w:rsidR="00D6604A" w:rsidRDefault="00D6604A" w:rsidP="00D6604A">
      <w:r>
        <w:t xml:space="preserve">The Managing Authorities were asked to assess the main obstacles which may prevent from using ESI funds to address CSR/structural challenges. The findings widely confirm the outcomes of the interviews carried out by national experts in order to produce the country fiches. </w:t>
      </w:r>
      <w:r w:rsidR="00380E6A">
        <w:t>67% of</w:t>
      </w:r>
      <w:r>
        <w:t xml:space="preserve"> the MAs agree on the fact that most CSR/structural challenges cannot be dealt only with investments choices but they require regulatory changes which </w:t>
      </w:r>
      <w:r w:rsidR="00504F00">
        <w:t>are</w:t>
      </w:r>
      <w:r>
        <w:t xml:space="preserve"> beyond their control. They also </w:t>
      </w:r>
      <w:r w:rsidR="00380E6A">
        <w:t>highlight</w:t>
      </w:r>
      <w:r>
        <w:t xml:space="preserve"> that since most CSR are annual and conceived to be achieved in the medium-short term while the horizon of ESI Funds is much longer, as a consequence there is a mismatch between the two approaches. </w:t>
      </w:r>
    </w:p>
    <w:p w:rsidR="00D6604A" w:rsidRDefault="00380E6A" w:rsidP="00D6604A">
      <w:r>
        <w:t xml:space="preserve">A more limited number of </w:t>
      </w:r>
      <w:r w:rsidR="00D6604A">
        <w:t>Managing Authorities</w:t>
      </w:r>
      <w:r>
        <w:t xml:space="preserve">, 51% </w:t>
      </w:r>
      <w:r w:rsidR="00E0287F">
        <w:t>believe</w:t>
      </w:r>
      <w:r w:rsidR="00D6604A">
        <w:t xml:space="preserve"> that the need for concentration </w:t>
      </w:r>
      <w:r w:rsidR="00E0287F">
        <w:t xml:space="preserve">may </w:t>
      </w:r>
      <w:r w:rsidR="00D6604A">
        <w:t xml:space="preserve">clash with the presence of CSR which suggest to intervene in multiple directions. </w:t>
      </w:r>
    </w:p>
    <w:p w:rsidR="00D6604A" w:rsidRDefault="00E0287F" w:rsidP="00D6604A">
      <w:r>
        <w:t xml:space="preserve">30% of </w:t>
      </w:r>
      <w:r w:rsidR="00D6604A">
        <w:t xml:space="preserve">respondents have highlighted other obstacles as well. For instance, even where investment is required, it may already be planned from national resources and ESF/ERDF rules prevent substitution or duplication. Therefore in some cases it is unreasonable to expect a contribution of ESI Funds towards CSRs. </w:t>
      </w:r>
    </w:p>
    <w:p w:rsidR="00D6604A" w:rsidRDefault="00D6604A" w:rsidP="00D6604A">
      <w:r>
        <w:t xml:space="preserve">More generally, some </w:t>
      </w:r>
      <w:r w:rsidR="00E0287F">
        <w:t xml:space="preserve">54% of </w:t>
      </w:r>
      <w:r>
        <w:t>respondents underline that the main aim of ESI Funds is not to support structural reforms</w:t>
      </w:r>
      <w:r w:rsidR="00913AFF">
        <w:t xml:space="preserve"> even though they can contribute</w:t>
      </w:r>
      <w:r>
        <w:t xml:space="preserve">. Finally, certain MAs point to the insufficient funding which is in their opinion the main obstacle in tackling structural reform needs. </w:t>
      </w:r>
    </w:p>
    <w:p w:rsidR="00D6604A" w:rsidRDefault="00D6604A" w:rsidP="00D6604A">
      <w:pPr>
        <w:autoSpaceDE w:val="0"/>
        <w:autoSpaceDN w:val="0"/>
        <w:adjustRightInd w:val="0"/>
        <w:spacing w:after="0" w:line="240" w:lineRule="auto"/>
        <w:jc w:val="left"/>
      </w:pPr>
    </w:p>
    <w:p w:rsidR="00D6604A" w:rsidRDefault="00D6604A" w:rsidP="00D6604A">
      <w:pPr>
        <w:autoSpaceDE w:val="0"/>
        <w:autoSpaceDN w:val="0"/>
        <w:adjustRightInd w:val="0"/>
        <w:spacing w:after="0" w:line="240" w:lineRule="auto"/>
        <w:jc w:val="left"/>
      </w:pPr>
    </w:p>
    <w:p w:rsidR="00D6604A" w:rsidRDefault="00D6604A" w:rsidP="00545758">
      <w:pPr>
        <w:pStyle w:val="Caption"/>
        <w:keepNext/>
        <w:rPr>
          <w:b w:val="0"/>
        </w:rPr>
      </w:pPr>
      <w:r>
        <w:t xml:space="preserve">Figure </w:t>
      </w:r>
      <w:r w:rsidR="00C52F7F">
        <w:fldChar w:fldCharType="begin"/>
      </w:r>
      <w:r>
        <w:instrText xml:space="preserve"> SEQ Figure \* ARABIC </w:instrText>
      </w:r>
      <w:r w:rsidR="00C52F7F">
        <w:fldChar w:fldCharType="separate"/>
      </w:r>
      <w:r w:rsidR="00183DCC">
        <w:rPr>
          <w:noProof/>
        </w:rPr>
        <w:t>9</w:t>
      </w:r>
      <w:r w:rsidR="00C52F7F">
        <w:rPr>
          <w:noProof/>
        </w:rPr>
        <w:fldChar w:fldCharType="end"/>
      </w:r>
      <w:r>
        <w:t xml:space="preserve"> - </w:t>
      </w:r>
      <w:r w:rsidRPr="00137E3C">
        <w:t>What are the main obstacles to address CSR/structural challenges in the Operational Programme</w:t>
      </w:r>
      <w:r>
        <w:t>s</w:t>
      </w:r>
      <w:r w:rsidRPr="00137E3C">
        <w:t>?</w:t>
      </w:r>
      <w:r w:rsidRPr="002A61D5">
        <w:t xml:space="preserve"> </w:t>
      </w:r>
    </w:p>
    <w:p w:rsidR="00380E6A" w:rsidRPr="00380E6A" w:rsidRDefault="00380E6A" w:rsidP="00380E6A">
      <w:r>
        <w:rPr>
          <w:noProof/>
          <w:lang w:eastAsia="en-GB"/>
        </w:rPr>
        <w:drawing>
          <wp:inline distT="0" distB="0" distL="0" distR="0" wp14:anchorId="7C76DB81" wp14:editId="76CFE94F">
            <wp:extent cx="5612601" cy="441007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15041" cy="4411992"/>
                    </a:xfrm>
                    <a:prstGeom prst="rect">
                      <a:avLst/>
                    </a:prstGeom>
                    <a:noFill/>
                  </pic:spPr>
                </pic:pic>
              </a:graphicData>
            </a:graphic>
          </wp:inline>
        </w:drawing>
      </w:r>
    </w:p>
    <w:p w:rsidR="00D6604A" w:rsidRDefault="00D6604A" w:rsidP="00D6604A">
      <w:pPr>
        <w:autoSpaceDE w:val="0"/>
        <w:autoSpaceDN w:val="0"/>
        <w:adjustRightInd w:val="0"/>
        <w:spacing w:after="0" w:line="240" w:lineRule="auto"/>
        <w:jc w:val="left"/>
      </w:pPr>
      <w:r>
        <w:t>Source: eSurvey of Managing Authorities.</w:t>
      </w:r>
    </w:p>
    <w:p w:rsidR="00D6604A" w:rsidRDefault="00D6604A" w:rsidP="00D6604A">
      <w:pPr>
        <w:autoSpaceDE w:val="0"/>
        <w:autoSpaceDN w:val="0"/>
        <w:adjustRightInd w:val="0"/>
        <w:spacing w:after="0" w:line="240" w:lineRule="auto"/>
        <w:jc w:val="left"/>
      </w:pPr>
    </w:p>
    <w:p w:rsidR="00D6604A" w:rsidRDefault="00D6604A" w:rsidP="00D6604A">
      <w:pPr>
        <w:autoSpaceDE w:val="0"/>
        <w:autoSpaceDN w:val="0"/>
        <w:adjustRightInd w:val="0"/>
        <w:spacing w:after="0" w:line="240" w:lineRule="auto"/>
        <w:jc w:val="left"/>
      </w:pPr>
    </w:p>
    <w:p w:rsidR="00D6604A" w:rsidRDefault="00D6604A" w:rsidP="00D6604A"/>
    <w:p w:rsidR="00D6604A" w:rsidRDefault="00D6604A" w:rsidP="00D6604A">
      <w:pPr>
        <w:pStyle w:val="Heading3"/>
      </w:pPr>
      <w:bookmarkStart w:id="34" w:name="_Toc466826801"/>
      <w:r>
        <w:t>Relative importance of CSR/structural challenges across policy areas, according to MAs</w:t>
      </w:r>
      <w:bookmarkEnd w:id="34"/>
    </w:p>
    <w:p w:rsidR="00D6604A" w:rsidRDefault="00D6604A" w:rsidP="00D6604A">
      <w:r>
        <w:t xml:space="preserve">As part of the survey, we asked the MA to indicate in </w:t>
      </w:r>
      <w:r w:rsidRPr="00C626C0">
        <w:t xml:space="preserve">which policy area, in </w:t>
      </w:r>
      <w:r>
        <w:t xml:space="preserve">their </w:t>
      </w:r>
      <w:r w:rsidRPr="00C626C0">
        <w:t xml:space="preserve">experience, </w:t>
      </w:r>
      <w:r>
        <w:t xml:space="preserve">the </w:t>
      </w:r>
      <w:r w:rsidRPr="00C626C0">
        <w:t xml:space="preserve">ESI Funds </w:t>
      </w:r>
      <w:r>
        <w:t xml:space="preserve">are </w:t>
      </w:r>
      <w:r w:rsidRPr="00C626C0">
        <w:t>able to contribute more, directly or indirectly, to the implementation of CSR</w:t>
      </w:r>
      <w:r>
        <w:t xml:space="preserve">. </w:t>
      </w:r>
    </w:p>
    <w:p w:rsidR="00D6604A" w:rsidRDefault="00D6604A" w:rsidP="00D6604A">
      <w:r>
        <w:t xml:space="preserve">The results in this respect are in line with the desk analysis of the OPs carried out by national experts. This confirms the solidity of the qualitative analysis. ESF relevant policy areas are at the top of the list of those to which programmes are more likely to give a contribution, together with some policy areas which are typically dealt with by ERDF programmes. </w:t>
      </w:r>
    </w:p>
    <w:p w:rsidR="00D6604A" w:rsidRDefault="00D6604A" w:rsidP="00D6604A">
      <w:r>
        <w:t xml:space="preserve">According to respondents, the </w:t>
      </w:r>
      <w:r w:rsidRPr="006339FC">
        <w:t xml:space="preserve">ESI Funds </w:t>
      </w:r>
      <w:r>
        <w:t xml:space="preserve">are </w:t>
      </w:r>
      <w:r w:rsidRPr="006339FC">
        <w:t>able to contribute more, directly or indirectly, to the implementation of CSR</w:t>
      </w:r>
      <w:r>
        <w:t xml:space="preserve"> concerning: access to employment and employability of workers; LM integration of young people; business environment; improving life-long learning for all age groups; improving access to quality education and training; RTDI; integration of marginalized groups; combatting discrimination and poverty; reducing and preventing early school leaving; digital infrastructure and services. MAs are more neutral in relation to housing and other social infrastructure, resources efficiency, transport, health and long-term care. The only area, in addition to public finance, taxation and others not directly related to TOs, which they believe it is unlikely to be targeted by ESI Funds is wage setting. As we already stressed previously, this area is</w:t>
      </w:r>
      <w:r w:rsidRPr="00FD4BC4">
        <w:t xml:space="preserve"> not ESIF-relevant as such</w:t>
      </w:r>
      <w:r>
        <w:t>,</w:t>
      </w:r>
      <w:r w:rsidRPr="00FD4BC4">
        <w:t xml:space="preserve"> unless specific complementary initiatives which indirectly facilitate the implementation are financed by the funds.</w:t>
      </w:r>
      <w:r>
        <w:t xml:space="preserve"> The same is true, for example, in relation to </w:t>
      </w:r>
      <w:r w:rsidRPr="00FD4BC4">
        <w:t>"empl</w:t>
      </w:r>
      <w:r>
        <w:t xml:space="preserve">oyment protection legislation" and </w:t>
      </w:r>
      <w:r w:rsidRPr="00FD4BC4">
        <w:t>"labour taxation"</w:t>
      </w:r>
      <w:r>
        <w:t>.</w:t>
      </w:r>
      <w:r w:rsidRPr="00FD4BC4">
        <w:t xml:space="preserve"> </w:t>
      </w:r>
      <w:r>
        <w:t xml:space="preserve">  </w:t>
      </w:r>
    </w:p>
    <w:p w:rsidR="00D6604A" w:rsidRDefault="00D6604A" w:rsidP="00D6604A">
      <w:r>
        <w:t xml:space="preserve"> </w:t>
      </w:r>
    </w:p>
    <w:p w:rsidR="00D6604A" w:rsidRPr="003F4E73" w:rsidRDefault="00D6604A" w:rsidP="00D6604A">
      <w:pPr>
        <w:pStyle w:val="Caption"/>
        <w:keepNext/>
        <w:rPr>
          <w:b w:val="0"/>
        </w:rPr>
      </w:pPr>
      <w:r>
        <w:t xml:space="preserve">Figure </w:t>
      </w:r>
      <w:r w:rsidR="00C52F7F">
        <w:fldChar w:fldCharType="begin"/>
      </w:r>
      <w:r>
        <w:instrText xml:space="preserve"> SEQ Figure \* ARABIC </w:instrText>
      </w:r>
      <w:r w:rsidR="00C52F7F">
        <w:fldChar w:fldCharType="separate"/>
      </w:r>
      <w:r w:rsidR="00183DCC">
        <w:rPr>
          <w:noProof/>
        </w:rPr>
        <w:t>10</w:t>
      </w:r>
      <w:r w:rsidR="00C52F7F">
        <w:rPr>
          <w:noProof/>
        </w:rPr>
        <w:fldChar w:fldCharType="end"/>
      </w:r>
      <w:r>
        <w:t xml:space="preserve"> - </w:t>
      </w:r>
      <w:r w:rsidRPr="006339FC">
        <w:t xml:space="preserve">In which policy area, in your experience, were ESI Funds able to contribute more, directly or indirectly, to the implementation of CSR? </w:t>
      </w:r>
      <w:r w:rsidRPr="003F4E73">
        <w:rPr>
          <w:b w:val="0"/>
        </w:rPr>
        <w:t>(Likert scale: 1 disagree – 5 fully agree)</w:t>
      </w:r>
    </w:p>
    <w:p w:rsidR="00D6604A" w:rsidRDefault="001B0B5C" w:rsidP="00D6604A">
      <w:pPr>
        <w:autoSpaceDE w:val="0"/>
        <w:autoSpaceDN w:val="0"/>
        <w:adjustRightInd w:val="0"/>
        <w:spacing w:after="0" w:line="240" w:lineRule="auto"/>
        <w:jc w:val="left"/>
      </w:pPr>
      <w:r>
        <w:rPr>
          <w:noProof/>
          <w:lang w:eastAsia="en-GB"/>
        </w:rPr>
        <w:drawing>
          <wp:inline distT="0" distB="0" distL="0" distR="0" wp14:anchorId="213668DF" wp14:editId="3F61FF84">
            <wp:extent cx="5195454" cy="4158672"/>
            <wp:effectExtent l="0" t="0" r="5715"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199699" cy="4162070"/>
                    </a:xfrm>
                    <a:prstGeom prst="rect">
                      <a:avLst/>
                    </a:prstGeom>
                    <a:noFill/>
                  </pic:spPr>
                </pic:pic>
              </a:graphicData>
            </a:graphic>
          </wp:inline>
        </w:drawing>
      </w:r>
    </w:p>
    <w:p w:rsidR="00D6604A" w:rsidRDefault="00D6604A" w:rsidP="00D6604A">
      <w:pPr>
        <w:autoSpaceDE w:val="0"/>
        <w:autoSpaceDN w:val="0"/>
        <w:adjustRightInd w:val="0"/>
        <w:spacing w:after="0" w:line="240" w:lineRule="auto"/>
        <w:jc w:val="left"/>
      </w:pPr>
      <w:r>
        <w:t>Source: eSurvey of Managing Authorities.</w:t>
      </w:r>
    </w:p>
    <w:p w:rsidR="00D6604A" w:rsidRDefault="00D6604A" w:rsidP="00D6604A">
      <w:pPr>
        <w:autoSpaceDE w:val="0"/>
        <w:autoSpaceDN w:val="0"/>
        <w:adjustRightInd w:val="0"/>
        <w:spacing w:after="0" w:line="240" w:lineRule="auto"/>
        <w:jc w:val="left"/>
      </w:pPr>
    </w:p>
    <w:p w:rsidR="00D6604A" w:rsidRDefault="00D6604A" w:rsidP="00D6604A"/>
    <w:p w:rsidR="00D6604A" w:rsidRDefault="00D6604A" w:rsidP="00D6604A"/>
    <w:p w:rsidR="00D6604A" w:rsidRDefault="00D6604A" w:rsidP="00D6604A">
      <w:pPr>
        <w:pStyle w:val="Heading3"/>
      </w:pPr>
      <w:bookmarkStart w:id="35" w:name="_Toc466826802"/>
      <w:r>
        <w:t>Some information on the monitoring of CSR/structural challenges</w:t>
      </w:r>
      <w:bookmarkEnd w:id="35"/>
    </w:p>
    <w:p w:rsidR="00D6604A" w:rsidRDefault="00D6604A" w:rsidP="00D6604A">
      <w:r>
        <w:t xml:space="preserve">As part of the survey, the Managing Authorities were also asked whether they </w:t>
      </w:r>
      <w:r w:rsidRPr="00FD4BC4">
        <w:t>monitor the implementation of CSRs</w:t>
      </w:r>
      <w:r>
        <w:t xml:space="preserve"> and, if so, how. </w:t>
      </w:r>
    </w:p>
    <w:p w:rsidR="00D6604A" w:rsidRDefault="00D6604A" w:rsidP="00D6604A">
      <w:r>
        <w:t>The following diagram shows the findings. In 61% of the cases, the MA say that they do monitor CSRs either indirectly as part of the existing monitoring of programmes, specific objectives and targets set (e.g. in the Annual Implementation Reports), or directly through specific arrangements. Approximately 30% of the MAs, on the contrary, point out that there is no monitoring.</w:t>
      </w:r>
    </w:p>
    <w:p w:rsidR="00D6604A" w:rsidRPr="00D0304B" w:rsidRDefault="00D6604A" w:rsidP="00D6604A">
      <w:r>
        <w:t xml:space="preserve">Finally, 6% of MAs have mentioned other “solutions” for monitoring CSRs such as: by means of the Progress reports of the PA (in 2017 and 2019); as part of the monitoring of the National Reform Programme; by means of the Surveillance Committee meetings of the OPs; through the work of specific structures such as the </w:t>
      </w:r>
      <w:proofErr w:type="spellStart"/>
      <w:r w:rsidRPr="00C57915">
        <w:rPr>
          <w:i/>
        </w:rPr>
        <w:t>Comité</w:t>
      </w:r>
      <w:proofErr w:type="spellEnd"/>
      <w:r w:rsidRPr="00C57915">
        <w:rPr>
          <w:i/>
        </w:rPr>
        <w:t xml:space="preserve"> de </w:t>
      </w:r>
      <w:proofErr w:type="spellStart"/>
      <w:r w:rsidRPr="00C57915">
        <w:rPr>
          <w:i/>
        </w:rPr>
        <w:t>Coordinación</w:t>
      </w:r>
      <w:proofErr w:type="spellEnd"/>
      <w:r w:rsidRPr="00C57915">
        <w:rPr>
          <w:i/>
        </w:rPr>
        <w:t xml:space="preserve"> de </w:t>
      </w:r>
      <w:proofErr w:type="spellStart"/>
      <w:r w:rsidRPr="00C57915">
        <w:rPr>
          <w:i/>
        </w:rPr>
        <w:t>Fondos</w:t>
      </w:r>
      <w:proofErr w:type="spellEnd"/>
      <w:r w:rsidRPr="00C57915">
        <w:rPr>
          <w:i/>
        </w:rPr>
        <w:t xml:space="preserve"> in Spain.</w:t>
      </w:r>
      <w:r w:rsidRPr="00D0304B">
        <w:t xml:space="preserve"> </w:t>
      </w:r>
    </w:p>
    <w:p w:rsidR="00D6604A" w:rsidRPr="00D0304B" w:rsidRDefault="00D6604A" w:rsidP="00D6604A"/>
    <w:p w:rsidR="00D6604A" w:rsidRDefault="00D6604A" w:rsidP="00D6604A">
      <w:pPr>
        <w:pStyle w:val="Caption"/>
        <w:keepNext/>
      </w:pPr>
      <w:r>
        <w:t xml:space="preserve">Figure </w:t>
      </w:r>
      <w:r w:rsidR="00C52F7F">
        <w:fldChar w:fldCharType="begin"/>
      </w:r>
      <w:r>
        <w:instrText xml:space="preserve"> SEQ Figure \* ARABIC </w:instrText>
      </w:r>
      <w:r w:rsidR="00C52F7F">
        <w:fldChar w:fldCharType="separate"/>
      </w:r>
      <w:r w:rsidR="00183DCC">
        <w:rPr>
          <w:noProof/>
        </w:rPr>
        <w:t>11</w:t>
      </w:r>
      <w:r w:rsidR="00C52F7F">
        <w:rPr>
          <w:noProof/>
        </w:rPr>
        <w:fldChar w:fldCharType="end"/>
      </w:r>
      <w:r>
        <w:t xml:space="preserve"> – Extent to which t</w:t>
      </w:r>
      <w:r w:rsidRPr="00415446">
        <w:t>he Managing Authority monitor</w:t>
      </w:r>
      <w:r>
        <w:t>s the implementation of CSR</w:t>
      </w:r>
    </w:p>
    <w:p w:rsidR="00D6604A" w:rsidRPr="00DB0DCC" w:rsidRDefault="001B0B5C" w:rsidP="00D6604A">
      <w:r>
        <w:rPr>
          <w:noProof/>
          <w:lang w:eastAsia="en-GB"/>
        </w:rPr>
        <w:drawing>
          <wp:inline distT="0" distB="0" distL="0" distR="0" wp14:anchorId="2D942FE3" wp14:editId="28FDF580">
            <wp:extent cx="4572635" cy="3054350"/>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572635" cy="3054350"/>
                    </a:xfrm>
                    <a:prstGeom prst="rect">
                      <a:avLst/>
                    </a:prstGeom>
                    <a:noFill/>
                  </pic:spPr>
                </pic:pic>
              </a:graphicData>
            </a:graphic>
          </wp:inline>
        </w:drawing>
      </w:r>
    </w:p>
    <w:p w:rsidR="00D6604A" w:rsidRDefault="00D6604A" w:rsidP="00D6604A">
      <w:pPr>
        <w:autoSpaceDE w:val="0"/>
        <w:autoSpaceDN w:val="0"/>
        <w:adjustRightInd w:val="0"/>
        <w:spacing w:after="0" w:line="240" w:lineRule="auto"/>
        <w:jc w:val="left"/>
      </w:pPr>
      <w:r>
        <w:t>Source: eSurvey of Managing Authorities.</w:t>
      </w:r>
    </w:p>
    <w:p w:rsidR="00D6604A" w:rsidRDefault="00D6604A" w:rsidP="00D6604A">
      <w:pPr>
        <w:autoSpaceDE w:val="0"/>
        <w:autoSpaceDN w:val="0"/>
        <w:adjustRightInd w:val="0"/>
        <w:spacing w:after="0" w:line="240" w:lineRule="auto"/>
        <w:jc w:val="left"/>
      </w:pPr>
    </w:p>
    <w:p w:rsidR="00D6604A" w:rsidRDefault="00D6604A" w:rsidP="00D6604A">
      <w:pPr>
        <w:autoSpaceDE w:val="0"/>
        <w:autoSpaceDN w:val="0"/>
        <w:adjustRightInd w:val="0"/>
        <w:spacing w:after="0" w:line="240" w:lineRule="auto"/>
        <w:jc w:val="left"/>
      </w:pPr>
    </w:p>
    <w:p w:rsidR="00D6604A" w:rsidRPr="00F454B6" w:rsidRDefault="00D6604A" w:rsidP="00D6604A">
      <w:pPr>
        <w:jc w:val="left"/>
      </w:pPr>
    </w:p>
    <w:p w:rsidR="00AB1004" w:rsidRDefault="00AB1004">
      <w:pPr>
        <w:jc w:val="left"/>
        <w:rPr>
          <w:rFonts w:eastAsia="Times New Roman" w:cs="Times New Roman"/>
          <w:b/>
          <w:i/>
          <w:sz w:val="22"/>
          <w:szCs w:val="20"/>
        </w:rPr>
      </w:pPr>
      <w:r>
        <w:br w:type="page"/>
      </w:r>
    </w:p>
    <w:p w:rsidR="003D0E01" w:rsidRDefault="003D0E01" w:rsidP="003D0E01">
      <w:pPr>
        <w:pStyle w:val="Heading2"/>
      </w:pPr>
      <w:bookmarkStart w:id="36" w:name="_Toc466826803"/>
      <w:r w:rsidRPr="008A461E">
        <w:t>Analysi</w:t>
      </w:r>
      <w:r w:rsidR="00917185">
        <w:t xml:space="preserve">s of </w:t>
      </w:r>
      <w:r w:rsidRPr="008A461E">
        <w:t xml:space="preserve">the funding received by policy fields covered by </w:t>
      </w:r>
      <w:r>
        <w:t>CSR</w:t>
      </w:r>
      <w:bookmarkEnd w:id="36"/>
    </w:p>
    <w:p w:rsidR="002B3BB7" w:rsidRPr="002B3BB7" w:rsidRDefault="002B3BB7" w:rsidP="002B3BB7"/>
    <w:p w:rsidR="009522C0" w:rsidRDefault="002B3BB7" w:rsidP="009522C0">
      <w:pPr>
        <w:pStyle w:val="Heading3"/>
      </w:pPr>
      <w:bookmarkStart w:id="37" w:name="_Toc466826804"/>
      <w:r>
        <w:t>Estimation</w:t>
      </w:r>
      <w:r w:rsidR="009522C0">
        <w:t xml:space="preserve"> approach</w:t>
      </w:r>
      <w:bookmarkEnd w:id="37"/>
      <w:r w:rsidR="009522C0">
        <w:t xml:space="preserve"> </w:t>
      </w:r>
    </w:p>
    <w:p w:rsidR="005C3C4E" w:rsidRDefault="005C3C4E" w:rsidP="005C3C4E">
      <w:r>
        <w:t>This is the f</w:t>
      </w:r>
      <w:r w:rsidRPr="00D01E75">
        <w:t xml:space="preserve">irst attempt to assess the </w:t>
      </w:r>
      <w:r w:rsidRPr="007D3AF7">
        <w:rPr>
          <w:i/>
        </w:rPr>
        <w:t>actual</w:t>
      </w:r>
      <w:r w:rsidRPr="00D01E75">
        <w:t xml:space="preserve"> </w:t>
      </w:r>
      <w:r>
        <w:t xml:space="preserve">financial </w:t>
      </w:r>
      <w:r w:rsidRPr="00D01E75">
        <w:t xml:space="preserve">contribution of ESIF </w:t>
      </w:r>
      <w:r>
        <w:t>towards CSR/structural challenges. O</w:t>
      </w:r>
      <w:r w:rsidRPr="005C3C4E">
        <w:t xml:space="preserve">nly </w:t>
      </w:r>
      <w:r>
        <w:t xml:space="preserve">the </w:t>
      </w:r>
      <w:r w:rsidRPr="005C3C4E">
        <w:t>OPs that are actually mobilised and contribute</w:t>
      </w:r>
      <w:r>
        <w:t xml:space="preserve"> to tackle the challenges</w:t>
      </w:r>
      <w:r w:rsidRPr="005C3C4E">
        <w:t>, according to the national experts’ assessment, are considered in the calculation</w:t>
      </w:r>
      <w:r>
        <w:t xml:space="preserve">. The exercise makes it possible: </w:t>
      </w:r>
    </w:p>
    <w:p w:rsidR="005C3C4E" w:rsidRPr="00340CAB" w:rsidRDefault="005C3C4E" w:rsidP="005C3C4E">
      <w:pPr>
        <w:pStyle w:val="Bulletpoint1"/>
      </w:pPr>
      <w:r w:rsidRPr="0054221F">
        <w:t>An estimat</w:t>
      </w:r>
      <w:r>
        <w:t>ion</w:t>
      </w:r>
      <w:r w:rsidRPr="0054221F">
        <w:t xml:space="preserve"> of the financial allocation </w:t>
      </w:r>
      <w:r>
        <w:t>to</w:t>
      </w:r>
      <w:r w:rsidRPr="0054221F">
        <w:t xml:space="preserve"> the CSR in a specific country;</w:t>
      </w:r>
    </w:p>
    <w:p w:rsidR="005C3C4E" w:rsidRPr="00340CAB" w:rsidRDefault="005C3C4E" w:rsidP="005C3C4E">
      <w:pPr>
        <w:pStyle w:val="Bulletpoint1"/>
      </w:pPr>
      <w:r w:rsidRPr="0054221F">
        <w:t xml:space="preserve">An analysis of </w:t>
      </w:r>
      <w:r>
        <w:t xml:space="preserve">the </w:t>
      </w:r>
      <w:r w:rsidRPr="0054221F">
        <w:t xml:space="preserve">funding </w:t>
      </w:r>
      <w:r>
        <w:t xml:space="preserve">by </w:t>
      </w:r>
      <w:r w:rsidRPr="0054221F">
        <w:t>policy area</w:t>
      </w:r>
      <w:r w:rsidRPr="00E576FA">
        <w:rPr>
          <w:vertAlign w:val="superscript"/>
        </w:rPr>
        <w:footnoteReference w:id="24"/>
      </w:r>
      <w:r w:rsidRPr="0054221F">
        <w:t xml:space="preserve"> (this can be used to compare Member States with and without CSR in a given policy area). </w:t>
      </w:r>
    </w:p>
    <w:p w:rsidR="003D0E01" w:rsidRPr="00340CAB" w:rsidRDefault="003D0E01" w:rsidP="003D0E01">
      <w:r>
        <w:t xml:space="preserve">The financial analysis was carried out on the basis of: the Overview Tables and </w:t>
      </w:r>
      <w:r w:rsidRPr="00D01E75">
        <w:t xml:space="preserve">the correspondence </w:t>
      </w:r>
      <w:r>
        <w:t xml:space="preserve">between the Interventions Fields and the  Policy Areas, </w:t>
      </w:r>
      <w:r w:rsidRPr="00D01E75">
        <w:t>proposed in the Methodological Report</w:t>
      </w:r>
      <w:r>
        <w:t>.</w:t>
      </w:r>
    </w:p>
    <w:p w:rsidR="003D0E01" w:rsidRDefault="003D0E01" w:rsidP="003D0E01">
      <w:pPr>
        <w:contextualSpacing/>
      </w:pPr>
      <w:r>
        <w:t xml:space="preserve">More specifically, for each </w:t>
      </w:r>
      <w:r w:rsidR="005C3C4E">
        <w:t xml:space="preserve">cohesion relevant </w:t>
      </w:r>
      <w:r>
        <w:t>CSR</w:t>
      </w:r>
      <w:r w:rsidR="006746D1">
        <w:t>,</w:t>
      </w:r>
      <w:r>
        <w:t xml:space="preserve"> the programmes that have a clear link to them</w:t>
      </w:r>
      <w:r w:rsidR="00C82ACA">
        <w:t xml:space="preserve"> were identified</w:t>
      </w:r>
      <w:r w:rsidR="005C3C4E">
        <w:t xml:space="preserve">, </w:t>
      </w:r>
      <w:r>
        <w:t xml:space="preserve">because they mobilise IPs or SOs which target the issues underlying </w:t>
      </w:r>
      <w:r w:rsidR="005C3C4E">
        <w:t xml:space="preserve">the </w:t>
      </w:r>
      <w:r>
        <w:t xml:space="preserve">CSR </w:t>
      </w:r>
      <w:r w:rsidR="005C3C4E">
        <w:t>(</w:t>
      </w:r>
      <w:r>
        <w:t>and</w:t>
      </w:r>
      <w:r w:rsidR="005C3C4E">
        <w:t>/or</w:t>
      </w:r>
      <w:r>
        <w:t xml:space="preserve"> </w:t>
      </w:r>
      <w:r w:rsidR="005C3C4E">
        <w:t xml:space="preserve">the </w:t>
      </w:r>
      <w:r>
        <w:t>structural challenges identified in Country Reports). Since</w:t>
      </w:r>
      <w:r w:rsidR="00395F8D">
        <w:t>,</w:t>
      </w:r>
      <w:r>
        <w:t xml:space="preserve"> </w:t>
      </w:r>
      <w:r w:rsidR="00395F8D">
        <w:t xml:space="preserve">in this study, </w:t>
      </w:r>
      <w:r w:rsidRPr="00F94D2B">
        <w:t>each CSR</w:t>
      </w:r>
      <w:r w:rsidR="009C6ED1" w:rsidRPr="00F94D2B">
        <w:t xml:space="preserve"> </w:t>
      </w:r>
      <w:r w:rsidR="00C52F7F" w:rsidRPr="00807960">
        <w:t>or, where applicable each sub-CSR</w:t>
      </w:r>
      <w:r w:rsidRPr="00F94D2B">
        <w:t>/structural</w:t>
      </w:r>
      <w:r>
        <w:t xml:space="preserve"> challenge is linked to a single policy area, we are able to calculate the corresponding financial resources allocated in the OPs.</w:t>
      </w:r>
    </w:p>
    <w:p w:rsidR="003D0E01" w:rsidRDefault="003D0E01" w:rsidP="003D0E01">
      <w:pPr>
        <w:contextualSpacing/>
      </w:pPr>
    </w:p>
    <w:p w:rsidR="003D0E01" w:rsidRDefault="003D0E01" w:rsidP="003D0E01">
      <w:pPr>
        <w:rPr>
          <w:szCs w:val="20"/>
        </w:rPr>
      </w:pPr>
      <w:r>
        <w:t xml:space="preserve">The analysis is possible for </w:t>
      </w:r>
      <w:r w:rsidRPr="004C7E49">
        <w:t>309 OPs financed</w:t>
      </w:r>
      <w:r>
        <w:t xml:space="preserve"> by the ERDF, ESF, YEI and CF, out of the total 376 which were analysed desk by the national expert. This is due to the fact that the financial dataset provided by the Commission (</w:t>
      </w:r>
      <w:r w:rsidRPr="008E10BF">
        <w:t>“Esif_categorisation_2014-2020”</w:t>
      </w:r>
      <w:r>
        <w:t>) covers this subset of programmes</w:t>
      </w:r>
      <w:r w:rsidRPr="00885530">
        <w:rPr>
          <w:szCs w:val="20"/>
        </w:rPr>
        <w:t>.</w:t>
      </w:r>
    </w:p>
    <w:p w:rsidR="002B3BB7" w:rsidRDefault="002B3BB7" w:rsidP="003D0E01">
      <w:pPr>
        <w:rPr>
          <w:szCs w:val="20"/>
        </w:rPr>
      </w:pPr>
    </w:p>
    <w:p w:rsidR="009522C0" w:rsidRDefault="009522C0" w:rsidP="009522C0">
      <w:pPr>
        <w:pStyle w:val="Heading3"/>
      </w:pPr>
      <w:bookmarkStart w:id="38" w:name="_Toc466826805"/>
      <w:r>
        <w:t>Financial resources by policy area and Fund</w:t>
      </w:r>
      <w:bookmarkEnd w:id="38"/>
    </w:p>
    <w:p w:rsidR="003D0E01" w:rsidRDefault="003D0E01" w:rsidP="003D0E01">
      <w:r w:rsidRPr="0054221F">
        <w:t>The following table shows the financial resources allocated to CSRs</w:t>
      </w:r>
      <w:r w:rsidR="00955272">
        <w:t>/structural challenges</w:t>
      </w:r>
      <w:r w:rsidRPr="0054221F">
        <w:t xml:space="preserve"> in </w:t>
      </w:r>
      <w:r>
        <w:t>22</w:t>
      </w:r>
      <w:r w:rsidRPr="0054221F">
        <w:t xml:space="preserve"> </w:t>
      </w:r>
      <w:r>
        <w:t>Member States for which data are currently available and have been processed</w:t>
      </w:r>
      <w:r w:rsidRPr="0054221F">
        <w:t>.</w:t>
      </w:r>
      <w:r>
        <w:t xml:space="preserve"> </w:t>
      </w:r>
    </w:p>
    <w:p w:rsidR="00F94D2B" w:rsidRPr="00340CAB" w:rsidRDefault="00F94D2B" w:rsidP="003D0E01">
      <w:r>
        <w:t xml:space="preserve">The first column (A) indicates the share of resources of the OPs which have mobilised relevant SOs, namely specific objectives which target the issues underlying CSR/structural challenges in each policy area. </w:t>
      </w:r>
      <w:r w:rsidR="00A37767">
        <w:t xml:space="preserve">In other words, if an OP has one or more SOs that may address a certain CSR/structural challenges in a certain policy area, the financial allocations to the policy area were summed up. </w:t>
      </w:r>
    </w:p>
    <w:p w:rsidR="00206A19" w:rsidRDefault="00F94D2B" w:rsidP="003D0E01">
      <w:r>
        <w:t>In total, m</w:t>
      </w:r>
      <w:r w:rsidR="003D0E01" w:rsidRPr="0054221F">
        <w:t xml:space="preserve">ore than EUR 211 </w:t>
      </w:r>
      <w:r w:rsidR="003D0E01">
        <w:t xml:space="preserve">billion </w:t>
      </w:r>
      <w:r w:rsidR="003D0E01" w:rsidRPr="0054221F">
        <w:t xml:space="preserve">were </w:t>
      </w:r>
      <w:r w:rsidR="000651B0">
        <w:t xml:space="preserve">mobilised in order to contribute </w:t>
      </w:r>
      <w:r w:rsidR="003D0E01" w:rsidRPr="0054221F">
        <w:t xml:space="preserve">to </w:t>
      </w:r>
      <w:r w:rsidR="00544F7E">
        <w:t xml:space="preserve">implement </w:t>
      </w:r>
      <w:r w:rsidR="003D0E01" w:rsidRPr="0054221F">
        <w:t>CSRs</w:t>
      </w:r>
      <w:r w:rsidR="00955272">
        <w:t>/structural challenges</w:t>
      </w:r>
      <w:r w:rsidR="003D0E01" w:rsidRPr="0054221F">
        <w:t>, representing 71% of the total ESIF amount</w:t>
      </w:r>
      <w:r w:rsidR="00206A19">
        <w:t>.</w:t>
      </w:r>
      <w:r w:rsidR="003D0E01" w:rsidRPr="0054221F">
        <w:t xml:space="preserve"> </w:t>
      </w:r>
    </w:p>
    <w:p w:rsidR="00A37767" w:rsidRDefault="00206A19" w:rsidP="003D0E01">
      <w:r>
        <w:t>The second column (B) indicates the total resources allocated to policy areas in which there are CSR/structural challenges, regardless of the fact that SOs have been mobilised. This is</w:t>
      </w:r>
      <w:r w:rsidR="00A37767">
        <w:t>,</w:t>
      </w:r>
      <w:r>
        <w:t xml:space="preserve"> in other words</w:t>
      </w:r>
      <w:r w:rsidR="00A37767">
        <w:t>,</w:t>
      </w:r>
      <w:r>
        <w:t xml:space="preserve"> the maximum amount that, in theory, OPs can devote to pursue CSR/structural challenges. </w:t>
      </w:r>
    </w:p>
    <w:p w:rsidR="003D0E01" w:rsidRPr="00340CAB" w:rsidRDefault="00206A19" w:rsidP="003D0E01">
      <w:r>
        <w:t>The ratio (A/B)</w:t>
      </w:r>
      <w:r w:rsidR="003D0E01" w:rsidRPr="0054221F">
        <w:t>represent</w:t>
      </w:r>
      <w:r w:rsidR="003D0E01">
        <w:t>s</w:t>
      </w:r>
      <w:r w:rsidR="003D0E01" w:rsidRPr="0054221F">
        <w:t xml:space="preserve"> </w:t>
      </w:r>
      <w:r w:rsidR="003D0E01">
        <w:t xml:space="preserve">an estimation of </w:t>
      </w:r>
      <w:r w:rsidR="003D0E01" w:rsidRPr="0054221F">
        <w:t xml:space="preserve">the actual </w:t>
      </w:r>
      <w:r w:rsidR="003D0E01">
        <w:t>“</w:t>
      </w:r>
      <w:r w:rsidR="003D0E01" w:rsidRPr="0054221F">
        <w:t>effort</w:t>
      </w:r>
      <w:r w:rsidR="003D0E01">
        <w:t>”</w:t>
      </w:r>
      <w:r w:rsidR="003D0E01" w:rsidRPr="0054221F">
        <w:t xml:space="preserve"> </w:t>
      </w:r>
      <w:r>
        <w:t>made</w:t>
      </w:r>
      <w:r w:rsidR="003D0E01" w:rsidRPr="0054221F">
        <w:t xml:space="preserve"> in allocating the ESI </w:t>
      </w:r>
      <w:r w:rsidR="003D0E01">
        <w:t>F</w:t>
      </w:r>
      <w:r w:rsidR="003D0E01" w:rsidRPr="0054221F">
        <w:t xml:space="preserve">unds </w:t>
      </w:r>
      <w:r w:rsidR="003D0E01">
        <w:t>to</w:t>
      </w:r>
      <w:r w:rsidR="003D0E01" w:rsidRPr="0054221F">
        <w:t xml:space="preserve"> </w:t>
      </w:r>
      <w:r w:rsidR="003D0E01">
        <w:t xml:space="preserve">contribute to </w:t>
      </w:r>
      <w:r w:rsidR="003D0E01" w:rsidRPr="0054221F">
        <w:t>the implementation of CSRs</w:t>
      </w:r>
      <w:r w:rsidR="00955272">
        <w:t>/structural challenges</w:t>
      </w:r>
      <w:r w:rsidR="003D0E01" w:rsidRPr="0054221F">
        <w:t>.</w:t>
      </w:r>
      <w:r>
        <w:t xml:space="preserve"> Overall</w:t>
      </w:r>
      <w:r w:rsidR="00A37767">
        <w:t>,</w:t>
      </w:r>
      <w:r>
        <w:t xml:space="preserve"> the OPs </w:t>
      </w:r>
      <w:r w:rsidR="00A37767">
        <w:t xml:space="preserve">have </w:t>
      </w:r>
      <w:r>
        <w:t>mobilised (</w:t>
      </w:r>
      <w:r w:rsidR="00A37767">
        <w:t xml:space="preserve">by means of </w:t>
      </w:r>
      <w:r>
        <w:t xml:space="preserve">relevant SOs) </w:t>
      </w:r>
      <w:r w:rsidRPr="0054221F">
        <w:t xml:space="preserve">87% of </w:t>
      </w:r>
      <w:r>
        <w:t xml:space="preserve">the </w:t>
      </w:r>
      <w:r w:rsidR="00A37767">
        <w:t xml:space="preserve">total </w:t>
      </w:r>
      <w:r w:rsidRPr="0054221F">
        <w:t xml:space="preserve">resources allocated to the policy areas </w:t>
      </w:r>
      <w:r>
        <w:t xml:space="preserve">for which </w:t>
      </w:r>
      <w:r w:rsidRPr="0054221F">
        <w:t>CSRs</w:t>
      </w:r>
      <w:r>
        <w:t xml:space="preserve"> </w:t>
      </w:r>
      <w:r w:rsidR="00A37767">
        <w:t>were</w:t>
      </w:r>
      <w:r>
        <w:t xml:space="preserve"> issued</w:t>
      </w:r>
      <w:r w:rsidRPr="0054221F">
        <w:t xml:space="preserve">. </w:t>
      </w:r>
    </w:p>
    <w:p w:rsidR="003D0E01" w:rsidRPr="00340CAB" w:rsidRDefault="003D0E01" w:rsidP="003D0E01">
      <w:r w:rsidRPr="0054221F">
        <w:t>The policy areas for which almost all countries received CSRs</w:t>
      </w:r>
      <w:r w:rsidR="00955272">
        <w:t>/structural challenges</w:t>
      </w:r>
      <w:r w:rsidRPr="0054221F">
        <w:t xml:space="preserve"> </w:t>
      </w:r>
      <w:r w:rsidR="00A37767">
        <w:t>are</w:t>
      </w:r>
      <w:r w:rsidRPr="0054221F">
        <w:t xml:space="preserve"> Energy, Access to Employment and Institutional capacity. In these policy areas the financial resources allocated directly to CSRs</w:t>
      </w:r>
      <w:r w:rsidR="00955272">
        <w:t>/structural challenges</w:t>
      </w:r>
      <w:r w:rsidRPr="0054221F">
        <w:t xml:space="preserve"> were respectively 84%, 94% and 71%</w:t>
      </w:r>
      <w:r>
        <w:t xml:space="preserve"> of the total </w:t>
      </w:r>
      <w:r w:rsidR="00A37767">
        <w:t xml:space="preserve">resources </w:t>
      </w:r>
      <w:r w:rsidRPr="00A7032D">
        <w:t>allocat</w:t>
      </w:r>
      <w:r w:rsidR="00A37767">
        <w:t>ed</w:t>
      </w:r>
      <w:r w:rsidRPr="00A7032D">
        <w:t xml:space="preserve"> to policy areas where there are challenges</w:t>
      </w:r>
      <w:r w:rsidRPr="0054221F">
        <w:t xml:space="preserve">. </w:t>
      </w:r>
    </w:p>
    <w:p w:rsidR="003D0E01" w:rsidRPr="00340CAB" w:rsidRDefault="001861F4" w:rsidP="003D0E01">
      <w:r>
        <w:t>A</w:t>
      </w:r>
      <w:r w:rsidRPr="0054221F">
        <w:t xml:space="preserve"> </w:t>
      </w:r>
      <w:r w:rsidR="003D0E01" w:rsidRPr="0054221F">
        <w:t>lowe</w:t>
      </w:r>
      <w:r>
        <w:t>r</w:t>
      </w:r>
      <w:r w:rsidR="003D0E01" w:rsidRPr="0054221F">
        <w:t xml:space="preserve"> contribution of ESI </w:t>
      </w:r>
      <w:r w:rsidR="003D0E01">
        <w:t>F</w:t>
      </w:r>
      <w:r w:rsidR="003D0E01" w:rsidRPr="0054221F">
        <w:t>unds to the implementation of CSRs</w:t>
      </w:r>
      <w:r w:rsidR="00955272">
        <w:t>/structural challenges</w:t>
      </w:r>
      <w:r w:rsidR="003D0E01" w:rsidRPr="0054221F">
        <w:t xml:space="preserve"> was found in the policy areas of </w:t>
      </w:r>
      <w:r w:rsidR="003D0E01">
        <w:t>G</w:t>
      </w:r>
      <w:r w:rsidR="003D0E01" w:rsidRPr="0054221F">
        <w:t xml:space="preserve">ender </w:t>
      </w:r>
      <w:r w:rsidR="003D0E01">
        <w:t>E</w:t>
      </w:r>
      <w:r w:rsidR="003D0E01" w:rsidRPr="0054221F">
        <w:t xml:space="preserve">quality, </w:t>
      </w:r>
      <w:r w:rsidR="003D0E01">
        <w:t>E</w:t>
      </w:r>
      <w:r w:rsidR="003D0E01" w:rsidRPr="0054221F">
        <w:t xml:space="preserve">nvironmental </w:t>
      </w:r>
      <w:r w:rsidR="003D0E01">
        <w:t>P</w:t>
      </w:r>
      <w:r w:rsidR="003D0E01" w:rsidRPr="0054221F">
        <w:t xml:space="preserve">rotection and </w:t>
      </w:r>
      <w:r w:rsidR="003D0E01">
        <w:t>B</w:t>
      </w:r>
      <w:r w:rsidR="003D0E01" w:rsidRPr="0054221F">
        <w:t xml:space="preserve">usiness </w:t>
      </w:r>
      <w:r w:rsidR="003D0E01" w:rsidRPr="00A107F7">
        <w:t>environment</w:t>
      </w:r>
      <w:r w:rsidR="003D0E01">
        <w:t>, but also in these areas the share that goes to CSR/structural challenges is significant (between 65 and 70%)</w:t>
      </w:r>
      <w:r w:rsidR="003D0E01" w:rsidRPr="0054221F">
        <w:t xml:space="preserve">. </w:t>
      </w:r>
      <w:r>
        <w:t xml:space="preserve">Therefore this analysis of funding does not contradict the </w:t>
      </w:r>
      <w:r w:rsidR="00A12CBA">
        <w:t xml:space="preserve">results of the qualitative analysis of the OPs. </w:t>
      </w:r>
      <w:r>
        <w:t xml:space="preserve"> </w:t>
      </w:r>
      <w:r w:rsidR="003D0E01" w:rsidRPr="0054221F">
        <w:t xml:space="preserve"> </w:t>
      </w:r>
    </w:p>
    <w:p w:rsidR="003D0E01" w:rsidRPr="00340CAB" w:rsidRDefault="003D0E01" w:rsidP="003D0E01">
      <w:r w:rsidRPr="0054221F">
        <w:t>It</w:t>
      </w:r>
      <w:r>
        <w:t xml:space="preserve"> is</w:t>
      </w:r>
      <w:r w:rsidRPr="0054221F">
        <w:t xml:space="preserve"> worth noting that in some policy areas (</w:t>
      </w:r>
      <w:r>
        <w:t xml:space="preserve">i.e. </w:t>
      </w:r>
      <w:r w:rsidRPr="00A107F7">
        <w:t>Environmental</w:t>
      </w:r>
      <w:r w:rsidRPr="0054221F">
        <w:t xml:space="preserve"> protection, </w:t>
      </w:r>
      <w:r>
        <w:t>H</w:t>
      </w:r>
      <w:r w:rsidRPr="0054221F">
        <w:t xml:space="preserve">ousing and </w:t>
      </w:r>
      <w:r>
        <w:t xml:space="preserve">other </w:t>
      </w:r>
      <w:r w:rsidRPr="0054221F">
        <w:t xml:space="preserve">social infrastructures) only few countries received </w:t>
      </w:r>
      <w:r>
        <w:t>CSR</w:t>
      </w:r>
      <w:r w:rsidR="001861F4">
        <w:t>s</w:t>
      </w:r>
      <w:r w:rsidR="00955272">
        <w:t xml:space="preserve"> or have structural challenges</w:t>
      </w:r>
      <w:r w:rsidRPr="0054221F">
        <w:t>, therefore the resources supporting the implementation of CSRs</w:t>
      </w:r>
      <w:r w:rsidR="00955272">
        <w:t>/structural challenges</w:t>
      </w:r>
      <w:r w:rsidRPr="0054221F">
        <w:t xml:space="preserve"> </w:t>
      </w:r>
      <w:r>
        <w:t>represent</w:t>
      </w:r>
      <w:r w:rsidRPr="0054221F">
        <w:t xml:space="preserve"> a low share of the total funds. </w:t>
      </w:r>
    </w:p>
    <w:p w:rsidR="003D0E01" w:rsidRDefault="003D0E01" w:rsidP="003D0E01">
      <w:r>
        <w:t xml:space="preserve">The main caveats of this analysis are that: </w:t>
      </w:r>
      <w:r w:rsidRPr="004C7E49">
        <w:t>not all ESIF</w:t>
      </w:r>
      <w:r>
        <w:t xml:space="preserve"> can be included because data </w:t>
      </w:r>
      <w:r w:rsidR="00544F7E">
        <w:t xml:space="preserve">is </w:t>
      </w:r>
      <w:r>
        <w:t>only</w:t>
      </w:r>
      <w:r w:rsidR="00544F7E">
        <w:t xml:space="preserve"> available for</w:t>
      </w:r>
      <w:r>
        <w:t xml:space="preserve"> ERDF, ESF, CF and YEI</w:t>
      </w:r>
      <w:r w:rsidRPr="004C7E49">
        <w:t xml:space="preserve">; </w:t>
      </w:r>
      <w:r>
        <w:t xml:space="preserve">the </w:t>
      </w:r>
      <w:r w:rsidRPr="004C7E49">
        <w:t xml:space="preserve">focus </w:t>
      </w:r>
      <w:r>
        <w:t xml:space="preserve">is </w:t>
      </w:r>
      <w:r w:rsidRPr="004C7E49">
        <w:t xml:space="preserve">on policy areas which can be directly linked to TOs; </w:t>
      </w:r>
      <w:r>
        <w:t xml:space="preserve">there might be some overestimation as </w:t>
      </w:r>
      <w:r w:rsidRPr="004C7E49">
        <w:t>not necessarily all resources devoted to a</w:t>
      </w:r>
      <w:r>
        <w:t>n</w:t>
      </w:r>
      <w:r w:rsidRPr="004C7E49">
        <w:t xml:space="preserve"> I</w:t>
      </w:r>
      <w:r>
        <w:t xml:space="preserve">ntervention </w:t>
      </w:r>
      <w:r w:rsidRPr="004C7E49">
        <w:t>F</w:t>
      </w:r>
      <w:r>
        <w:t>ield</w:t>
      </w:r>
      <w:r w:rsidRPr="004C7E49">
        <w:t xml:space="preserve"> address a certain challenge.</w:t>
      </w:r>
    </w:p>
    <w:p w:rsidR="003D0E01" w:rsidRDefault="00395F8D" w:rsidP="003D0E01">
      <w:r>
        <w:t>This</w:t>
      </w:r>
      <w:r w:rsidR="003D0E01">
        <w:t xml:space="preserve"> </w:t>
      </w:r>
      <w:r>
        <w:t xml:space="preserve">analysis </w:t>
      </w:r>
      <w:r w:rsidR="003D0E01">
        <w:t xml:space="preserve">is in any case a significant step forward compared to the available evidence </w:t>
      </w:r>
      <w:r w:rsidR="001861F4">
        <w:t xml:space="preserve">(i.e. from other studies) </w:t>
      </w:r>
      <w:r>
        <w:t xml:space="preserve">on financial resources </w:t>
      </w:r>
      <w:r w:rsidR="001861F4">
        <w:t xml:space="preserve">addressing </w:t>
      </w:r>
      <w:r>
        <w:t>CSR</w:t>
      </w:r>
      <w:r w:rsidR="00955272">
        <w:t>/structural challenges</w:t>
      </w:r>
      <w:r>
        <w:t xml:space="preserve">, </w:t>
      </w:r>
      <w:r w:rsidR="003D0E01">
        <w:t xml:space="preserve">as </w:t>
      </w:r>
      <w:r w:rsidR="003D0E01" w:rsidRPr="004C7E49">
        <w:t>only OPs that are actually mobilised and contribute</w:t>
      </w:r>
      <w:r>
        <w:t xml:space="preserve"> to purse the challenges</w:t>
      </w:r>
      <w:r w:rsidR="003D0E01" w:rsidRPr="004C7E49">
        <w:t xml:space="preserve"> ar</w:t>
      </w:r>
      <w:r w:rsidR="003D0E01">
        <w:t xml:space="preserve">e considered in </w:t>
      </w:r>
      <w:r w:rsidR="001861F4">
        <w:t xml:space="preserve">our </w:t>
      </w:r>
      <w:r w:rsidR="003D0E01">
        <w:t>calculation. T</w:t>
      </w:r>
      <w:r w:rsidR="003D0E01" w:rsidRPr="004C7E49">
        <w:t xml:space="preserve">he </w:t>
      </w:r>
      <w:r w:rsidR="003D0E01">
        <w:t>“</w:t>
      </w:r>
      <w:r w:rsidR="003D0E01" w:rsidRPr="004C7E49">
        <w:t>analysis of the outcome of the negotiations concerning the Partnership Agreements and ESF Operational Programmes</w:t>
      </w:r>
      <w:r w:rsidR="003D0E01">
        <w:t>”</w:t>
      </w:r>
      <w:r w:rsidR="003D0E01" w:rsidRPr="004C7E49">
        <w:t xml:space="preserve"> </w:t>
      </w:r>
      <w:r w:rsidR="003D0E01">
        <w:t xml:space="preserve">also </w:t>
      </w:r>
      <w:r w:rsidR="003D0E01" w:rsidRPr="004C7E49">
        <w:t xml:space="preserve">provides a link between ESF programmes and CSR related to TO8-TO11, including an estimate of financial allocation. However, </w:t>
      </w:r>
      <w:r w:rsidR="003D0E01">
        <w:t xml:space="preserve">in that case the </w:t>
      </w:r>
      <w:r w:rsidR="003D0E01" w:rsidRPr="004C7E49">
        <w:t xml:space="preserve">focus </w:t>
      </w:r>
      <w:r w:rsidR="003D0E01">
        <w:t xml:space="preserve">is </w:t>
      </w:r>
      <w:r w:rsidR="003D0E01" w:rsidRPr="004C7E49">
        <w:t xml:space="preserve">on: a single fund (allocations to IPs are used, </w:t>
      </w:r>
      <w:r>
        <w:t xml:space="preserve">which are </w:t>
      </w:r>
      <w:r w:rsidR="003D0E01" w:rsidRPr="004C7E49">
        <w:t xml:space="preserve">only available for ESF); </w:t>
      </w:r>
      <w:r>
        <w:t>and on</w:t>
      </w:r>
      <w:r w:rsidR="003D0E01" w:rsidRPr="004C7E49">
        <w:t xml:space="preserve"> </w:t>
      </w:r>
      <w:r w:rsidR="003D0E01">
        <w:t xml:space="preserve">a </w:t>
      </w:r>
      <w:r w:rsidR="003D0E01" w:rsidRPr="004C7E49">
        <w:t>limited set of CSR</w:t>
      </w:r>
      <w:r w:rsidR="001861F4">
        <w:t>s</w:t>
      </w:r>
      <w:r w:rsidR="003D0E01" w:rsidRPr="004C7E49">
        <w:t>, used for the P</w:t>
      </w:r>
      <w:r w:rsidR="003D0E01">
        <w:t xml:space="preserve">artnership </w:t>
      </w:r>
      <w:r w:rsidR="003D0E01" w:rsidRPr="004C7E49">
        <w:t>A</w:t>
      </w:r>
      <w:r w:rsidR="003D0E01">
        <w:t>greement. On the contrary</w:t>
      </w:r>
      <w:r w:rsidR="003D0E01" w:rsidRPr="004C7E49">
        <w:t xml:space="preserve">, the scope of the present study is wider (e.g. </w:t>
      </w:r>
      <w:r w:rsidR="003D0E01">
        <w:t xml:space="preserve">all </w:t>
      </w:r>
      <w:r w:rsidR="003D0E01" w:rsidRPr="004C7E49">
        <w:t>CSR</w:t>
      </w:r>
      <w:r w:rsidR="00955272">
        <w:t>/structural challenges</w:t>
      </w:r>
      <w:r w:rsidR="003D0E01" w:rsidRPr="004C7E49">
        <w:t xml:space="preserve"> 2012-2015</w:t>
      </w:r>
      <w:r w:rsidR="003D0E01">
        <w:t xml:space="preserve"> and</w:t>
      </w:r>
      <w:r w:rsidR="003D0E01" w:rsidRPr="004C7E49">
        <w:t xml:space="preserve"> all TOs</w:t>
      </w:r>
      <w:r w:rsidR="003D0E01">
        <w:t xml:space="preserve"> are considered</w:t>
      </w:r>
      <w:r w:rsidR="003D0E01" w:rsidRPr="004C7E49">
        <w:t xml:space="preserve">).   </w:t>
      </w:r>
    </w:p>
    <w:p w:rsidR="003D0E01" w:rsidRPr="0006190B" w:rsidRDefault="003D0E01" w:rsidP="003D0E01">
      <w:pPr>
        <w:sectPr w:rsidR="003D0E01" w:rsidRPr="0006190B" w:rsidSect="0061607F">
          <w:footerReference w:type="default" r:id="rId35"/>
          <w:pgSz w:w="11907" w:h="16839" w:code="9"/>
          <w:pgMar w:top="1418" w:right="1418" w:bottom="851" w:left="1701" w:header="567" w:footer="720" w:gutter="0"/>
          <w:cols w:space="720"/>
          <w:docGrid w:linePitch="326"/>
        </w:sectPr>
      </w:pPr>
    </w:p>
    <w:p w:rsidR="003D0E01" w:rsidRDefault="003D0E01" w:rsidP="003D0E01">
      <w:pPr>
        <w:pStyle w:val="Caption"/>
        <w:keepNext/>
      </w:pPr>
      <w:r>
        <w:t xml:space="preserve">Table </w:t>
      </w:r>
      <w:r w:rsidR="00C52F7F">
        <w:fldChar w:fldCharType="begin"/>
      </w:r>
      <w:r w:rsidR="00F62F72">
        <w:instrText xml:space="preserve"> SEQ Table \* ARABIC </w:instrText>
      </w:r>
      <w:r w:rsidR="00C52F7F">
        <w:fldChar w:fldCharType="separate"/>
      </w:r>
      <w:r w:rsidR="00183DCC">
        <w:rPr>
          <w:noProof/>
        </w:rPr>
        <w:t>12</w:t>
      </w:r>
      <w:r w:rsidR="00C52F7F">
        <w:rPr>
          <w:noProof/>
        </w:rPr>
        <w:fldChar w:fldCharType="end"/>
      </w:r>
      <w:r>
        <w:t xml:space="preserve"> – Estimation of financial resources allocated to </w:t>
      </w:r>
      <w:r w:rsidRPr="004C7E49">
        <w:t>CSRs/structural challenges</w:t>
      </w:r>
      <w:r>
        <w:t xml:space="preserve"> in Europe* by policy area</w:t>
      </w:r>
    </w:p>
    <w:tbl>
      <w:tblPr>
        <w:tblW w:w="5000" w:type="pct"/>
        <w:tblCellMar>
          <w:left w:w="70" w:type="dxa"/>
          <w:right w:w="70" w:type="dxa"/>
        </w:tblCellMar>
        <w:tblLook w:val="00A0" w:firstRow="1" w:lastRow="0" w:firstColumn="1" w:lastColumn="0" w:noHBand="0" w:noVBand="0"/>
      </w:tblPr>
      <w:tblGrid>
        <w:gridCol w:w="7177"/>
        <w:gridCol w:w="1256"/>
        <w:gridCol w:w="1256"/>
        <w:gridCol w:w="1256"/>
        <w:gridCol w:w="1256"/>
        <w:gridCol w:w="1256"/>
        <w:gridCol w:w="1253"/>
      </w:tblGrid>
      <w:tr w:rsidR="003D0E01" w:rsidRPr="00F31150" w:rsidTr="003D0E01">
        <w:tc>
          <w:tcPr>
            <w:tcW w:w="2439" w:type="pct"/>
            <w:tcBorders>
              <w:top w:val="single" w:sz="4" w:space="0" w:color="000000"/>
              <w:left w:val="single" w:sz="4" w:space="0" w:color="000000"/>
              <w:bottom w:val="single" w:sz="4" w:space="0" w:color="000000"/>
              <w:right w:val="nil"/>
            </w:tcBorders>
            <w:vAlign w:val="bottom"/>
          </w:tcPr>
          <w:p w:rsidR="003D0E01" w:rsidRPr="00A7032D" w:rsidRDefault="003D0E01" w:rsidP="003D0E01">
            <w:pPr>
              <w:keepNext/>
              <w:spacing w:after="0" w:line="240" w:lineRule="auto"/>
              <w:jc w:val="left"/>
              <w:rPr>
                <w:b/>
                <w:bCs/>
                <w:color w:val="000000"/>
                <w:sz w:val="16"/>
                <w:szCs w:val="16"/>
                <w:lang w:eastAsia="it-IT"/>
              </w:rPr>
            </w:pPr>
          </w:p>
        </w:tc>
        <w:tc>
          <w:tcPr>
            <w:tcW w:w="427" w:type="pct"/>
            <w:tcBorders>
              <w:top w:val="single" w:sz="4" w:space="0" w:color="000000"/>
              <w:left w:val="nil"/>
              <w:bottom w:val="single" w:sz="4" w:space="0" w:color="000000"/>
              <w:right w:val="nil"/>
            </w:tcBorders>
            <w:vAlign w:val="bottom"/>
          </w:tcPr>
          <w:p w:rsidR="003D0E01" w:rsidRDefault="003D0E01" w:rsidP="003D0E01">
            <w:pPr>
              <w:keepNext/>
              <w:spacing w:after="0" w:line="240" w:lineRule="auto"/>
              <w:jc w:val="right"/>
              <w:rPr>
                <w:b/>
                <w:bCs/>
                <w:color w:val="000000"/>
                <w:sz w:val="16"/>
                <w:szCs w:val="16"/>
                <w:lang w:eastAsia="it-IT"/>
              </w:rPr>
            </w:pPr>
            <w:r w:rsidRPr="0054221F">
              <w:rPr>
                <w:b/>
                <w:bCs/>
                <w:color w:val="000000"/>
                <w:sz w:val="16"/>
                <w:szCs w:val="16"/>
                <w:lang w:eastAsia="it-IT"/>
              </w:rPr>
              <w:t>EUR (</w:t>
            </w:r>
            <w:proofErr w:type="spellStart"/>
            <w:r w:rsidRPr="0054221F">
              <w:rPr>
                <w:b/>
                <w:bCs/>
                <w:color w:val="000000"/>
                <w:sz w:val="16"/>
                <w:szCs w:val="16"/>
                <w:lang w:eastAsia="it-IT"/>
              </w:rPr>
              <w:t>mn</w:t>
            </w:r>
            <w:proofErr w:type="spellEnd"/>
            <w:r w:rsidRPr="0054221F">
              <w:rPr>
                <w:b/>
                <w:bCs/>
                <w:color w:val="000000"/>
                <w:sz w:val="16"/>
                <w:szCs w:val="16"/>
                <w:lang w:eastAsia="it-IT"/>
              </w:rPr>
              <w:t xml:space="preserve">) </w:t>
            </w:r>
          </w:p>
          <w:p w:rsidR="003D0E01" w:rsidRDefault="003D0E01" w:rsidP="003D0E01">
            <w:pPr>
              <w:keepNext/>
              <w:spacing w:after="0" w:line="240" w:lineRule="auto"/>
              <w:jc w:val="right"/>
              <w:rPr>
                <w:b/>
                <w:bCs/>
                <w:color w:val="000000"/>
                <w:sz w:val="16"/>
                <w:szCs w:val="16"/>
                <w:lang w:eastAsia="it-IT"/>
              </w:rPr>
            </w:pPr>
            <w:r w:rsidRPr="0054221F">
              <w:rPr>
                <w:b/>
                <w:bCs/>
                <w:color w:val="000000"/>
                <w:sz w:val="16"/>
                <w:szCs w:val="16"/>
                <w:lang w:eastAsia="it-IT"/>
              </w:rPr>
              <w:t xml:space="preserve">to CSRs </w:t>
            </w:r>
          </w:p>
          <w:p w:rsidR="003D0E01" w:rsidRPr="00340CAB" w:rsidRDefault="003D0E01" w:rsidP="003D0E01">
            <w:pPr>
              <w:keepNext/>
              <w:spacing w:after="0" w:line="240" w:lineRule="auto"/>
              <w:jc w:val="right"/>
              <w:rPr>
                <w:b/>
                <w:bCs/>
                <w:color w:val="000000"/>
                <w:sz w:val="16"/>
                <w:szCs w:val="16"/>
                <w:lang w:eastAsia="it-IT"/>
              </w:rPr>
            </w:pPr>
            <w:r w:rsidRPr="0054221F">
              <w:rPr>
                <w:b/>
                <w:bCs/>
                <w:color w:val="000000"/>
                <w:sz w:val="16"/>
                <w:szCs w:val="16"/>
                <w:lang w:eastAsia="it-IT"/>
              </w:rPr>
              <w:t>(A)</w:t>
            </w:r>
          </w:p>
        </w:tc>
        <w:tc>
          <w:tcPr>
            <w:tcW w:w="427" w:type="pct"/>
            <w:tcBorders>
              <w:top w:val="single" w:sz="4" w:space="0" w:color="000000"/>
              <w:left w:val="nil"/>
              <w:bottom w:val="single" w:sz="4" w:space="0" w:color="000000"/>
              <w:right w:val="nil"/>
            </w:tcBorders>
            <w:vAlign w:val="bottom"/>
          </w:tcPr>
          <w:p w:rsidR="003D0E01" w:rsidRPr="00340CAB" w:rsidRDefault="003D0E01" w:rsidP="003D0E01">
            <w:pPr>
              <w:keepNext/>
              <w:spacing w:after="0" w:line="240" w:lineRule="auto"/>
              <w:jc w:val="right"/>
              <w:rPr>
                <w:b/>
                <w:bCs/>
                <w:color w:val="000000"/>
                <w:sz w:val="16"/>
                <w:szCs w:val="16"/>
                <w:lang w:eastAsia="it-IT"/>
              </w:rPr>
            </w:pPr>
            <w:r w:rsidRPr="0054221F">
              <w:rPr>
                <w:b/>
                <w:bCs/>
                <w:color w:val="000000"/>
                <w:sz w:val="16"/>
                <w:szCs w:val="16"/>
                <w:lang w:eastAsia="it-IT"/>
              </w:rPr>
              <w:t>EUR (</w:t>
            </w:r>
            <w:proofErr w:type="spellStart"/>
            <w:r w:rsidRPr="0054221F">
              <w:rPr>
                <w:b/>
                <w:bCs/>
                <w:color w:val="000000"/>
                <w:sz w:val="16"/>
                <w:szCs w:val="16"/>
                <w:lang w:eastAsia="it-IT"/>
              </w:rPr>
              <w:t>mn</w:t>
            </w:r>
            <w:proofErr w:type="spellEnd"/>
            <w:r w:rsidRPr="0054221F">
              <w:rPr>
                <w:b/>
                <w:bCs/>
                <w:color w:val="000000"/>
                <w:sz w:val="16"/>
                <w:szCs w:val="16"/>
                <w:lang w:eastAsia="it-IT"/>
              </w:rPr>
              <w:t>) in policy areas with CSR (B)</w:t>
            </w:r>
          </w:p>
        </w:tc>
        <w:tc>
          <w:tcPr>
            <w:tcW w:w="427" w:type="pct"/>
            <w:tcBorders>
              <w:top w:val="single" w:sz="4" w:space="0" w:color="000000"/>
              <w:left w:val="nil"/>
              <w:bottom w:val="single" w:sz="4" w:space="0" w:color="000000"/>
              <w:right w:val="single" w:sz="4" w:space="0" w:color="000000"/>
            </w:tcBorders>
            <w:vAlign w:val="bottom"/>
          </w:tcPr>
          <w:p w:rsidR="003D0E01" w:rsidRPr="00A7032D" w:rsidRDefault="003D0E01" w:rsidP="003D0E01">
            <w:pPr>
              <w:keepNext/>
              <w:spacing w:after="0" w:line="240" w:lineRule="auto"/>
              <w:jc w:val="right"/>
              <w:rPr>
                <w:b/>
                <w:bCs/>
                <w:color w:val="000000"/>
                <w:sz w:val="16"/>
                <w:szCs w:val="16"/>
                <w:lang w:val="fr-FR" w:eastAsia="it-IT"/>
              </w:rPr>
            </w:pPr>
            <w:r w:rsidRPr="00A7032D">
              <w:rPr>
                <w:b/>
                <w:bCs/>
                <w:color w:val="000000"/>
                <w:sz w:val="16"/>
                <w:szCs w:val="16"/>
                <w:lang w:val="fr-FR" w:eastAsia="it-IT"/>
              </w:rPr>
              <w:t xml:space="preserve">Total </w:t>
            </w:r>
          </w:p>
          <w:p w:rsidR="003D0E01" w:rsidRPr="00A7032D" w:rsidRDefault="003D0E01" w:rsidP="003D0E01">
            <w:pPr>
              <w:keepNext/>
              <w:spacing w:after="0" w:line="240" w:lineRule="auto"/>
              <w:jc w:val="right"/>
              <w:rPr>
                <w:b/>
                <w:bCs/>
                <w:color w:val="000000"/>
                <w:sz w:val="16"/>
                <w:szCs w:val="16"/>
                <w:lang w:val="fr-FR" w:eastAsia="it-IT"/>
              </w:rPr>
            </w:pPr>
            <w:r w:rsidRPr="00A7032D">
              <w:rPr>
                <w:b/>
                <w:bCs/>
                <w:color w:val="000000"/>
                <w:sz w:val="16"/>
                <w:szCs w:val="16"/>
                <w:lang w:val="fr-FR" w:eastAsia="it-IT"/>
              </w:rPr>
              <w:t xml:space="preserve">ESI </w:t>
            </w:r>
            <w:proofErr w:type="spellStart"/>
            <w:r w:rsidRPr="00A7032D">
              <w:rPr>
                <w:b/>
                <w:bCs/>
                <w:color w:val="000000"/>
                <w:sz w:val="16"/>
                <w:szCs w:val="16"/>
                <w:lang w:val="fr-FR" w:eastAsia="it-IT"/>
              </w:rPr>
              <w:t>funds</w:t>
            </w:r>
            <w:proofErr w:type="spellEnd"/>
            <w:r w:rsidRPr="00A7032D">
              <w:rPr>
                <w:lang w:val="fr-FR"/>
              </w:rPr>
              <w:t xml:space="preserve"> </w:t>
            </w:r>
            <w:r w:rsidRPr="00A7032D">
              <w:rPr>
                <w:b/>
                <w:bCs/>
                <w:color w:val="000000"/>
                <w:sz w:val="16"/>
                <w:szCs w:val="16"/>
                <w:lang w:val="fr-FR" w:eastAsia="it-IT"/>
              </w:rPr>
              <w:t>EUR (mn)</w:t>
            </w:r>
          </w:p>
          <w:p w:rsidR="003D0E01" w:rsidRPr="00A7032D" w:rsidRDefault="003D0E01" w:rsidP="003D0E01">
            <w:pPr>
              <w:keepNext/>
              <w:spacing w:after="0" w:line="240" w:lineRule="auto"/>
              <w:jc w:val="right"/>
              <w:rPr>
                <w:b/>
                <w:bCs/>
                <w:color w:val="000000"/>
                <w:sz w:val="16"/>
                <w:szCs w:val="16"/>
                <w:lang w:val="fr-FR" w:eastAsia="it-IT"/>
              </w:rPr>
            </w:pPr>
            <w:r w:rsidRPr="00A7032D">
              <w:rPr>
                <w:b/>
                <w:bCs/>
                <w:color w:val="000000"/>
                <w:sz w:val="16"/>
                <w:szCs w:val="16"/>
                <w:lang w:val="fr-FR" w:eastAsia="it-IT"/>
              </w:rPr>
              <w:t>(C)</w:t>
            </w:r>
          </w:p>
        </w:tc>
        <w:tc>
          <w:tcPr>
            <w:tcW w:w="427" w:type="pct"/>
            <w:tcBorders>
              <w:top w:val="single" w:sz="4" w:space="0" w:color="000000"/>
              <w:left w:val="single" w:sz="4" w:space="0" w:color="000000"/>
              <w:bottom w:val="single" w:sz="4" w:space="0" w:color="000000"/>
              <w:right w:val="nil"/>
            </w:tcBorders>
            <w:vAlign w:val="bottom"/>
          </w:tcPr>
          <w:p w:rsidR="003D0E01" w:rsidRDefault="003D0E01" w:rsidP="003D0E01">
            <w:pPr>
              <w:keepNext/>
              <w:spacing w:after="0" w:line="240" w:lineRule="auto"/>
              <w:jc w:val="right"/>
              <w:rPr>
                <w:b/>
                <w:bCs/>
                <w:color w:val="000000"/>
                <w:sz w:val="16"/>
                <w:szCs w:val="16"/>
                <w:lang w:eastAsia="it-IT"/>
              </w:rPr>
            </w:pPr>
            <w:r w:rsidRPr="0054221F">
              <w:rPr>
                <w:b/>
                <w:bCs/>
                <w:color w:val="000000"/>
                <w:sz w:val="16"/>
                <w:szCs w:val="16"/>
                <w:lang w:eastAsia="it-IT"/>
              </w:rPr>
              <w:t xml:space="preserve">% to CSRs in policy areas with CSRs </w:t>
            </w:r>
          </w:p>
          <w:p w:rsidR="003D0E01" w:rsidRPr="00340CAB" w:rsidRDefault="003D0E01" w:rsidP="003D0E01">
            <w:pPr>
              <w:keepNext/>
              <w:spacing w:after="0" w:line="240" w:lineRule="auto"/>
              <w:jc w:val="right"/>
              <w:rPr>
                <w:b/>
                <w:bCs/>
                <w:color w:val="000000"/>
                <w:sz w:val="16"/>
                <w:szCs w:val="16"/>
                <w:lang w:eastAsia="it-IT"/>
              </w:rPr>
            </w:pPr>
            <w:r w:rsidRPr="0054221F">
              <w:rPr>
                <w:b/>
                <w:bCs/>
                <w:color w:val="000000"/>
                <w:sz w:val="16"/>
                <w:szCs w:val="16"/>
                <w:lang w:eastAsia="it-IT"/>
              </w:rPr>
              <w:t>(A/B)</w:t>
            </w:r>
          </w:p>
        </w:tc>
        <w:tc>
          <w:tcPr>
            <w:tcW w:w="427" w:type="pct"/>
            <w:tcBorders>
              <w:top w:val="single" w:sz="4" w:space="0" w:color="000000"/>
              <w:left w:val="nil"/>
              <w:bottom w:val="single" w:sz="4" w:space="0" w:color="000000"/>
              <w:right w:val="single" w:sz="4" w:space="0" w:color="000000"/>
            </w:tcBorders>
            <w:vAlign w:val="bottom"/>
          </w:tcPr>
          <w:p w:rsidR="003D0E01" w:rsidRPr="00340CAB" w:rsidRDefault="003D0E01" w:rsidP="003D0E01">
            <w:pPr>
              <w:keepNext/>
              <w:spacing w:after="0" w:line="240" w:lineRule="auto"/>
              <w:jc w:val="right"/>
              <w:rPr>
                <w:b/>
                <w:bCs/>
                <w:color w:val="000000"/>
                <w:sz w:val="16"/>
                <w:szCs w:val="16"/>
                <w:lang w:eastAsia="it-IT"/>
              </w:rPr>
            </w:pPr>
            <w:r w:rsidRPr="0054221F">
              <w:rPr>
                <w:b/>
                <w:bCs/>
                <w:color w:val="000000"/>
                <w:sz w:val="16"/>
                <w:szCs w:val="16"/>
                <w:lang w:eastAsia="it-IT"/>
              </w:rPr>
              <w:t>% to CSRs on total Funds (A/C)</w:t>
            </w:r>
          </w:p>
        </w:tc>
        <w:tc>
          <w:tcPr>
            <w:tcW w:w="426" w:type="pct"/>
            <w:tcBorders>
              <w:top w:val="single" w:sz="4" w:space="0" w:color="000000"/>
              <w:left w:val="single" w:sz="4" w:space="0" w:color="000000"/>
              <w:bottom w:val="single" w:sz="4" w:space="0" w:color="000000"/>
              <w:right w:val="single" w:sz="4" w:space="0" w:color="000000"/>
            </w:tcBorders>
            <w:vAlign w:val="bottom"/>
          </w:tcPr>
          <w:p w:rsidR="003D0E01" w:rsidRPr="00340CAB" w:rsidRDefault="003D0E01" w:rsidP="003D0E01">
            <w:pPr>
              <w:keepNext/>
              <w:spacing w:after="0" w:line="240" w:lineRule="auto"/>
              <w:jc w:val="right"/>
              <w:rPr>
                <w:b/>
                <w:bCs/>
                <w:color w:val="000000"/>
                <w:sz w:val="16"/>
                <w:szCs w:val="16"/>
                <w:lang w:eastAsia="it-IT"/>
              </w:rPr>
            </w:pPr>
            <w:r w:rsidRPr="0054221F">
              <w:rPr>
                <w:b/>
                <w:bCs/>
                <w:color w:val="000000"/>
                <w:sz w:val="16"/>
                <w:szCs w:val="16"/>
                <w:lang w:eastAsia="it-IT"/>
              </w:rPr>
              <w:t>N</w:t>
            </w:r>
            <w:r>
              <w:rPr>
                <w:b/>
                <w:bCs/>
                <w:color w:val="000000"/>
                <w:sz w:val="16"/>
                <w:szCs w:val="16"/>
                <w:lang w:eastAsia="it-IT"/>
              </w:rPr>
              <w:t>o. of</w:t>
            </w:r>
            <w:r w:rsidRPr="0054221F">
              <w:rPr>
                <w:b/>
                <w:bCs/>
                <w:color w:val="000000"/>
                <w:sz w:val="16"/>
                <w:szCs w:val="16"/>
                <w:lang w:eastAsia="it-IT"/>
              </w:rPr>
              <w:t xml:space="preserve"> Countries with CSRs in the policy area</w:t>
            </w:r>
          </w:p>
        </w:tc>
      </w:tr>
      <w:tr w:rsidR="003D0E01" w:rsidRPr="00F31150" w:rsidTr="003D0E01">
        <w:tc>
          <w:tcPr>
            <w:tcW w:w="2439" w:type="pct"/>
            <w:tcBorders>
              <w:top w:val="single" w:sz="4" w:space="0" w:color="000000"/>
              <w:left w:val="single" w:sz="4" w:space="0" w:color="000000"/>
              <w:bottom w:val="nil"/>
              <w:right w:val="nil"/>
            </w:tcBorders>
            <w:noWrap/>
            <w:vAlign w:val="bottom"/>
          </w:tcPr>
          <w:p w:rsidR="003D0E01" w:rsidRPr="00886F75" w:rsidRDefault="003D0E01" w:rsidP="003D0E01">
            <w:pPr>
              <w:keepNext/>
              <w:spacing w:after="0" w:line="240" w:lineRule="auto"/>
              <w:jc w:val="left"/>
              <w:rPr>
                <w:color w:val="000000"/>
                <w:sz w:val="16"/>
                <w:szCs w:val="16"/>
                <w:lang w:val="it-IT" w:eastAsia="it-IT"/>
              </w:rPr>
            </w:pPr>
            <w:r w:rsidRPr="00886F75">
              <w:rPr>
                <w:color w:val="000000"/>
                <w:sz w:val="16"/>
                <w:szCs w:val="16"/>
                <w:lang w:val="it-IT" w:eastAsia="it-IT"/>
              </w:rPr>
              <w:t>1.RTDI</w:t>
            </w:r>
          </w:p>
        </w:tc>
        <w:tc>
          <w:tcPr>
            <w:tcW w:w="427" w:type="pct"/>
            <w:tcBorders>
              <w:top w:val="single" w:sz="4" w:space="0" w:color="000000"/>
              <w:left w:val="nil"/>
              <w:bottom w:val="nil"/>
              <w:right w:val="nil"/>
            </w:tcBorders>
            <w:noWrap/>
            <w:vAlign w:val="bottom"/>
          </w:tcPr>
          <w:p w:rsidR="003D0E01" w:rsidRPr="00886F75" w:rsidRDefault="003D0E01" w:rsidP="003D0E01">
            <w:pPr>
              <w:keepNext/>
              <w:spacing w:after="0" w:line="240" w:lineRule="auto"/>
              <w:jc w:val="right"/>
              <w:rPr>
                <w:color w:val="000000"/>
                <w:sz w:val="16"/>
                <w:szCs w:val="16"/>
                <w:lang w:val="it-IT" w:eastAsia="it-IT"/>
              </w:rPr>
            </w:pPr>
            <w:r w:rsidRPr="00886F75">
              <w:rPr>
                <w:color w:val="000000"/>
                <w:sz w:val="16"/>
                <w:szCs w:val="16"/>
                <w:lang w:val="it-IT" w:eastAsia="it-IT"/>
              </w:rPr>
              <w:t>34,022</w:t>
            </w:r>
          </w:p>
        </w:tc>
        <w:tc>
          <w:tcPr>
            <w:tcW w:w="427" w:type="pct"/>
            <w:tcBorders>
              <w:top w:val="single" w:sz="4" w:space="0" w:color="000000"/>
              <w:left w:val="nil"/>
              <w:bottom w:val="nil"/>
              <w:right w:val="nil"/>
            </w:tcBorders>
            <w:noWrap/>
            <w:vAlign w:val="bottom"/>
          </w:tcPr>
          <w:p w:rsidR="003D0E01" w:rsidRPr="00886F75" w:rsidRDefault="003D0E01" w:rsidP="003D0E01">
            <w:pPr>
              <w:keepNext/>
              <w:spacing w:after="0" w:line="240" w:lineRule="auto"/>
              <w:jc w:val="right"/>
              <w:rPr>
                <w:color w:val="000000"/>
                <w:sz w:val="16"/>
                <w:szCs w:val="16"/>
                <w:lang w:val="it-IT" w:eastAsia="it-IT"/>
              </w:rPr>
            </w:pPr>
            <w:r w:rsidRPr="00886F75">
              <w:rPr>
                <w:color w:val="000000"/>
                <w:sz w:val="16"/>
                <w:szCs w:val="16"/>
                <w:lang w:val="it-IT" w:eastAsia="it-IT"/>
              </w:rPr>
              <w:t>36,551</w:t>
            </w:r>
          </w:p>
        </w:tc>
        <w:tc>
          <w:tcPr>
            <w:tcW w:w="427" w:type="pct"/>
            <w:tcBorders>
              <w:top w:val="single" w:sz="4" w:space="0" w:color="000000"/>
              <w:left w:val="nil"/>
              <w:bottom w:val="nil"/>
              <w:right w:val="single" w:sz="4" w:space="0" w:color="000000"/>
            </w:tcBorders>
            <w:noWrap/>
            <w:vAlign w:val="bottom"/>
          </w:tcPr>
          <w:p w:rsidR="003D0E01" w:rsidRPr="00886F75" w:rsidRDefault="003D0E01" w:rsidP="003D0E01">
            <w:pPr>
              <w:keepNext/>
              <w:spacing w:after="0" w:line="240" w:lineRule="auto"/>
              <w:jc w:val="right"/>
              <w:rPr>
                <w:color w:val="000000"/>
                <w:sz w:val="16"/>
                <w:szCs w:val="16"/>
                <w:lang w:val="it-IT" w:eastAsia="it-IT"/>
              </w:rPr>
            </w:pPr>
            <w:r w:rsidRPr="00886F75">
              <w:rPr>
                <w:color w:val="000000"/>
                <w:sz w:val="16"/>
                <w:szCs w:val="16"/>
                <w:lang w:val="it-IT" w:eastAsia="it-IT"/>
              </w:rPr>
              <w:t>37,518</w:t>
            </w:r>
          </w:p>
        </w:tc>
        <w:tc>
          <w:tcPr>
            <w:tcW w:w="427" w:type="pct"/>
            <w:tcBorders>
              <w:top w:val="single" w:sz="4" w:space="0" w:color="000000"/>
              <w:left w:val="single" w:sz="4" w:space="0" w:color="000000"/>
              <w:bottom w:val="nil"/>
              <w:right w:val="nil"/>
            </w:tcBorders>
            <w:noWrap/>
            <w:vAlign w:val="bottom"/>
          </w:tcPr>
          <w:p w:rsidR="003D0E01" w:rsidRPr="00886F75" w:rsidRDefault="003D0E01" w:rsidP="003D0E01">
            <w:pPr>
              <w:keepNext/>
              <w:spacing w:after="0" w:line="240" w:lineRule="auto"/>
              <w:jc w:val="right"/>
              <w:rPr>
                <w:color w:val="000000"/>
                <w:sz w:val="16"/>
                <w:szCs w:val="16"/>
                <w:lang w:val="it-IT" w:eastAsia="it-IT"/>
              </w:rPr>
            </w:pPr>
            <w:r w:rsidRPr="00886F75">
              <w:rPr>
                <w:color w:val="000000"/>
                <w:sz w:val="16"/>
                <w:szCs w:val="16"/>
                <w:lang w:val="it-IT" w:eastAsia="it-IT"/>
              </w:rPr>
              <w:t>93.1</w:t>
            </w:r>
          </w:p>
        </w:tc>
        <w:tc>
          <w:tcPr>
            <w:tcW w:w="427" w:type="pct"/>
            <w:tcBorders>
              <w:top w:val="single" w:sz="4" w:space="0" w:color="000000"/>
              <w:left w:val="nil"/>
              <w:bottom w:val="nil"/>
              <w:right w:val="single" w:sz="4" w:space="0" w:color="000000"/>
            </w:tcBorders>
            <w:noWrap/>
            <w:vAlign w:val="bottom"/>
          </w:tcPr>
          <w:p w:rsidR="003D0E01" w:rsidRPr="00886F75" w:rsidRDefault="003D0E01" w:rsidP="003D0E01">
            <w:pPr>
              <w:keepNext/>
              <w:spacing w:after="0" w:line="240" w:lineRule="auto"/>
              <w:jc w:val="right"/>
              <w:rPr>
                <w:color w:val="000000"/>
                <w:sz w:val="16"/>
                <w:szCs w:val="16"/>
                <w:lang w:val="it-IT" w:eastAsia="it-IT"/>
              </w:rPr>
            </w:pPr>
            <w:r w:rsidRPr="00886F75">
              <w:rPr>
                <w:color w:val="000000"/>
                <w:sz w:val="16"/>
                <w:szCs w:val="16"/>
                <w:lang w:val="it-IT" w:eastAsia="it-IT"/>
              </w:rPr>
              <w:t>90.7</w:t>
            </w:r>
          </w:p>
        </w:tc>
        <w:tc>
          <w:tcPr>
            <w:tcW w:w="426" w:type="pct"/>
            <w:tcBorders>
              <w:top w:val="single" w:sz="4" w:space="0" w:color="000000"/>
              <w:left w:val="single" w:sz="4" w:space="0" w:color="000000"/>
              <w:bottom w:val="nil"/>
              <w:right w:val="single" w:sz="4" w:space="0" w:color="000000"/>
            </w:tcBorders>
            <w:noWrap/>
            <w:vAlign w:val="bottom"/>
          </w:tcPr>
          <w:p w:rsidR="003D0E01" w:rsidRPr="00886F75" w:rsidRDefault="003D0E01" w:rsidP="003D0E01">
            <w:pPr>
              <w:keepNext/>
              <w:spacing w:after="0" w:line="240" w:lineRule="auto"/>
              <w:jc w:val="right"/>
              <w:rPr>
                <w:color w:val="000000"/>
                <w:sz w:val="16"/>
                <w:szCs w:val="16"/>
                <w:lang w:val="it-IT" w:eastAsia="it-IT"/>
              </w:rPr>
            </w:pPr>
            <w:r w:rsidRPr="00886F75">
              <w:rPr>
                <w:color w:val="000000"/>
                <w:sz w:val="16"/>
                <w:szCs w:val="16"/>
                <w:lang w:val="it-IT" w:eastAsia="it-IT"/>
              </w:rPr>
              <w:t>19</w:t>
            </w:r>
          </w:p>
        </w:tc>
      </w:tr>
      <w:tr w:rsidR="003D0E01" w:rsidRPr="00F31150" w:rsidTr="003D0E01">
        <w:tc>
          <w:tcPr>
            <w:tcW w:w="2439" w:type="pct"/>
            <w:tcBorders>
              <w:top w:val="nil"/>
              <w:left w:val="single" w:sz="4" w:space="0" w:color="000000"/>
              <w:bottom w:val="nil"/>
              <w:right w:val="nil"/>
            </w:tcBorders>
            <w:noWrap/>
            <w:vAlign w:val="bottom"/>
          </w:tcPr>
          <w:p w:rsidR="003D0E01" w:rsidRPr="00886F75" w:rsidRDefault="003D0E01" w:rsidP="003D0E01">
            <w:pPr>
              <w:keepNext/>
              <w:spacing w:after="0" w:line="240" w:lineRule="auto"/>
              <w:jc w:val="left"/>
              <w:rPr>
                <w:color w:val="000000"/>
                <w:sz w:val="16"/>
                <w:szCs w:val="16"/>
                <w:lang w:val="it-IT" w:eastAsia="it-IT"/>
              </w:rPr>
            </w:pPr>
            <w:r w:rsidRPr="00886F75">
              <w:rPr>
                <w:color w:val="000000"/>
                <w:sz w:val="16"/>
                <w:szCs w:val="16"/>
                <w:lang w:val="it-IT" w:eastAsia="it-IT"/>
              </w:rPr>
              <w:t>2.Business Environment</w:t>
            </w:r>
          </w:p>
        </w:tc>
        <w:tc>
          <w:tcPr>
            <w:tcW w:w="427" w:type="pct"/>
            <w:tcBorders>
              <w:top w:val="nil"/>
              <w:left w:val="nil"/>
              <w:bottom w:val="nil"/>
              <w:right w:val="nil"/>
            </w:tcBorders>
            <w:noWrap/>
            <w:vAlign w:val="bottom"/>
          </w:tcPr>
          <w:p w:rsidR="003D0E01" w:rsidRPr="00886F75" w:rsidRDefault="003D0E01" w:rsidP="003D0E01">
            <w:pPr>
              <w:keepNext/>
              <w:spacing w:after="0" w:line="240" w:lineRule="auto"/>
              <w:jc w:val="right"/>
              <w:rPr>
                <w:color w:val="000000"/>
                <w:sz w:val="16"/>
                <w:szCs w:val="16"/>
                <w:lang w:val="it-IT" w:eastAsia="it-IT"/>
              </w:rPr>
            </w:pPr>
            <w:r w:rsidRPr="00886F75">
              <w:rPr>
                <w:color w:val="000000"/>
                <w:sz w:val="16"/>
                <w:szCs w:val="16"/>
                <w:lang w:val="it-IT" w:eastAsia="it-IT"/>
              </w:rPr>
              <w:t>18,306</w:t>
            </w:r>
          </w:p>
        </w:tc>
        <w:tc>
          <w:tcPr>
            <w:tcW w:w="427" w:type="pct"/>
            <w:tcBorders>
              <w:top w:val="nil"/>
              <w:left w:val="nil"/>
              <w:bottom w:val="nil"/>
              <w:right w:val="nil"/>
            </w:tcBorders>
            <w:noWrap/>
            <w:vAlign w:val="bottom"/>
          </w:tcPr>
          <w:p w:rsidR="003D0E01" w:rsidRPr="00886F75" w:rsidRDefault="003D0E01" w:rsidP="003D0E01">
            <w:pPr>
              <w:keepNext/>
              <w:spacing w:after="0" w:line="240" w:lineRule="auto"/>
              <w:jc w:val="right"/>
              <w:rPr>
                <w:color w:val="000000"/>
                <w:sz w:val="16"/>
                <w:szCs w:val="16"/>
                <w:lang w:val="it-IT" w:eastAsia="it-IT"/>
              </w:rPr>
            </w:pPr>
            <w:r w:rsidRPr="00886F75">
              <w:rPr>
                <w:color w:val="000000"/>
                <w:sz w:val="16"/>
                <w:szCs w:val="16"/>
                <w:lang w:val="it-IT" w:eastAsia="it-IT"/>
              </w:rPr>
              <w:t>26,351</w:t>
            </w:r>
          </w:p>
        </w:tc>
        <w:tc>
          <w:tcPr>
            <w:tcW w:w="427" w:type="pct"/>
            <w:tcBorders>
              <w:top w:val="nil"/>
              <w:left w:val="nil"/>
              <w:bottom w:val="nil"/>
              <w:right w:val="single" w:sz="4" w:space="0" w:color="000000"/>
            </w:tcBorders>
            <w:noWrap/>
            <w:vAlign w:val="bottom"/>
          </w:tcPr>
          <w:p w:rsidR="003D0E01" w:rsidRPr="00886F75" w:rsidRDefault="003D0E01" w:rsidP="003D0E01">
            <w:pPr>
              <w:keepNext/>
              <w:spacing w:after="0" w:line="240" w:lineRule="auto"/>
              <w:jc w:val="right"/>
              <w:rPr>
                <w:color w:val="000000"/>
                <w:sz w:val="16"/>
                <w:szCs w:val="16"/>
                <w:lang w:val="it-IT" w:eastAsia="it-IT"/>
              </w:rPr>
            </w:pPr>
            <w:r w:rsidRPr="00886F75">
              <w:rPr>
                <w:color w:val="000000"/>
                <w:sz w:val="16"/>
                <w:szCs w:val="16"/>
                <w:lang w:val="it-IT" w:eastAsia="it-IT"/>
              </w:rPr>
              <w:t>30,782</w:t>
            </w:r>
          </w:p>
        </w:tc>
        <w:tc>
          <w:tcPr>
            <w:tcW w:w="427" w:type="pct"/>
            <w:tcBorders>
              <w:top w:val="nil"/>
              <w:left w:val="single" w:sz="4" w:space="0" w:color="000000"/>
              <w:bottom w:val="nil"/>
              <w:right w:val="nil"/>
            </w:tcBorders>
            <w:noWrap/>
            <w:vAlign w:val="bottom"/>
          </w:tcPr>
          <w:p w:rsidR="003D0E01" w:rsidRPr="00886F75" w:rsidRDefault="003D0E01" w:rsidP="003D0E01">
            <w:pPr>
              <w:keepNext/>
              <w:spacing w:after="0" w:line="240" w:lineRule="auto"/>
              <w:jc w:val="right"/>
              <w:rPr>
                <w:color w:val="000000"/>
                <w:sz w:val="16"/>
                <w:szCs w:val="16"/>
                <w:lang w:val="it-IT" w:eastAsia="it-IT"/>
              </w:rPr>
            </w:pPr>
            <w:r w:rsidRPr="00886F75">
              <w:rPr>
                <w:color w:val="000000"/>
                <w:sz w:val="16"/>
                <w:szCs w:val="16"/>
                <w:lang w:val="it-IT" w:eastAsia="it-IT"/>
              </w:rPr>
              <w:t>69.5</w:t>
            </w:r>
          </w:p>
        </w:tc>
        <w:tc>
          <w:tcPr>
            <w:tcW w:w="427" w:type="pct"/>
            <w:tcBorders>
              <w:top w:val="nil"/>
              <w:left w:val="nil"/>
              <w:bottom w:val="nil"/>
              <w:right w:val="single" w:sz="4" w:space="0" w:color="000000"/>
            </w:tcBorders>
            <w:noWrap/>
            <w:vAlign w:val="bottom"/>
          </w:tcPr>
          <w:p w:rsidR="003D0E01" w:rsidRPr="00886F75" w:rsidRDefault="003D0E01" w:rsidP="003D0E01">
            <w:pPr>
              <w:keepNext/>
              <w:spacing w:after="0" w:line="240" w:lineRule="auto"/>
              <w:jc w:val="right"/>
              <w:rPr>
                <w:color w:val="000000"/>
                <w:sz w:val="16"/>
                <w:szCs w:val="16"/>
                <w:lang w:val="it-IT" w:eastAsia="it-IT"/>
              </w:rPr>
            </w:pPr>
            <w:r w:rsidRPr="00886F75">
              <w:rPr>
                <w:color w:val="000000"/>
                <w:sz w:val="16"/>
                <w:szCs w:val="16"/>
                <w:lang w:val="it-IT" w:eastAsia="it-IT"/>
              </w:rPr>
              <w:t>59.5</w:t>
            </w:r>
          </w:p>
        </w:tc>
        <w:tc>
          <w:tcPr>
            <w:tcW w:w="426" w:type="pct"/>
            <w:tcBorders>
              <w:top w:val="nil"/>
              <w:left w:val="single" w:sz="4" w:space="0" w:color="000000"/>
              <w:bottom w:val="nil"/>
              <w:right w:val="single" w:sz="4" w:space="0" w:color="000000"/>
            </w:tcBorders>
            <w:noWrap/>
            <w:vAlign w:val="bottom"/>
          </w:tcPr>
          <w:p w:rsidR="003D0E01" w:rsidRPr="00886F75" w:rsidRDefault="003D0E01" w:rsidP="003D0E01">
            <w:pPr>
              <w:keepNext/>
              <w:spacing w:after="0" w:line="240" w:lineRule="auto"/>
              <w:jc w:val="right"/>
              <w:rPr>
                <w:color w:val="000000"/>
                <w:sz w:val="16"/>
                <w:szCs w:val="16"/>
                <w:lang w:val="it-IT" w:eastAsia="it-IT"/>
              </w:rPr>
            </w:pPr>
            <w:r w:rsidRPr="00886F75">
              <w:rPr>
                <w:color w:val="000000"/>
                <w:sz w:val="16"/>
                <w:szCs w:val="16"/>
                <w:lang w:val="it-IT" w:eastAsia="it-IT"/>
              </w:rPr>
              <w:t>17</w:t>
            </w:r>
          </w:p>
        </w:tc>
      </w:tr>
      <w:tr w:rsidR="003D0E01" w:rsidRPr="00F31150" w:rsidTr="003D0E01">
        <w:tc>
          <w:tcPr>
            <w:tcW w:w="2439" w:type="pct"/>
            <w:tcBorders>
              <w:top w:val="nil"/>
              <w:left w:val="single" w:sz="4" w:space="0" w:color="000000"/>
              <w:bottom w:val="nil"/>
              <w:right w:val="nil"/>
            </w:tcBorders>
            <w:noWrap/>
            <w:vAlign w:val="bottom"/>
          </w:tcPr>
          <w:p w:rsidR="003D0E01" w:rsidRPr="00886F75" w:rsidRDefault="003D0E01" w:rsidP="003D0E01">
            <w:pPr>
              <w:keepNext/>
              <w:spacing w:after="0" w:line="240" w:lineRule="auto"/>
              <w:jc w:val="left"/>
              <w:rPr>
                <w:color w:val="000000"/>
                <w:sz w:val="16"/>
                <w:szCs w:val="16"/>
                <w:lang w:val="it-IT" w:eastAsia="it-IT"/>
              </w:rPr>
            </w:pPr>
            <w:r w:rsidRPr="00886F75">
              <w:rPr>
                <w:color w:val="000000"/>
                <w:sz w:val="16"/>
                <w:szCs w:val="16"/>
                <w:lang w:val="it-IT" w:eastAsia="it-IT"/>
              </w:rPr>
              <w:t xml:space="preserve">3.Digital </w:t>
            </w:r>
            <w:proofErr w:type="spellStart"/>
            <w:r w:rsidRPr="00886F75">
              <w:rPr>
                <w:color w:val="000000"/>
                <w:sz w:val="16"/>
                <w:szCs w:val="16"/>
                <w:lang w:val="it-IT" w:eastAsia="it-IT"/>
              </w:rPr>
              <w:t>Infrastructures</w:t>
            </w:r>
            <w:proofErr w:type="spellEnd"/>
          </w:p>
        </w:tc>
        <w:tc>
          <w:tcPr>
            <w:tcW w:w="427" w:type="pct"/>
            <w:tcBorders>
              <w:top w:val="nil"/>
              <w:left w:val="nil"/>
              <w:bottom w:val="nil"/>
              <w:right w:val="nil"/>
            </w:tcBorders>
            <w:noWrap/>
            <w:vAlign w:val="bottom"/>
          </w:tcPr>
          <w:p w:rsidR="003D0E01" w:rsidRPr="00886F75" w:rsidRDefault="003D0E01" w:rsidP="003D0E01">
            <w:pPr>
              <w:keepNext/>
              <w:spacing w:after="0" w:line="240" w:lineRule="auto"/>
              <w:jc w:val="right"/>
              <w:rPr>
                <w:color w:val="000000"/>
                <w:sz w:val="16"/>
                <w:szCs w:val="16"/>
                <w:lang w:val="it-IT" w:eastAsia="it-IT"/>
              </w:rPr>
            </w:pPr>
            <w:r w:rsidRPr="00886F75">
              <w:rPr>
                <w:color w:val="000000"/>
                <w:sz w:val="16"/>
                <w:szCs w:val="16"/>
                <w:lang w:val="it-IT" w:eastAsia="it-IT"/>
              </w:rPr>
              <w:t>2,664</w:t>
            </w:r>
          </w:p>
        </w:tc>
        <w:tc>
          <w:tcPr>
            <w:tcW w:w="427" w:type="pct"/>
            <w:tcBorders>
              <w:top w:val="nil"/>
              <w:left w:val="nil"/>
              <w:bottom w:val="nil"/>
              <w:right w:val="nil"/>
            </w:tcBorders>
            <w:noWrap/>
            <w:vAlign w:val="bottom"/>
          </w:tcPr>
          <w:p w:rsidR="003D0E01" w:rsidRPr="00886F75" w:rsidRDefault="003D0E01" w:rsidP="003D0E01">
            <w:pPr>
              <w:keepNext/>
              <w:spacing w:after="0" w:line="240" w:lineRule="auto"/>
              <w:jc w:val="right"/>
              <w:rPr>
                <w:color w:val="000000"/>
                <w:sz w:val="16"/>
                <w:szCs w:val="16"/>
                <w:lang w:val="it-IT" w:eastAsia="it-IT"/>
              </w:rPr>
            </w:pPr>
            <w:r w:rsidRPr="00886F75">
              <w:rPr>
                <w:color w:val="000000"/>
                <w:sz w:val="16"/>
                <w:szCs w:val="16"/>
                <w:lang w:val="it-IT" w:eastAsia="it-IT"/>
              </w:rPr>
              <w:t>3,117</w:t>
            </w:r>
          </w:p>
        </w:tc>
        <w:tc>
          <w:tcPr>
            <w:tcW w:w="427" w:type="pct"/>
            <w:tcBorders>
              <w:top w:val="nil"/>
              <w:left w:val="nil"/>
              <w:bottom w:val="nil"/>
              <w:right w:val="single" w:sz="4" w:space="0" w:color="000000"/>
            </w:tcBorders>
            <w:noWrap/>
            <w:vAlign w:val="bottom"/>
          </w:tcPr>
          <w:p w:rsidR="003D0E01" w:rsidRPr="00886F75" w:rsidRDefault="003D0E01" w:rsidP="003D0E01">
            <w:pPr>
              <w:keepNext/>
              <w:spacing w:after="0" w:line="240" w:lineRule="auto"/>
              <w:jc w:val="right"/>
              <w:rPr>
                <w:color w:val="000000"/>
                <w:sz w:val="16"/>
                <w:szCs w:val="16"/>
                <w:lang w:val="it-IT" w:eastAsia="it-IT"/>
              </w:rPr>
            </w:pPr>
            <w:r w:rsidRPr="00886F75">
              <w:rPr>
                <w:color w:val="000000"/>
                <w:sz w:val="16"/>
                <w:szCs w:val="16"/>
                <w:lang w:val="it-IT" w:eastAsia="it-IT"/>
              </w:rPr>
              <w:t>5,972</w:t>
            </w:r>
          </w:p>
        </w:tc>
        <w:tc>
          <w:tcPr>
            <w:tcW w:w="427" w:type="pct"/>
            <w:tcBorders>
              <w:top w:val="nil"/>
              <w:left w:val="single" w:sz="4" w:space="0" w:color="000000"/>
              <w:bottom w:val="nil"/>
              <w:right w:val="nil"/>
            </w:tcBorders>
            <w:noWrap/>
            <w:vAlign w:val="bottom"/>
          </w:tcPr>
          <w:p w:rsidR="003D0E01" w:rsidRPr="00886F75" w:rsidRDefault="003D0E01" w:rsidP="003D0E01">
            <w:pPr>
              <w:keepNext/>
              <w:spacing w:after="0" w:line="240" w:lineRule="auto"/>
              <w:jc w:val="right"/>
              <w:rPr>
                <w:color w:val="000000"/>
                <w:sz w:val="16"/>
                <w:szCs w:val="16"/>
                <w:lang w:val="it-IT" w:eastAsia="it-IT"/>
              </w:rPr>
            </w:pPr>
            <w:r w:rsidRPr="00886F75">
              <w:rPr>
                <w:color w:val="000000"/>
                <w:sz w:val="16"/>
                <w:szCs w:val="16"/>
                <w:lang w:val="it-IT" w:eastAsia="it-IT"/>
              </w:rPr>
              <w:t>85.5</w:t>
            </w:r>
          </w:p>
        </w:tc>
        <w:tc>
          <w:tcPr>
            <w:tcW w:w="427" w:type="pct"/>
            <w:tcBorders>
              <w:top w:val="nil"/>
              <w:left w:val="nil"/>
              <w:bottom w:val="nil"/>
              <w:right w:val="single" w:sz="4" w:space="0" w:color="000000"/>
            </w:tcBorders>
            <w:noWrap/>
            <w:vAlign w:val="bottom"/>
          </w:tcPr>
          <w:p w:rsidR="003D0E01" w:rsidRPr="00886F75" w:rsidRDefault="003D0E01" w:rsidP="003D0E01">
            <w:pPr>
              <w:keepNext/>
              <w:spacing w:after="0" w:line="240" w:lineRule="auto"/>
              <w:jc w:val="right"/>
              <w:rPr>
                <w:color w:val="000000"/>
                <w:sz w:val="16"/>
                <w:szCs w:val="16"/>
                <w:lang w:val="it-IT" w:eastAsia="it-IT"/>
              </w:rPr>
            </w:pPr>
            <w:r w:rsidRPr="00886F75">
              <w:rPr>
                <w:color w:val="000000"/>
                <w:sz w:val="16"/>
                <w:szCs w:val="16"/>
                <w:lang w:val="it-IT" w:eastAsia="it-IT"/>
              </w:rPr>
              <w:t>44.6</w:t>
            </w:r>
          </w:p>
        </w:tc>
        <w:tc>
          <w:tcPr>
            <w:tcW w:w="426" w:type="pct"/>
            <w:tcBorders>
              <w:top w:val="nil"/>
              <w:left w:val="single" w:sz="4" w:space="0" w:color="000000"/>
              <w:bottom w:val="nil"/>
              <w:right w:val="single" w:sz="4" w:space="0" w:color="000000"/>
            </w:tcBorders>
            <w:noWrap/>
            <w:vAlign w:val="bottom"/>
          </w:tcPr>
          <w:p w:rsidR="003D0E01" w:rsidRPr="00886F75" w:rsidRDefault="003D0E01" w:rsidP="003D0E01">
            <w:pPr>
              <w:keepNext/>
              <w:spacing w:after="0" w:line="240" w:lineRule="auto"/>
              <w:jc w:val="right"/>
              <w:rPr>
                <w:color w:val="000000"/>
                <w:sz w:val="16"/>
                <w:szCs w:val="16"/>
                <w:lang w:val="it-IT" w:eastAsia="it-IT"/>
              </w:rPr>
            </w:pPr>
            <w:r w:rsidRPr="00886F75">
              <w:rPr>
                <w:color w:val="000000"/>
                <w:sz w:val="16"/>
                <w:szCs w:val="16"/>
                <w:lang w:val="it-IT" w:eastAsia="it-IT"/>
              </w:rPr>
              <w:t>8</w:t>
            </w:r>
          </w:p>
        </w:tc>
      </w:tr>
      <w:tr w:rsidR="003D0E01" w:rsidRPr="00F31150" w:rsidTr="003D0E01">
        <w:tc>
          <w:tcPr>
            <w:tcW w:w="2439" w:type="pct"/>
            <w:tcBorders>
              <w:top w:val="nil"/>
              <w:left w:val="single" w:sz="4" w:space="0" w:color="000000"/>
              <w:bottom w:val="nil"/>
              <w:right w:val="nil"/>
            </w:tcBorders>
            <w:noWrap/>
            <w:vAlign w:val="bottom"/>
          </w:tcPr>
          <w:p w:rsidR="003D0E01" w:rsidRPr="00763A37" w:rsidRDefault="003D0E01" w:rsidP="003D0E01">
            <w:pPr>
              <w:keepNext/>
              <w:spacing w:after="0" w:line="240" w:lineRule="auto"/>
              <w:jc w:val="left"/>
              <w:rPr>
                <w:color w:val="000000"/>
                <w:sz w:val="16"/>
                <w:szCs w:val="16"/>
                <w:lang w:val="it-IT" w:eastAsia="it-IT"/>
              </w:rPr>
            </w:pPr>
            <w:r w:rsidRPr="00763A37">
              <w:rPr>
                <w:color w:val="000000"/>
                <w:sz w:val="16"/>
                <w:szCs w:val="16"/>
                <w:lang w:val="it-IT" w:eastAsia="it-IT"/>
              </w:rPr>
              <w:t>4.Energy</w:t>
            </w:r>
          </w:p>
        </w:tc>
        <w:tc>
          <w:tcPr>
            <w:tcW w:w="427" w:type="pct"/>
            <w:tcBorders>
              <w:top w:val="nil"/>
              <w:left w:val="nil"/>
              <w:bottom w:val="nil"/>
              <w:right w:val="nil"/>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17,337</w:t>
            </w:r>
          </w:p>
        </w:tc>
        <w:tc>
          <w:tcPr>
            <w:tcW w:w="427" w:type="pct"/>
            <w:tcBorders>
              <w:top w:val="nil"/>
              <w:left w:val="nil"/>
              <w:bottom w:val="nil"/>
              <w:right w:val="nil"/>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20,617</w:t>
            </w:r>
          </w:p>
        </w:tc>
        <w:tc>
          <w:tcPr>
            <w:tcW w:w="427" w:type="pct"/>
            <w:tcBorders>
              <w:top w:val="nil"/>
              <w:left w:val="nil"/>
              <w:bottom w:val="nil"/>
              <w:right w:val="single" w:sz="4" w:space="0" w:color="000000"/>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20,649</w:t>
            </w:r>
          </w:p>
        </w:tc>
        <w:tc>
          <w:tcPr>
            <w:tcW w:w="427" w:type="pct"/>
            <w:tcBorders>
              <w:top w:val="nil"/>
              <w:left w:val="single" w:sz="4" w:space="0" w:color="000000"/>
              <w:bottom w:val="nil"/>
              <w:right w:val="nil"/>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84.1</w:t>
            </w:r>
          </w:p>
        </w:tc>
        <w:tc>
          <w:tcPr>
            <w:tcW w:w="427" w:type="pct"/>
            <w:tcBorders>
              <w:top w:val="nil"/>
              <w:left w:val="nil"/>
              <w:bottom w:val="nil"/>
              <w:right w:val="single" w:sz="4" w:space="0" w:color="000000"/>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84.0</w:t>
            </w:r>
          </w:p>
        </w:tc>
        <w:tc>
          <w:tcPr>
            <w:tcW w:w="426" w:type="pct"/>
            <w:tcBorders>
              <w:top w:val="nil"/>
              <w:left w:val="single" w:sz="4" w:space="0" w:color="000000"/>
              <w:bottom w:val="nil"/>
              <w:right w:val="single" w:sz="4" w:space="0" w:color="000000"/>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22</w:t>
            </w:r>
          </w:p>
        </w:tc>
      </w:tr>
      <w:tr w:rsidR="003D0E01" w:rsidRPr="00F31150" w:rsidTr="003D0E01">
        <w:tc>
          <w:tcPr>
            <w:tcW w:w="2439" w:type="pct"/>
            <w:tcBorders>
              <w:top w:val="nil"/>
              <w:left w:val="single" w:sz="4" w:space="0" w:color="000000"/>
              <w:bottom w:val="nil"/>
              <w:right w:val="nil"/>
            </w:tcBorders>
            <w:noWrap/>
            <w:vAlign w:val="bottom"/>
          </w:tcPr>
          <w:p w:rsidR="003D0E01" w:rsidRPr="00763A37" w:rsidRDefault="003D0E01" w:rsidP="003D0E01">
            <w:pPr>
              <w:keepNext/>
              <w:spacing w:after="0" w:line="240" w:lineRule="auto"/>
              <w:jc w:val="left"/>
              <w:rPr>
                <w:color w:val="000000"/>
                <w:sz w:val="16"/>
                <w:szCs w:val="16"/>
                <w:lang w:val="it-IT" w:eastAsia="it-IT"/>
              </w:rPr>
            </w:pPr>
            <w:r w:rsidRPr="00763A37">
              <w:rPr>
                <w:color w:val="000000"/>
                <w:sz w:val="16"/>
                <w:szCs w:val="16"/>
                <w:lang w:val="it-IT" w:eastAsia="it-IT"/>
              </w:rPr>
              <w:t xml:space="preserve">5.Environmental </w:t>
            </w:r>
            <w:proofErr w:type="spellStart"/>
            <w:r w:rsidRPr="00763A37">
              <w:rPr>
                <w:color w:val="000000"/>
                <w:sz w:val="16"/>
                <w:szCs w:val="16"/>
                <w:lang w:val="it-IT" w:eastAsia="it-IT"/>
              </w:rPr>
              <w:t>protection</w:t>
            </w:r>
            <w:proofErr w:type="spellEnd"/>
          </w:p>
        </w:tc>
        <w:tc>
          <w:tcPr>
            <w:tcW w:w="427" w:type="pct"/>
            <w:tcBorders>
              <w:top w:val="nil"/>
              <w:left w:val="nil"/>
              <w:bottom w:val="nil"/>
              <w:right w:val="nil"/>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3,693</w:t>
            </w:r>
          </w:p>
        </w:tc>
        <w:tc>
          <w:tcPr>
            <w:tcW w:w="427" w:type="pct"/>
            <w:tcBorders>
              <w:top w:val="nil"/>
              <w:left w:val="nil"/>
              <w:bottom w:val="nil"/>
              <w:right w:val="nil"/>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5,721</w:t>
            </w:r>
          </w:p>
        </w:tc>
        <w:tc>
          <w:tcPr>
            <w:tcW w:w="427" w:type="pct"/>
            <w:tcBorders>
              <w:top w:val="nil"/>
              <w:left w:val="nil"/>
              <w:bottom w:val="nil"/>
              <w:right w:val="single" w:sz="4" w:space="0" w:color="000000"/>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19,286</w:t>
            </w:r>
          </w:p>
        </w:tc>
        <w:tc>
          <w:tcPr>
            <w:tcW w:w="427" w:type="pct"/>
            <w:tcBorders>
              <w:top w:val="nil"/>
              <w:left w:val="single" w:sz="4" w:space="0" w:color="000000"/>
              <w:bottom w:val="nil"/>
              <w:right w:val="nil"/>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64.5</w:t>
            </w:r>
          </w:p>
        </w:tc>
        <w:tc>
          <w:tcPr>
            <w:tcW w:w="427" w:type="pct"/>
            <w:tcBorders>
              <w:top w:val="nil"/>
              <w:left w:val="nil"/>
              <w:bottom w:val="nil"/>
              <w:right w:val="single" w:sz="4" w:space="0" w:color="000000"/>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19.1</w:t>
            </w:r>
          </w:p>
        </w:tc>
        <w:tc>
          <w:tcPr>
            <w:tcW w:w="426" w:type="pct"/>
            <w:tcBorders>
              <w:top w:val="nil"/>
              <w:left w:val="single" w:sz="4" w:space="0" w:color="000000"/>
              <w:bottom w:val="nil"/>
              <w:right w:val="single" w:sz="4" w:space="0" w:color="000000"/>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3</w:t>
            </w:r>
          </w:p>
        </w:tc>
      </w:tr>
      <w:tr w:rsidR="003D0E01" w:rsidRPr="00F31150" w:rsidTr="003D0E01">
        <w:tc>
          <w:tcPr>
            <w:tcW w:w="2439" w:type="pct"/>
            <w:tcBorders>
              <w:top w:val="nil"/>
              <w:left w:val="single" w:sz="4" w:space="0" w:color="000000"/>
              <w:bottom w:val="nil"/>
              <w:right w:val="nil"/>
            </w:tcBorders>
            <w:noWrap/>
            <w:vAlign w:val="bottom"/>
          </w:tcPr>
          <w:p w:rsidR="003D0E01" w:rsidRPr="00763A37" w:rsidRDefault="003D0E01" w:rsidP="003D0E01">
            <w:pPr>
              <w:keepNext/>
              <w:spacing w:after="0" w:line="240" w:lineRule="auto"/>
              <w:jc w:val="left"/>
              <w:rPr>
                <w:color w:val="000000"/>
                <w:sz w:val="16"/>
                <w:szCs w:val="16"/>
                <w:lang w:val="it-IT" w:eastAsia="it-IT"/>
              </w:rPr>
            </w:pPr>
            <w:r w:rsidRPr="00763A37">
              <w:rPr>
                <w:color w:val="000000"/>
                <w:sz w:val="16"/>
                <w:szCs w:val="16"/>
                <w:lang w:val="it-IT" w:eastAsia="it-IT"/>
              </w:rPr>
              <w:t xml:space="preserve">6.Resources </w:t>
            </w:r>
            <w:proofErr w:type="spellStart"/>
            <w:r w:rsidRPr="00763A37">
              <w:rPr>
                <w:color w:val="000000"/>
                <w:sz w:val="16"/>
                <w:szCs w:val="16"/>
                <w:lang w:val="it-IT" w:eastAsia="it-IT"/>
              </w:rPr>
              <w:t>efficiency</w:t>
            </w:r>
            <w:proofErr w:type="spellEnd"/>
          </w:p>
        </w:tc>
        <w:tc>
          <w:tcPr>
            <w:tcW w:w="427" w:type="pct"/>
            <w:tcBorders>
              <w:top w:val="nil"/>
              <w:left w:val="nil"/>
              <w:bottom w:val="nil"/>
              <w:right w:val="nil"/>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12,705</w:t>
            </w:r>
          </w:p>
        </w:tc>
        <w:tc>
          <w:tcPr>
            <w:tcW w:w="427" w:type="pct"/>
            <w:tcBorders>
              <w:top w:val="nil"/>
              <w:left w:val="nil"/>
              <w:bottom w:val="nil"/>
              <w:right w:val="nil"/>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13,009</w:t>
            </w:r>
          </w:p>
        </w:tc>
        <w:tc>
          <w:tcPr>
            <w:tcW w:w="427" w:type="pct"/>
            <w:tcBorders>
              <w:top w:val="nil"/>
              <w:left w:val="nil"/>
              <w:bottom w:val="nil"/>
              <w:right w:val="single" w:sz="4" w:space="0" w:color="000000"/>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15,931</w:t>
            </w:r>
          </w:p>
        </w:tc>
        <w:tc>
          <w:tcPr>
            <w:tcW w:w="427" w:type="pct"/>
            <w:tcBorders>
              <w:top w:val="nil"/>
              <w:left w:val="single" w:sz="4" w:space="0" w:color="000000"/>
              <w:bottom w:val="nil"/>
              <w:right w:val="nil"/>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97.7</w:t>
            </w:r>
          </w:p>
        </w:tc>
        <w:tc>
          <w:tcPr>
            <w:tcW w:w="427" w:type="pct"/>
            <w:tcBorders>
              <w:top w:val="nil"/>
              <w:left w:val="nil"/>
              <w:bottom w:val="nil"/>
              <w:right w:val="single" w:sz="4" w:space="0" w:color="000000"/>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79.7</w:t>
            </w:r>
          </w:p>
        </w:tc>
        <w:tc>
          <w:tcPr>
            <w:tcW w:w="426" w:type="pct"/>
            <w:tcBorders>
              <w:top w:val="nil"/>
              <w:left w:val="single" w:sz="4" w:space="0" w:color="000000"/>
              <w:bottom w:val="nil"/>
              <w:right w:val="single" w:sz="4" w:space="0" w:color="000000"/>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13</w:t>
            </w:r>
          </w:p>
        </w:tc>
      </w:tr>
      <w:tr w:rsidR="003D0E01" w:rsidRPr="00F31150" w:rsidTr="003D0E01">
        <w:tc>
          <w:tcPr>
            <w:tcW w:w="2439" w:type="pct"/>
            <w:tcBorders>
              <w:top w:val="nil"/>
              <w:left w:val="single" w:sz="4" w:space="0" w:color="000000"/>
              <w:bottom w:val="nil"/>
              <w:right w:val="nil"/>
            </w:tcBorders>
            <w:noWrap/>
            <w:vAlign w:val="bottom"/>
          </w:tcPr>
          <w:p w:rsidR="003D0E01" w:rsidRPr="00763A37" w:rsidRDefault="003D0E01" w:rsidP="003D0E01">
            <w:pPr>
              <w:keepNext/>
              <w:spacing w:after="0" w:line="240" w:lineRule="auto"/>
              <w:jc w:val="left"/>
              <w:rPr>
                <w:color w:val="000000"/>
                <w:sz w:val="16"/>
                <w:szCs w:val="16"/>
                <w:lang w:val="it-IT" w:eastAsia="it-IT"/>
              </w:rPr>
            </w:pPr>
            <w:r w:rsidRPr="00763A37">
              <w:rPr>
                <w:color w:val="000000"/>
                <w:sz w:val="16"/>
                <w:szCs w:val="16"/>
                <w:lang w:val="it-IT" w:eastAsia="it-IT"/>
              </w:rPr>
              <w:t>7.Transport</w:t>
            </w:r>
          </w:p>
        </w:tc>
        <w:tc>
          <w:tcPr>
            <w:tcW w:w="427" w:type="pct"/>
            <w:tcBorders>
              <w:top w:val="nil"/>
              <w:left w:val="nil"/>
              <w:bottom w:val="nil"/>
              <w:right w:val="nil"/>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51,387</w:t>
            </w:r>
          </w:p>
        </w:tc>
        <w:tc>
          <w:tcPr>
            <w:tcW w:w="427" w:type="pct"/>
            <w:tcBorders>
              <w:top w:val="nil"/>
              <w:left w:val="nil"/>
              <w:bottom w:val="nil"/>
              <w:right w:val="nil"/>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53,607</w:t>
            </w:r>
          </w:p>
        </w:tc>
        <w:tc>
          <w:tcPr>
            <w:tcW w:w="427" w:type="pct"/>
            <w:tcBorders>
              <w:top w:val="nil"/>
              <w:left w:val="nil"/>
              <w:bottom w:val="nil"/>
              <w:right w:val="single" w:sz="4" w:space="0" w:color="000000"/>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61,934</w:t>
            </w:r>
          </w:p>
        </w:tc>
        <w:tc>
          <w:tcPr>
            <w:tcW w:w="427" w:type="pct"/>
            <w:tcBorders>
              <w:top w:val="nil"/>
              <w:left w:val="single" w:sz="4" w:space="0" w:color="000000"/>
              <w:bottom w:val="nil"/>
              <w:right w:val="nil"/>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95.9</w:t>
            </w:r>
          </w:p>
        </w:tc>
        <w:tc>
          <w:tcPr>
            <w:tcW w:w="427" w:type="pct"/>
            <w:tcBorders>
              <w:top w:val="nil"/>
              <w:left w:val="nil"/>
              <w:bottom w:val="nil"/>
              <w:right w:val="single" w:sz="4" w:space="0" w:color="000000"/>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83.0</w:t>
            </w:r>
          </w:p>
        </w:tc>
        <w:tc>
          <w:tcPr>
            <w:tcW w:w="426" w:type="pct"/>
            <w:tcBorders>
              <w:top w:val="nil"/>
              <w:left w:val="single" w:sz="4" w:space="0" w:color="000000"/>
              <w:bottom w:val="nil"/>
              <w:right w:val="single" w:sz="4" w:space="0" w:color="000000"/>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18</w:t>
            </w:r>
          </w:p>
        </w:tc>
      </w:tr>
      <w:tr w:rsidR="003D0E01" w:rsidRPr="00F31150" w:rsidTr="003D0E01">
        <w:tc>
          <w:tcPr>
            <w:tcW w:w="2439" w:type="pct"/>
            <w:tcBorders>
              <w:top w:val="nil"/>
              <w:left w:val="single" w:sz="4" w:space="0" w:color="000000"/>
              <w:bottom w:val="nil"/>
              <w:right w:val="nil"/>
            </w:tcBorders>
            <w:noWrap/>
            <w:vAlign w:val="bottom"/>
          </w:tcPr>
          <w:p w:rsidR="003D0E01" w:rsidRPr="00763A37" w:rsidRDefault="003D0E01" w:rsidP="003D0E01">
            <w:pPr>
              <w:keepNext/>
              <w:spacing w:after="0" w:line="240" w:lineRule="auto"/>
              <w:jc w:val="left"/>
              <w:rPr>
                <w:color w:val="000000"/>
                <w:sz w:val="16"/>
                <w:szCs w:val="16"/>
                <w:lang w:val="it-IT" w:eastAsia="it-IT"/>
              </w:rPr>
            </w:pPr>
            <w:r w:rsidRPr="00763A37">
              <w:rPr>
                <w:color w:val="000000"/>
                <w:sz w:val="16"/>
                <w:szCs w:val="16"/>
                <w:lang w:val="it-IT" w:eastAsia="it-IT"/>
              </w:rPr>
              <w:t xml:space="preserve">8.Access to </w:t>
            </w:r>
            <w:proofErr w:type="spellStart"/>
            <w:r w:rsidRPr="00763A37">
              <w:rPr>
                <w:color w:val="000000"/>
                <w:sz w:val="16"/>
                <w:szCs w:val="16"/>
                <w:lang w:val="it-IT" w:eastAsia="it-IT"/>
              </w:rPr>
              <w:t>Employment</w:t>
            </w:r>
            <w:proofErr w:type="spellEnd"/>
          </w:p>
        </w:tc>
        <w:tc>
          <w:tcPr>
            <w:tcW w:w="427" w:type="pct"/>
            <w:tcBorders>
              <w:top w:val="nil"/>
              <w:left w:val="nil"/>
              <w:bottom w:val="nil"/>
              <w:right w:val="nil"/>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14,961</w:t>
            </w:r>
          </w:p>
        </w:tc>
        <w:tc>
          <w:tcPr>
            <w:tcW w:w="427" w:type="pct"/>
            <w:tcBorders>
              <w:top w:val="nil"/>
              <w:left w:val="nil"/>
              <w:bottom w:val="nil"/>
              <w:right w:val="nil"/>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15,872</w:t>
            </w:r>
          </w:p>
        </w:tc>
        <w:tc>
          <w:tcPr>
            <w:tcW w:w="427" w:type="pct"/>
            <w:tcBorders>
              <w:top w:val="nil"/>
              <w:left w:val="nil"/>
              <w:bottom w:val="nil"/>
              <w:right w:val="single" w:sz="4" w:space="0" w:color="000000"/>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16,877</w:t>
            </w:r>
          </w:p>
        </w:tc>
        <w:tc>
          <w:tcPr>
            <w:tcW w:w="427" w:type="pct"/>
            <w:tcBorders>
              <w:top w:val="nil"/>
              <w:left w:val="single" w:sz="4" w:space="0" w:color="000000"/>
              <w:bottom w:val="nil"/>
              <w:right w:val="nil"/>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94.3</w:t>
            </w:r>
          </w:p>
        </w:tc>
        <w:tc>
          <w:tcPr>
            <w:tcW w:w="427" w:type="pct"/>
            <w:tcBorders>
              <w:top w:val="nil"/>
              <w:left w:val="nil"/>
              <w:bottom w:val="nil"/>
              <w:right w:val="single" w:sz="4" w:space="0" w:color="000000"/>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88.6</w:t>
            </w:r>
          </w:p>
        </w:tc>
        <w:tc>
          <w:tcPr>
            <w:tcW w:w="426" w:type="pct"/>
            <w:tcBorders>
              <w:top w:val="nil"/>
              <w:left w:val="single" w:sz="4" w:space="0" w:color="000000"/>
              <w:bottom w:val="nil"/>
              <w:right w:val="single" w:sz="4" w:space="0" w:color="000000"/>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22</w:t>
            </w:r>
          </w:p>
        </w:tc>
      </w:tr>
      <w:tr w:rsidR="003D0E01" w:rsidRPr="00F31150" w:rsidTr="003D0E01">
        <w:tc>
          <w:tcPr>
            <w:tcW w:w="2439" w:type="pct"/>
            <w:tcBorders>
              <w:top w:val="nil"/>
              <w:left w:val="single" w:sz="4" w:space="0" w:color="000000"/>
              <w:bottom w:val="nil"/>
              <w:right w:val="nil"/>
            </w:tcBorders>
            <w:noWrap/>
            <w:vAlign w:val="bottom"/>
          </w:tcPr>
          <w:p w:rsidR="003D0E01" w:rsidRPr="00340CAB" w:rsidRDefault="003D0E01" w:rsidP="003D0E01">
            <w:pPr>
              <w:keepNext/>
              <w:spacing w:after="0" w:line="240" w:lineRule="auto"/>
              <w:jc w:val="left"/>
              <w:rPr>
                <w:color w:val="000000"/>
                <w:sz w:val="16"/>
                <w:szCs w:val="16"/>
                <w:lang w:eastAsia="it-IT"/>
              </w:rPr>
            </w:pPr>
            <w:r w:rsidRPr="0054221F">
              <w:rPr>
                <w:color w:val="000000"/>
                <w:sz w:val="16"/>
                <w:szCs w:val="16"/>
                <w:lang w:eastAsia="it-IT"/>
              </w:rPr>
              <w:t>9.LM integration of young people</w:t>
            </w:r>
          </w:p>
        </w:tc>
        <w:tc>
          <w:tcPr>
            <w:tcW w:w="427" w:type="pct"/>
            <w:tcBorders>
              <w:top w:val="nil"/>
              <w:left w:val="nil"/>
              <w:bottom w:val="nil"/>
              <w:right w:val="nil"/>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10,242</w:t>
            </w:r>
          </w:p>
        </w:tc>
        <w:tc>
          <w:tcPr>
            <w:tcW w:w="427" w:type="pct"/>
            <w:tcBorders>
              <w:top w:val="nil"/>
              <w:left w:val="nil"/>
              <w:bottom w:val="nil"/>
              <w:right w:val="nil"/>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10,303</w:t>
            </w:r>
          </w:p>
        </w:tc>
        <w:tc>
          <w:tcPr>
            <w:tcW w:w="427" w:type="pct"/>
            <w:tcBorders>
              <w:top w:val="nil"/>
              <w:left w:val="nil"/>
              <w:bottom w:val="nil"/>
              <w:right w:val="single" w:sz="4" w:space="0" w:color="000000"/>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11,091</w:t>
            </w:r>
          </w:p>
        </w:tc>
        <w:tc>
          <w:tcPr>
            <w:tcW w:w="427" w:type="pct"/>
            <w:tcBorders>
              <w:top w:val="nil"/>
              <w:left w:val="single" w:sz="4" w:space="0" w:color="000000"/>
              <w:bottom w:val="nil"/>
              <w:right w:val="nil"/>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99.4</w:t>
            </w:r>
          </w:p>
        </w:tc>
        <w:tc>
          <w:tcPr>
            <w:tcW w:w="427" w:type="pct"/>
            <w:tcBorders>
              <w:top w:val="nil"/>
              <w:left w:val="nil"/>
              <w:bottom w:val="nil"/>
              <w:right w:val="single" w:sz="4" w:space="0" w:color="000000"/>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92.3</w:t>
            </w:r>
          </w:p>
        </w:tc>
        <w:tc>
          <w:tcPr>
            <w:tcW w:w="426" w:type="pct"/>
            <w:tcBorders>
              <w:top w:val="nil"/>
              <w:left w:val="single" w:sz="4" w:space="0" w:color="000000"/>
              <w:bottom w:val="nil"/>
              <w:right w:val="single" w:sz="4" w:space="0" w:color="000000"/>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16</w:t>
            </w:r>
          </w:p>
        </w:tc>
      </w:tr>
      <w:tr w:rsidR="003D0E01" w:rsidRPr="00F31150" w:rsidTr="003D0E01">
        <w:tc>
          <w:tcPr>
            <w:tcW w:w="2439" w:type="pct"/>
            <w:tcBorders>
              <w:top w:val="nil"/>
              <w:left w:val="single" w:sz="4" w:space="0" w:color="000000"/>
              <w:bottom w:val="nil"/>
              <w:right w:val="nil"/>
            </w:tcBorders>
            <w:noWrap/>
            <w:vAlign w:val="bottom"/>
          </w:tcPr>
          <w:p w:rsidR="003D0E01" w:rsidRPr="00763A37" w:rsidRDefault="003D0E01" w:rsidP="003D0E01">
            <w:pPr>
              <w:keepNext/>
              <w:spacing w:after="0" w:line="240" w:lineRule="auto"/>
              <w:jc w:val="left"/>
              <w:rPr>
                <w:color w:val="000000"/>
                <w:sz w:val="16"/>
                <w:szCs w:val="16"/>
                <w:lang w:val="it-IT" w:eastAsia="it-IT"/>
              </w:rPr>
            </w:pPr>
            <w:r w:rsidRPr="00763A37">
              <w:rPr>
                <w:color w:val="000000"/>
                <w:sz w:val="16"/>
                <w:szCs w:val="16"/>
                <w:lang w:val="it-IT" w:eastAsia="it-IT"/>
              </w:rPr>
              <w:t xml:space="preserve">11.Gender </w:t>
            </w:r>
            <w:proofErr w:type="spellStart"/>
            <w:r w:rsidRPr="00763A37">
              <w:rPr>
                <w:color w:val="000000"/>
                <w:sz w:val="16"/>
                <w:szCs w:val="16"/>
                <w:lang w:val="it-IT" w:eastAsia="it-IT"/>
              </w:rPr>
              <w:t>Equality</w:t>
            </w:r>
            <w:proofErr w:type="spellEnd"/>
          </w:p>
        </w:tc>
        <w:tc>
          <w:tcPr>
            <w:tcW w:w="427" w:type="pct"/>
            <w:tcBorders>
              <w:top w:val="nil"/>
              <w:left w:val="nil"/>
              <w:bottom w:val="nil"/>
              <w:right w:val="nil"/>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5,910</w:t>
            </w:r>
          </w:p>
        </w:tc>
        <w:tc>
          <w:tcPr>
            <w:tcW w:w="427" w:type="pct"/>
            <w:tcBorders>
              <w:top w:val="nil"/>
              <w:left w:val="nil"/>
              <w:bottom w:val="nil"/>
              <w:right w:val="nil"/>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9,082</w:t>
            </w:r>
          </w:p>
        </w:tc>
        <w:tc>
          <w:tcPr>
            <w:tcW w:w="427" w:type="pct"/>
            <w:tcBorders>
              <w:top w:val="nil"/>
              <w:left w:val="nil"/>
              <w:bottom w:val="nil"/>
              <w:right w:val="single" w:sz="4" w:space="0" w:color="000000"/>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12,338</w:t>
            </w:r>
          </w:p>
        </w:tc>
        <w:tc>
          <w:tcPr>
            <w:tcW w:w="427" w:type="pct"/>
            <w:tcBorders>
              <w:top w:val="nil"/>
              <w:left w:val="single" w:sz="4" w:space="0" w:color="000000"/>
              <w:bottom w:val="nil"/>
              <w:right w:val="nil"/>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65.1</w:t>
            </w:r>
          </w:p>
        </w:tc>
        <w:tc>
          <w:tcPr>
            <w:tcW w:w="427" w:type="pct"/>
            <w:tcBorders>
              <w:top w:val="nil"/>
              <w:left w:val="nil"/>
              <w:bottom w:val="nil"/>
              <w:right w:val="single" w:sz="4" w:space="0" w:color="000000"/>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47.9</w:t>
            </w:r>
          </w:p>
        </w:tc>
        <w:tc>
          <w:tcPr>
            <w:tcW w:w="426" w:type="pct"/>
            <w:tcBorders>
              <w:top w:val="nil"/>
              <w:left w:val="single" w:sz="4" w:space="0" w:color="000000"/>
              <w:bottom w:val="nil"/>
              <w:right w:val="single" w:sz="4" w:space="0" w:color="000000"/>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14</w:t>
            </w:r>
          </w:p>
        </w:tc>
      </w:tr>
      <w:tr w:rsidR="003D0E01" w:rsidRPr="00F31150" w:rsidTr="003D0E01">
        <w:tc>
          <w:tcPr>
            <w:tcW w:w="2439" w:type="pct"/>
            <w:tcBorders>
              <w:top w:val="nil"/>
              <w:left w:val="single" w:sz="4" w:space="0" w:color="000000"/>
              <w:bottom w:val="nil"/>
              <w:right w:val="nil"/>
            </w:tcBorders>
            <w:noWrap/>
            <w:vAlign w:val="bottom"/>
          </w:tcPr>
          <w:p w:rsidR="003D0E01" w:rsidRPr="00763A37" w:rsidRDefault="003D0E01" w:rsidP="00395F8D">
            <w:pPr>
              <w:keepNext/>
              <w:spacing w:after="0" w:line="240" w:lineRule="auto"/>
              <w:jc w:val="left"/>
              <w:rPr>
                <w:color w:val="000000"/>
                <w:sz w:val="16"/>
                <w:szCs w:val="16"/>
                <w:lang w:val="it-IT" w:eastAsia="it-IT"/>
              </w:rPr>
            </w:pPr>
            <w:r w:rsidRPr="00763A37">
              <w:rPr>
                <w:color w:val="000000"/>
                <w:sz w:val="16"/>
                <w:szCs w:val="16"/>
                <w:lang w:val="it-IT" w:eastAsia="it-IT"/>
              </w:rPr>
              <w:t xml:space="preserve">12.Integration of </w:t>
            </w:r>
            <w:proofErr w:type="spellStart"/>
            <w:r w:rsidRPr="00763A37">
              <w:rPr>
                <w:color w:val="000000"/>
                <w:sz w:val="16"/>
                <w:szCs w:val="16"/>
                <w:lang w:val="it-IT" w:eastAsia="it-IT"/>
              </w:rPr>
              <w:t>marginali</w:t>
            </w:r>
            <w:r w:rsidR="00395F8D">
              <w:rPr>
                <w:color w:val="000000"/>
                <w:sz w:val="16"/>
                <w:szCs w:val="16"/>
                <w:lang w:val="it-IT" w:eastAsia="it-IT"/>
              </w:rPr>
              <w:t>s</w:t>
            </w:r>
            <w:r w:rsidRPr="00763A37">
              <w:rPr>
                <w:color w:val="000000"/>
                <w:sz w:val="16"/>
                <w:szCs w:val="16"/>
                <w:lang w:val="it-IT" w:eastAsia="it-IT"/>
              </w:rPr>
              <w:t>ed</w:t>
            </w:r>
            <w:proofErr w:type="spellEnd"/>
            <w:r w:rsidRPr="00763A37">
              <w:rPr>
                <w:color w:val="000000"/>
                <w:sz w:val="16"/>
                <w:szCs w:val="16"/>
                <w:lang w:val="it-IT" w:eastAsia="it-IT"/>
              </w:rPr>
              <w:t xml:space="preserve"> </w:t>
            </w:r>
            <w:proofErr w:type="spellStart"/>
            <w:r w:rsidRPr="00763A37">
              <w:rPr>
                <w:color w:val="000000"/>
                <w:sz w:val="16"/>
                <w:szCs w:val="16"/>
                <w:lang w:val="it-IT" w:eastAsia="it-IT"/>
              </w:rPr>
              <w:t>groups</w:t>
            </w:r>
            <w:proofErr w:type="spellEnd"/>
          </w:p>
        </w:tc>
        <w:tc>
          <w:tcPr>
            <w:tcW w:w="427" w:type="pct"/>
            <w:tcBorders>
              <w:top w:val="nil"/>
              <w:left w:val="nil"/>
              <w:bottom w:val="nil"/>
              <w:right w:val="nil"/>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839</w:t>
            </w:r>
          </w:p>
        </w:tc>
        <w:tc>
          <w:tcPr>
            <w:tcW w:w="427" w:type="pct"/>
            <w:tcBorders>
              <w:top w:val="nil"/>
              <w:left w:val="nil"/>
              <w:bottom w:val="nil"/>
              <w:right w:val="nil"/>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923</w:t>
            </w:r>
          </w:p>
        </w:tc>
        <w:tc>
          <w:tcPr>
            <w:tcW w:w="427" w:type="pct"/>
            <w:tcBorders>
              <w:top w:val="nil"/>
              <w:left w:val="nil"/>
              <w:bottom w:val="nil"/>
              <w:right w:val="single" w:sz="4" w:space="0" w:color="000000"/>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1,474</w:t>
            </w:r>
          </w:p>
        </w:tc>
        <w:tc>
          <w:tcPr>
            <w:tcW w:w="427" w:type="pct"/>
            <w:tcBorders>
              <w:top w:val="nil"/>
              <w:left w:val="single" w:sz="4" w:space="0" w:color="000000"/>
              <w:bottom w:val="nil"/>
              <w:right w:val="nil"/>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90.9</w:t>
            </w:r>
          </w:p>
        </w:tc>
        <w:tc>
          <w:tcPr>
            <w:tcW w:w="427" w:type="pct"/>
            <w:tcBorders>
              <w:top w:val="nil"/>
              <w:left w:val="nil"/>
              <w:bottom w:val="nil"/>
              <w:right w:val="single" w:sz="4" w:space="0" w:color="000000"/>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56.9</w:t>
            </w:r>
          </w:p>
        </w:tc>
        <w:tc>
          <w:tcPr>
            <w:tcW w:w="426" w:type="pct"/>
            <w:tcBorders>
              <w:top w:val="nil"/>
              <w:left w:val="single" w:sz="4" w:space="0" w:color="000000"/>
              <w:bottom w:val="nil"/>
              <w:right w:val="single" w:sz="4" w:space="0" w:color="000000"/>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6</w:t>
            </w:r>
          </w:p>
        </w:tc>
      </w:tr>
      <w:tr w:rsidR="003D0E01" w:rsidRPr="00F31150" w:rsidTr="003D0E01">
        <w:tc>
          <w:tcPr>
            <w:tcW w:w="2439" w:type="pct"/>
            <w:tcBorders>
              <w:top w:val="nil"/>
              <w:left w:val="single" w:sz="4" w:space="0" w:color="000000"/>
              <w:bottom w:val="nil"/>
              <w:right w:val="nil"/>
            </w:tcBorders>
            <w:noWrap/>
            <w:vAlign w:val="bottom"/>
          </w:tcPr>
          <w:p w:rsidR="003D0E01" w:rsidRPr="00763A37" w:rsidRDefault="003D0E01" w:rsidP="003D0E01">
            <w:pPr>
              <w:keepNext/>
              <w:spacing w:after="0" w:line="240" w:lineRule="auto"/>
              <w:jc w:val="left"/>
              <w:rPr>
                <w:color w:val="000000"/>
                <w:sz w:val="16"/>
                <w:szCs w:val="16"/>
                <w:lang w:val="it-IT" w:eastAsia="it-IT"/>
              </w:rPr>
            </w:pPr>
            <w:r w:rsidRPr="00763A37">
              <w:rPr>
                <w:color w:val="000000"/>
                <w:sz w:val="16"/>
                <w:szCs w:val="16"/>
                <w:lang w:val="it-IT" w:eastAsia="it-IT"/>
              </w:rPr>
              <w:t>13.Co</w:t>
            </w:r>
            <w:r>
              <w:rPr>
                <w:color w:val="000000"/>
                <w:sz w:val="16"/>
                <w:szCs w:val="16"/>
                <w:lang w:val="it-IT" w:eastAsia="it-IT"/>
              </w:rPr>
              <w:t>mbatting</w:t>
            </w:r>
            <w:r w:rsidRPr="00763A37">
              <w:rPr>
                <w:color w:val="000000"/>
                <w:sz w:val="16"/>
                <w:szCs w:val="16"/>
                <w:lang w:val="it-IT" w:eastAsia="it-IT"/>
              </w:rPr>
              <w:t xml:space="preserve"> </w:t>
            </w:r>
            <w:proofErr w:type="spellStart"/>
            <w:r w:rsidRPr="00763A37">
              <w:rPr>
                <w:color w:val="000000"/>
                <w:sz w:val="16"/>
                <w:szCs w:val="16"/>
                <w:lang w:val="it-IT" w:eastAsia="it-IT"/>
              </w:rPr>
              <w:t>discrimination</w:t>
            </w:r>
            <w:proofErr w:type="spellEnd"/>
            <w:r w:rsidRPr="00763A37">
              <w:rPr>
                <w:color w:val="000000"/>
                <w:sz w:val="16"/>
                <w:szCs w:val="16"/>
                <w:lang w:val="it-IT" w:eastAsia="it-IT"/>
              </w:rPr>
              <w:t xml:space="preserve"> and </w:t>
            </w:r>
            <w:proofErr w:type="spellStart"/>
            <w:r w:rsidRPr="00763A37">
              <w:rPr>
                <w:color w:val="000000"/>
                <w:sz w:val="16"/>
                <w:szCs w:val="16"/>
                <w:lang w:val="it-IT" w:eastAsia="it-IT"/>
              </w:rPr>
              <w:t>poverty</w:t>
            </w:r>
            <w:proofErr w:type="spellEnd"/>
          </w:p>
        </w:tc>
        <w:tc>
          <w:tcPr>
            <w:tcW w:w="427" w:type="pct"/>
            <w:tcBorders>
              <w:top w:val="nil"/>
              <w:left w:val="nil"/>
              <w:bottom w:val="nil"/>
              <w:right w:val="nil"/>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2,899</w:t>
            </w:r>
          </w:p>
        </w:tc>
        <w:tc>
          <w:tcPr>
            <w:tcW w:w="427" w:type="pct"/>
            <w:tcBorders>
              <w:top w:val="nil"/>
              <w:left w:val="nil"/>
              <w:bottom w:val="nil"/>
              <w:right w:val="nil"/>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3,300</w:t>
            </w:r>
          </w:p>
        </w:tc>
        <w:tc>
          <w:tcPr>
            <w:tcW w:w="427" w:type="pct"/>
            <w:tcBorders>
              <w:top w:val="nil"/>
              <w:left w:val="nil"/>
              <w:bottom w:val="nil"/>
              <w:right w:val="single" w:sz="4" w:space="0" w:color="000000"/>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5,017</w:t>
            </w:r>
          </w:p>
        </w:tc>
        <w:tc>
          <w:tcPr>
            <w:tcW w:w="427" w:type="pct"/>
            <w:tcBorders>
              <w:top w:val="nil"/>
              <w:left w:val="single" w:sz="4" w:space="0" w:color="000000"/>
              <w:bottom w:val="nil"/>
              <w:right w:val="nil"/>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87.8</w:t>
            </w:r>
          </w:p>
        </w:tc>
        <w:tc>
          <w:tcPr>
            <w:tcW w:w="427" w:type="pct"/>
            <w:tcBorders>
              <w:top w:val="nil"/>
              <w:left w:val="nil"/>
              <w:bottom w:val="nil"/>
              <w:right w:val="single" w:sz="4" w:space="0" w:color="000000"/>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57.8</w:t>
            </w:r>
          </w:p>
        </w:tc>
        <w:tc>
          <w:tcPr>
            <w:tcW w:w="426" w:type="pct"/>
            <w:tcBorders>
              <w:top w:val="nil"/>
              <w:left w:val="single" w:sz="4" w:space="0" w:color="000000"/>
              <w:bottom w:val="nil"/>
              <w:right w:val="single" w:sz="4" w:space="0" w:color="000000"/>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13</w:t>
            </w:r>
          </w:p>
        </w:tc>
      </w:tr>
      <w:tr w:rsidR="003D0E01" w:rsidRPr="00F31150" w:rsidTr="003D0E01">
        <w:tc>
          <w:tcPr>
            <w:tcW w:w="2439" w:type="pct"/>
            <w:tcBorders>
              <w:top w:val="nil"/>
              <w:left w:val="single" w:sz="4" w:space="0" w:color="000000"/>
              <w:bottom w:val="nil"/>
              <w:right w:val="nil"/>
            </w:tcBorders>
            <w:noWrap/>
            <w:vAlign w:val="bottom"/>
          </w:tcPr>
          <w:p w:rsidR="003D0E01" w:rsidRPr="00340CAB" w:rsidRDefault="003D0E01" w:rsidP="003D0E01">
            <w:pPr>
              <w:keepNext/>
              <w:spacing w:after="0" w:line="240" w:lineRule="auto"/>
              <w:jc w:val="left"/>
              <w:rPr>
                <w:color w:val="000000"/>
                <w:sz w:val="16"/>
                <w:szCs w:val="16"/>
                <w:lang w:eastAsia="it-IT"/>
              </w:rPr>
            </w:pPr>
            <w:r w:rsidRPr="0054221F">
              <w:rPr>
                <w:color w:val="000000"/>
                <w:sz w:val="16"/>
                <w:szCs w:val="16"/>
                <w:lang w:eastAsia="it-IT"/>
              </w:rPr>
              <w:t>15.Health and long-term care</w:t>
            </w:r>
          </w:p>
        </w:tc>
        <w:tc>
          <w:tcPr>
            <w:tcW w:w="427" w:type="pct"/>
            <w:tcBorders>
              <w:top w:val="nil"/>
              <w:left w:val="nil"/>
              <w:bottom w:val="nil"/>
              <w:right w:val="nil"/>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3,408</w:t>
            </w:r>
          </w:p>
        </w:tc>
        <w:tc>
          <w:tcPr>
            <w:tcW w:w="427" w:type="pct"/>
            <w:tcBorders>
              <w:top w:val="nil"/>
              <w:left w:val="nil"/>
              <w:bottom w:val="nil"/>
              <w:right w:val="nil"/>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3,771</w:t>
            </w:r>
          </w:p>
        </w:tc>
        <w:tc>
          <w:tcPr>
            <w:tcW w:w="427" w:type="pct"/>
            <w:tcBorders>
              <w:top w:val="nil"/>
              <w:left w:val="nil"/>
              <w:bottom w:val="nil"/>
              <w:right w:val="single" w:sz="4" w:space="0" w:color="000000"/>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4,592</w:t>
            </w:r>
          </w:p>
        </w:tc>
        <w:tc>
          <w:tcPr>
            <w:tcW w:w="427" w:type="pct"/>
            <w:tcBorders>
              <w:top w:val="nil"/>
              <w:left w:val="single" w:sz="4" w:space="0" w:color="000000"/>
              <w:bottom w:val="nil"/>
              <w:right w:val="nil"/>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90.4</w:t>
            </w:r>
          </w:p>
        </w:tc>
        <w:tc>
          <w:tcPr>
            <w:tcW w:w="427" w:type="pct"/>
            <w:tcBorders>
              <w:top w:val="nil"/>
              <w:left w:val="nil"/>
              <w:bottom w:val="nil"/>
              <w:right w:val="single" w:sz="4" w:space="0" w:color="000000"/>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74.2</w:t>
            </w:r>
          </w:p>
        </w:tc>
        <w:tc>
          <w:tcPr>
            <w:tcW w:w="426" w:type="pct"/>
            <w:tcBorders>
              <w:top w:val="nil"/>
              <w:left w:val="single" w:sz="4" w:space="0" w:color="000000"/>
              <w:bottom w:val="nil"/>
              <w:right w:val="single" w:sz="4" w:space="0" w:color="000000"/>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14</w:t>
            </w:r>
          </w:p>
        </w:tc>
      </w:tr>
      <w:tr w:rsidR="003D0E01" w:rsidRPr="00F31150" w:rsidTr="003D0E01">
        <w:tc>
          <w:tcPr>
            <w:tcW w:w="2439" w:type="pct"/>
            <w:tcBorders>
              <w:top w:val="nil"/>
              <w:left w:val="single" w:sz="4" w:space="0" w:color="000000"/>
              <w:bottom w:val="nil"/>
              <w:right w:val="nil"/>
            </w:tcBorders>
            <w:noWrap/>
            <w:vAlign w:val="bottom"/>
          </w:tcPr>
          <w:p w:rsidR="003D0E01" w:rsidRPr="00340CAB" w:rsidRDefault="003D0E01" w:rsidP="003D0E01">
            <w:pPr>
              <w:keepNext/>
              <w:spacing w:after="0" w:line="240" w:lineRule="auto"/>
              <w:jc w:val="left"/>
              <w:rPr>
                <w:color w:val="000000"/>
                <w:sz w:val="16"/>
                <w:szCs w:val="16"/>
                <w:lang w:eastAsia="it-IT"/>
              </w:rPr>
            </w:pPr>
            <w:r w:rsidRPr="0054221F">
              <w:rPr>
                <w:color w:val="000000"/>
                <w:sz w:val="16"/>
                <w:szCs w:val="16"/>
                <w:lang w:eastAsia="it-IT"/>
              </w:rPr>
              <w:t>16.Housing and other social infrastructure</w:t>
            </w:r>
          </w:p>
        </w:tc>
        <w:tc>
          <w:tcPr>
            <w:tcW w:w="427" w:type="pct"/>
            <w:tcBorders>
              <w:top w:val="nil"/>
              <w:left w:val="nil"/>
              <w:bottom w:val="nil"/>
              <w:right w:val="nil"/>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349</w:t>
            </w:r>
          </w:p>
        </w:tc>
        <w:tc>
          <w:tcPr>
            <w:tcW w:w="427" w:type="pct"/>
            <w:tcBorders>
              <w:top w:val="nil"/>
              <w:left w:val="nil"/>
              <w:bottom w:val="nil"/>
              <w:right w:val="nil"/>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353</w:t>
            </w:r>
          </w:p>
        </w:tc>
        <w:tc>
          <w:tcPr>
            <w:tcW w:w="427" w:type="pct"/>
            <w:tcBorders>
              <w:top w:val="nil"/>
              <w:left w:val="nil"/>
              <w:bottom w:val="nil"/>
              <w:right w:val="single" w:sz="4" w:space="0" w:color="000000"/>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5,276</w:t>
            </w:r>
          </w:p>
        </w:tc>
        <w:tc>
          <w:tcPr>
            <w:tcW w:w="427" w:type="pct"/>
            <w:tcBorders>
              <w:top w:val="nil"/>
              <w:left w:val="single" w:sz="4" w:space="0" w:color="000000"/>
              <w:bottom w:val="nil"/>
              <w:right w:val="nil"/>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98.8</w:t>
            </w:r>
          </w:p>
        </w:tc>
        <w:tc>
          <w:tcPr>
            <w:tcW w:w="427" w:type="pct"/>
            <w:tcBorders>
              <w:top w:val="nil"/>
              <w:left w:val="nil"/>
              <w:bottom w:val="nil"/>
              <w:right w:val="single" w:sz="4" w:space="0" w:color="000000"/>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6.6</w:t>
            </w:r>
          </w:p>
        </w:tc>
        <w:tc>
          <w:tcPr>
            <w:tcW w:w="426" w:type="pct"/>
            <w:tcBorders>
              <w:top w:val="nil"/>
              <w:left w:val="single" w:sz="4" w:space="0" w:color="000000"/>
              <w:bottom w:val="nil"/>
              <w:right w:val="single" w:sz="4" w:space="0" w:color="000000"/>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4</w:t>
            </w:r>
          </w:p>
        </w:tc>
      </w:tr>
      <w:tr w:rsidR="003D0E01" w:rsidRPr="00F31150" w:rsidTr="003D0E01">
        <w:tc>
          <w:tcPr>
            <w:tcW w:w="2439" w:type="pct"/>
            <w:tcBorders>
              <w:top w:val="nil"/>
              <w:left w:val="single" w:sz="4" w:space="0" w:color="000000"/>
              <w:bottom w:val="nil"/>
              <w:right w:val="nil"/>
            </w:tcBorders>
            <w:noWrap/>
            <w:vAlign w:val="bottom"/>
          </w:tcPr>
          <w:p w:rsidR="003D0E01" w:rsidRPr="00340CAB" w:rsidRDefault="003D0E01" w:rsidP="003D0E01">
            <w:pPr>
              <w:keepNext/>
              <w:spacing w:after="0" w:line="240" w:lineRule="auto"/>
              <w:jc w:val="left"/>
              <w:rPr>
                <w:color w:val="000000"/>
                <w:sz w:val="16"/>
                <w:szCs w:val="16"/>
                <w:lang w:eastAsia="it-IT"/>
              </w:rPr>
            </w:pPr>
            <w:r w:rsidRPr="0054221F">
              <w:rPr>
                <w:color w:val="000000"/>
                <w:sz w:val="16"/>
                <w:szCs w:val="16"/>
                <w:lang w:eastAsia="it-IT"/>
              </w:rPr>
              <w:t>17.Access to quality education and training</w:t>
            </w:r>
          </w:p>
        </w:tc>
        <w:tc>
          <w:tcPr>
            <w:tcW w:w="427" w:type="pct"/>
            <w:tcBorders>
              <w:top w:val="nil"/>
              <w:left w:val="nil"/>
              <w:bottom w:val="nil"/>
              <w:right w:val="nil"/>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8,005</w:t>
            </w:r>
          </w:p>
        </w:tc>
        <w:tc>
          <w:tcPr>
            <w:tcW w:w="427" w:type="pct"/>
            <w:tcBorders>
              <w:top w:val="nil"/>
              <w:left w:val="nil"/>
              <w:bottom w:val="nil"/>
              <w:right w:val="nil"/>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10,052</w:t>
            </w:r>
          </w:p>
        </w:tc>
        <w:tc>
          <w:tcPr>
            <w:tcW w:w="427" w:type="pct"/>
            <w:tcBorders>
              <w:top w:val="nil"/>
              <w:left w:val="nil"/>
              <w:bottom w:val="nil"/>
              <w:right w:val="single" w:sz="4" w:space="0" w:color="000000"/>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10,679</w:t>
            </w:r>
          </w:p>
        </w:tc>
        <w:tc>
          <w:tcPr>
            <w:tcW w:w="427" w:type="pct"/>
            <w:tcBorders>
              <w:top w:val="nil"/>
              <w:left w:val="single" w:sz="4" w:space="0" w:color="000000"/>
              <w:bottom w:val="nil"/>
              <w:right w:val="nil"/>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79.6</w:t>
            </w:r>
          </w:p>
        </w:tc>
        <w:tc>
          <w:tcPr>
            <w:tcW w:w="427" w:type="pct"/>
            <w:tcBorders>
              <w:top w:val="nil"/>
              <w:left w:val="nil"/>
              <w:bottom w:val="nil"/>
              <w:right w:val="single" w:sz="4" w:space="0" w:color="000000"/>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75.0</w:t>
            </w:r>
          </w:p>
        </w:tc>
        <w:tc>
          <w:tcPr>
            <w:tcW w:w="426" w:type="pct"/>
            <w:tcBorders>
              <w:top w:val="nil"/>
              <w:left w:val="single" w:sz="4" w:space="0" w:color="000000"/>
              <w:bottom w:val="nil"/>
              <w:right w:val="single" w:sz="4" w:space="0" w:color="000000"/>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15</w:t>
            </w:r>
          </w:p>
        </w:tc>
      </w:tr>
      <w:tr w:rsidR="003D0E01" w:rsidRPr="00F31150" w:rsidTr="003D0E01">
        <w:tc>
          <w:tcPr>
            <w:tcW w:w="2439" w:type="pct"/>
            <w:tcBorders>
              <w:top w:val="nil"/>
              <w:left w:val="single" w:sz="4" w:space="0" w:color="000000"/>
              <w:bottom w:val="nil"/>
              <w:right w:val="nil"/>
            </w:tcBorders>
            <w:noWrap/>
            <w:vAlign w:val="bottom"/>
          </w:tcPr>
          <w:p w:rsidR="003D0E01" w:rsidRPr="00340CAB" w:rsidRDefault="003D0E01" w:rsidP="003D0E01">
            <w:pPr>
              <w:keepNext/>
              <w:spacing w:after="0" w:line="240" w:lineRule="auto"/>
              <w:jc w:val="left"/>
              <w:rPr>
                <w:color w:val="000000"/>
                <w:sz w:val="16"/>
                <w:szCs w:val="16"/>
                <w:lang w:eastAsia="it-IT"/>
              </w:rPr>
            </w:pPr>
            <w:r w:rsidRPr="0054221F">
              <w:rPr>
                <w:color w:val="000000"/>
                <w:sz w:val="16"/>
                <w:szCs w:val="16"/>
                <w:lang w:eastAsia="it-IT"/>
              </w:rPr>
              <w:t>18.Reducing and preventing early school leaving</w:t>
            </w:r>
          </w:p>
        </w:tc>
        <w:tc>
          <w:tcPr>
            <w:tcW w:w="427" w:type="pct"/>
            <w:tcBorders>
              <w:top w:val="nil"/>
              <w:left w:val="nil"/>
              <w:bottom w:val="nil"/>
              <w:right w:val="nil"/>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4,347</w:t>
            </w:r>
          </w:p>
        </w:tc>
        <w:tc>
          <w:tcPr>
            <w:tcW w:w="427" w:type="pct"/>
            <w:tcBorders>
              <w:top w:val="nil"/>
              <w:left w:val="nil"/>
              <w:bottom w:val="nil"/>
              <w:right w:val="nil"/>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4,504</w:t>
            </w:r>
          </w:p>
        </w:tc>
        <w:tc>
          <w:tcPr>
            <w:tcW w:w="427" w:type="pct"/>
            <w:tcBorders>
              <w:top w:val="nil"/>
              <w:left w:val="nil"/>
              <w:bottom w:val="nil"/>
              <w:right w:val="single" w:sz="4" w:space="0" w:color="000000"/>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7,558</w:t>
            </w:r>
          </w:p>
        </w:tc>
        <w:tc>
          <w:tcPr>
            <w:tcW w:w="427" w:type="pct"/>
            <w:tcBorders>
              <w:top w:val="nil"/>
              <w:left w:val="single" w:sz="4" w:space="0" w:color="000000"/>
              <w:bottom w:val="nil"/>
              <w:right w:val="nil"/>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96.5</w:t>
            </w:r>
          </w:p>
        </w:tc>
        <w:tc>
          <w:tcPr>
            <w:tcW w:w="427" w:type="pct"/>
            <w:tcBorders>
              <w:top w:val="nil"/>
              <w:left w:val="nil"/>
              <w:bottom w:val="nil"/>
              <w:right w:val="single" w:sz="4" w:space="0" w:color="000000"/>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57.5</w:t>
            </w:r>
          </w:p>
        </w:tc>
        <w:tc>
          <w:tcPr>
            <w:tcW w:w="426" w:type="pct"/>
            <w:tcBorders>
              <w:top w:val="nil"/>
              <w:left w:val="single" w:sz="4" w:space="0" w:color="000000"/>
              <w:bottom w:val="nil"/>
              <w:right w:val="single" w:sz="4" w:space="0" w:color="000000"/>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11</w:t>
            </w:r>
          </w:p>
        </w:tc>
      </w:tr>
      <w:tr w:rsidR="003D0E01" w:rsidRPr="00F31150" w:rsidTr="003D0E01">
        <w:tc>
          <w:tcPr>
            <w:tcW w:w="2439" w:type="pct"/>
            <w:tcBorders>
              <w:top w:val="nil"/>
              <w:left w:val="single" w:sz="4" w:space="0" w:color="000000"/>
              <w:bottom w:val="nil"/>
              <w:right w:val="nil"/>
            </w:tcBorders>
            <w:noWrap/>
            <w:vAlign w:val="bottom"/>
          </w:tcPr>
          <w:p w:rsidR="003D0E01" w:rsidRPr="00340CAB" w:rsidRDefault="003D0E01" w:rsidP="003D0E01">
            <w:pPr>
              <w:keepNext/>
              <w:spacing w:after="0" w:line="240" w:lineRule="auto"/>
              <w:jc w:val="left"/>
              <w:rPr>
                <w:color w:val="000000"/>
                <w:sz w:val="16"/>
                <w:szCs w:val="16"/>
                <w:lang w:eastAsia="it-IT"/>
              </w:rPr>
            </w:pPr>
            <w:r w:rsidRPr="0054221F">
              <w:rPr>
                <w:color w:val="000000"/>
                <w:sz w:val="16"/>
                <w:szCs w:val="16"/>
                <w:lang w:eastAsia="it-IT"/>
              </w:rPr>
              <w:t>19.Improving life-long learning for all age groups</w:t>
            </w:r>
          </w:p>
        </w:tc>
        <w:tc>
          <w:tcPr>
            <w:tcW w:w="427" w:type="pct"/>
            <w:tcBorders>
              <w:top w:val="nil"/>
              <w:left w:val="nil"/>
              <w:bottom w:val="nil"/>
              <w:right w:val="nil"/>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2,940</w:t>
            </w:r>
          </w:p>
        </w:tc>
        <w:tc>
          <w:tcPr>
            <w:tcW w:w="427" w:type="pct"/>
            <w:tcBorders>
              <w:top w:val="nil"/>
              <w:left w:val="nil"/>
              <w:bottom w:val="nil"/>
              <w:right w:val="nil"/>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3,131</w:t>
            </w:r>
          </w:p>
        </w:tc>
        <w:tc>
          <w:tcPr>
            <w:tcW w:w="427" w:type="pct"/>
            <w:tcBorders>
              <w:top w:val="nil"/>
              <w:left w:val="nil"/>
              <w:bottom w:val="nil"/>
              <w:right w:val="single" w:sz="4" w:space="0" w:color="000000"/>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5,611</w:t>
            </w:r>
          </w:p>
        </w:tc>
        <w:tc>
          <w:tcPr>
            <w:tcW w:w="427" w:type="pct"/>
            <w:tcBorders>
              <w:top w:val="nil"/>
              <w:left w:val="single" w:sz="4" w:space="0" w:color="000000"/>
              <w:bottom w:val="nil"/>
              <w:right w:val="nil"/>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93.9</w:t>
            </w:r>
          </w:p>
        </w:tc>
        <w:tc>
          <w:tcPr>
            <w:tcW w:w="427" w:type="pct"/>
            <w:tcBorders>
              <w:top w:val="nil"/>
              <w:left w:val="nil"/>
              <w:bottom w:val="nil"/>
              <w:right w:val="single" w:sz="4" w:space="0" w:color="000000"/>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52.4</w:t>
            </w:r>
          </w:p>
        </w:tc>
        <w:tc>
          <w:tcPr>
            <w:tcW w:w="426" w:type="pct"/>
            <w:tcBorders>
              <w:top w:val="nil"/>
              <w:left w:val="single" w:sz="4" w:space="0" w:color="000000"/>
              <w:bottom w:val="nil"/>
              <w:right w:val="single" w:sz="4" w:space="0" w:color="000000"/>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8</w:t>
            </w:r>
          </w:p>
        </w:tc>
      </w:tr>
      <w:tr w:rsidR="003D0E01" w:rsidRPr="00F31150" w:rsidTr="003D0E01">
        <w:tc>
          <w:tcPr>
            <w:tcW w:w="2439" w:type="pct"/>
            <w:tcBorders>
              <w:top w:val="nil"/>
              <w:left w:val="single" w:sz="4" w:space="0" w:color="000000"/>
              <w:bottom w:val="nil"/>
              <w:right w:val="nil"/>
            </w:tcBorders>
            <w:noWrap/>
            <w:vAlign w:val="bottom"/>
          </w:tcPr>
          <w:p w:rsidR="003D0E01" w:rsidRPr="00340CAB" w:rsidRDefault="003D0E01" w:rsidP="003D0E01">
            <w:pPr>
              <w:keepNext/>
              <w:spacing w:after="0" w:line="240" w:lineRule="auto"/>
              <w:jc w:val="left"/>
              <w:rPr>
                <w:color w:val="000000"/>
                <w:sz w:val="16"/>
                <w:szCs w:val="16"/>
                <w:lang w:eastAsia="it-IT"/>
              </w:rPr>
            </w:pPr>
            <w:r w:rsidRPr="0054221F">
              <w:rPr>
                <w:color w:val="000000"/>
                <w:sz w:val="16"/>
                <w:szCs w:val="16"/>
                <w:lang w:eastAsia="it-IT"/>
              </w:rPr>
              <w:t xml:space="preserve">20.Improving the LM relevance of education </w:t>
            </w:r>
          </w:p>
        </w:tc>
        <w:tc>
          <w:tcPr>
            <w:tcW w:w="427" w:type="pct"/>
            <w:tcBorders>
              <w:top w:val="nil"/>
              <w:left w:val="nil"/>
              <w:bottom w:val="nil"/>
              <w:right w:val="nil"/>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4,923</w:t>
            </w:r>
          </w:p>
        </w:tc>
        <w:tc>
          <w:tcPr>
            <w:tcW w:w="427" w:type="pct"/>
            <w:tcBorders>
              <w:top w:val="nil"/>
              <w:left w:val="nil"/>
              <w:bottom w:val="nil"/>
              <w:right w:val="nil"/>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5,519</w:t>
            </w:r>
          </w:p>
        </w:tc>
        <w:tc>
          <w:tcPr>
            <w:tcW w:w="427" w:type="pct"/>
            <w:tcBorders>
              <w:top w:val="nil"/>
              <w:left w:val="nil"/>
              <w:bottom w:val="nil"/>
              <w:right w:val="single" w:sz="4" w:space="0" w:color="000000"/>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7,133</w:t>
            </w:r>
          </w:p>
        </w:tc>
        <w:tc>
          <w:tcPr>
            <w:tcW w:w="427" w:type="pct"/>
            <w:tcBorders>
              <w:top w:val="nil"/>
              <w:left w:val="single" w:sz="4" w:space="0" w:color="000000"/>
              <w:bottom w:val="nil"/>
              <w:right w:val="nil"/>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89.2</w:t>
            </w:r>
          </w:p>
        </w:tc>
        <w:tc>
          <w:tcPr>
            <w:tcW w:w="427" w:type="pct"/>
            <w:tcBorders>
              <w:top w:val="nil"/>
              <w:left w:val="nil"/>
              <w:bottom w:val="nil"/>
              <w:right w:val="single" w:sz="4" w:space="0" w:color="000000"/>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69.0</w:t>
            </w:r>
          </w:p>
        </w:tc>
        <w:tc>
          <w:tcPr>
            <w:tcW w:w="426" w:type="pct"/>
            <w:tcBorders>
              <w:top w:val="nil"/>
              <w:left w:val="single" w:sz="4" w:space="0" w:color="000000"/>
              <w:bottom w:val="nil"/>
              <w:right w:val="single" w:sz="4" w:space="0" w:color="000000"/>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17</w:t>
            </w:r>
          </w:p>
        </w:tc>
      </w:tr>
      <w:tr w:rsidR="003D0E01" w:rsidRPr="00F31150" w:rsidTr="003D0E01">
        <w:tc>
          <w:tcPr>
            <w:tcW w:w="2439" w:type="pct"/>
            <w:tcBorders>
              <w:top w:val="nil"/>
              <w:left w:val="single" w:sz="4" w:space="0" w:color="000000"/>
              <w:bottom w:val="nil"/>
              <w:right w:val="nil"/>
            </w:tcBorders>
            <w:noWrap/>
            <w:vAlign w:val="bottom"/>
          </w:tcPr>
          <w:p w:rsidR="003D0E01" w:rsidRPr="00763A37" w:rsidRDefault="003D0E01" w:rsidP="003D0E01">
            <w:pPr>
              <w:keepNext/>
              <w:spacing w:after="0" w:line="240" w:lineRule="auto"/>
              <w:jc w:val="left"/>
              <w:rPr>
                <w:color w:val="000000"/>
                <w:sz w:val="16"/>
                <w:szCs w:val="16"/>
                <w:lang w:val="it-IT" w:eastAsia="it-IT"/>
              </w:rPr>
            </w:pPr>
            <w:r w:rsidRPr="00763A37">
              <w:rPr>
                <w:color w:val="000000"/>
                <w:sz w:val="16"/>
                <w:szCs w:val="16"/>
                <w:lang w:val="it-IT" w:eastAsia="it-IT"/>
              </w:rPr>
              <w:t xml:space="preserve">21.Institutional </w:t>
            </w:r>
            <w:proofErr w:type="spellStart"/>
            <w:r w:rsidRPr="00763A37">
              <w:rPr>
                <w:color w:val="000000"/>
                <w:sz w:val="16"/>
                <w:szCs w:val="16"/>
                <w:lang w:val="it-IT" w:eastAsia="it-IT"/>
              </w:rPr>
              <w:t>capacity</w:t>
            </w:r>
            <w:proofErr w:type="spellEnd"/>
            <w:r w:rsidRPr="00763A37">
              <w:rPr>
                <w:color w:val="000000"/>
                <w:sz w:val="16"/>
                <w:szCs w:val="16"/>
                <w:lang w:val="it-IT" w:eastAsia="it-IT"/>
              </w:rPr>
              <w:t xml:space="preserve">, public </w:t>
            </w:r>
            <w:proofErr w:type="spellStart"/>
            <w:r w:rsidRPr="00763A37">
              <w:rPr>
                <w:color w:val="000000"/>
                <w:sz w:val="16"/>
                <w:szCs w:val="16"/>
                <w:lang w:val="it-IT" w:eastAsia="it-IT"/>
              </w:rPr>
              <w:t>administration</w:t>
            </w:r>
            <w:proofErr w:type="spellEnd"/>
          </w:p>
        </w:tc>
        <w:tc>
          <w:tcPr>
            <w:tcW w:w="427" w:type="pct"/>
            <w:tcBorders>
              <w:top w:val="nil"/>
              <w:left w:val="nil"/>
              <w:bottom w:val="nil"/>
              <w:right w:val="nil"/>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12,408</w:t>
            </w:r>
          </w:p>
        </w:tc>
        <w:tc>
          <w:tcPr>
            <w:tcW w:w="427" w:type="pct"/>
            <w:tcBorders>
              <w:top w:val="nil"/>
              <w:left w:val="nil"/>
              <w:bottom w:val="nil"/>
              <w:right w:val="nil"/>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17,368</w:t>
            </w:r>
          </w:p>
        </w:tc>
        <w:tc>
          <w:tcPr>
            <w:tcW w:w="427" w:type="pct"/>
            <w:tcBorders>
              <w:top w:val="nil"/>
              <w:left w:val="nil"/>
              <w:bottom w:val="nil"/>
              <w:right w:val="single" w:sz="4" w:space="0" w:color="000000"/>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17,969</w:t>
            </w:r>
          </w:p>
        </w:tc>
        <w:tc>
          <w:tcPr>
            <w:tcW w:w="427" w:type="pct"/>
            <w:tcBorders>
              <w:top w:val="nil"/>
              <w:left w:val="single" w:sz="4" w:space="0" w:color="000000"/>
              <w:bottom w:val="nil"/>
              <w:right w:val="nil"/>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71.4</w:t>
            </w:r>
          </w:p>
        </w:tc>
        <w:tc>
          <w:tcPr>
            <w:tcW w:w="427" w:type="pct"/>
            <w:tcBorders>
              <w:top w:val="nil"/>
              <w:left w:val="nil"/>
              <w:bottom w:val="nil"/>
              <w:right w:val="single" w:sz="4" w:space="0" w:color="000000"/>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69.1</w:t>
            </w:r>
          </w:p>
        </w:tc>
        <w:tc>
          <w:tcPr>
            <w:tcW w:w="426" w:type="pct"/>
            <w:tcBorders>
              <w:top w:val="nil"/>
              <w:left w:val="single" w:sz="4" w:space="0" w:color="000000"/>
              <w:bottom w:val="nil"/>
              <w:right w:val="single" w:sz="4" w:space="0" w:color="000000"/>
            </w:tcBorders>
            <w:noWrap/>
            <w:vAlign w:val="bottom"/>
          </w:tcPr>
          <w:p w:rsidR="003D0E01" w:rsidRPr="00763A37" w:rsidRDefault="003D0E01" w:rsidP="003D0E01">
            <w:pPr>
              <w:keepNext/>
              <w:spacing w:after="0" w:line="240" w:lineRule="auto"/>
              <w:jc w:val="right"/>
              <w:rPr>
                <w:color w:val="000000"/>
                <w:sz w:val="16"/>
                <w:szCs w:val="16"/>
                <w:lang w:val="it-IT" w:eastAsia="it-IT"/>
              </w:rPr>
            </w:pPr>
            <w:r w:rsidRPr="00763A37">
              <w:rPr>
                <w:color w:val="000000"/>
                <w:sz w:val="16"/>
                <w:szCs w:val="16"/>
                <w:lang w:val="it-IT" w:eastAsia="it-IT"/>
              </w:rPr>
              <w:t>20</w:t>
            </w:r>
          </w:p>
        </w:tc>
      </w:tr>
      <w:tr w:rsidR="003D0E01" w:rsidRPr="00F31150" w:rsidTr="003D0E01">
        <w:tc>
          <w:tcPr>
            <w:tcW w:w="2439" w:type="pct"/>
            <w:tcBorders>
              <w:top w:val="nil"/>
              <w:left w:val="single" w:sz="4" w:space="0" w:color="000000"/>
              <w:bottom w:val="single" w:sz="4" w:space="0" w:color="000000"/>
              <w:right w:val="nil"/>
            </w:tcBorders>
            <w:noWrap/>
            <w:vAlign w:val="bottom"/>
          </w:tcPr>
          <w:p w:rsidR="003D0E01" w:rsidRPr="00886F75" w:rsidRDefault="003D0E01" w:rsidP="003D0E01">
            <w:pPr>
              <w:keepNext/>
              <w:spacing w:after="0" w:line="240" w:lineRule="auto"/>
              <w:jc w:val="left"/>
              <w:rPr>
                <w:b/>
                <w:bCs/>
                <w:color w:val="000000"/>
                <w:sz w:val="16"/>
                <w:szCs w:val="16"/>
                <w:lang w:val="it-IT" w:eastAsia="it-IT"/>
              </w:rPr>
            </w:pPr>
            <w:r w:rsidRPr="00886F75">
              <w:rPr>
                <w:b/>
                <w:bCs/>
                <w:color w:val="000000"/>
                <w:sz w:val="16"/>
                <w:szCs w:val="16"/>
                <w:lang w:val="it-IT" w:eastAsia="it-IT"/>
              </w:rPr>
              <w:t>Total</w:t>
            </w:r>
          </w:p>
        </w:tc>
        <w:tc>
          <w:tcPr>
            <w:tcW w:w="427" w:type="pct"/>
            <w:tcBorders>
              <w:top w:val="nil"/>
              <w:left w:val="nil"/>
              <w:bottom w:val="single" w:sz="4" w:space="0" w:color="000000"/>
              <w:right w:val="nil"/>
            </w:tcBorders>
            <w:noWrap/>
            <w:vAlign w:val="bottom"/>
          </w:tcPr>
          <w:p w:rsidR="003D0E01" w:rsidRPr="00886F75" w:rsidRDefault="003D0E01" w:rsidP="003D0E01">
            <w:pPr>
              <w:keepNext/>
              <w:spacing w:after="0" w:line="240" w:lineRule="auto"/>
              <w:jc w:val="right"/>
              <w:rPr>
                <w:b/>
                <w:bCs/>
                <w:color w:val="000000"/>
                <w:sz w:val="16"/>
                <w:szCs w:val="16"/>
                <w:lang w:val="it-IT" w:eastAsia="it-IT"/>
              </w:rPr>
            </w:pPr>
            <w:r w:rsidRPr="00886F75">
              <w:rPr>
                <w:b/>
                <w:bCs/>
                <w:color w:val="000000"/>
                <w:sz w:val="16"/>
                <w:szCs w:val="16"/>
                <w:lang w:val="it-IT" w:eastAsia="it-IT"/>
              </w:rPr>
              <w:t>211,343</w:t>
            </w:r>
          </w:p>
        </w:tc>
        <w:tc>
          <w:tcPr>
            <w:tcW w:w="427" w:type="pct"/>
            <w:tcBorders>
              <w:top w:val="nil"/>
              <w:left w:val="nil"/>
              <w:bottom w:val="single" w:sz="4" w:space="0" w:color="000000"/>
              <w:right w:val="nil"/>
            </w:tcBorders>
            <w:noWrap/>
            <w:vAlign w:val="bottom"/>
          </w:tcPr>
          <w:p w:rsidR="003D0E01" w:rsidRPr="00886F75" w:rsidRDefault="003D0E01" w:rsidP="003D0E01">
            <w:pPr>
              <w:keepNext/>
              <w:spacing w:after="0" w:line="240" w:lineRule="auto"/>
              <w:jc w:val="right"/>
              <w:rPr>
                <w:b/>
                <w:bCs/>
                <w:color w:val="000000"/>
                <w:sz w:val="16"/>
                <w:szCs w:val="16"/>
                <w:lang w:val="it-IT" w:eastAsia="it-IT"/>
              </w:rPr>
            </w:pPr>
            <w:r w:rsidRPr="00886F75">
              <w:rPr>
                <w:b/>
                <w:bCs/>
                <w:color w:val="000000"/>
                <w:sz w:val="16"/>
                <w:szCs w:val="16"/>
                <w:lang w:val="it-IT" w:eastAsia="it-IT"/>
              </w:rPr>
              <w:t>243,152</w:t>
            </w:r>
          </w:p>
        </w:tc>
        <w:tc>
          <w:tcPr>
            <w:tcW w:w="427" w:type="pct"/>
            <w:tcBorders>
              <w:top w:val="nil"/>
              <w:left w:val="nil"/>
              <w:bottom w:val="single" w:sz="4" w:space="0" w:color="000000"/>
              <w:right w:val="single" w:sz="4" w:space="0" w:color="000000"/>
            </w:tcBorders>
            <w:noWrap/>
            <w:vAlign w:val="bottom"/>
          </w:tcPr>
          <w:p w:rsidR="003D0E01" w:rsidRPr="00886F75" w:rsidRDefault="003D0E01" w:rsidP="003D0E01">
            <w:pPr>
              <w:keepNext/>
              <w:spacing w:after="0" w:line="240" w:lineRule="auto"/>
              <w:jc w:val="right"/>
              <w:rPr>
                <w:b/>
                <w:bCs/>
                <w:color w:val="000000"/>
                <w:sz w:val="16"/>
                <w:szCs w:val="16"/>
                <w:lang w:val="it-IT" w:eastAsia="it-IT"/>
              </w:rPr>
            </w:pPr>
            <w:r w:rsidRPr="00886F75">
              <w:rPr>
                <w:b/>
                <w:bCs/>
                <w:color w:val="000000"/>
                <w:sz w:val="16"/>
                <w:szCs w:val="16"/>
                <w:lang w:val="it-IT" w:eastAsia="it-IT"/>
              </w:rPr>
              <w:t>297,687</w:t>
            </w:r>
          </w:p>
        </w:tc>
        <w:tc>
          <w:tcPr>
            <w:tcW w:w="427" w:type="pct"/>
            <w:tcBorders>
              <w:top w:val="nil"/>
              <w:left w:val="single" w:sz="4" w:space="0" w:color="000000"/>
              <w:bottom w:val="single" w:sz="4" w:space="0" w:color="000000"/>
              <w:right w:val="nil"/>
            </w:tcBorders>
            <w:noWrap/>
            <w:vAlign w:val="bottom"/>
          </w:tcPr>
          <w:p w:rsidR="003D0E01" w:rsidRPr="00886F75" w:rsidRDefault="003D0E01" w:rsidP="003D0E01">
            <w:pPr>
              <w:keepNext/>
              <w:spacing w:after="0" w:line="240" w:lineRule="auto"/>
              <w:jc w:val="right"/>
              <w:rPr>
                <w:b/>
                <w:bCs/>
                <w:color w:val="000000"/>
                <w:sz w:val="16"/>
                <w:szCs w:val="16"/>
                <w:lang w:val="it-IT" w:eastAsia="it-IT"/>
              </w:rPr>
            </w:pPr>
            <w:r w:rsidRPr="00886F75">
              <w:rPr>
                <w:b/>
                <w:bCs/>
                <w:color w:val="000000"/>
                <w:sz w:val="16"/>
                <w:szCs w:val="16"/>
                <w:lang w:val="it-IT" w:eastAsia="it-IT"/>
              </w:rPr>
              <w:t>86.9</w:t>
            </w:r>
          </w:p>
        </w:tc>
        <w:tc>
          <w:tcPr>
            <w:tcW w:w="427" w:type="pct"/>
            <w:tcBorders>
              <w:top w:val="nil"/>
              <w:left w:val="nil"/>
              <w:bottom w:val="single" w:sz="4" w:space="0" w:color="000000"/>
              <w:right w:val="single" w:sz="4" w:space="0" w:color="000000"/>
            </w:tcBorders>
            <w:noWrap/>
            <w:vAlign w:val="bottom"/>
          </w:tcPr>
          <w:p w:rsidR="003D0E01" w:rsidRPr="00886F75" w:rsidRDefault="003D0E01" w:rsidP="003D0E01">
            <w:pPr>
              <w:keepNext/>
              <w:spacing w:after="0" w:line="240" w:lineRule="auto"/>
              <w:jc w:val="right"/>
              <w:rPr>
                <w:b/>
                <w:bCs/>
                <w:color w:val="000000"/>
                <w:sz w:val="16"/>
                <w:szCs w:val="16"/>
                <w:lang w:val="it-IT" w:eastAsia="it-IT"/>
              </w:rPr>
            </w:pPr>
            <w:r w:rsidRPr="00886F75">
              <w:rPr>
                <w:b/>
                <w:bCs/>
                <w:color w:val="000000"/>
                <w:sz w:val="16"/>
                <w:szCs w:val="16"/>
                <w:lang w:val="it-IT" w:eastAsia="it-IT"/>
              </w:rPr>
              <w:t>71.0</w:t>
            </w:r>
          </w:p>
        </w:tc>
        <w:tc>
          <w:tcPr>
            <w:tcW w:w="426" w:type="pct"/>
            <w:tcBorders>
              <w:top w:val="nil"/>
              <w:left w:val="single" w:sz="4" w:space="0" w:color="000000"/>
              <w:bottom w:val="single" w:sz="4" w:space="0" w:color="000000"/>
              <w:right w:val="single" w:sz="4" w:space="0" w:color="000000"/>
            </w:tcBorders>
            <w:noWrap/>
            <w:vAlign w:val="bottom"/>
          </w:tcPr>
          <w:p w:rsidR="003D0E01" w:rsidRPr="00886F75" w:rsidRDefault="003D0E01" w:rsidP="003D0E01">
            <w:pPr>
              <w:keepNext/>
              <w:spacing w:after="0" w:line="240" w:lineRule="auto"/>
              <w:jc w:val="right"/>
              <w:rPr>
                <w:b/>
                <w:bCs/>
                <w:color w:val="000000"/>
                <w:sz w:val="16"/>
                <w:szCs w:val="16"/>
                <w:lang w:val="it-IT" w:eastAsia="it-IT"/>
              </w:rPr>
            </w:pPr>
            <w:r w:rsidRPr="00886F75">
              <w:rPr>
                <w:b/>
                <w:bCs/>
                <w:color w:val="000000"/>
                <w:sz w:val="16"/>
                <w:szCs w:val="16"/>
                <w:lang w:val="it-IT" w:eastAsia="it-IT"/>
              </w:rPr>
              <w:t> </w:t>
            </w:r>
          </w:p>
        </w:tc>
      </w:tr>
    </w:tbl>
    <w:p w:rsidR="003D0E01" w:rsidRPr="00A74BA2" w:rsidRDefault="003D0E01" w:rsidP="003D0E01">
      <w:pPr>
        <w:keepNext/>
        <w:spacing w:after="0" w:line="240" w:lineRule="auto"/>
        <w:rPr>
          <w:sz w:val="16"/>
          <w:szCs w:val="16"/>
        </w:rPr>
      </w:pPr>
      <w:r>
        <w:rPr>
          <w:sz w:val="16"/>
          <w:szCs w:val="16"/>
        </w:rPr>
        <w:t>*</w:t>
      </w:r>
      <w:r w:rsidRPr="00A74BA2">
        <w:rPr>
          <w:sz w:val="16"/>
          <w:szCs w:val="16"/>
        </w:rPr>
        <w:t xml:space="preserve">Note: </w:t>
      </w:r>
      <w:r>
        <w:rPr>
          <w:sz w:val="16"/>
          <w:szCs w:val="16"/>
        </w:rPr>
        <w:t xml:space="preserve">For IE and UK data are still provisional. </w:t>
      </w:r>
      <w:r w:rsidRPr="00A74BA2">
        <w:rPr>
          <w:sz w:val="16"/>
          <w:szCs w:val="16"/>
        </w:rPr>
        <w:t>CY, GR, HR, LU, FR</w:t>
      </w:r>
      <w:r>
        <w:rPr>
          <w:sz w:val="16"/>
          <w:szCs w:val="16"/>
        </w:rPr>
        <w:t>, LV</w:t>
      </w:r>
      <w:r w:rsidRPr="00A74BA2">
        <w:rPr>
          <w:sz w:val="16"/>
          <w:szCs w:val="16"/>
        </w:rPr>
        <w:t xml:space="preserve"> </w:t>
      </w:r>
      <w:r>
        <w:rPr>
          <w:sz w:val="16"/>
          <w:szCs w:val="16"/>
        </w:rPr>
        <w:t xml:space="preserve">are </w:t>
      </w:r>
      <w:r w:rsidRPr="00A74BA2">
        <w:rPr>
          <w:sz w:val="16"/>
          <w:szCs w:val="16"/>
        </w:rPr>
        <w:t>missing</w:t>
      </w:r>
      <w:r>
        <w:rPr>
          <w:sz w:val="16"/>
          <w:szCs w:val="16"/>
        </w:rPr>
        <w:t xml:space="preserve"> because data have not yet been processed. </w:t>
      </w:r>
    </w:p>
    <w:p w:rsidR="003D0E01" w:rsidRDefault="003D0E01" w:rsidP="003D0E01">
      <w:pPr>
        <w:keepNext/>
        <w:spacing w:after="0" w:line="240" w:lineRule="auto"/>
        <w:rPr>
          <w:sz w:val="16"/>
          <w:szCs w:val="16"/>
        </w:rPr>
      </w:pPr>
    </w:p>
    <w:p w:rsidR="003D0E01" w:rsidRDefault="003D0E01" w:rsidP="003D0E01">
      <w:pPr>
        <w:keepNext/>
        <w:spacing w:after="0" w:line="240" w:lineRule="auto"/>
        <w:rPr>
          <w:sz w:val="16"/>
          <w:szCs w:val="16"/>
        </w:rPr>
      </w:pPr>
      <w:r w:rsidRPr="00A74BA2">
        <w:rPr>
          <w:sz w:val="16"/>
          <w:szCs w:val="16"/>
        </w:rPr>
        <w:t xml:space="preserve">Source: </w:t>
      </w:r>
      <w:r>
        <w:rPr>
          <w:sz w:val="16"/>
          <w:szCs w:val="16"/>
        </w:rPr>
        <w:t>O</w:t>
      </w:r>
      <w:r w:rsidRPr="00A74BA2">
        <w:rPr>
          <w:sz w:val="16"/>
          <w:szCs w:val="16"/>
        </w:rPr>
        <w:t>wn calculations</w:t>
      </w:r>
      <w:r w:rsidRPr="00D9195B">
        <w:rPr>
          <w:sz w:val="16"/>
          <w:szCs w:val="16"/>
        </w:rPr>
        <w:t xml:space="preserve"> </w:t>
      </w:r>
      <w:r>
        <w:rPr>
          <w:sz w:val="16"/>
          <w:szCs w:val="16"/>
        </w:rPr>
        <w:t xml:space="preserve">on </w:t>
      </w:r>
      <w:r w:rsidRPr="00A74BA2">
        <w:rPr>
          <w:sz w:val="16"/>
          <w:szCs w:val="16"/>
        </w:rPr>
        <w:t>European Commission financial data</w:t>
      </w:r>
    </w:p>
    <w:p w:rsidR="003D0E01" w:rsidRDefault="003D0E01" w:rsidP="003D0E01">
      <w:pPr>
        <w:keepNext/>
        <w:spacing w:after="0" w:line="240" w:lineRule="auto"/>
        <w:rPr>
          <w:sz w:val="16"/>
          <w:szCs w:val="16"/>
        </w:rPr>
        <w:sectPr w:rsidR="003D0E01" w:rsidSect="003D0E01">
          <w:pgSz w:w="16839" w:h="11907" w:orient="landscape" w:code="9"/>
          <w:pgMar w:top="1701" w:right="1418" w:bottom="1418" w:left="851" w:header="567" w:footer="720" w:gutter="0"/>
          <w:cols w:space="720"/>
          <w:docGrid w:linePitch="326"/>
        </w:sectPr>
      </w:pPr>
    </w:p>
    <w:p w:rsidR="003D0E01" w:rsidRDefault="003D0E01" w:rsidP="003D0E01">
      <w:r>
        <w:t xml:space="preserve">There is a clear division of roles </w:t>
      </w:r>
      <w:r w:rsidR="00C451D4">
        <w:t>a</w:t>
      </w:r>
      <w:r w:rsidR="00203D0A">
        <w:t>mong</w:t>
      </w:r>
      <w:r>
        <w:t xml:space="preserve"> </w:t>
      </w:r>
      <w:r w:rsidRPr="009C2A2D">
        <w:t>the ERDF/CF and the ESF/YEI funds</w:t>
      </w:r>
      <w:r>
        <w:t xml:space="preserve"> in supporting the implementation of CSRs</w:t>
      </w:r>
      <w:r w:rsidR="00955272">
        <w:t>/structural challenges</w:t>
      </w:r>
      <w:r>
        <w:t>; in only three policy areas both groups of funds contribute to the implementation of CSRs</w:t>
      </w:r>
      <w:r w:rsidR="00955272">
        <w:t>/structural challenges</w:t>
      </w:r>
      <w:r>
        <w:t>: improving the access to quality education and training, LM relevance of education &amp; training systems</w:t>
      </w:r>
      <w:r w:rsidR="0077530A">
        <w:t>;</w:t>
      </w:r>
      <w:r>
        <w:t xml:space="preserve"> and institutional capacity.</w:t>
      </w:r>
    </w:p>
    <w:p w:rsidR="003D0E01" w:rsidRDefault="003D0E01" w:rsidP="003D0E01">
      <w:r w:rsidRPr="00D9195B">
        <w:t xml:space="preserve">RTDI, Business Environment, Digital Infrastructures, Energy, Environmental protection, </w:t>
      </w:r>
      <w:r>
        <w:t xml:space="preserve">Resources efficiency, Transport, Health and long-term care, Housing and other social infrastructure are tackled by ERDF/CF. </w:t>
      </w:r>
    </w:p>
    <w:p w:rsidR="003D0E01" w:rsidRDefault="003D0E01" w:rsidP="003D0E01">
      <w:r>
        <w:t xml:space="preserve">Access to Employment, LM integration of young people, Gender Equality, Integration of marginalized groups, Contrasting discrimination and poverty, Institutional capacity are addressed by ESF-YEI. </w:t>
      </w:r>
    </w:p>
    <w:p w:rsidR="003D0E01" w:rsidRDefault="003D0E01" w:rsidP="003D0E01">
      <w:r>
        <w:t>Overall the level of support is not different between the ERDF and ESF</w:t>
      </w:r>
      <w:r w:rsidR="0077530A">
        <w:t>:</w:t>
      </w:r>
      <w:r>
        <w:t xml:space="preserve"> </w:t>
      </w:r>
      <w:r w:rsidR="0077530A">
        <w:t xml:space="preserve">on average </w:t>
      </w:r>
      <w:r>
        <w:t>86-89% of funds are allocated to support the CSRs</w:t>
      </w:r>
      <w:r w:rsidR="00955272">
        <w:t>/structural challenges</w:t>
      </w:r>
      <w:r>
        <w:t>.</w:t>
      </w:r>
    </w:p>
    <w:p w:rsidR="00917185" w:rsidRDefault="00917185" w:rsidP="003D0E01"/>
    <w:p w:rsidR="003D0E01" w:rsidRDefault="003D0E01" w:rsidP="003D0E01">
      <w:pPr>
        <w:pStyle w:val="Caption"/>
        <w:widowControl w:val="0"/>
      </w:pPr>
      <w:r>
        <w:t xml:space="preserve">Table </w:t>
      </w:r>
      <w:r w:rsidR="00C52F7F">
        <w:fldChar w:fldCharType="begin"/>
      </w:r>
      <w:r w:rsidR="00F62F72">
        <w:instrText xml:space="preserve"> SEQ Table \* ARABIC </w:instrText>
      </w:r>
      <w:r w:rsidR="00C52F7F">
        <w:fldChar w:fldCharType="separate"/>
      </w:r>
      <w:r w:rsidR="00183DCC">
        <w:rPr>
          <w:noProof/>
        </w:rPr>
        <w:t>13</w:t>
      </w:r>
      <w:r w:rsidR="00C52F7F">
        <w:rPr>
          <w:noProof/>
        </w:rPr>
        <w:fldChar w:fldCharType="end"/>
      </w:r>
      <w:r>
        <w:t xml:space="preserve"> – Financial resources allocate to CSRs/structural challenges, by type of fund and policy area (%)</w:t>
      </w:r>
    </w:p>
    <w:tbl>
      <w:tblPr>
        <w:tblW w:w="5000" w:type="pct"/>
        <w:tblBorders>
          <w:top w:val="single" w:sz="4" w:space="0" w:color="000000"/>
          <w:left w:val="single" w:sz="4" w:space="0" w:color="000000"/>
          <w:bottom w:val="single" w:sz="4" w:space="0" w:color="000000"/>
          <w:right w:val="single" w:sz="4" w:space="0" w:color="000000"/>
        </w:tblBorders>
        <w:tblCellMar>
          <w:left w:w="70" w:type="dxa"/>
          <w:right w:w="70" w:type="dxa"/>
        </w:tblCellMar>
        <w:tblLook w:val="00A0" w:firstRow="1" w:lastRow="0" w:firstColumn="1" w:lastColumn="0" w:noHBand="0" w:noVBand="0"/>
      </w:tblPr>
      <w:tblGrid>
        <w:gridCol w:w="6796"/>
        <w:gridCol w:w="1066"/>
        <w:gridCol w:w="1066"/>
      </w:tblGrid>
      <w:tr w:rsidR="003D0E01" w:rsidRPr="00F31150" w:rsidTr="003D0E01">
        <w:tc>
          <w:tcPr>
            <w:tcW w:w="3806" w:type="pct"/>
            <w:tcBorders>
              <w:top w:val="single" w:sz="4" w:space="0" w:color="000000"/>
              <w:bottom w:val="single" w:sz="4" w:space="0" w:color="000000"/>
            </w:tcBorders>
            <w:noWrap/>
            <w:vAlign w:val="bottom"/>
          </w:tcPr>
          <w:p w:rsidR="003D0E01" w:rsidRPr="00340CAB" w:rsidRDefault="003D0E01" w:rsidP="003D0E01">
            <w:pPr>
              <w:widowControl w:val="0"/>
              <w:spacing w:after="0" w:line="240" w:lineRule="auto"/>
              <w:jc w:val="left"/>
              <w:rPr>
                <w:b/>
                <w:color w:val="000000"/>
                <w:sz w:val="16"/>
                <w:szCs w:val="16"/>
                <w:lang w:eastAsia="it-IT"/>
              </w:rPr>
            </w:pPr>
          </w:p>
        </w:tc>
        <w:tc>
          <w:tcPr>
            <w:tcW w:w="597" w:type="pct"/>
            <w:tcBorders>
              <w:top w:val="single" w:sz="4" w:space="0" w:color="000000"/>
              <w:bottom w:val="single" w:sz="4" w:space="0" w:color="000000"/>
            </w:tcBorders>
            <w:noWrap/>
            <w:vAlign w:val="bottom"/>
          </w:tcPr>
          <w:p w:rsidR="003D0E01" w:rsidRPr="00D17F5C" w:rsidRDefault="003D0E01" w:rsidP="003D0E01">
            <w:pPr>
              <w:widowControl w:val="0"/>
              <w:spacing w:after="0" w:line="240" w:lineRule="auto"/>
              <w:jc w:val="right"/>
              <w:rPr>
                <w:b/>
                <w:color w:val="000000"/>
                <w:sz w:val="16"/>
                <w:szCs w:val="16"/>
                <w:lang w:val="it-IT" w:eastAsia="it-IT"/>
              </w:rPr>
            </w:pPr>
            <w:r w:rsidRPr="00D17F5C">
              <w:rPr>
                <w:b/>
                <w:color w:val="000000"/>
                <w:sz w:val="16"/>
                <w:szCs w:val="16"/>
                <w:lang w:val="it-IT" w:eastAsia="it-IT"/>
              </w:rPr>
              <w:t>ERDF-CF</w:t>
            </w:r>
          </w:p>
        </w:tc>
        <w:tc>
          <w:tcPr>
            <w:tcW w:w="597" w:type="pct"/>
            <w:tcBorders>
              <w:top w:val="single" w:sz="4" w:space="0" w:color="000000"/>
              <w:bottom w:val="single" w:sz="4" w:space="0" w:color="000000"/>
            </w:tcBorders>
            <w:noWrap/>
            <w:vAlign w:val="bottom"/>
          </w:tcPr>
          <w:p w:rsidR="003D0E01" w:rsidRPr="00D17F5C" w:rsidRDefault="003D0E01" w:rsidP="003D0E01">
            <w:pPr>
              <w:widowControl w:val="0"/>
              <w:spacing w:after="0" w:line="240" w:lineRule="auto"/>
              <w:jc w:val="right"/>
              <w:rPr>
                <w:b/>
                <w:color w:val="000000"/>
                <w:sz w:val="16"/>
                <w:szCs w:val="16"/>
                <w:lang w:val="it-IT" w:eastAsia="it-IT"/>
              </w:rPr>
            </w:pPr>
            <w:r w:rsidRPr="00D17F5C">
              <w:rPr>
                <w:b/>
                <w:color w:val="000000"/>
                <w:sz w:val="16"/>
                <w:szCs w:val="16"/>
                <w:lang w:val="it-IT" w:eastAsia="it-IT"/>
              </w:rPr>
              <w:t>ESF-YEI</w:t>
            </w:r>
          </w:p>
        </w:tc>
      </w:tr>
      <w:tr w:rsidR="003D0E01" w:rsidRPr="00F31150" w:rsidTr="003D0E01">
        <w:tc>
          <w:tcPr>
            <w:tcW w:w="3806" w:type="pct"/>
            <w:tcBorders>
              <w:top w:val="single" w:sz="4" w:space="0" w:color="000000"/>
            </w:tcBorders>
            <w:noWrap/>
            <w:vAlign w:val="bottom"/>
          </w:tcPr>
          <w:p w:rsidR="003D0E01" w:rsidRPr="00D17F5C" w:rsidRDefault="003D0E01" w:rsidP="003D0E01">
            <w:pPr>
              <w:widowControl w:val="0"/>
              <w:spacing w:after="0" w:line="240" w:lineRule="auto"/>
              <w:jc w:val="left"/>
              <w:rPr>
                <w:color w:val="000000"/>
                <w:sz w:val="16"/>
                <w:szCs w:val="16"/>
                <w:lang w:val="it-IT" w:eastAsia="it-IT"/>
              </w:rPr>
            </w:pPr>
            <w:r w:rsidRPr="00D17F5C">
              <w:rPr>
                <w:color w:val="000000"/>
                <w:sz w:val="16"/>
                <w:szCs w:val="16"/>
                <w:lang w:val="it-IT" w:eastAsia="it-IT"/>
              </w:rPr>
              <w:t>1.RTDI</w:t>
            </w:r>
          </w:p>
        </w:tc>
        <w:tc>
          <w:tcPr>
            <w:tcW w:w="597" w:type="pct"/>
            <w:tcBorders>
              <w:top w:val="single" w:sz="4" w:space="0" w:color="000000"/>
            </w:tcBorders>
            <w:noWrap/>
            <w:vAlign w:val="bottom"/>
          </w:tcPr>
          <w:p w:rsidR="003D0E01" w:rsidRPr="00D17F5C" w:rsidRDefault="003D0E01" w:rsidP="003D0E01">
            <w:pPr>
              <w:widowControl w:val="0"/>
              <w:spacing w:after="0" w:line="240" w:lineRule="auto"/>
              <w:jc w:val="right"/>
              <w:rPr>
                <w:color w:val="000000"/>
                <w:sz w:val="16"/>
                <w:szCs w:val="16"/>
                <w:lang w:val="it-IT" w:eastAsia="it-IT"/>
              </w:rPr>
            </w:pPr>
            <w:r w:rsidRPr="00D17F5C">
              <w:rPr>
                <w:color w:val="000000"/>
                <w:sz w:val="16"/>
                <w:szCs w:val="16"/>
                <w:lang w:val="it-IT" w:eastAsia="it-IT"/>
              </w:rPr>
              <w:t>93.1</w:t>
            </w:r>
          </w:p>
        </w:tc>
        <w:tc>
          <w:tcPr>
            <w:tcW w:w="597" w:type="pct"/>
            <w:tcBorders>
              <w:top w:val="single" w:sz="4" w:space="0" w:color="000000"/>
            </w:tcBorders>
            <w:noWrap/>
            <w:vAlign w:val="bottom"/>
          </w:tcPr>
          <w:p w:rsidR="003D0E01" w:rsidRPr="00D17F5C" w:rsidRDefault="003D0E01" w:rsidP="003D0E01">
            <w:pPr>
              <w:widowControl w:val="0"/>
              <w:spacing w:after="0" w:line="240" w:lineRule="auto"/>
              <w:jc w:val="right"/>
              <w:rPr>
                <w:color w:val="000000"/>
                <w:sz w:val="16"/>
                <w:szCs w:val="16"/>
                <w:lang w:val="it-IT" w:eastAsia="it-IT"/>
              </w:rPr>
            </w:pPr>
          </w:p>
        </w:tc>
      </w:tr>
      <w:tr w:rsidR="003D0E01" w:rsidRPr="00F31150" w:rsidTr="003D0E01">
        <w:tc>
          <w:tcPr>
            <w:tcW w:w="3806" w:type="pct"/>
            <w:noWrap/>
            <w:vAlign w:val="bottom"/>
          </w:tcPr>
          <w:p w:rsidR="003D0E01" w:rsidRPr="00D17F5C" w:rsidRDefault="003D0E01" w:rsidP="003D0E01">
            <w:pPr>
              <w:widowControl w:val="0"/>
              <w:spacing w:after="0" w:line="240" w:lineRule="auto"/>
              <w:jc w:val="left"/>
              <w:rPr>
                <w:color w:val="000000"/>
                <w:sz w:val="16"/>
                <w:szCs w:val="16"/>
                <w:lang w:val="it-IT" w:eastAsia="it-IT"/>
              </w:rPr>
            </w:pPr>
            <w:r w:rsidRPr="00D17F5C">
              <w:rPr>
                <w:color w:val="000000"/>
                <w:sz w:val="16"/>
                <w:szCs w:val="16"/>
                <w:lang w:val="it-IT" w:eastAsia="it-IT"/>
              </w:rPr>
              <w:t>2.Business Environment</w:t>
            </w:r>
          </w:p>
        </w:tc>
        <w:tc>
          <w:tcPr>
            <w:tcW w:w="597" w:type="pct"/>
            <w:noWrap/>
            <w:vAlign w:val="bottom"/>
          </w:tcPr>
          <w:p w:rsidR="003D0E01" w:rsidRPr="00D17F5C" w:rsidRDefault="003D0E01" w:rsidP="003D0E01">
            <w:pPr>
              <w:widowControl w:val="0"/>
              <w:spacing w:after="0" w:line="240" w:lineRule="auto"/>
              <w:jc w:val="right"/>
              <w:rPr>
                <w:color w:val="000000"/>
                <w:sz w:val="16"/>
                <w:szCs w:val="16"/>
                <w:lang w:val="it-IT" w:eastAsia="it-IT"/>
              </w:rPr>
            </w:pPr>
            <w:r w:rsidRPr="00D17F5C">
              <w:rPr>
                <w:color w:val="000000"/>
                <w:sz w:val="16"/>
                <w:szCs w:val="16"/>
                <w:lang w:val="it-IT" w:eastAsia="it-IT"/>
              </w:rPr>
              <w:t>69.5</w:t>
            </w:r>
          </w:p>
        </w:tc>
        <w:tc>
          <w:tcPr>
            <w:tcW w:w="597" w:type="pct"/>
            <w:noWrap/>
            <w:vAlign w:val="bottom"/>
          </w:tcPr>
          <w:p w:rsidR="003D0E01" w:rsidRPr="00D17F5C" w:rsidRDefault="003D0E01" w:rsidP="003D0E01">
            <w:pPr>
              <w:widowControl w:val="0"/>
              <w:spacing w:after="0" w:line="240" w:lineRule="auto"/>
              <w:jc w:val="right"/>
              <w:rPr>
                <w:color w:val="000000"/>
                <w:sz w:val="16"/>
                <w:szCs w:val="16"/>
                <w:lang w:val="it-IT" w:eastAsia="it-IT"/>
              </w:rPr>
            </w:pPr>
          </w:p>
        </w:tc>
      </w:tr>
      <w:tr w:rsidR="003D0E01" w:rsidRPr="00F31150" w:rsidTr="003D0E01">
        <w:tc>
          <w:tcPr>
            <w:tcW w:w="3806" w:type="pct"/>
            <w:noWrap/>
            <w:vAlign w:val="bottom"/>
          </w:tcPr>
          <w:p w:rsidR="003D0E01" w:rsidRPr="00D17F5C" w:rsidRDefault="003D0E01" w:rsidP="003D0E01">
            <w:pPr>
              <w:widowControl w:val="0"/>
              <w:spacing w:after="0" w:line="240" w:lineRule="auto"/>
              <w:jc w:val="left"/>
              <w:rPr>
                <w:color w:val="000000"/>
                <w:sz w:val="16"/>
                <w:szCs w:val="16"/>
                <w:lang w:val="it-IT" w:eastAsia="it-IT"/>
              </w:rPr>
            </w:pPr>
            <w:r w:rsidRPr="00D17F5C">
              <w:rPr>
                <w:color w:val="000000"/>
                <w:sz w:val="16"/>
                <w:szCs w:val="16"/>
                <w:lang w:val="it-IT" w:eastAsia="it-IT"/>
              </w:rPr>
              <w:t xml:space="preserve">3.Digital </w:t>
            </w:r>
            <w:proofErr w:type="spellStart"/>
            <w:r w:rsidRPr="00D17F5C">
              <w:rPr>
                <w:color w:val="000000"/>
                <w:sz w:val="16"/>
                <w:szCs w:val="16"/>
                <w:lang w:val="it-IT" w:eastAsia="it-IT"/>
              </w:rPr>
              <w:t>Infrastructures</w:t>
            </w:r>
            <w:proofErr w:type="spellEnd"/>
          </w:p>
        </w:tc>
        <w:tc>
          <w:tcPr>
            <w:tcW w:w="597" w:type="pct"/>
            <w:noWrap/>
            <w:vAlign w:val="bottom"/>
          </w:tcPr>
          <w:p w:rsidR="003D0E01" w:rsidRPr="00D17F5C" w:rsidRDefault="003D0E01" w:rsidP="003D0E01">
            <w:pPr>
              <w:widowControl w:val="0"/>
              <w:spacing w:after="0" w:line="240" w:lineRule="auto"/>
              <w:jc w:val="right"/>
              <w:rPr>
                <w:color w:val="000000"/>
                <w:sz w:val="16"/>
                <w:szCs w:val="16"/>
                <w:lang w:val="it-IT" w:eastAsia="it-IT"/>
              </w:rPr>
            </w:pPr>
            <w:r w:rsidRPr="00D17F5C">
              <w:rPr>
                <w:color w:val="000000"/>
                <w:sz w:val="16"/>
                <w:szCs w:val="16"/>
                <w:lang w:val="it-IT" w:eastAsia="it-IT"/>
              </w:rPr>
              <w:t>85.5</w:t>
            </w:r>
          </w:p>
        </w:tc>
        <w:tc>
          <w:tcPr>
            <w:tcW w:w="597" w:type="pct"/>
            <w:noWrap/>
            <w:vAlign w:val="bottom"/>
          </w:tcPr>
          <w:p w:rsidR="003D0E01" w:rsidRPr="00D17F5C" w:rsidRDefault="003D0E01" w:rsidP="003D0E01">
            <w:pPr>
              <w:widowControl w:val="0"/>
              <w:spacing w:after="0" w:line="240" w:lineRule="auto"/>
              <w:jc w:val="right"/>
              <w:rPr>
                <w:color w:val="000000"/>
                <w:sz w:val="16"/>
                <w:szCs w:val="16"/>
                <w:lang w:val="it-IT" w:eastAsia="it-IT"/>
              </w:rPr>
            </w:pPr>
          </w:p>
        </w:tc>
      </w:tr>
      <w:tr w:rsidR="003D0E01" w:rsidRPr="00F31150" w:rsidTr="003D0E01">
        <w:tc>
          <w:tcPr>
            <w:tcW w:w="3806" w:type="pct"/>
            <w:noWrap/>
            <w:vAlign w:val="bottom"/>
          </w:tcPr>
          <w:p w:rsidR="003D0E01" w:rsidRPr="00D17F5C" w:rsidRDefault="003D0E01" w:rsidP="003D0E01">
            <w:pPr>
              <w:widowControl w:val="0"/>
              <w:spacing w:after="0" w:line="240" w:lineRule="auto"/>
              <w:jc w:val="left"/>
              <w:rPr>
                <w:color w:val="000000"/>
                <w:sz w:val="16"/>
                <w:szCs w:val="16"/>
                <w:lang w:val="it-IT" w:eastAsia="it-IT"/>
              </w:rPr>
            </w:pPr>
            <w:r w:rsidRPr="00D17F5C">
              <w:rPr>
                <w:color w:val="000000"/>
                <w:sz w:val="16"/>
                <w:szCs w:val="16"/>
                <w:lang w:val="it-IT" w:eastAsia="it-IT"/>
              </w:rPr>
              <w:t>4.Energy</w:t>
            </w:r>
          </w:p>
        </w:tc>
        <w:tc>
          <w:tcPr>
            <w:tcW w:w="597" w:type="pct"/>
            <w:noWrap/>
            <w:vAlign w:val="bottom"/>
          </w:tcPr>
          <w:p w:rsidR="003D0E01" w:rsidRPr="00D17F5C" w:rsidRDefault="003D0E01" w:rsidP="003D0E01">
            <w:pPr>
              <w:widowControl w:val="0"/>
              <w:spacing w:after="0" w:line="240" w:lineRule="auto"/>
              <w:jc w:val="right"/>
              <w:rPr>
                <w:color w:val="000000"/>
                <w:sz w:val="16"/>
                <w:szCs w:val="16"/>
                <w:lang w:val="it-IT" w:eastAsia="it-IT"/>
              </w:rPr>
            </w:pPr>
            <w:r w:rsidRPr="00D17F5C">
              <w:rPr>
                <w:color w:val="000000"/>
                <w:sz w:val="16"/>
                <w:szCs w:val="16"/>
                <w:lang w:val="it-IT" w:eastAsia="it-IT"/>
              </w:rPr>
              <w:t>84.1</w:t>
            </w:r>
          </w:p>
        </w:tc>
        <w:tc>
          <w:tcPr>
            <w:tcW w:w="597" w:type="pct"/>
            <w:noWrap/>
            <w:vAlign w:val="bottom"/>
          </w:tcPr>
          <w:p w:rsidR="003D0E01" w:rsidRPr="00D17F5C" w:rsidRDefault="003D0E01" w:rsidP="003D0E01">
            <w:pPr>
              <w:widowControl w:val="0"/>
              <w:spacing w:after="0" w:line="240" w:lineRule="auto"/>
              <w:jc w:val="right"/>
              <w:rPr>
                <w:color w:val="000000"/>
                <w:sz w:val="16"/>
                <w:szCs w:val="16"/>
                <w:lang w:val="it-IT" w:eastAsia="it-IT"/>
              </w:rPr>
            </w:pPr>
          </w:p>
        </w:tc>
      </w:tr>
      <w:tr w:rsidR="003D0E01" w:rsidRPr="00F31150" w:rsidTr="003D0E01">
        <w:tc>
          <w:tcPr>
            <w:tcW w:w="3806" w:type="pct"/>
            <w:noWrap/>
            <w:vAlign w:val="bottom"/>
          </w:tcPr>
          <w:p w:rsidR="003D0E01" w:rsidRPr="00D17F5C" w:rsidRDefault="003D0E01" w:rsidP="003D0E01">
            <w:pPr>
              <w:widowControl w:val="0"/>
              <w:spacing w:after="0" w:line="240" w:lineRule="auto"/>
              <w:jc w:val="left"/>
              <w:rPr>
                <w:color w:val="000000"/>
                <w:sz w:val="16"/>
                <w:szCs w:val="16"/>
                <w:lang w:val="it-IT" w:eastAsia="it-IT"/>
              </w:rPr>
            </w:pPr>
            <w:r w:rsidRPr="00D17F5C">
              <w:rPr>
                <w:color w:val="000000"/>
                <w:sz w:val="16"/>
                <w:szCs w:val="16"/>
                <w:lang w:val="it-IT" w:eastAsia="it-IT"/>
              </w:rPr>
              <w:t xml:space="preserve">5.Environmental </w:t>
            </w:r>
            <w:proofErr w:type="spellStart"/>
            <w:r w:rsidRPr="00D17F5C">
              <w:rPr>
                <w:color w:val="000000"/>
                <w:sz w:val="16"/>
                <w:szCs w:val="16"/>
                <w:lang w:val="it-IT" w:eastAsia="it-IT"/>
              </w:rPr>
              <w:t>protection</w:t>
            </w:r>
            <w:proofErr w:type="spellEnd"/>
          </w:p>
        </w:tc>
        <w:tc>
          <w:tcPr>
            <w:tcW w:w="597" w:type="pct"/>
            <w:noWrap/>
            <w:vAlign w:val="bottom"/>
          </w:tcPr>
          <w:p w:rsidR="003D0E01" w:rsidRPr="00D17F5C" w:rsidRDefault="003D0E01" w:rsidP="003D0E01">
            <w:pPr>
              <w:widowControl w:val="0"/>
              <w:spacing w:after="0" w:line="240" w:lineRule="auto"/>
              <w:jc w:val="right"/>
              <w:rPr>
                <w:color w:val="000000"/>
                <w:sz w:val="16"/>
                <w:szCs w:val="16"/>
                <w:lang w:val="it-IT" w:eastAsia="it-IT"/>
              </w:rPr>
            </w:pPr>
            <w:r w:rsidRPr="00D17F5C">
              <w:rPr>
                <w:color w:val="000000"/>
                <w:sz w:val="16"/>
                <w:szCs w:val="16"/>
                <w:lang w:val="it-IT" w:eastAsia="it-IT"/>
              </w:rPr>
              <w:t>64.5</w:t>
            </w:r>
          </w:p>
        </w:tc>
        <w:tc>
          <w:tcPr>
            <w:tcW w:w="597" w:type="pct"/>
            <w:noWrap/>
            <w:vAlign w:val="bottom"/>
          </w:tcPr>
          <w:p w:rsidR="003D0E01" w:rsidRPr="00D17F5C" w:rsidRDefault="003D0E01" w:rsidP="003D0E01">
            <w:pPr>
              <w:widowControl w:val="0"/>
              <w:spacing w:after="0" w:line="240" w:lineRule="auto"/>
              <w:jc w:val="right"/>
              <w:rPr>
                <w:color w:val="000000"/>
                <w:sz w:val="16"/>
                <w:szCs w:val="16"/>
                <w:lang w:val="it-IT" w:eastAsia="it-IT"/>
              </w:rPr>
            </w:pPr>
          </w:p>
        </w:tc>
      </w:tr>
      <w:tr w:rsidR="003D0E01" w:rsidRPr="00F31150" w:rsidTr="003D0E01">
        <w:tc>
          <w:tcPr>
            <w:tcW w:w="3806" w:type="pct"/>
            <w:noWrap/>
            <w:vAlign w:val="bottom"/>
          </w:tcPr>
          <w:p w:rsidR="003D0E01" w:rsidRPr="00D17F5C" w:rsidRDefault="003D0E01" w:rsidP="003D0E01">
            <w:pPr>
              <w:widowControl w:val="0"/>
              <w:spacing w:after="0" w:line="240" w:lineRule="auto"/>
              <w:jc w:val="left"/>
              <w:rPr>
                <w:color w:val="000000"/>
                <w:sz w:val="16"/>
                <w:szCs w:val="16"/>
                <w:lang w:val="it-IT" w:eastAsia="it-IT"/>
              </w:rPr>
            </w:pPr>
            <w:r w:rsidRPr="00D17F5C">
              <w:rPr>
                <w:color w:val="000000"/>
                <w:sz w:val="16"/>
                <w:szCs w:val="16"/>
                <w:lang w:val="it-IT" w:eastAsia="it-IT"/>
              </w:rPr>
              <w:t xml:space="preserve">6.Resources </w:t>
            </w:r>
            <w:proofErr w:type="spellStart"/>
            <w:r w:rsidRPr="00D17F5C">
              <w:rPr>
                <w:color w:val="000000"/>
                <w:sz w:val="16"/>
                <w:szCs w:val="16"/>
                <w:lang w:val="it-IT" w:eastAsia="it-IT"/>
              </w:rPr>
              <w:t>efficiency</w:t>
            </w:r>
            <w:proofErr w:type="spellEnd"/>
          </w:p>
        </w:tc>
        <w:tc>
          <w:tcPr>
            <w:tcW w:w="597" w:type="pct"/>
            <w:noWrap/>
            <w:vAlign w:val="bottom"/>
          </w:tcPr>
          <w:p w:rsidR="003D0E01" w:rsidRPr="00D17F5C" w:rsidRDefault="003D0E01" w:rsidP="003D0E01">
            <w:pPr>
              <w:widowControl w:val="0"/>
              <w:spacing w:after="0" w:line="240" w:lineRule="auto"/>
              <w:jc w:val="right"/>
              <w:rPr>
                <w:color w:val="000000"/>
                <w:sz w:val="16"/>
                <w:szCs w:val="16"/>
                <w:lang w:val="it-IT" w:eastAsia="it-IT"/>
              </w:rPr>
            </w:pPr>
            <w:r w:rsidRPr="00D17F5C">
              <w:rPr>
                <w:color w:val="000000"/>
                <w:sz w:val="16"/>
                <w:szCs w:val="16"/>
                <w:lang w:val="it-IT" w:eastAsia="it-IT"/>
              </w:rPr>
              <w:t>97.7</w:t>
            </w:r>
          </w:p>
        </w:tc>
        <w:tc>
          <w:tcPr>
            <w:tcW w:w="597" w:type="pct"/>
            <w:noWrap/>
            <w:vAlign w:val="bottom"/>
          </w:tcPr>
          <w:p w:rsidR="003D0E01" w:rsidRPr="00D17F5C" w:rsidRDefault="003D0E01" w:rsidP="003D0E01">
            <w:pPr>
              <w:widowControl w:val="0"/>
              <w:spacing w:after="0" w:line="240" w:lineRule="auto"/>
              <w:jc w:val="right"/>
              <w:rPr>
                <w:color w:val="000000"/>
                <w:sz w:val="16"/>
                <w:szCs w:val="16"/>
                <w:lang w:val="it-IT" w:eastAsia="it-IT"/>
              </w:rPr>
            </w:pPr>
          </w:p>
        </w:tc>
      </w:tr>
      <w:tr w:rsidR="003D0E01" w:rsidRPr="00F31150" w:rsidTr="003D0E01">
        <w:tc>
          <w:tcPr>
            <w:tcW w:w="3806" w:type="pct"/>
            <w:noWrap/>
            <w:vAlign w:val="bottom"/>
          </w:tcPr>
          <w:p w:rsidR="003D0E01" w:rsidRPr="00D17F5C" w:rsidRDefault="003D0E01" w:rsidP="003D0E01">
            <w:pPr>
              <w:widowControl w:val="0"/>
              <w:spacing w:after="0" w:line="240" w:lineRule="auto"/>
              <w:jc w:val="left"/>
              <w:rPr>
                <w:color w:val="000000"/>
                <w:sz w:val="16"/>
                <w:szCs w:val="16"/>
                <w:lang w:val="it-IT" w:eastAsia="it-IT"/>
              </w:rPr>
            </w:pPr>
            <w:r w:rsidRPr="00D17F5C">
              <w:rPr>
                <w:color w:val="000000"/>
                <w:sz w:val="16"/>
                <w:szCs w:val="16"/>
                <w:lang w:val="it-IT" w:eastAsia="it-IT"/>
              </w:rPr>
              <w:t>7.Transport</w:t>
            </w:r>
          </w:p>
        </w:tc>
        <w:tc>
          <w:tcPr>
            <w:tcW w:w="597" w:type="pct"/>
            <w:noWrap/>
            <w:vAlign w:val="bottom"/>
          </w:tcPr>
          <w:p w:rsidR="003D0E01" w:rsidRPr="00D17F5C" w:rsidRDefault="003D0E01" w:rsidP="003D0E01">
            <w:pPr>
              <w:widowControl w:val="0"/>
              <w:spacing w:after="0" w:line="240" w:lineRule="auto"/>
              <w:jc w:val="right"/>
              <w:rPr>
                <w:color w:val="000000"/>
                <w:sz w:val="16"/>
                <w:szCs w:val="16"/>
                <w:lang w:val="it-IT" w:eastAsia="it-IT"/>
              </w:rPr>
            </w:pPr>
            <w:r w:rsidRPr="00D17F5C">
              <w:rPr>
                <w:color w:val="000000"/>
                <w:sz w:val="16"/>
                <w:szCs w:val="16"/>
                <w:lang w:val="it-IT" w:eastAsia="it-IT"/>
              </w:rPr>
              <w:t>95.9</w:t>
            </w:r>
          </w:p>
        </w:tc>
        <w:tc>
          <w:tcPr>
            <w:tcW w:w="597" w:type="pct"/>
            <w:noWrap/>
            <w:vAlign w:val="bottom"/>
          </w:tcPr>
          <w:p w:rsidR="003D0E01" w:rsidRPr="00D17F5C" w:rsidRDefault="003D0E01" w:rsidP="003D0E01">
            <w:pPr>
              <w:widowControl w:val="0"/>
              <w:spacing w:after="0" w:line="240" w:lineRule="auto"/>
              <w:jc w:val="right"/>
              <w:rPr>
                <w:color w:val="000000"/>
                <w:sz w:val="16"/>
                <w:szCs w:val="16"/>
                <w:lang w:val="it-IT" w:eastAsia="it-IT"/>
              </w:rPr>
            </w:pPr>
          </w:p>
        </w:tc>
      </w:tr>
      <w:tr w:rsidR="003D0E01" w:rsidRPr="00F31150" w:rsidTr="003D0E01">
        <w:tc>
          <w:tcPr>
            <w:tcW w:w="3806" w:type="pct"/>
            <w:noWrap/>
            <w:vAlign w:val="bottom"/>
          </w:tcPr>
          <w:p w:rsidR="003D0E01" w:rsidRPr="00D17F5C" w:rsidRDefault="003D0E01" w:rsidP="003D0E01">
            <w:pPr>
              <w:widowControl w:val="0"/>
              <w:spacing w:after="0" w:line="240" w:lineRule="auto"/>
              <w:jc w:val="left"/>
              <w:rPr>
                <w:color w:val="000000"/>
                <w:sz w:val="16"/>
                <w:szCs w:val="16"/>
                <w:lang w:val="it-IT" w:eastAsia="it-IT"/>
              </w:rPr>
            </w:pPr>
            <w:r w:rsidRPr="00D17F5C">
              <w:rPr>
                <w:color w:val="000000"/>
                <w:sz w:val="16"/>
                <w:szCs w:val="16"/>
                <w:lang w:val="it-IT" w:eastAsia="it-IT"/>
              </w:rPr>
              <w:t xml:space="preserve">8.Access to </w:t>
            </w:r>
            <w:proofErr w:type="spellStart"/>
            <w:r w:rsidRPr="00D17F5C">
              <w:rPr>
                <w:color w:val="000000"/>
                <w:sz w:val="16"/>
                <w:szCs w:val="16"/>
                <w:lang w:val="it-IT" w:eastAsia="it-IT"/>
              </w:rPr>
              <w:t>Employment</w:t>
            </w:r>
            <w:proofErr w:type="spellEnd"/>
          </w:p>
        </w:tc>
        <w:tc>
          <w:tcPr>
            <w:tcW w:w="597" w:type="pct"/>
            <w:noWrap/>
            <w:vAlign w:val="bottom"/>
          </w:tcPr>
          <w:p w:rsidR="003D0E01" w:rsidRPr="00D17F5C" w:rsidRDefault="003D0E01" w:rsidP="003D0E01">
            <w:pPr>
              <w:widowControl w:val="0"/>
              <w:spacing w:after="0" w:line="240" w:lineRule="auto"/>
              <w:jc w:val="right"/>
              <w:rPr>
                <w:color w:val="000000"/>
                <w:sz w:val="16"/>
                <w:szCs w:val="16"/>
                <w:lang w:val="it-IT" w:eastAsia="it-IT"/>
              </w:rPr>
            </w:pPr>
          </w:p>
        </w:tc>
        <w:tc>
          <w:tcPr>
            <w:tcW w:w="597" w:type="pct"/>
            <w:noWrap/>
            <w:vAlign w:val="bottom"/>
          </w:tcPr>
          <w:p w:rsidR="003D0E01" w:rsidRPr="00D17F5C" w:rsidRDefault="003D0E01" w:rsidP="003D0E01">
            <w:pPr>
              <w:widowControl w:val="0"/>
              <w:spacing w:after="0" w:line="240" w:lineRule="auto"/>
              <w:jc w:val="right"/>
              <w:rPr>
                <w:color w:val="000000"/>
                <w:sz w:val="16"/>
                <w:szCs w:val="16"/>
                <w:lang w:val="it-IT" w:eastAsia="it-IT"/>
              </w:rPr>
            </w:pPr>
            <w:r w:rsidRPr="00D17F5C">
              <w:rPr>
                <w:color w:val="000000"/>
                <w:sz w:val="16"/>
                <w:szCs w:val="16"/>
                <w:lang w:val="it-IT" w:eastAsia="it-IT"/>
              </w:rPr>
              <w:t>94.3</w:t>
            </w:r>
          </w:p>
        </w:tc>
      </w:tr>
      <w:tr w:rsidR="003D0E01" w:rsidRPr="00F31150" w:rsidTr="003D0E01">
        <w:tc>
          <w:tcPr>
            <w:tcW w:w="3806" w:type="pct"/>
            <w:noWrap/>
            <w:vAlign w:val="bottom"/>
          </w:tcPr>
          <w:p w:rsidR="003D0E01" w:rsidRPr="00340CAB" w:rsidRDefault="003D0E01" w:rsidP="003D0E01">
            <w:pPr>
              <w:widowControl w:val="0"/>
              <w:spacing w:after="0" w:line="240" w:lineRule="auto"/>
              <w:jc w:val="left"/>
              <w:rPr>
                <w:color w:val="000000"/>
                <w:sz w:val="16"/>
                <w:szCs w:val="16"/>
                <w:lang w:eastAsia="it-IT"/>
              </w:rPr>
            </w:pPr>
            <w:r w:rsidRPr="0054221F">
              <w:rPr>
                <w:color w:val="000000"/>
                <w:sz w:val="16"/>
                <w:szCs w:val="16"/>
                <w:lang w:eastAsia="it-IT"/>
              </w:rPr>
              <w:t>9.LM integration of young people</w:t>
            </w:r>
          </w:p>
        </w:tc>
        <w:tc>
          <w:tcPr>
            <w:tcW w:w="597" w:type="pct"/>
            <w:noWrap/>
            <w:vAlign w:val="bottom"/>
          </w:tcPr>
          <w:p w:rsidR="003D0E01" w:rsidRPr="00340CAB" w:rsidRDefault="003D0E01" w:rsidP="003D0E01">
            <w:pPr>
              <w:widowControl w:val="0"/>
              <w:spacing w:after="0" w:line="240" w:lineRule="auto"/>
              <w:jc w:val="right"/>
              <w:rPr>
                <w:color w:val="000000"/>
                <w:sz w:val="16"/>
                <w:szCs w:val="16"/>
                <w:lang w:eastAsia="it-IT"/>
              </w:rPr>
            </w:pPr>
          </w:p>
        </w:tc>
        <w:tc>
          <w:tcPr>
            <w:tcW w:w="597" w:type="pct"/>
            <w:noWrap/>
            <w:vAlign w:val="bottom"/>
          </w:tcPr>
          <w:p w:rsidR="003D0E01" w:rsidRPr="00D17F5C" w:rsidRDefault="003D0E01" w:rsidP="003D0E01">
            <w:pPr>
              <w:widowControl w:val="0"/>
              <w:spacing w:after="0" w:line="240" w:lineRule="auto"/>
              <w:jc w:val="right"/>
              <w:rPr>
                <w:color w:val="000000"/>
                <w:sz w:val="16"/>
                <w:szCs w:val="16"/>
                <w:lang w:val="it-IT" w:eastAsia="it-IT"/>
              </w:rPr>
            </w:pPr>
            <w:r w:rsidRPr="00D17F5C">
              <w:rPr>
                <w:color w:val="000000"/>
                <w:sz w:val="16"/>
                <w:szCs w:val="16"/>
                <w:lang w:val="it-IT" w:eastAsia="it-IT"/>
              </w:rPr>
              <w:t>99.4</w:t>
            </w:r>
          </w:p>
        </w:tc>
      </w:tr>
      <w:tr w:rsidR="003D0E01" w:rsidRPr="00F31150" w:rsidTr="003D0E01">
        <w:tc>
          <w:tcPr>
            <w:tcW w:w="3806" w:type="pct"/>
            <w:noWrap/>
            <w:vAlign w:val="bottom"/>
          </w:tcPr>
          <w:p w:rsidR="003D0E01" w:rsidRPr="00D17F5C" w:rsidRDefault="003D0E01" w:rsidP="003D0E01">
            <w:pPr>
              <w:widowControl w:val="0"/>
              <w:spacing w:after="0" w:line="240" w:lineRule="auto"/>
              <w:jc w:val="left"/>
              <w:rPr>
                <w:color w:val="000000"/>
                <w:sz w:val="16"/>
                <w:szCs w:val="16"/>
                <w:lang w:val="it-IT" w:eastAsia="it-IT"/>
              </w:rPr>
            </w:pPr>
            <w:r w:rsidRPr="00D17F5C">
              <w:rPr>
                <w:color w:val="000000"/>
                <w:sz w:val="16"/>
                <w:szCs w:val="16"/>
                <w:lang w:val="it-IT" w:eastAsia="it-IT"/>
              </w:rPr>
              <w:t xml:space="preserve">11.Gender </w:t>
            </w:r>
            <w:proofErr w:type="spellStart"/>
            <w:r w:rsidRPr="00D17F5C">
              <w:rPr>
                <w:color w:val="000000"/>
                <w:sz w:val="16"/>
                <w:szCs w:val="16"/>
                <w:lang w:val="it-IT" w:eastAsia="it-IT"/>
              </w:rPr>
              <w:t>Equality</w:t>
            </w:r>
            <w:proofErr w:type="spellEnd"/>
          </w:p>
        </w:tc>
        <w:tc>
          <w:tcPr>
            <w:tcW w:w="597" w:type="pct"/>
            <w:noWrap/>
            <w:vAlign w:val="bottom"/>
          </w:tcPr>
          <w:p w:rsidR="003D0E01" w:rsidRPr="00D17F5C" w:rsidRDefault="003D0E01" w:rsidP="003D0E01">
            <w:pPr>
              <w:widowControl w:val="0"/>
              <w:spacing w:after="0" w:line="240" w:lineRule="auto"/>
              <w:jc w:val="right"/>
              <w:rPr>
                <w:color w:val="000000"/>
                <w:sz w:val="16"/>
                <w:szCs w:val="16"/>
                <w:lang w:val="it-IT" w:eastAsia="it-IT"/>
              </w:rPr>
            </w:pPr>
          </w:p>
        </w:tc>
        <w:tc>
          <w:tcPr>
            <w:tcW w:w="597" w:type="pct"/>
            <w:noWrap/>
            <w:vAlign w:val="bottom"/>
          </w:tcPr>
          <w:p w:rsidR="003D0E01" w:rsidRPr="00D17F5C" w:rsidRDefault="003D0E01" w:rsidP="003D0E01">
            <w:pPr>
              <w:widowControl w:val="0"/>
              <w:spacing w:after="0" w:line="240" w:lineRule="auto"/>
              <w:jc w:val="right"/>
              <w:rPr>
                <w:color w:val="000000"/>
                <w:sz w:val="16"/>
                <w:szCs w:val="16"/>
                <w:lang w:val="it-IT" w:eastAsia="it-IT"/>
              </w:rPr>
            </w:pPr>
            <w:r w:rsidRPr="00D17F5C">
              <w:rPr>
                <w:color w:val="000000"/>
                <w:sz w:val="16"/>
                <w:szCs w:val="16"/>
                <w:lang w:val="it-IT" w:eastAsia="it-IT"/>
              </w:rPr>
              <w:t>65.1</w:t>
            </w:r>
          </w:p>
        </w:tc>
      </w:tr>
      <w:tr w:rsidR="003D0E01" w:rsidRPr="00F31150" w:rsidTr="003D0E01">
        <w:tc>
          <w:tcPr>
            <w:tcW w:w="3806" w:type="pct"/>
            <w:noWrap/>
            <w:vAlign w:val="bottom"/>
          </w:tcPr>
          <w:p w:rsidR="003D0E01" w:rsidRPr="00D17F5C" w:rsidRDefault="003D0E01" w:rsidP="00E37E12">
            <w:pPr>
              <w:widowControl w:val="0"/>
              <w:spacing w:after="0" w:line="240" w:lineRule="auto"/>
              <w:jc w:val="left"/>
              <w:rPr>
                <w:color w:val="000000"/>
                <w:sz w:val="16"/>
                <w:szCs w:val="16"/>
                <w:lang w:val="it-IT" w:eastAsia="it-IT"/>
              </w:rPr>
            </w:pPr>
            <w:r w:rsidRPr="00D17F5C">
              <w:rPr>
                <w:color w:val="000000"/>
                <w:sz w:val="16"/>
                <w:szCs w:val="16"/>
                <w:lang w:val="it-IT" w:eastAsia="it-IT"/>
              </w:rPr>
              <w:t xml:space="preserve">12.Integration of </w:t>
            </w:r>
            <w:proofErr w:type="spellStart"/>
            <w:r w:rsidRPr="00D17F5C">
              <w:rPr>
                <w:color w:val="000000"/>
                <w:sz w:val="16"/>
                <w:szCs w:val="16"/>
                <w:lang w:val="it-IT" w:eastAsia="it-IT"/>
              </w:rPr>
              <w:t>marginali</w:t>
            </w:r>
            <w:r w:rsidR="00E37E12">
              <w:rPr>
                <w:color w:val="000000"/>
                <w:sz w:val="16"/>
                <w:szCs w:val="16"/>
                <w:lang w:val="it-IT" w:eastAsia="it-IT"/>
              </w:rPr>
              <w:t>s</w:t>
            </w:r>
            <w:r w:rsidRPr="00D17F5C">
              <w:rPr>
                <w:color w:val="000000"/>
                <w:sz w:val="16"/>
                <w:szCs w:val="16"/>
                <w:lang w:val="it-IT" w:eastAsia="it-IT"/>
              </w:rPr>
              <w:t>ed</w:t>
            </w:r>
            <w:proofErr w:type="spellEnd"/>
            <w:r w:rsidRPr="00D17F5C">
              <w:rPr>
                <w:color w:val="000000"/>
                <w:sz w:val="16"/>
                <w:szCs w:val="16"/>
                <w:lang w:val="it-IT" w:eastAsia="it-IT"/>
              </w:rPr>
              <w:t xml:space="preserve"> </w:t>
            </w:r>
            <w:proofErr w:type="spellStart"/>
            <w:r w:rsidRPr="00D17F5C">
              <w:rPr>
                <w:color w:val="000000"/>
                <w:sz w:val="16"/>
                <w:szCs w:val="16"/>
                <w:lang w:val="it-IT" w:eastAsia="it-IT"/>
              </w:rPr>
              <w:t>groups</w:t>
            </w:r>
            <w:proofErr w:type="spellEnd"/>
          </w:p>
        </w:tc>
        <w:tc>
          <w:tcPr>
            <w:tcW w:w="597" w:type="pct"/>
            <w:noWrap/>
            <w:vAlign w:val="bottom"/>
          </w:tcPr>
          <w:p w:rsidR="003D0E01" w:rsidRPr="00D17F5C" w:rsidRDefault="003D0E01" w:rsidP="003D0E01">
            <w:pPr>
              <w:widowControl w:val="0"/>
              <w:spacing w:after="0" w:line="240" w:lineRule="auto"/>
              <w:jc w:val="right"/>
              <w:rPr>
                <w:color w:val="000000"/>
                <w:sz w:val="16"/>
                <w:szCs w:val="16"/>
                <w:lang w:val="it-IT" w:eastAsia="it-IT"/>
              </w:rPr>
            </w:pPr>
          </w:p>
        </w:tc>
        <w:tc>
          <w:tcPr>
            <w:tcW w:w="597" w:type="pct"/>
            <w:noWrap/>
            <w:vAlign w:val="bottom"/>
          </w:tcPr>
          <w:p w:rsidR="003D0E01" w:rsidRPr="00D17F5C" w:rsidRDefault="003D0E01" w:rsidP="003D0E01">
            <w:pPr>
              <w:widowControl w:val="0"/>
              <w:spacing w:after="0" w:line="240" w:lineRule="auto"/>
              <w:jc w:val="right"/>
              <w:rPr>
                <w:color w:val="000000"/>
                <w:sz w:val="16"/>
                <w:szCs w:val="16"/>
                <w:lang w:val="it-IT" w:eastAsia="it-IT"/>
              </w:rPr>
            </w:pPr>
            <w:r w:rsidRPr="00D17F5C">
              <w:rPr>
                <w:color w:val="000000"/>
                <w:sz w:val="16"/>
                <w:szCs w:val="16"/>
                <w:lang w:val="it-IT" w:eastAsia="it-IT"/>
              </w:rPr>
              <w:t>90.9</w:t>
            </w:r>
          </w:p>
        </w:tc>
      </w:tr>
      <w:tr w:rsidR="003D0E01" w:rsidRPr="00F31150" w:rsidTr="003D0E01">
        <w:tc>
          <w:tcPr>
            <w:tcW w:w="3806" w:type="pct"/>
            <w:noWrap/>
            <w:vAlign w:val="bottom"/>
          </w:tcPr>
          <w:p w:rsidR="003D0E01" w:rsidRPr="00D17F5C" w:rsidRDefault="003D0E01" w:rsidP="00E37E12">
            <w:pPr>
              <w:widowControl w:val="0"/>
              <w:spacing w:after="0" w:line="240" w:lineRule="auto"/>
              <w:jc w:val="left"/>
              <w:rPr>
                <w:color w:val="000000"/>
                <w:sz w:val="16"/>
                <w:szCs w:val="16"/>
                <w:lang w:val="it-IT" w:eastAsia="it-IT"/>
              </w:rPr>
            </w:pPr>
            <w:r w:rsidRPr="00D17F5C">
              <w:rPr>
                <w:color w:val="000000"/>
                <w:sz w:val="16"/>
                <w:szCs w:val="16"/>
                <w:lang w:val="it-IT" w:eastAsia="it-IT"/>
              </w:rPr>
              <w:t>13.Co</w:t>
            </w:r>
            <w:r w:rsidR="00E37E12">
              <w:rPr>
                <w:color w:val="000000"/>
                <w:sz w:val="16"/>
                <w:szCs w:val="16"/>
                <w:lang w:val="it-IT" w:eastAsia="it-IT"/>
              </w:rPr>
              <w:t>mbatting</w:t>
            </w:r>
            <w:r w:rsidRPr="00D17F5C">
              <w:rPr>
                <w:color w:val="000000"/>
                <w:sz w:val="16"/>
                <w:szCs w:val="16"/>
                <w:lang w:val="it-IT" w:eastAsia="it-IT"/>
              </w:rPr>
              <w:t xml:space="preserve"> </w:t>
            </w:r>
            <w:proofErr w:type="spellStart"/>
            <w:r w:rsidRPr="00D17F5C">
              <w:rPr>
                <w:color w:val="000000"/>
                <w:sz w:val="16"/>
                <w:szCs w:val="16"/>
                <w:lang w:val="it-IT" w:eastAsia="it-IT"/>
              </w:rPr>
              <w:t>discrimination</w:t>
            </w:r>
            <w:proofErr w:type="spellEnd"/>
            <w:r w:rsidRPr="00D17F5C">
              <w:rPr>
                <w:color w:val="000000"/>
                <w:sz w:val="16"/>
                <w:szCs w:val="16"/>
                <w:lang w:val="it-IT" w:eastAsia="it-IT"/>
              </w:rPr>
              <w:t xml:space="preserve"> and </w:t>
            </w:r>
            <w:proofErr w:type="spellStart"/>
            <w:r w:rsidRPr="00D17F5C">
              <w:rPr>
                <w:color w:val="000000"/>
                <w:sz w:val="16"/>
                <w:szCs w:val="16"/>
                <w:lang w:val="it-IT" w:eastAsia="it-IT"/>
              </w:rPr>
              <w:t>poverty</w:t>
            </w:r>
            <w:proofErr w:type="spellEnd"/>
          </w:p>
        </w:tc>
        <w:tc>
          <w:tcPr>
            <w:tcW w:w="597" w:type="pct"/>
            <w:noWrap/>
            <w:vAlign w:val="bottom"/>
          </w:tcPr>
          <w:p w:rsidR="003D0E01" w:rsidRPr="00D17F5C" w:rsidRDefault="003D0E01" w:rsidP="003D0E01">
            <w:pPr>
              <w:widowControl w:val="0"/>
              <w:spacing w:after="0" w:line="240" w:lineRule="auto"/>
              <w:jc w:val="right"/>
              <w:rPr>
                <w:color w:val="000000"/>
                <w:sz w:val="16"/>
                <w:szCs w:val="16"/>
                <w:lang w:val="it-IT" w:eastAsia="it-IT"/>
              </w:rPr>
            </w:pPr>
          </w:p>
        </w:tc>
        <w:tc>
          <w:tcPr>
            <w:tcW w:w="597" w:type="pct"/>
            <w:noWrap/>
            <w:vAlign w:val="bottom"/>
          </w:tcPr>
          <w:p w:rsidR="003D0E01" w:rsidRPr="00D17F5C" w:rsidRDefault="003D0E01" w:rsidP="003D0E01">
            <w:pPr>
              <w:widowControl w:val="0"/>
              <w:spacing w:after="0" w:line="240" w:lineRule="auto"/>
              <w:jc w:val="right"/>
              <w:rPr>
                <w:color w:val="000000"/>
                <w:sz w:val="16"/>
                <w:szCs w:val="16"/>
                <w:lang w:val="it-IT" w:eastAsia="it-IT"/>
              </w:rPr>
            </w:pPr>
            <w:r w:rsidRPr="00D17F5C">
              <w:rPr>
                <w:color w:val="000000"/>
                <w:sz w:val="16"/>
                <w:szCs w:val="16"/>
                <w:lang w:val="it-IT" w:eastAsia="it-IT"/>
              </w:rPr>
              <w:t>87.8</w:t>
            </w:r>
          </w:p>
        </w:tc>
      </w:tr>
      <w:tr w:rsidR="003D0E01" w:rsidRPr="00F31150" w:rsidTr="003D0E01">
        <w:tc>
          <w:tcPr>
            <w:tcW w:w="3806" w:type="pct"/>
            <w:noWrap/>
            <w:vAlign w:val="bottom"/>
          </w:tcPr>
          <w:p w:rsidR="003D0E01" w:rsidRPr="00340CAB" w:rsidRDefault="003D0E01" w:rsidP="003D0E01">
            <w:pPr>
              <w:widowControl w:val="0"/>
              <w:spacing w:after="0" w:line="240" w:lineRule="auto"/>
              <w:jc w:val="left"/>
              <w:rPr>
                <w:color w:val="000000"/>
                <w:sz w:val="16"/>
                <w:szCs w:val="16"/>
                <w:lang w:eastAsia="it-IT"/>
              </w:rPr>
            </w:pPr>
            <w:r w:rsidRPr="0054221F">
              <w:rPr>
                <w:color w:val="000000"/>
                <w:sz w:val="16"/>
                <w:szCs w:val="16"/>
                <w:lang w:eastAsia="it-IT"/>
              </w:rPr>
              <w:t>15.Health and long-term care</w:t>
            </w:r>
          </w:p>
        </w:tc>
        <w:tc>
          <w:tcPr>
            <w:tcW w:w="597" w:type="pct"/>
            <w:noWrap/>
            <w:vAlign w:val="bottom"/>
          </w:tcPr>
          <w:p w:rsidR="003D0E01" w:rsidRPr="00D17F5C" w:rsidRDefault="003D0E01" w:rsidP="003D0E01">
            <w:pPr>
              <w:widowControl w:val="0"/>
              <w:spacing w:after="0" w:line="240" w:lineRule="auto"/>
              <w:jc w:val="right"/>
              <w:rPr>
                <w:color w:val="000000"/>
                <w:sz w:val="16"/>
                <w:szCs w:val="16"/>
                <w:lang w:val="it-IT" w:eastAsia="it-IT"/>
              </w:rPr>
            </w:pPr>
            <w:r w:rsidRPr="00D17F5C">
              <w:rPr>
                <w:color w:val="000000"/>
                <w:sz w:val="16"/>
                <w:szCs w:val="16"/>
                <w:lang w:val="it-IT" w:eastAsia="it-IT"/>
              </w:rPr>
              <w:t>90.4</w:t>
            </w:r>
          </w:p>
        </w:tc>
        <w:tc>
          <w:tcPr>
            <w:tcW w:w="597" w:type="pct"/>
            <w:noWrap/>
            <w:vAlign w:val="bottom"/>
          </w:tcPr>
          <w:p w:rsidR="003D0E01" w:rsidRPr="00D17F5C" w:rsidRDefault="003D0E01" w:rsidP="003D0E01">
            <w:pPr>
              <w:widowControl w:val="0"/>
              <w:spacing w:after="0" w:line="240" w:lineRule="auto"/>
              <w:jc w:val="right"/>
              <w:rPr>
                <w:color w:val="000000"/>
                <w:sz w:val="16"/>
                <w:szCs w:val="16"/>
                <w:lang w:val="it-IT" w:eastAsia="it-IT"/>
              </w:rPr>
            </w:pPr>
          </w:p>
        </w:tc>
      </w:tr>
      <w:tr w:rsidR="003D0E01" w:rsidRPr="00F31150" w:rsidTr="003D0E01">
        <w:tc>
          <w:tcPr>
            <w:tcW w:w="3806" w:type="pct"/>
            <w:noWrap/>
            <w:vAlign w:val="bottom"/>
          </w:tcPr>
          <w:p w:rsidR="003D0E01" w:rsidRPr="00340CAB" w:rsidRDefault="003D0E01" w:rsidP="003D0E01">
            <w:pPr>
              <w:widowControl w:val="0"/>
              <w:spacing w:after="0" w:line="240" w:lineRule="auto"/>
              <w:jc w:val="left"/>
              <w:rPr>
                <w:color w:val="000000"/>
                <w:sz w:val="16"/>
                <w:szCs w:val="16"/>
                <w:lang w:eastAsia="it-IT"/>
              </w:rPr>
            </w:pPr>
            <w:r w:rsidRPr="0054221F">
              <w:rPr>
                <w:color w:val="000000"/>
                <w:sz w:val="16"/>
                <w:szCs w:val="16"/>
                <w:lang w:eastAsia="it-IT"/>
              </w:rPr>
              <w:t>16.Housing and other social infrastructure</w:t>
            </w:r>
          </w:p>
        </w:tc>
        <w:tc>
          <w:tcPr>
            <w:tcW w:w="597" w:type="pct"/>
            <w:noWrap/>
            <w:vAlign w:val="bottom"/>
          </w:tcPr>
          <w:p w:rsidR="003D0E01" w:rsidRPr="00D17F5C" w:rsidRDefault="003D0E01" w:rsidP="003D0E01">
            <w:pPr>
              <w:widowControl w:val="0"/>
              <w:spacing w:after="0" w:line="240" w:lineRule="auto"/>
              <w:jc w:val="right"/>
              <w:rPr>
                <w:color w:val="000000"/>
                <w:sz w:val="16"/>
                <w:szCs w:val="16"/>
                <w:lang w:val="it-IT" w:eastAsia="it-IT"/>
              </w:rPr>
            </w:pPr>
            <w:r w:rsidRPr="00D17F5C">
              <w:rPr>
                <w:color w:val="000000"/>
                <w:sz w:val="16"/>
                <w:szCs w:val="16"/>
                <w:lang w:val="it-IT" w:eastAsia="it-IT"/>
              </w:rPr>
              <w:t>98.8</w:t>
            </w:r>
          </w:p>
        </w:tc>
        <w:tc>
          <w:tcPr>
            <w:tcW w:w="597" w:type="pct"/>
            <w:noWrap/>
            <w:vAlign w:val="bottom"/>
          </w:tcPr>
          <w:p w:rsidR="003D0E01" w:rsidRPr="00D17F5C" w:rsidRDefault="003D0E01" w:rsidP="003D0E01">
            <w:pPr>
              <w:widowControl w:val="0"/>
              <w:spacing w:after="0" w:line="240" w:lineRule="auto"/>
              <w:jc w:val="right"/>
              <w:rPr>
                <w:color w:val="000000"/>
                <w:sz w:val="16"/>
                <w:szCs w:val="16"/>
                <w:lang w:val="it-IT" w:eastAsia="it-IT"/>
              </w:rPr>
            </w:pPr>
          </w:p>
        </w:tc>
      </w:tr>
      <w:tr w:rsidR="003D0E01" w:rsidRPr="00F31150" w:rsidTr="003D0E01">
        <w:tc>
          <w:tcPr>
            <w:tcW w:w="3806" w:type="pct"/>
            <w:noWrap/>
            <w:vAlign w:val="bottom"/>
          </w:tcPr>
          <w:p w:rsidR="003D0E01" w:rsidRPr="00340CAB" w:rsidRDefault="003D0E01" w:rsidP="003D0E01">
            <w:pPr>
              <w:widowControl w:val="0"/>
              <w:spacing w:after="0" w:line="240" w:lineRule="auto"/>
              <w:jc w:val="left"/>
              <w:rPr>
                <w:color w:val="000000"/>
                <w:sz w:val="16"/>
                <w:szCs w:val="16"/>
                <w:lang w:eastAsia="it-IT"/>
              </w:rPr>
            </w:pPr>
            <w:r w:rsidRPr="0054221F">
              <w:rPr>
                <w:color w:val="000000"/>
                <w:sz w:val="16"/>
                <w:szCs w:val="16"/>
                <w:lang w:eastAsia="it-IT"/>
              </w:rPr>
              <w:t>17.Improving access to quality education and training</w:t>
            </w:r>
          </w:p>
        </w:tc>
        <w:tc>
          <w:tcPr>
            <w:tcW w:w="597" w:type="pct"/>
            <w:noWrap/>
            <w:vAlign w:val="bottom"/>
          </w:tcPr>
          <w:p w:rsidR="003D0E01" w:rsidRPr="00D17F5C" w:rsidRDefault="003D0E01" w:rsidP="003D0E01">
            <w:pPr>
              <w:widowControl w:val="0"/>
              <w:spacing w:after="0" w:line="240" w:lineRule="auto"/>
              <w:jc w:val="right"/>
              <w:rPr>
                <w:color w:val="000000"/>
                <w:sz w:val="16"/>
                <w:szCs w:val="16"/>
                <w:lang w:val="it-IT" w:eastAsia="it-IT"/>
              </w:rPr>
            </w:pPr>
            <w:r w:rsidRPr="00D17F5C">
              <w:rPr>
                <w:color w:val="000000"/>
                <w:sz w:val="16"/>
                <w:szCs w:val="16"/>
                <w:lang w:val="it-IT" w:eastAsia="it-IT"/>
              </w:rPr>
              <w:t>68.3</w:t>
            </w:r>
          </w:p>
        </w:tc>
        <w:tc>
          <w:tcPr>
            <w:tcW w:w="597" w:type="pct"/>
            <w:noWrap/>
            <w:vAlign w:val="bottom"/>
          </w:tcPr>
          <w:p w:rsidR="003D0E01" w:rsidRPr="00D17F5C" w:rsidRDefault="003D0E01" w:rsidP="003D0E01">
            <w:pPr>
              <w:widowControl w:val="0"/>
              <w:spacing w:after="0" w:line="240" w:lineRule="auto"/>
              <w:jc w:val="right"/>
              <w:rPr>
                <w:color w:val="000000"/>
                <w:sz w:val="16"/>
                <w:szCs w:val="16"/>
                <w:lang w:val="it-IT" w:eastAsia="it-IT"/>
              </w:rPr>
            </w:pPr>
            <w:r w:rsidRPr="00D17F5C">
              <w:rPr>
                <w:color w:val="000000"/>
                <w:sz w:val="16"/>
                <w:szCs w:val="16"/>
                <w:lang w:val="it-IT" w:eastAsia="it-IT"/>
              </w:rPr>
              <w:t>94.0</w:t>
            </w:r>
          </w:p>
        </w:tc>
      </w:tr>
      <w:tr w:rsidR="003D0E01" w:rsidRPr="00F31150" w:rsidTr="003D0E01">
        <w:tc>
          <w:tcPr>
            <w:tcW w:w="3806" w:type="pct"/>
            <w:noWrap/>
            <w:vAlign w:val="bottom"/>
          </w:tcPr>
          <w:p w:rsidR="003D0E01" w:rsidRPr="00340CAB" w:rsidRDefault="003D0E01" w:rsidP="003D0E01">
            <w:pPr>
              <w:widowControl w:val="0"/>
              <w:spacing w:after="0" w:line="240" w:lineRule="auto"/>
              <w:jc w:val="left"/>
              <w:rPr>
                <w:color w:val="000000"/>
                <w:sz w:val="16"/>
                <w:szCs w:val="16"/>
                <w:lang w:eastAsia="it-IT"/>
              </w:rPr>
            </w:pPr>
            <w:r w:rsidRPr="0054221F">
              <w:rPr>
                <w:color w:val="000000"/>
                <w:sz w:val="16"/>
                <w:szCs w:val="16"/>
                <w:lang w:eastAsia="it-IT"/>
              </w:rPr>
              <w:t>18.Reducing and preventing early school leaving</w:t>
            </w:r>
          </w:p>
        </w:tc>
        <w:tc>
          <w:tcPr>
            <w:tcW w:w="597" w:type="pct"/>
            <w:noWrap/>
            <w:vAlign w:val="bottom"/>
          </w:tcPr>
          <w:p w:rsidR="003D0E01" w:rsidRPr="00340CAB" w:rsidRDefault="003D0E01" w:rsidP="003D0E01">
            <w:pPr>
              <w:widowControl w:val="0"/>
              <w:spacing w:after="0" w:line="240" w:lineRule="auto"/>
              <w:jc w:val="right"/>
              <w:rPr>
                <w:color w:val="000000"/>
                <w:sz w:val="16"/>
                <w:szCs w:val="16"/>
                <w:lang w:eastAsia="it-IT"/>
              </w:rPr>
            </w:pPr>
          </w:p>
        </w:tc>
        <w:tc>
          <w:tcPr>
            <w:tcW w:w="597" w:type="pct"/>
            <w:noWrap/>
            <w:vAlign w:val="bottom"/>
          </w:tcPr>
          <w:p w:rsidR="003D0E01" w:rsidRPr="00D17F5C" w:rsidRDefault="003D0E01" w:rsidP="003D0E01">
            <w:pPr>
              <w:widowControl w:val="0"/>
              <w:spacing w:after="0" w:line="240" w:lineRule="auto"/>
              <w:jc w:val="right"/>
              <w:rPr>
                <w:color w:val="000000"/>
                <w:sz w:val="16"/>
                <w:szCs w:val="16"/>
                <w:lang w:val="it-IT" w:eastAsia="it-IT"/>
              </w:rPr>
            </w:pPr>
            <w:r w:rsidRPr="00D17F5C">
              <w:rPr>
                <w:color w:val="000000"/>
                <w:sz w:val="16"/>
                <w:szCs w:val="16"/>
                <w:lang w:val="it-IT" w:eastAsia="it-IT"/>
              </w:rPr>
              <w:t>96.5</w:t>
            </w:r>
          </w:p>
        </w:tc>
      </w:tr>
      <w:tr w:rsidR="003D0E01" w:rsidRPr="00F31150" w:rsidTr="003D0E01">
        <w:tc>
          <w:tcPr>
            <w:tcW w:w="3806" w:type="pct"/>
            <w:noWrap/>
            <w:vAlign w:val="bottom"/>
          </w:tcPr>
          <w:p w:rsidR="003D0E01" w:rsidRPr="00340CAB" w:rsidRDefault="003D0E01" w:rsidP="003D0E01">
            <w:pPr>
              <w:widowControl w:val="0"/>
              <w:spacing w:after="0" w:line="240" w:lineRule="auto"/>
              <w:jc w:val="left"/>
              <w:rPr>
                <w:color w:val="000000"/>
                <w:sz w:val="16"/>
                <w:szCs w:val="16"/>
                <w:lang w:eastAsia="it-IT"/>
              </w:rPr>
            </w:pPr>
            <w:r w:rsidRPr="0054221F">
              <w:rPr>
                <w:color w:val="000000"/>
                <w:sz w:val="16"/>
                <w:szCs w:val="16"/>
                <w:lang w:eastAsia="it-IT"/>
              </w:rPr>
              <w:t>19.Improving life-long learning for all age groups</w:t>
            </w:r>
          </w:p>
        </w:tc>
        <w:tc>
          <w:tcPr>
            <w:tcW w:w="597" w:type="pct"/>
            <w:noWrap/>
            <w:vAlign w:val="bottom"/>
          </w:tcPr>
          <w:p w:rsidR="003D0E01" w:rsidRPr="00340CAB" w:rsidRDefault="003D0E01" w:rsidP="003D0E01">
            <w:pPr>
              <w:widowControl w:val="0"/>
              <w:spacing w:after="0" w:line="240" w:lineRule="auto"/>
              <w:jc w:val="right"/>
              <w:rPr>
                <w:color w:val="000000"/>
                <w:sz w:val="16"/>
                <w:szCs w:val="16"/>
                <w:lang w:eastAsia="it-IT"/>
              </w:rPr>
            </w:pPr>
          </w:p>
        </w:tc>
        <w:tc>
          <w:tcPr>
            <w:tcW w:w="597" w:type="pct"/>
            <w:noWrap/>
            <w:vAlign w:val="bottom"/>
          </w:tcPr>
          <w:p w:rsidR="003D0E01" w:rsidRPr="00D17F5C" w:rsidRDefault="003D0E01" w:rsidP="003D0E01">
            <w:pPr>
              <w:widowControl w:val="0"/>
              <w:spacing w:after="0" w:line="240" w:lineRule="auto"/>
              <w:jc w:val="right"/>
              <w:rPr>
                <w:color w:val="000000"/>
                <w:sz w:val="16"/>
                <w:szCs w:val="16"/>
                <w:lang w:val="it-IT" w:eastAsia="it-IT"/>
              </w:rPr>
            </w:pPr>
            <w:r w:rsidRPr="00D17F5C">
              <w:rPr>
                <w:color w:val="000000"/>
                <w:sz w:val="16"/>
                <w:szCs w:val="16"/>
                <w:lang w:val="it-IT" w:eastAsia="it-IT"/>
              </w:rPr>
              <w:t>93.9</w:t>
            </w:r>
          </w:p>
        </w:tc>
      </w:tr>
      <w:tr w:rsidR="003D0E01" w:rsidRPr="00F31150" w:rsidTr="003D0E01">
        <w:tc>
          <w:tcPr>
            <w:tcW w:w="3806" w:type="pct"/>
            <w:noWrap/>
            <w:vAlign w:val="bottom"/>
          </w:tcPr>
          <w:p w:rsidR="003D0E01" w:rsidRPr="00340CAB" w:rsidRDefault="003D0E01" w:rsidP="003D0E01">
            <w:pPr>
              <w:widowControl w:val="0"/>
              <w:spacing w:after="0" w:line="240" w:lineRule="auto"/>
              <w:jc w:val="left"/>
              <w:rPr>
                <w:color w:val="000000"/>
                <w:sz w:val="16"/>
                <w:szCs w:val="16"/>
                <w:lang w:eastAsia="it-IT"/>
              </w:rPr>
            </w:pPr>
            <w:r w:rsidRPr="0054221F">
              <w:rPr>
                <w:color w:val="000000"/>
                <w:sz w:val="16"/>
                <w:szCs w:val="16"/>
                <w:lang w:eastAsia="it-IT"/>
              </w:rPr>
              <w:t>20.Improving the LM relevance of education &amp; training systems</w:t>
            </w:r>
          </w:p>
        </w:tc>
        <w:tc>
          <w:tcPr>
            <w:tcW w:w="597" w:type="pct"/>
            <w:noWrap/>
            <w:vAlign w:val="bottom"/>
          </w:tcPr>
          <w:p w:rsidR="003D0E01" w:rsidRPr="00D17F5C" w:rsidRDefault="003D0E01" w:rsidP="003D0E01">
            <w:pPr>
              <w:widowControl w:val="0"/>
              <w:spacing w:after="0" w:line="240" w:lineRule="auto"/>
              <w:jc w:val="right"/>
              <w:rPr>
                <w:color w:val="000000"/>
                <w:sz w:val="16"/>
                <w:szCs w:val="16"/>
                <w:lang w:val="it-IT" w:eastAsia="it-IT"/>
              </w:rPr>
            </w:pPr>
            <w:r w:rsidRPr="00D17F5C">
              <w:rPr>
                <w:color w:val="000000"/>
                <w:sz w:val="16"/>
                <w:szCs w:val="16"/>
                <w:lang w:val="it-IT" w:eastAsia="it-IT"/>
              </w:rPr>
              <w:t>73.9</w:t>
            </w:r>
          </w:p>
        </w:tc>
        <w:tc>
          <w:tcPr>
            <w:tcW w:w="597" w:type="pct"/>
            <w:noWrap/>
            <w:vAlign w:val="bottom"/>
          </w:tcPr>
          <w:p w:rsidR="003D0E01" w:rsidRPr="00D17F5C" w:rsidRDefault="003D0E01" w:rsidP="003D0E01">
            <w:pPr>
              <w:widowControl w:val="0"/>
              <w:spacing w:after="0" w:line="240" w:lineRule="auto"/>
              <w:jc w:val="right"/>
              <w:rPr>
                <w:color w:val="000000"/>
                <w:sz w:val="16"/>
                <w:szCs w:val="16"/>
                <w:lang w:val="it-IT" w:eastAsia="it-IT"/>
              </w:rPr>
            </w:pPr>
            <w:r w:rsidRPr="00D17F5C">
              <w:rPr>
                <w:color w:val="000000"/>
                <w:sz w:val="16"/>
                <w:szCs w:val="16"/>
                <w:lang w:val="it-IT" w:eastAsia="it-IT"/>
              </w:rPr>
              <w:t>92.4</w:t>
            </w:r>
          </w:p>
        </w:tc>
      </w:tr>
      <w:tr w:rsidR="003D0E01" w:rsidRPr="00F31150" w:rsidTr="003D0E01">
        <w:tc>
          <w:tcPr>
            <w:tcW w:w="3806" w:type="pct"/>
            <w:noWrap/>
            <w:vAlign w:val="bottom"/>
          </w:tcPr>
          <w:p w:rsidR="003D0E01" w:rsidRPr="00340CAB" w:rsidRDefault="003D0E01" w:rsidP="003D0E01">
            <w:pPr>
              <w:widowControl w:val="0"/>
              <w:spacing w:after="0" w:line="240" w:lineRule="auto"/>
              <w:jc w:val="left"/>
              <w:rPr>
                <w:color w:val="000000"/>
                <w:sz w:val="16"/>
                <w:szCs w:val="16"/>
                <w:lang w:eastAsia="it-IT"/>
              </w:rPr>
            </w:pPr>
            <w:r w:rsidRPr="0054221F">
              <w:rPr>
                <w:color w:val="000000"/>
                <w:sz w:val="16"/>
                <w:szCs w:val="16"/>
                <w:lang w:eastAsia="it-IT"/>
              </w:rPr>
              <w:t xml:space="preserve">21.Institutional capacity, public administration, justice systems </w:t>
            </w:r>
          </w:p>
        </w:tc>
        <w:tc>
          <w:tcPr>
            <w:tcW w:w="597" w:type="pct"/>
            <w:noWrap/>
            <w:vAlign w:val="bottom"/>
          </w:tcPr>
          <w:p w:rsidR="003D0E01" w:rsidRPr="00D17F5C" w:rsidRDefault="003D0E01" w:rsidP="003D0E01">
            <w:pPr>
              <w:widowControl w:val="0"/>
              <w:spacing w:after="0" w:line="240" w:lineRule="auto"/>
              <w:jc w:val="right"/>
              <w:rPr>
                <w:color w:val="000000"/>
                <w:sz w:val="16"/>
                <w:szCs w:val="16"/>
                <w:lang w:val="it-IT" w:eastAsia="it-IT"/>
              </w:rPr>
            </w:pPr>
            <w:r w:rsidRPr="00D17F5C">
              <w:rPr>
                <w:color w:val="000000"/>
                <w:sz w:val="16"/>
                <w:szCs w:val="16"/>
                <w:lang w:val="it-IT" w:eastAsia="it-IT"/>
              </w:rPr>
              <w:t>64.7</w:t>
            </w:r>
          </w:p>
        </w:tc>
        <w:tc>
          <w:tcPr>
            <w:tcW w:w="597" w:type="pct"/>
            <w:noWrap/>
            <w:vAlign w:val="bottom"/>
          </w:tcPr>
          <w:p w:rsidR="003D0E01" w:rsidRPr="00D17F5C" w:rsidRDefault="003D0E01" w:rsidP="003D0E01">
            <w:pPr>
              <w:widowControl w:val="0"/>
              <w:spacing w:after="0" w:line="240" w:lineRule="auto"/>
              <w:jc w:val="right"/>
              <w:rPr>
                <w:color w:val="000000"/>
                <w:sz w:val="16"/>
                <w:szCs w:val="16"/>
                <w:lang w:val="it-IT" w:eastAsia="it-IT"/>
              </w:rPr>
            </w:pPr>
            <w:r w:rsidRPr="00D17F5C">
              <w:rPr>
                <w:color w:val="000000"/>
                <w:sz w:val="16"/>
                <w:szCs w:val="16"/>
                <w:lang w:val="it-IT" w:eastAsia="it-IT"/>
              </w:rPr>
              <w:t>83.9</w:t>
            </w:r>
          </w:p>
        </w:tc>
      </w:tr>
      <w:tr w:rsidR="003D0E01" w:rsidRPr="00F31150" w:rsidTr="003D0E01">
        <w:tc>
          <w:tcPr>
            <w:tcW w:w="3806" w:type="pct"/>
            <w:tcBorders>
              <w:bottom w:val="single" w:sz="4" w:space="0" w:color="000000"/>
            </w:tcBorders>
            <w:noWrap/>
            <w:vAlign w:val="bottom"/>
          </w:tcPr>
          <w:p w:rsidR="003D0E01" w:rsidRPr="00D17F5C" w:rsidRDefault="003D0E01" w:rsidP="003D0E01">
            <w:pPr>
              <w:widowControl w:val="0"/>
              <w:spacing w:after="0" w:line="240" w:lineRule="auto"/>
              <w:jc w:val="left"/>
              <w:rPr>
                <w:b/>
                <w:color w:val="000000"/>
                <w:sz w:val="16"/>
                <w:szCs w:val="16"/>
                <w:lang w:val="it-IT" w:eastAsia="it-IT"/>
              </w:rPr>
            </w:pPr>
            <w:r w:rsidRPr="00D17F5C">
              <w:rPr>
                <w:b/>
                <w:color w:val="000000"/>
                <w:sz w:val="16"/>
                <w:szCs w:val="16"/>
                <w:lang w:val="it-IT" w:eastAsia="it-IT"/>
              </w:rPr>
              <w:t>Total</w:t>
            </w:r>
          </w:p>
        </w:tc>
        <w:tc>
          <w:tcPr>
            <w:tcW w:w="597" w:type="pct"/>
            <w:tcBorders>
              <w:bottom w:val="single" w:sz="4" w:space="0" w:color="000000"/>
            </w:tcBorders>
            <w:noWrap/>
            <w:vAlign w:val="bottom"/>
          </w:tcPr>
          <w:p w:rsidR="003D0E01" w:rsidRPr="00D17F5C" w:rsidRDefault="003D0E01" w:rsidP="003D0E01">
            <w:pPr>
              <w:widowControl w:val="0"/>
              <w:spacing w:after="0" w:line="240" w:lineRule="auto"/>
              <w:jc w:val="right"/>
              <w:rPr>
                <w:b/>
                <w:color w:val="000000"/>
                <w:sz w:val="16"/>
                <w:szCs w:val="16"/>
                <w:lang w:val="it-IT" w:eastAsia="it-IT"/>
              </w:rPr>
            </w:pPr>
            <w:r w:rsidRPr="00D17F5C">
              <w:rPr>
                <w:b/>
                <w:color w:val="000000"/>
                <w:sz w:val="16"/>
                <w:szCs w:val="16"/>
                <w:lang w:val="it-IT" w:eastAsia="it-IT"/>
              </w:rPr>
              <w:t>86.1</w:t>
            </w:r>
          </w:p>
        </w:tc>
        <w:tc>
          <w:tcPr>
            <w:tcW w:w="597" w:type="pct"/>
            <w:tcBorders>
              <w:bottom w:val="single" w:sz="4" w:space="0" w:color="000000"/>
            </w:tcBorders>
            <w:noWrap/>
            <w:vAlign w:val="bottom"/>
          </w:tcPr>
          <w:p w:rsidR="003D0E01" w:rsidRPr="00D17F5C" w:rsidRDefault="003D0E01" w:rsidP="003D0E01">
            <w:pPr>
              <w:widowControl w:val="0"/>
              <w:spacing w:after="0" w:line="240" w:lineRule="auto"/>
              <w:jc w:val="right"/>
              <w:rPr>
                <w:b/>
                <w:color w:val="000000"/>
                <w:sz w:val="16"/>
                <w:szCs w:val="16"/>
                <w:lang w:val="it-IT" w:eastAsia="it-IT"/>
              </w:rPr>
            </w:pPr>
            <w:r w:rsidRPr="00D17F5C">
              <w:rPr>
                <w:b/>
                <w:color w:val="000000"/>
                <w:sz w:val="16"/>
                <w:szCs w:val="16"/>
                <w:lang w:val="it-IT" w:eastAsia="it-IT"/>
              </w:rPr>
              <w:t>89.4</w:t>
            </w:r>
          </w:p>
        </w:tc>
      </w:tr>
    </w:tbl>
    <w:p w:rsidR="003D0E01" w:rsidRDefault="003D0E01" w:rsidP="003D0E01">
      <w:pPr>
        <w:widowControl w:val="0"/>
        <w:spacing w:after="0" w:line="240" w:lineRule="auto"/>
        <w:rPr>
          <w:sz w:val="16"/>
          <w:szCs w:val="16"/>
        </w:rPr>
      </w:pPr>
      <w:r w:rsidRPr="00A74BA2">
        <w:rPr>
          <w:sz w:val="16"/>
          <w:szCs w:val="16"/>
        </w:rPr>
        <w:t xml:space="preserve">Note: </w:t>
      </w:r>
      <w:r w:rsidRPr="00691DC2">
        <w:rPr>
          <w:sz w:val="16"/>
          <w:szCs w:val="16"/>
        </w:rPr>
        <w:t>For IE and UK data are still provisional. CY, GR, HR, LU, FR</w:t>
      </w:r>
      <w:r>
        <w:rPr>
          <w:sz w:val="16"/>
          <w:szCs w:val="16"/>
        </w:rPr>
        <w:t>, LV</w:t>
      </w:r>
      <w:r w:rsidRPr="00691DC2">
        <w:rPr>
          <w:sz w:val="16"/>
          <w:szCs w:val="16"/>
        </w:rPr>
        <w:t xml:space="preserve"> are missing because data have not yet been processed.</w:t>
      </w:r>
    </w:p>
    <w:p w:rsidR="003D0E01" w:rsidRDefault="003D0E01" w:rsidP="003D0E01">
      <w:pPr>
        <w:widowControl w:val="0"/>
        <w:spacing w:after="0" w:line="240" w:lineRule="auto"/>
        <w:rPr>
          <w:sz w:val="16"/>
          <w:szCs w:val="16"/>
        </w:rPr>
      </w:pPr>
    </w:p>
    <w:p w:rsidR="003D0E01" w:rsidRDefault="003D0E01" w:rsidP="003D0E01">
      <w:pPr>
        <w:widowControl w:val="0"/>
        <w:spacing w:after="0" w:line="240" w:lineRule="auto"/>
        <w:rPr>
          <w:sz w:val="16"/>
          <w:szCs w:val="16"/>
        </w:rPr>
      </w:pPr>
      <w:r w:rsidRPr="00A74BA2">
        <w:rPr>
          <w:sz w:val="16"/>
          <w:szCs w:val="16"/>
        </w:rPr>
        <w:t xml:space="preserve">Source: </w:t>
      </w:r>
      <w:r w:rsidRPr="00691DC2">
        <w:rPr>
          <w:sz w:val="16"/>
          <w:szCs w:val="16"/>
        </w:rPr>
        <w:t>Own calculations on European Commission financial data</w:t>
      </w:r>
    </w:p>
    <w:p w:rsidR="003D0E01" w:rsidRDefault="003D0E01" w:rsidP="003D0E01">
      <w:pPr>
        <w:widowControl w:val="0"/>
        <w:spacing w:after="0" w:line="240" w:lineRule="auto"/>
        <w:rPr>
          <w:sz w:val="16"/>
          <w:szCs w:val="16"/>
        </w:rPr>
      </w:pPr>
    </w:p>
    <w:p w:rsidR="003D0E01" w:rsidRDefault="003D0E01" w:rsidP="003D0E01"/>
    <w:p w:rsidR="009522C0" w:rsidRDefault="009522C0" w:rsidP="009522C0">
      <w:pPr>
        <w:pStyle w:val="Heading3"/>
      </w:pPr>
      <w:bookmarkStart w:id="39" w:name="_Toc466826806"/>
      <w:r>
        <w:t>Financial resources by country</w:t>
      </w:r>
      <w:bookmarkEnd w:id="39"/>
    </w:p>
    <w:p w:rsidR="003D0E01" w:rsidRDefault="0077530A" w:rsidP="003D0E01">
      <w:r>
        <w:t>A</w:t>
      </w:r>
      <w:r w:rsidR="003D0E01">
        <w:t>lmost all countries mobilised more than 80% of total funds (allocated to policy areas where there are CSR</w:t>
      </w:r>
      <w:r w:rsidR="00955272">
        <w:t>/country reports’ recommendations</w:t>
      </w:r>
      <w:r w:rsidR="003D0E01">
        <w:t>)</w:t>
      </w:r>
      <w:r w:rsidRPr="0077530A">
        <w:t xml:space="preserve"> </w:t>
      </w:r>
      <w:r>
        <w:t>t</w:t>
      </w:r>
      <w:r w:rsidRPr="0077530A">
        <w:t>o address structural challenges</w:t>
      </w:r>
      <w:r w:rsidR="003D0E01">
        <w:t>, with the exception of Finland, the Czech Republic, Germany and Sweden, as illustrated in the following table.</w:t>
      </w:r>
    </w:p>
    <w:p w:rsidR="003D0E01" w:rsidRDefault="003D0E01" w:rsidP="003D0E01">
      <w:r>
        <w:t>Other key points which can be highlighted include the following:</w:t>
      </w:r>
    </w:p>
    <w:p w:rsidR="003D0E01" w:rsidRPr="00340CAB" w:rsidRDefault="003D0E01" w:rsidP="003D0E01">
      <w:pPr>
        <w:pStyle w:val="Bulletpoint1"/>
      </w:pPr>
      <w:r w:rsidRPr="0054221F">
        <w:t>As far as access to employment is concerned</w:t>
      </w:r>
      <w:r>
        <w:t>,</w:t>
      </w:r>
      <w:r w:rsidRPr="0054221F">
        <w:t xml:space="preserve"> almost all the countries </w:t>
      </w:r>
      <w:r w:rsidR="00AE70E2" w:rsidRPr="0054221F">
        <w:t>assigned</w:t>
      </w:r>
      <w:r w:rsidRPr="0054221F">
        <w:t xml:space="preserve"> 100% </w:t>
      </w:r>
      <w:r w:rsidR="0077530A">
        <w:t xml:space="preserve">or a significant share </w:t>
      </w:r>
      <w:r w:rsidRPr="0054221F">
        <w:t xml:space="preserve">of resources </w:t>
      </w:r>
      <w:r>
        <w:t>(allocated to policy areas where there are CSR</w:t>
      </w:r>
      <w:r w:rsidR="00955272">
        <w:t>/structural challenges</w:t>
      </w:r>
      <w:r>
        <w:t xml:space="preserve">); </w:t>
      </w:r>
      <w:r w:rsidRPr="0054221F">
        <w:t xml:space="preserve">the only exceptions </w:t>
      </w:r>
      <w:r>
        <w:t>is</w:t>
      </w:r>
      <w:r w:rsidRPr="0054221F">
        <w:t xml:space="preserve"> S</w:t>
      </w:r>
      <w:r w:rsidR="0077530A">
        <w:t>weden which, despite allocating resources to this policy area, did not dedicate any share of them to the CSR</w:t>
      </w:r>
      <w:r w:rsidR="00955272">
        <w:t>/structural challenges</w:t>
      </w:r>
      <w:r w:rsidR="0077530A">
        <w:t xml:space="preserve"> addressing the issue</w:t>
      </w:r>
      <w:r w:rsidRPr="0054221F">
        <w:t>;</w:t>
      </w:r>
    </w:p>
    <w:p w:rsidR="003D0E01" w:rsidRPr="00340CAB" w:rsidRDefault="003D0E01" w:rsidP="003D0E01">
      <w:pPr>
        <w:pStyle w:val="Bulletpoint1"/>
      </w:pPr>
      <w:r w:rsidRPr="0054221F">
        <w:t xml:space="preserve">A high attention was given to the CSRs linked to the labour market integration of young people (all the countries </w:t>
      </w:r>
      <w:r w:rsidR="00AE70E2">
        <w:t xml:space="preserve">assigned </w:t>
      </w:r>
      <w:r w:rsidRPr="0054221F">
        <w:t>100% of the resources</w:t>
      </w:r>
      <w:r w:rsidR="0077530A">
        <w:t xml:space="preserve"> </w:t>
      </w:r>
      <w:r w:rsidR="00AE70E2">
        <w:t>allocated to this policy area</w:t>
      </w:r>
      <w:r w:rsidRPr="0054221F">
        <w:t>);</w:t>
      </w:r>
    </w:p>
    <w:p w:rsidR="003D0E01" w:rsidRPr="00340CAB" w:rsidRDefault="003D0E01" w:rsidP="003D0E01">
      <w:pPr>
        <w:pStyle w:val="Bulletpoint1"/>
      </w:pPr>
      <w:r w:rsidRPr="0054221F">
        <w:t>More varied level</w:t>
      </w:r>
      <w:r>
        <w:t>s</w:t>
      </w:r>
      <w:r w:rsidRPr="0054221F">
        <w:t xml:space="preserve"> of coverage of CSRs</w:t>
      </w:r>
      <w:r w:rsidR="00955272">
        <w:t>/structural challenges</w:t>
      </w:r>
      <w:r w:rsidRPr="0054221F">
        <w:t xml:space="preserve"> </w:t>
      </w:r>
      <w:r w:rsidR="00AE70E2">
        <w:t xml:space="preserve">characterise </w:t>
      </w:r>
      <w:r w:rsidRPr="0054221F">
        <w:t xml:space="preserve">Energy </w:t>
      </w:r>
      <w:r w:rsidR="00AE70E2">
        <w:t xml:space="preserve">(ranging from as little as 7% to a maximum 100% of the resources allocated to this policy area) </w:t>
      </w:r>
      <w:r w:rsidRPr="0054221F">
        <w:t>and Institutional capacity</w:t>
      </w:r>
      <w:r w:rsidR="00AF383F">
        <w:t xml:space="preserve"> (ranging from 0 to 100%)</w:t>
      </w:r>
      <w:r w:rsidRPr="0054221F">
        <w:t>;</w:t>
      </w:r>
    </w:p>
    <w:p w:rsidR="003D0E01" w:rsidRPr="00340CAB" w:rsidRDefault="003D0E01" w:rsidP="003D0E01">
      <w:pPr>
        <w:pStyle w:val="Bulletpoint1"/>
      </w:pPr>
      <w:r w:rsidRPr="0054221F">
        <w:t>In the area of health and long</w:t>
      </w:r>
      <w:r>
        <w:t>-</w:t>
      </w:r>
      <w:r w:rsidRPr="0054221F">
        <w:t>term care</w:t>
      </w:r>
      <w:r>
        <w:t>,</w:t>
      </w:r>
      <w:r w:rsidRPr="0054221F">
        <w:t xml:space="preserve"> half of </w:t>
      </w:r>
      <w:r>
        <w:t xml:space="preserve">the countries did not </w:t>
      </w:r>
      <w:r w:rsidR="00AF383F">
        <w:t xml:space="preserve">mobilise </w:t>
      </w:r>
      <w:r w:rsidRPr="0054221F">
        <w:t>ESI fund</w:t>
      </w:r>
      <w:r>
        <w:t>s</w:t>
      </w:r>
      <w:r w:rsidRPr="0054221F">
        <w:t xml:space="preserve"> to support CSRs</w:t>
      </w:r>
      <w:r w:rsidR="00955272">
        <w:t>/structural challenges</w:t>
      </w:r>
      <w:r w:rsidRPr="0054221F">
        <w:t xml:space="preserve">, although they received specific recommendations on this theme; </w:t>
      </w:r>
    </w:p>
    <w:p w:rsidR="003D0E01" w:rsidRPr="00340CAB" w:rsidRDefault="003D0E01" w:rsidP="003D0E01">
      <w:pPr>
        <w:pStyle w:val="Bulletpoint1"/>
      </w:pPr>
      <w:r w:rsidRPr="0054221F">
        <w:t xml:space="preserve">In </w:t>
      </w:r>
      <w:r w:rsidR="00AF383F">
        <w:t xml:space="preserve">the </w:t>
      </w:r>
      <w:r w:rsidRPr="0054221F">
        <w:t>N</w:t>
      </w:r>
      <w:r w:rsidR="00AF383F">
        <w:t xml:space="preserve">etherlands </w:t>
      </w:r>
      <w:r w:rsidRPr="0054221F">
        <w:t xml:space="preserve">and </w:t>
      </w:r>
      <w:r w:rsidR="00AF383F">
        <w:t xml:space="preserve">in </w:t>
      </w:r>
      <w:r w:rsidRPr="0054221F">
        <w:t>D</w:t>
      </w:r>
      <w:r w:rsidR="00AF383F">
        <w:t>enmark</w:t>
      </w:r>
      <w:r w:rsidRPr="0054221F">
        <w:t>, which receiv</w:t>
      </w:r>
      <w:r w:rsidR="00AF383F">
        <w:t>e</w:t>
      </w:r>
      <w:r w:rsidRPr="0054221F">
        <w:t xml:space="preserve"> a low amount of ESI </w:t>
      </w:r>
      <w:r>
        <w:t>F</w:t>
      </w:r>
      <w:r w:rsidRPr="0054221F">
        <w:t xml:space="preserve">unds, the strategy was to focus only on </w:t>
      </w:r>
      <w:r w:rsidR="00AF383F">
        <w:t>CSRs</w:t>
      </w:r>
      <w:r w:rsidR="00955272">
        <w:t>/structural challenges</w:t>
      </w:r>
      <w:r w:rsidR="00AF383F">
        <w:t xml:space="preserve"> in certain </w:t>
      </w:r>
      <w:r w:rsidRPr="0054221F">
        <w:t>policy areas</w:t>
      </w:r>
      <w:r w:rsidR="00AF383F">
        <w:t>: RDTI, business environment, access to employment, institutional capacity in the Netherlands;  access to employment and LM relevance of education and training in Denmark</w:t>
      </w:r>
      <w:r w:rsidRPr="0054221F">
        <w:t>. This applies also</w:t>
      </w:r>
      <w:r w:rsidR="00AF383F">
        <w:t xml:space="preserve"> to Finland, Germany and Sweden</w:t>
      </w:r>
      <w:r w:rsidRPr="0054221F">
        <w:t>;</w:t>
      </w:r>
    </w:p>
    <w:p w:rsidR="003D0E01" w:rsidRPr="00340CAB" w:rsidRDefault="003D0E01" w:rsidP="003D0E01">
      <w:pPr>
        <w:pStyle w:val="Bulletpoint1"/>
      </w:pPr>
      <w:r w:rsidRPr="0054221F">
        <w:t>Six countries</w:t>
      </w:r>
      <w:r w:rsidR="00AF383F">
        <w:t xml:space="preserve"> (Spain, Hungary, Italy, Portugal, Slovakia and UK)</w:t>
      </w:r>
      <w:r w:rsidRPr="0054221F">
        <w:t xml:space="preserve"> allocated resources in all policy areas where </w:t>
      </w:r>
      <w:r w:rsidR="00955272">
        <w:t>there are</w:t>
      </w:r>
      <w:r w:rsidRPr="0054221F">
        <w:t xml:space="preserve"> CSRs</w:t>
      </w:r>
      <w:r w:rsidR="00955272">
        <w:t>/</w:t>
      </w:r>
      <w:r w:rsidR="009E2F93">
        <w:t xml:space="preserve"> </w:t>
      </w:r>
      <w:r w:rsidR="00955272">
        <w:t>structural challenges</w:t>
      </w:r>
      <w:r w:rsidRPr="0054221F">
        <w:t xml:space="preserve">, although </w:t>
      </w:r>
      <w:r>
        <w:t>to a different extent</w:t>
      </w:r>
      <w:r w:rsidR="00AF383F">
        <w:t xml:space="preserve">; </w:t>
      </w:r>
      <w:r w:rsidRPr="0054221F">
        <w:t>almost all policy areas were also covered in R</w:t>
      </w:r>
      <w:r w:rsidR="00AF383F">
        <w:t>omania, Bulgaria,</w:t>
      </w:r>
      <w:r w:rsidRPr="0054221F">
        <w:t xml:space="preserve"> P</w:t>
      </w:r>
      <w:r w:rsidR="00AF383F">
        <w:t>oland and Slovenia</w:t>
      </w:r>
      <w:r w:rsidRPr="0054221F">
        <w:t xml:space="preserve">. </w:t>
      </w:r>
    </w:p>
    <w:p w:rsidR="003D0E01" w:rsidRDefault="003D0E01" w:rsidP="003D0E01">
      <w:pPr>
        <w:keepNext/>
        <w:spacing w:after="0" w:line="240" w:lineRule="auto"/>
        <w:rPr>
          <w:sz w:val="16"/>
          <w:szCs w:val="16"/>
        </w:rPr>
      </w:pPr>
    </w:p>
    <w:p w:rsidR="003D0E01" w:rsidRDefault="003D0E01" w:rsidP="003D0E01">
      <w:pPr>
        <w:keepNext/>
        <w:spacing w:after="0" w:line="240" w:lineRule="auto"/>
        <w:rPr>
          <w:sz w:val="16"/>
          <w:szCs w:val="16"/>
        </w:rPr>
      </w:pPr>
    </w:p>
    <w:p w:rsidR="003D0E01" w:rsidRDefault="003D0E01" w:rsidP="003D0E01">
      <w:pPr>
        <w:keepNext/>
        <w:spacing w:after="0" w:line="240" w:lineRule="auto"/>
        <w:rPr>
          <w:sz w:val="16"/>
          <w:szCs w:val="16"/>
        </w:rPr>
      </w:pPr>
    </w:p>
    <w:p w:rsidR="00917185" w:rsidRDefault="00917185" w:rsidP="003D0E01">
      <w:pPr>
        <w:pStyle w:val="Caption"/>
        <w:widowControl w:val="0"/>
        <w:sectPr w:rsidR="00917185" w:rsidSect="0061607F">
          <w:pgSz w:w="11907" w:h="16839" w:code="9"/>
          <w:pgMar w:top="1418" w:right="1418" w:bottom="851" w:left="1701" w:header="567" w:footer="720" w:gutter="0"/>
          <w:cols w:space="720"/>
          <w:docGrid w:linePitch="326"/>
        </w:sectPr>
      </w:pPr>
    </w:p>
    <w:p w:rsidR="003D0E01" w:rsidRDefault="003D0E01" w:rsidP="003D0E01">
      <w:pPr>
        <w:pStyle w:val="Caption"/>
        <w:widowControl w:val="0"/>
      </w:pPr>
      <w:r>
        <w:t xml:space="preserve">Table </w:t>
      </w:r>
      <w:r w:rsidR="00C52F7F">
        <w:fldChar w:fldCharType="begin"/>
      </w:r>
      <w:r w:rsidR="00F62F72">
        <w:instrText xml:space="preserve"> SEQ Table \* ARABIC </w:instrText>
      </w:r>
      <w:r w:rsidR="00C52F7F">
        <w:fldChar w:fldCharType="separate"/>
      </w:r>
      <w:r w:rsidR="00183DCC">
        <w:rPr>
          <w:noProof/>
        </w:rPr>
        <w:t>14</w:t>
      </w:r>
      <w:r w:rsidR="00C52F7F">
        <w:rPr>
          <w:noProof/>
        </w:rPr>
        <w:fldChar w:fldCharType="end"/>
      </w:r>
      <w:r>
        <w:t xml:space="preserve"> – Financial resources allocated to CSRs/structural challenges, by country and policy area (%)</w:t>
      </w:r>
    </w:p>
    <w:tbl>
      <w:tblPr>
        <w:tblW w:w="5000" w:type="pct"/>
        <w:tblCellMar>
          <w:left w:w="70" w:type="dxa"/>
          <w:right w:w="70" w:type="dxa"/>
        </w:tblCellMar>
        <w:tblLook w:val="00A0" w:firstRow="1" w:lastRow="0" w:firstColumn="1" w:lastColumn="0" w:noHBand="0" w:noVBand="0"/>
      </w:tblPr>
      <w:tblGrid>
        <w:gridCol w:w="4782"/>
        <w:gridCol w:w="445"/>
        <w:gridCol w:w="448"/>
        <w:gridCol w:w="447"/>
        <w:gridCol w:w="447"/>
        <w:gridCol w:w="447"/>
        <w:gridCol w:w="447"/>
        <w:gridCol w:w="447"/>
        <w:gridCol w:w="447"/>
        <w:gridCol w:w="447"/>
        <w:gridCol w:w="447"/>
        <w:gridCol w:w="497"/>
        <w:gridCol w:w="447"/>
        <w:gridCol w:w="447"/>
        <w:gridCol w:w="447"/>
        <w:gridCol w:w="447"/>
        <w:gridCol w:w="447"/>
        <w:gridCol w:w="447"/>
        <w:gridCol w:w="447"/>
        <w:gridCol w:w="447"/>
        <w:gridCol w:w="524"/>
        <w:gridCol w:w="447"/>
        <w:gridCol w:w="415"/>
      </w:tblGrid>
      <w:tr w:rsidR="003D0E01" w:rsidRPr="00F31150" w:rsidTr="003D0E01">
        <w:trPr>
          <w:trHeight w:val="210"/>
        </w:trPr>
        <w:tc>
          <w:tcPr>
            <w:tcW w:w="1625" w:type="pct"/>
            <w:tcBorders>
              <w:top w:val="single" w:sz="4" w:space="0" w:color="000000"/>
              <w:left w:val="single" w:sz="4" w:space="0" w:color="000000"/>
              <w:bottom w:val="single" w:sz="4" w:space="0" w:color="000000"/>
              <w:right w:val="nil"/>
            </w:tcBorders>
            <w:noWrap/>
            <w:vAlign w:val="bottom"/>
          </w:tcPr>
          <w:p w:rsidR="003D0E01" w:rsidRPr="00340CAB" w:rsidRDefault="003D0E01" w:rsidP="003D0E01">
            <w:pPr>
              <w:spacing w:after="0" w:line="240" w:lineRule="auto"/>
              <w:jc w:val="right"/>
              <w:rPr>
                <w:b/>
                <w:bCs/>
                <w:color w:val="000000"/>
                <w:sz w:val="14"/>
                <w:szCs w:val="14"/>
                <w:lang w:eastAsia="it-IT"/>
              </w:rPr>
            </w:pPr>
            <w:r>
              <w:rPr>
                <w:b/>
                <w:bCs/>
                <w:color w:val="000000"/>
                <w:sz w:val="14"/>
                <w:szCs w:val="14"/>
                <w:lang w:eastAsia="it-IT"/>
              </w:rPr>
              <w:t> </w:t>
            </w:r>
          </w:p>
        </w:tc>
        <w:tc>
          <w:tcPr>
            <w:tcW w:w="151" w:type="pct"/>
            <w:tcBorders>
              <w:top w:val="single" w:sz="4" w:space="0" w:color="000000"/>
              <w:left w:val="nil"/>
              <w:bottom w:val="single" w:sz="4" w:space="0" w:color="000000"/>
              <w:right w:val="nil"/>
            </w:tcBorders>
            <w:noWrap/>
            <w:vAlign w:val="bottom"/>
          </w:tcPr>
          <w:p w:rsidR="003D0E01" w:rsidRPr="009E7686" w:rsidRDefault="003D0E01" w:rsidP="003D0E01">
            <w:pPr>
              <w:spacing w:after="0" w:line="240" w:lineRule="auto"/>
              <w:jc w:val="right"/>
              <w:rPr>
                <w:b/>
                <w:bCs/>
                <w:color w:val="000000"/>
                <w:sz w:val="14"/>
                <w:szCs w:val="14"/>
                <w:lang w:val="it-IT" w:eastAsia="it-IT"/>
              </w:rPr>
            </w:pPr>
            <w:r w:rsidRPr="009E7686">
              <w:rPr>
                <w:b/>
                <w:bCs/>
                <w:color w:val="000000"/>
                <w:sz w:val="14"/>
                <w:szCs w:val="14"/>
                <w:lang w:val="it-IT" w:eastAsia="it-IT"/>
              </w:rPr>
              <w:t>AT</w:t>
            </w:r>
          </w:p>
        </w:tc>
        <w:tc>
          <w:tcPr>
            <w:tcW w:w="152" w:type="pct"/>
            <w:tcBorders>
              <w:top w:val="single" w:sz="4" w:space="0" w:color="000000"/>
              <w:left w:val="nil"/>
              <w:bottom w:val="single" w:sz="4" w:space="0" w:color="000000"/>
              <w:right w:val="nil"/>
            </w:tcBorders>
            <w:noWrap/>
            <w:vAlign w:val="bottom"/>
          </w:tcPr>
          <w:p w:rsidR="003D0E01" w:rsidRPr="009E7686" w:rsidRDefault="003D0E01" w:rsidP="003D0E01">
            <w:pPr>
              <w:spacing w:after="0" w:line="240" w:lineRule="auto"/>
              <w:jc w:val="right"/>
              <w:rPr>
                <w:b/>
                <w:bCs/>
                <w:color w:val="000000"/>
                <w:sz w:val="14"/>
                <w:szCs w:val="14"/>
                <w:lang w:val="it-IT" w:eastAsia="it-IT"/>
              </w:rPr>
            </w:pPr>
            <w:r w:rsidRPr="009E7686">
              <w:rPr>
                <w:b/>
                <w:bCs/>
                <w:color w:val="000000"/>
                <w:sz w:val="14"/>
                <w:szCs w:val="14"/>
                <w:lang w:val="it-IT" w:eastAsia="it-IT"/>
              </w:rPr>
              <w:t>BE</w:t>
            </w:r>
          </w:p>
        </w:tc>
        <w:tc>
          <w:tcPr>
            <w:tcW w:w="152" w:type="pct"/>
            <w:tcBorders>
              <w:top w:val="single" w:sz="4" w:space="0" w:color="000000"/>
              <w:left w:val="nil"/>
              <w:bottom w:val="single" w:sz="4" w:space="0" w:color="000000"/>
              <w:right w:val="nil"/>
            </w:tcBorders>
            <w:noWrap/>
            <w:vAlign w:val="bottom"/>
          </w:tcPr>
          <w:p w:rsidR="003D0E01" w:rsidRPr="009E7686" w:rsidRDefault="003D0E01" w:rsidP="003D0E01">
            <w:pPr>
              <w:spacing w:after="0" w:line="240" w:lineRule="auto"/>
              <w:jc w:val="right"/>
              <w:rPr>
                <w:b/>
                <w:bCs/>
                <w:color w:val="000000"/>
                <w:sz w:val="14"/>
                <w:szCs w:val="14"/>
                <w:lang w:val="it-IT" w:eastAsia="it-IT"/>
              </w:rPr>
            </w:pPr>
            <w:r w:rsidRPr="009E7686">
              <w:rPr>
                <w:b/>
                <w:bCs/>
                <w:color w:val="000000"/>
                <w:sz w:val="14"/>
                <w:szCs w:val="14"/>
                <w:lang w:val="it-IT" w:eastAsia="it-IT"/>
              </w:rPr>
              <w:t>BG</w:t>
            </w:r>
          </w:p>
        </w:tc>
        <w:tc>
          <w:tcPr>
            <w:tcW w:w="152" w:type="pct"/>
            <w:tcBorders>
              <w:top w:val="single" w:sz="4" w:space="0" w:color="000000"/>
              <w:left w:val="nil"/>
              <w:bottom w:val="single" w:sz="4" w:space="0" w:color="000000"/>
              <w:right w:val="nil"/>
            </w:tcBorders>
            <w:noWrap/>
            <w:vAlign w:val="bottom"/>
          </w:tcPr>
          <w:p w:rsidR="003D0E01" w:rsidRPr="009E7686" w:rsidRDefault="003D0E01" w:rsidP="003D0E01">
            <w:pPr>
              <w:spacing w:after="0" w:line="240" w:lineRule="auto"/>
              <w:jc w:val="right"/>
              <w:rPr>
                <w:b/>
                <w:bCs/>
                <w:color w:val="000000"/>
                <w:sz w:val="14"/>
                <w:szCs w:val="14"/>
                <w:lang w:val="it-IT" w:eastAsia="it-IT"/>
              </w:rPr>
            </w:pPr>
            <w:r w:rsidRPr="009E7686">
              <w:rPr>
                <w:b/>
                <w:bCs/>
                <w:color w:val="000000"/>
                <w:sz w:val="14"/>
                <w:szCs w:val="14"/>
                <w:lang w:val="it-IT" w:eastAsia="it-IT"/>
              </w:rPr>
              <w:t>CZ</w:t>
            </w:r>
          </w:p>
        </w:tc>
        <w:tc>
          <w:tcPr>
            <w:tcW w:w="152" w:type="pct"/>
            <w:tcBorders>
              <w:top w:val="single" w:sz="4" w:space="0" w:color="000000"/>
              <w:left w:val="nil"/>
              <w:bottom w:val="single" w:sz="4" w:space="0" w:color="000000"/>
              <w:right w:val="nil"/>
            </w:tcBorders>
            <w:noWrap/>
            <w:vAlign w:val="bottom"/>
          </w:tcPr>
          <w:p w:rsidR="003D0E01" w:rsidRPr="009E7686" w:rsidRDefault="003D0E01" w:rsidP="003D0E01">
            <w:pPr>
              <w:spacing w:after="0" w:line="240" w:lineRule="auto"/>
              <w:jc w:val="right"/>
              <w:rPr>
                <w:b/>
                <w:bCs/>
                <w:color w:val="000000"/>
                <w:sz w:val="14"/>
                <w:szCs w:val="14"/>
                <w:lang w:val="it-IT" w:eastAsia="it-IT"/>
              </w:rPr>
            </w:pPr>
            <w:r w:rsidRPr="009E7686">
              <w:rPr>
                <w:b/>
                <w:bCs/>
                <w:color w:val="000000"/>
                <w:sz w:val="14"/>
                <w:szCs w:val="14"/>
                <w:lang w:val="it-IT" w:eastAsia="it-IT"/>
              </w:rPr>
              <w:t>DE</w:t>
            </w:r>
          </w:p>
        </w:tc>
        <w:tc>
          <w:tcPr>
            <w:tcW w:w="152" w:type="pct"/>
            <w:tcBorders>
              <w:top w:val="single" w:sz="4" w:space="0" w:color="000000"/>
              <w:left w:val="nil"/>
              <w:bottom w:val="single" w:sz="4" w:space="0" w:color="000000"/>
              <w:right w:val="nil"/>
            </w:tcBorders>
            <w:noWrap/>
            <w:vAlign w:val="bottom"/>
          </w:tcPr>
          <w:p w:rsidR="003D0E01" w:rsidRPr="009E7686" w:rsidRDefault="003D0E01" w:rsidP="003D0E01">
            <w:pPr>
              <w:spacing w:after="0" w:line="240" w:lineRule="auto"/>
              <w:jc w:val="right"/>
              <w:rPr>
                <w:b/>
                <w:bCs/>
                <w:color w:val="000000"/>
                <w:sz w:val="14"/>
                <w:szCs w:val="14"/>
                <w:lang w:val="it-IT" w:eastAsia="it-IT"/>
              </w:rPr>
            </w:pPr>
            <w:r w:rsidRPr="009E7686">
              <w:rPr>
                <w:b/>
                <w:bCs/>
                <w:color w:val="000000"/>
                <w:sz w:val="14"/>
                <w:szCs w:val="14"/>
                <w:lang w:val="it-IT" w:eastAsia="it-IT"/>
              </w:rPr>
              <w:t>DK</w:t>
            </w:r>
          </w:p>
        </w:tc>
        <w:tc>
          <w:tcPr>
            <w:tcW w:w="152" w:type="pct"/>
            <w:tcBorders>
              <w:top w:val="single" w:sz="4" w:space="0" w:color="000000"/>
              <w:left w:val="nil"/>
              <w:bottom w:val="single" w:sz="4" w:space="0" w:color="000000"/>
              <w:right w:val="nil"/>
            </w:tcBorders>
            <w:noWrap/>
            <w:vAlign w:val="bottom"/>
          </w:tcPr>
          <w:p w:rsidR="003D0E01" w:rsidRPr="009E7686" w:rsidRDefault="003D0E01" w:rsidP="003D0E01">
            <w:pPr>
              <w:spacing w:after="0" w:line="240" w:lineRule="auto"/>
              <w:jc w:val="right"/>
              <w:rPr>
                <w:b/>
                <w:bCs/>
                <w:color w:val="000000"/>
                <w:sz w:val="14"/>
                <w:szCs w:val="14"/>
                <w:lang w:val="it-IT" w:eastAsia="it-IT"/>
              </w:rPr>
            </w:pPr>
            <w:r w:rsidRPr="009E7686">
              <w:rPr>
                <w:b/>
                <w:bCs/>
                <w:color w:val="000000"/>
                <w:sz w:val="14"/>
                <w:szCs w:val="14"/>
                <w:lang w:val="it-IT" w:eastAsia="it-IT"/>
              </w:rPr>
              <w:t>EE</w:t>
            </w:r>
          </w:p>
        </w:tc>
        <w:tc>
          <w:tcPr>
            <w:tcW w:w="152" w:type="pct"/>
            <w:tcBorders>
              <w:top w:val="single" w:sz="4" w:space="0" w:color="000000"/>
              <w:left w:val="nil"/>
              <w:bottom w:val="single" w:sz="4" w:space="0" w:color="000000"/>
              <w:right w:val="nil"/>
            </w:tcBorders>
            <w:noWrap/>
            <w:vAlign w:val="bottom"/>
          </w:tcPr>
          <w:p w:rsidR="003D0E01" w:rsidRPr="009E7686" w:rsidRDefault="003D0E01" w:rsidP="003D0E01">
            <w:pPr>
              <w:spacing w:after="0" w:line="240" w:lineRule="auto"/>
              <w:jc w:val="right"/>
              <w:rPr>
                <w:b/>
                <w:bCs/>
                <w:color w:val="000000"/>
                <w:sz w:val="14"/>
                <w:szCs w:val="14"/>
                <w:lang w:val="it-IT" w:eastAsia="it-IT"/>
              </w:rPr>
            </w:pPr>
            <w:r w:rsidRPr="009E7686">
              <w:rPr>
                <w:b/>
                <w:bCs/>
                <w:color w:val="000000"/>
                <w:sz w:val="14"/>
                <w:szCs w:val="14"/>
                <w:lang w:val="it-IT" w:eastAsia="it-IT"/>
              </w:rPr>
              <w:t>ES</w:t>
            </w:r>
          </w:p>
        </w:tc>
        <w:tc>
          <w:tcPr>
            <w:tcW w:w="152" w:type="pct"/>
            <w:tcBorders>
              <w:top w:val="single" w:sz="4" w:space="0" w:color="000000"/>
              <w:left w:val="nil"/>
              <w:bottom w:val="single" w:sz="4" w:space="0" w:color="000000"/>
              <w:right w:val="nil"/>
            </w:tcBorders>
            <w:noWrap/>
            <w:vAlign w:val="bottom"/>
          </w:tcPr>
          <w:p w:rsidR="003D0E01" w:rsidRPr="009E7686" w:rsidRDefault="003D0E01" w:rsidP="003D0E01">
            <w:pPr>
              <w:spacing w:after="0" w:line="240" w:lineRule="auto"/>
              <w:jc w:val="right"/>
              <w:rPr>
                <w:b/>
                <w:bCs/>
                <w:color w:val="000000"/>
                <w:sz w:val="14"/>
                <w:szCs w:val="14"/>
                <w:lang w:val="it-IT" w:eastAsia="it-IT"/>
              </w:rPr>
            </w:pPr>
            <w:r w:rsidRPr="009E7686">
              <w:rPr>
                <w:b/>
                <w:bCs/>
                <w:color w:val="000000"/>
                <w:sz w:val="14"/>
                <w:szCs w:val="14"/>
                <w:lang w:val="it-IT" w:eastAsia="it-IT"/>
              </w:rPr>
              <w:t>FI</w:t>
            </w:r>
          </w:p>
        </w:tc>
        <w:tc>
          <w:tcPr>
            <w:tcW w:w="152" w:type="pct"/>
            <w:tcBorders>
              <w:top w:val="single" w:sz="4" w:space="0" w:color="000000"/>
              <w:left w:val="nil"/>
              <w:bottom w:val="single" w:sz="4" w:space="0" w:color="000000"/>
              <w:right w:val="nil"/>
            </w:tcBorders>
            <w:noWrap/>
            <w:vAlign w:val="bottom"/>
          </w:tcPr>
          <w:p w:rsidR="003D0E01" w:rsidRPr="009E7686" w:rsidRDefault="003D0E01" w:rsidP="003D0E01">
            <w:pPr>
              <w:spacing w:after="0" w:line="240" w:lineRule="auto"/>
              <w:jc w:val="right"/>
              <w:rPr>
                <w:b/>
                <w:bCs/>
                <w:color w:val="000000"/>
                <w:sz w:val="14"/>
                <w:szCs w:val="14"/>
                <w:lang w:val="it-IT" w:eastAsia="it-IT"/>
              </w:rPr>
            </w:pPr>
            <w:r w:rsidRPr="009E7686">
              <w:rPr>
                <w:b/>
                <w:bCs/>
                <w:color w:val="000000"/>
                <w:sz w:val="14"/>
                <w:szCs w:val="14"/>
                <w:lang w:val="it-IT" w:eastAsia="it-IT"/>
              </w:rPr>
              <w:t>HU</w:t>
            </w:r>
          </w:p>
        </w:tc>
        <w:tc>
          <w:tcPr>
            <w:tcW w:w="169" w:type="pct"/>
            <w:tcBorders>
              <w:top w:val="single" w:sz="4" w:space="0" w:color="000000"/>
              <w:left w:val="nil"/>
              <w:bottom w:val="single" w:sz="4" w:space="0" w:color="000000"/>
              <w:right w:val="nil"/>
            </w:tcBorders>
            <w:noWrap/>
            <w:vAlign w:val="bottom"/>
          </w:tcPr>
          <w:p w:rsidR="003D0E01" w:rsidRPr="009E7686" w:rsidRDefault="003D0E01" w:rsidP="003D0E01">
            <w:pPr>
              <w:spacing w:after="0" w:line="240" w:lineRule="auto"/>
              <w:jc w:val="right"/>
              <w:rPr>
                <w:b/>
                <w:bCs/>
                <w:color w:val="000000"/>
                <w:sz w:val="14"/>
                <w:szCs w:val="14"/>
                <w:lang w:val="it-IT" w:eastAsia="it-IT"/>
              </w:rPr>
            </w:pPr>
            <w:r w:rsidRPr="009E7686">
              <w:rPr>
                <w:b/>
                <w:bCs/>
                <w:color w:val="000000"/>
                <w:sz w:val="14"/>
                <w:szCs w:val="14"/>
                <w:lang w:val="it-IT" w:eastAsia="it-IT"/>
              </w:rPr>
              <w:t>IE</w:t>
            </w:r>
          </w:p>
        </w:tc>
        <w:tc>
          <w:tcPr>
            <w:tcW w:w="152" w:type="pct"/>
            <w:tcBorders>
              <w:top w:val="single" w:sz="4" w:space="0" w:color="000000"/>
              <w:left w:val="nil"/>
              <w:bottom w:val="single" w:sz="4" w:space="0" w:color="000000"/>
              <w:right w:val="nil"/>
            </w:tcBorders>
            <w:noWrap/>
            <w:vAlign w:val="bottom"/>
          </w:tcPr>
          <w:p w:rsidR="003D0E01" w:rsidRPr="009E7686" w:rsidRDefault="003D0E01" w:rsidP="003D0E01">
            <w:pPr>
              <w:spacing w:after="0" w:line="240" w:lineRule="auto"/>
              <w:jc w:val="right"/>
              <w:rPr>
                <w:b/>
                <w:bCs/>
                <w:color w:val="000000"/>
                <w:sz w:val="14"/>
                <w:szCs w:val="14"/>
                <w:lang w:val="it-IT" w:eastAsia="it-IT"/>
              </w:rPr>
            </w:pPr>
            <w:r w:rsidRPr="009E7686">
              <w:rPr>
                <w:b/>
                <w:bCs/>
                <w:color w:val="000000"/>
                <w:sz w:val="14"/>
                <w:szCs w:val="14"/>
                <w:lang w:val="it-IT" w:eastAsia="it-IT"/>
              </w:rPr>
              <w:t>IT</w:t>
            </w:r>
          </w:p>
        </w:tc>
        <w:tc>
          <w:tcPr>
            <w:tcW w:w="152" w:type="pct"/>
            <w:tcBorders>
              <w:top w:val="single" w:sz="4" w:space="0" w:color="000000"/>
              <w:left w:val="nil"/>
              <w:bottom w:val="single" w:sz="4" w:space="0" w:color="000000"/>
              <w:right w:val="nil"/>
            </w:tcBorders>
            <w:noWrap/>
            <w:vAlign w:val="bottom"/>
          </w:tcPr>
          <w:p w:rsidR="003D0E01" w:rsidRPr="009E7686" w:rsidRDefault="003D0E01" w:rsidP="003D0E01">
            <w:pPr>
              <w:spacing w:after="0" w:line="240" w:lineRule="auto"/>
              <w:jc w:val="right"/>
              <w:rPr>
                <w:b/>
                <w:bCs/>
                <w:color w:val="000000"/>
                <w:sz w:val="14"/>
                <w:szCs w:val="14"/>
                <w:lang w:val="it-IT" w:eastAsia="it-IT"/>
              </w:rPr>
            </w:pPr>
            <w:r w:rsidRPr="009E7686">
              <w:rPr>
                <w:b/>
                <w:bCs/>
                <w:color w:val="000000"/>
                <w:sz w:val="14"/>
                <w:szCs w:val="14"/>
                <w:lang w:val="it-IT" w:eastAsia="it-IT"/>
              </w:rPr>
              <w:t>LT</w:t>
            </w:r>
          </w:p>
        </w:tc>
        <w:tc>
          <w:tcPr>
            <w:tcW w:w="152" w:type="pct"/>
            <w:tcBorders>
              <w:top w:val="single" w:sz="4" w:space="0" w:color="000000"/>
              <w:left w:val="nil"/>
              <w:bottom w:val="single" w:sz="4" w:space="0" w:color="000000"/>
              <w:right w:val="nil"/>
            </w:tcBorders>
            <w:noWrap/>
            <w:vAlign w:val="bottom"/>
          </w:tcPr>
          <w:p w:rsidR="003D0E01" w:rsidRPr="009E7686" w:rsidRDefault="003D0E01" w:rsidP="003D0E01">
            <w:pPr>
              <w:spacing w:after="0" w:line="240" w:lineRule="auto"/>
              <w:jc w:val="right"/>
              <w:rPr>
                <w:b/>
                <w:bCs/>
                <w:color w:val="000000"/>
                <w:sz w:val="14"/>
                <w:szCs w:val="14"/>
                <w:lang w:val="it-IT" w:eastAsia="it-IT"/>
              </w:rPr>
            </w:pPr>
            <w:r w:rsidRPr="009E7686">
              <w:rPr>
                <w:b/>
                <w:bCs/>
                <w:color w:val="000000"/>
                <w:sz w:val="14"/>
                <w:szCs w:val="14"/>
                <w:lang w:val="it-IT" w:eastAsia="it-IT"/>
              </w:rPr>
              <w:t>MT</w:t>
            </w:r>
          </w:p>
        </w:tc>
        <w:tc>
          <w:tcPr>
            <w:tcW w:w="152" w:type="pct"/>
            <w:tcBorders>
              <w:top w:val="single" w:sz="4" w:space="0" w:color="000000"/>
              <w:left w:val="nil"/>
              <w:bottom w:val="single" w:sz="4" w:space="0" w:color="000000"/>
              <w:right w:val="nil"/>
            </w:tcBorders>
            <w:noWrap/>
            <w:vAlign w:val="bottom"/>
          </w:tcPr>
          <w:p w:rsidR="003D0E01" w:rsidRPr="009E7686" w:rsidRDefault="003D0E01" w:rsidP="003D0E01">
            <w:pPr>
              <w:spacing w:after="0" w:line="240" w:lineRule="auto"/>
              <w:jc w:val="right"/>
              <w:rPr>
                <w:b/>
                <w:bCs/>
                <w:color w:val="000000"/>
                <w:sz w:val="14"/>
                <w:szCs w:val="14"/>
                <w:lang w:val="it-IT" w:eastAsia="it-IT"/>
              </w:rPr>
            </w:pPr>
            <w:r w:rsidRPr="009E7686">
              <w:rPr>
                <w:b/>
                <w:bCs/>
                <w:color w:val="000000"/>
                <w:sz w:val="14"/>
                <w:szCs w:val="14"/>
                <w:lang w:val="it-IT" w:eastAsia="it-IT"/>
              </w:rPr>
              <w:t>NL</w:t>
            </w:r>
          </w:p>
        </w:tc>
        <w:tc>
          <w:tcPr>
            <w:tcW w:w="152" w:type="pct"/>
            <w:tcBorders>
              <w:top w:val="single" w:sz="4" w:space="0" w:color="000000"/>
              <w:left w:val="nil"/>
              <w:bottom w:val="single" w:sz="4" w:space="0" w:color="000000"/>
              <w:right w:val="nil"/>
            </w:tcBorders>
            <w:noWrap/>
            <w:vAlign w:val="bottom"/>
          </w:tcPr>
          <w:p w:rsidR="003D0E01" w:rsidRPr="009E7686" w:rsidRDefault="003D0E01" w:rsidP="003D0E01">
            <w:pPr>
              <w:spacing w:after="0" w:line="240" w:lineRule="auto"/>
              <w:jc w:val="right"/>
              <w:rPr>
                <w:b/>
                <w:bCs/>
                <w:color w:val="000000"/>
                <w:sz w:val="14"/>
                <w:szCs w:val="14"/>
                <w:lang w:val="it-IT" w:eastAsia="it-IT"/>
              </w:rPr>
            </w:pPr>
            <w:r w:rsidRPr="009E7686">
              <w:rPr>
                <w:b/>
                <w:bCs/>
                <w:color w:val="000000"/>
                <w:sz w:val="14"/>
                <w:szCs w:val="14"/>
                <w:lang w:val="it-IT" w:eastAsia="it-IT"/>
              </w:rPr>
              <w:t>PL</w:t>
            </w:r>
          </w:p>
        </w:tc>
        <w:tc>
          <w:tcPr>
            <w:tcW w:w="152" w:type="pct"/>
            <w:tcBorders>
              <w:top w:val="single" w:sz="4" w:space="0" w:color="000000"/>
              <w:left w:val="nil"/>
              <w:bottom w:val="single" w:sz="4" w:space="0" w:color="000000"/>
              <w:right w:val="nil"/>
            </w:tcBorders>
            <w:noWrap/>
            <w:vAlign w:val="bottom"/>
          </w:tcPr>
          <w:p w:rsidR="003D0E01" w:rsidRPr="009E7686" w:rsidRDefault="003D0E01" w:rsidP="003D0E01">
            <w:pPr>
              <w:spacing w:after="0" w:line="240" w:lineRule="auto"/>
              <w:jc w:val="right"/>
              <w:rPr>
                <w:b/>
                <w:bCs/>
                <w:color w:val="000000"/>
                <w:sz w:val="14"/>
                <w:szCs w:val="14"/>
                <w:lang w:val="it-IT" w:eastAsia="it-IT"/>
              </w:rPr>
            </w:pPr>
            <w:r w:rsidRPr="009E7686">
              <w:rPr>
                <w:b/>
                <w:bCs/>
                <w:color w:val="000000"/>
                <w:sz w:val="14"/>
                <w:szCs w:val="14"/>
                <w:lang w:val="it-IT" w:eastAsia="it-IT"/>
              </w:rPr>
              <w:t>PT</w:t>
            </w:r>
          </w:p>
        </w:tc>
        <w:tc>
          <w:tcPr>
            <w:tcW w:w="152" w:type="pct"/>
            <w:tcBorders>
              <w:top w:val="single" w:sz="4" w:space="0" w:color="000000"/>
              <w:left w:val="nil"/>
              <w:bottom w:val="single" w:sz="4" w:space="0" w:color="000000"/>
              <w:right w:val="nil"/>
            </w:tcBorders>
            <w:noWrap/>
            <w:vAlign w:val="bottom"/>
          </w:tcPr>
          <w:p w:rsidR="003D0E01" w:rsidRPr="009E7686" w:rsidRDefault="003D0E01" w:rsidP="003D0E01">
            <w:pPr>
              <w:spacing w:after="0" w:line="240" w:lineRule="auto"/>
              <w:jc w:val="right"/>
              <w:rPr>
                <w:b/>
                <w:bCs/>
                <w:color w:val="000000"/>
                <w:sz w:val="14"/>
                <w:szCs w:val="14"/>
                <w:lang w:val="it-IT" w:eastAsia="it-IT"/>
              </w:rPr>
            </w:pPr>
            <w:r w:rsidRPr="009E7686">
              <w:rPr>
                <w:b/>
                <w:bCs/>
                <w:color w:val="000000"/>
                <w:sz w:val="14"/>
                <w:szCs w:val="14"/>
                <w:lang w:val="it-IT" w:eastAsia="it-IT"/>
              </w:rPr>
              <w:t>RO</w:t>
            </w:r>
          </w:p>
        </w:tc>
        <w:tc>
          <w:tcPr>
            <w:tcW w:w="152" w:type="pct"/>
            <w:tcBorders>
              <w:top w:val="single" w:sz="4" w:space="0" w:color="000000"/>
              <w:left w:val="nil"/>
              <w:bottom w:val="single" w:sz="4" w:space="0" w:color="000000"/>
              <w:right w:val="nil"/>
            </w:tcBorders>
            <w:noWrap/>
            <w:vAlign w:val="bottom"/>
          </w:tcPr>
          <w:p w:rsidR="003D0E01" w:rsidRPr="009E7686" w:rsidRDefault="003D0E01" w:rsidP="003D0E01">
            <w:pPr>
              <w:spacing w:after="0" w:line="240" w:lineRule="auto"/>
              <w:jc w:val="right"/>
              <w:rPr>
                <w:b/>
                <w:bCs/>
                <w:color w:val="000000"/>
                <w:sz w:val="14"/>
                <w:szCs w:val="14"/>
                <w:lang w:val="it-IT" w:eastAsia="it-IT"/>
              </w:rPr>
            </w:pPr>
            <w:r w:rsidRPr="009E7686">
              <w:rPr>
                <w:b/>
                <w:bCs/>
                <w:color w:val="000000"/>
                <w:sz w:val="14"/>
                <w:szCs w:val="14"/>
                <w:lang w:val="it-IT" w:eastAsia="it-IT"/>
              </w:rPr>
              <w:t>SE</w:t>
            </w:r>
          </w:p>
        </w:tc>
        <w:tc>
          <w:tcPr>
            <w:tcW w:w="178" w:type="pct"/>
            <w:tcBorders>
              <w:top w:val="single" w:sz="4" w:space="0" w:color="000000"/>
              <w:left w:val="nil"/>
              <w:bottom w:val="single" w:sz="4" w:space="0" w:color="000000"/>
              <w:right w:val="nil"/>
            </w:tcBorders>
            <w:noWrap/>
            <w:vAlign w:val="bottom"/>
          </w:tcPr>
          <w:p w:rsidR="003D0E01" w:rsidRPr="009E7686" w:rsidRDefault="003D0E01" w:rsidP="003D0E01">
            <w:pPr>
              <w:spacing w:after="0" w:line="240" w:lineRule="auto"/>
              <w:jc w:val="right"/>
              <w:rPr>
                <w:b/>
                <w:bCs/>
                <w:color w:val="000000"/>
                <w:sz w:val="14"/>
                <w:szCs w:val="14"/>
                <w:lang w:val="it-IT" w:eastAsia="it-IT"/>
              </w:rPr>
            </w:pPr>
            <w:r w:rsidRPr="009E7686">
              <w:rPr>
                <w:b/>
                <w:bCs/>
                <w:color w:val="000000"/>
                <w:sz w:val="14"/>
                <w:szCs w:val="14"/>
                <w:lang w:val="it-IT" w:eastAsia="it-IT"/>
              </w:rPr>
              <w:t>SI</w:t>
            </w:r>
          </w:p>
        </w:tc>
        <w:tc>
          <w:tcPr>
            <w:tcW w:w="152" w:type="pct"/>
            <w:tcBorders>
              <w:top w:val="single" w:sz="4" w:space="0" w:color="000000"/>
              <w:left w:val="nil"/>
              <w:bottom w:val="single" w:sz="4" w:space="0" w:color="000000"/>
              <w:right w:val="nil"/>
            </w:tcBorders>
            <w:noWrap/>
            <w:vAlign w:val="bottom"/>
          </w:tcPr>
          <w:p w:rsidR="003D0E01" w:rsidRPr="009E7686" w:rsidRDefault="003D0E01" w:rsidP="003D0E01">
            <w:pPr>
              <w:spacing w:after="0" w:line="240" w:lineRule="auto"/>
              <w:jc w:val="right"/>
              <w:rPr>
                <w:b/>
                <w:bCs/>
                <w:color w:val="000000"/>
                <w:sz w:val="14"/>
                <w:szCs w:val="14"/>
                <w:lang w:val="it-IT" w:eastAsia="it-IT"/>
              </w:rPr>
            </w:pPr>
            <w:r w:rsidRPr="009E7686">
              <w:rPr>
                <w:b/>
                <w:bCs/>
                <w:color w:val="000000"/>
                <w:sz w:val="14"/>
                <w:szCs w:val="14"/>
                <w:lang w:val="it-IT" w:eastAsia="it-IT"/>
              </w:rPr>
              <w:t>SK</w:t>
            </w:r>
          </w:p>
        </w:tc>
        <w:tc>
          <w:tcPr>
            <w:tcW w:w="143" w:type="pct"/>
            <w:tcBorders>
              <w:top w:val="single" w:sz="4" w:space="0" w:color="000000"/>
              <w:left w:val="nil"/>
              <w:bottom w:val="single" w:sz="4" w:space="0" w:color="000000"/>
              <w:right w:val="single" w:sz="4" w:space="0" w:color="000000"/>
            </w:tcBorders>
            <w:noWrap/>
            <w:vAlign w:val="bottom"/>
          </w:tcPr>
          <w:p w:rsidR="003D0E01" w:rsidRPr="009E7686" w:rsidRDefault="003D0E01" w:rsidP="003D0E01">
            <w:pPr>
              <w:spacing w:after="0" w:line="240" w:lineRule="auto"/>
              <w:jc w:val="right"/>
              <w:rPr>
                <w:b/>
                <w:bCs/>
                <w:color w:val="000000"/>
                <w:sz w:val="14"/>
                <w:szCs w:val="14"/>
                <w:lang w:val="it-IT" w:eastAsia="it-IT"/>
              </w:rPr>
            </w:pPr>
            <w:r w:rsidRPr="009E7686">
              <w:rPr>
                <w:b/>
                <w:bCs/>
                <w:color w:val="000000"/>
                <w:sz w:val="14"/>
                <w:szCs w:val="14"/>
                <w:lang w:val="it-IT" w:eastAsia="it-IT"/>
              </w:rPr>
              <w:t>UK</w:t>
            </w:r>
          </w:p>
        </w:tc>
      </w:tr>
      <w:tr w:rsidR="003D0E01" w:rsidRPr="00F31150" w:rsidTr="003D0E01">
        <w:trPr>
          <w:trHeight w:val="210"/>
        </w:trPr>
        <w:tc>
          <w:tcPr>
            <w:tcW w:w="1625" w:type="pct"/>
            <w:tcBorders>
              <w:top w:val="single" w:sz="4" w:space="0" w:color="000000"/>
              <w:left w:val="single" w:sz="4" w:space="0" w:color="000000"/>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r w:rsidRPr="009E7686">
              <w:rPr>
                <w:color w:val="000000"/>
                <w:sz w:val="14"/>
                <w:szCs w:val="14"/>
                <w:lang w:val="it-IT" w:eastAsia="it-IT"/>
              </w:rPr>
              <w:t>1.RTDI</w:t>
            </w:r>
          </w:p>
        </w:tc>
        <w:tc>
          <w:tcPr>
            <w:tcW w:w="151" w:type="pct"/>
            <w:tcBorders>
              <w:top w:val="single" w:sz="4" w:space="0" w:color="000000"/>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single" w:sz="4" w:space="0" w:color="000000"/>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single" w:sz="4" w:space="0" w:color="000000"/>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single" w:sz="4" w:space="0" w:color="000000"/>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39</w:t>
            </w:r>
          </w:p>
        </w:tc>
        <w:tc>
          <w:tcPr>
            <w:tcW w:w="152" w:type="pct"/>
            <w:tcBorders>
              <w:top w:val="single" w:sz="4" w:space="0" w:color="000000"/>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93</w:t>
            </w:r>
          </w:p>
        </w:tc>
        <w:tc>
          <w:tcPr>
            <w:tcW w:w="152" w:type="pct"/>
            <w:tcBorders>
              <w:top w:val="single" w:sz="4" w:space="0" w:color="000000"/>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single" w:sz="4" w:space="0" w:color="000000"/>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single" w:sz="4" w:space="0" w:color="000000"/>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96</w:t>
            </w:r>
          </w:p>
        </w:tc>
        <w:tc>
          <w:tcPr>
            <w:tcW w:w="152" w:type="pct"/>
            <w:tcBorders>
              <w:top w:val="single" w:sz="4" w:space="0" w:color="000000"/>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single" w:sz="4" w:space="0" w:color="000000"/>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69" w:type="pct"/>
            <w:tcBorders>
              <w:top w:val="single" w:sz="4" w:space="0" w:color="000000"/>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single" w:sz="4" w:space="0" w:color="000000"/>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single" w:sz="4" w:space="0" w:color="000000"/>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single" w:sz="4" w:space="0" w:color="000000"/>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single" w:sz="4" w:space="0" w:color="000000"/>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single" w:sz="4" w:space="0" w:color="000000"/>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single" w:sz="4" w:space="0" w:color="000000"/>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single" w:sz="4" w:space="0" w:color="000000"/>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single" w:sz="4" w:space="0" w:color="000000"/>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27</w:t>
            </w:r>
          </w:p>
        </w:tc>
        <w:tc>
          <w:tcPr>
            <w:tcW w:w="178" w:type="pct"/>
            <w:tcBorders>
              <w:top w:val="single" w:sz="4" w:space="0" w:color="000000"/>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single" w:sz="4" w:space="0" w:color="000000"/>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43" w:type="pct"/>
            <w:tcBorders>
              <w:top w:val="single" w:sz="4" w:space="0" w:color="000000"/>
              <w:left w:val="nil"/>
              <w:bottom w:val="nil"/>
              <w:right w:val="single" w:sz="4" w:space="0" w:color="000000"/>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r>
      <w:tr w:rsidR="003D0E01" w:rsidRPr="00F31150" w:rsidTr="003D0E01">
        <w:trPr>
          <w:trHeight w:val="210"/>
        </w:trPr>
        <w:tc>
          <w:tcPr>
            <w:tcW w:w="1625" w:type="pct"/>
            <w:tcBorders>
              <w:top w:val="nil"/>
              <w:left w:val="single" w:sz="4" w:space="0" w:color="000000"/>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r w:rsidRPr="009E7686">
              <w:rPr>
                <w:color w:val="000000"/>
                <w:sz w:val="14"/>
                <w:szCs w:val="14"/>
                <w:lang w:val="it-IT" w:eastAsia="it-IT"/>
              </w:rPr>
              <w:t>2.Business Environment</w:t>
            </w:r>
          </w:p>
        </w:tc>
        <w:tc>
          <w:tcPr>
            <w:tcW w:w="151"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83</w:t>
            </w:r>
          </w:p>
        </w:tc>
        <w:tc>
          <w:tcPr>
            <w:tcW w:w="169"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94</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27</w:t>
            </w:r>
          </w:p>
        </w:tc>
        <w:tc>
          <w:tcPr>
            <w:tcW w:w="178"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62</w:t>
            </w:r>
          </w:p>
        </w:tc>
        <w:tc>
          <w:tcPr>
            <w:tcW w:w="143" w:type="pct"/>
            <w:tcBorders>
              <w:top w:val="nil"/>
              <w:left w:val="nil"/>
              <w:bottom w:val="nil"/>
              <w:right w:val="single" w:sz="4" w:space="0" w:color="000000"/>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r>
      <w:tr w:rsidR="003D0E01" w:rsidRPr="00F31150" w:rsidTr="003D0E01">
        <w:trPr>
          <w:trHeight w:val="210"/>
        </w:trPr>
        <w:tc>
          <w:tcPr>
            <w:tcW w:w="1625" w:type="pct"/>
            <w:tcBorders>
              <w:top w:val="nil"/>
              <w:left w:val="single" w:sz="4" w:space="0" w:color="000000"/>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r w:rsidRPr="009E7686">
              <w:rPr>
                <w:color w:val="000000"/>
                <w:sz w:val="14"/>
                <w:szCs w:val="14"/>
                <w:lang w:val="it-IT" w:eastAsia="it-IT"/>
              </w:rPr>
              <w:t xml:space="preserve">3.Digital </w:t>
            </w:r>
            <w:proofErr w:type="spellStart"/>
            <w:r w:rsidRPr="009E7686">
              <w:rPr>
                <w:color w:val="000000"/>
                <w:sz w:val="14"/>
                <w:szCs w:val="14"/>
                <w:lang w:val="it-IT" w:eastAsia="it-IT"/>
              </w:rPr>
              <w:t>Infrastructures</w:t>
            </w:r>
            <w:proofErr w:type="spellEnd"/>
          </w:p>
        </w:tc>
        <w:tc>
          <w:tcPr>
            <w:tcW w:w="151"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76</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69"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89</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84</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78"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98</w:t>
            </w:r>
          </w:p>
        </w:tc>
        <w:tc>
          <w:tcPr>
            <w:tcW w:w="143" w:type="pct"/>
            <w:tcBorders>
              <w:top w:val="nil"/>
              <w:left w:val="nil"/>
              <w:bottom w:val="nil"/>
              <w:right w:val="single" w:sz="4" w:space="0" w:color="000000"/>
            </w:tcBorders>
            <w:noWrap/>
            <w:vAlign w:val="bottom"/>
          </w:tcPr>
          <w:p w:rsidR="003D0E01" w:rsidRPr="009E7686" w:rsidRDefault="003D0E01" w:rsidP="003D0E01">
            <w:pPr>
              <w:spacing w:after="0" w:line="240" w:lineRule="auto"/>
              <w:jc w:val="left"/>
              <w:rPr>
                <w:color w:val="000000"/>
                <w:sz w:val="14"/>
                <w:szCs w:val="14"/>
                <w:lang w:val="it-IT" w:eastAsia="it-IT"/>
              </w:rPr>
            </w:pPr>
            <w:r w:rsidRPr="009E7686">
              <w:rPr>
                <w:color w:val="000000"/>
                <w:sz w:val="14"/>
                <w:szCs w:val="14"/>
                <w:lang w:val="it-IT" w:eastAsia="it-IT"/>
              </w:rPr>
              <w:t> </w:t>
            </w:r>
          </w:p>
        </w:tc>
      </w:tr>
      <w:tr w:rsidR="003D0E01" w:rsidRPr="00F31150" w:rsidTr="003D0E01">
        <w:trPr>
          <w:trHeight w:val="210"/>
        </w:trPr>
        <w:tc>
          <w:tcPr>
            <w:tcW w:w="1625" w:type="pct"/>
            <w:tcBorders>
              <w:top w:val="nil"/>
              <w:left w:val="single" w:sz="4" w:space="0" w:color="000000"/>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r w:rsidRPr="009E7686">
              <w:rPr>
                <w:color w:val="000000"/>
                <w:sz w:val="14"/>
                <w:szCs w:val="14"/>
                <w:lang w:val="it-IT" w:eastAsia="it-IT"/>
              </w:rPr>
              <w:t>4.Energy</w:t>
            </w:r>
          </w:p>
        </w:tc>
        <w:tc>
          <w:tcPr>
            <w:tcW w:w="151"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7</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center"/>
              <w:rPr>
                <w:color w:val="FF0000"/>
                <w:sz w:val="14"/>
                <w:szCs w:val="14"/>
                <w:lang w:val="it-IT" w:eastAsia="it-IT"/>
              </w:rPr>
            </w:pPr>
            <w:r w:rsidRPr="009E7686">
              <w:rPr>
                <w:color w:val="FF0000"/>
                <w:sz w:val="14"/>
                <w:szCs w:val="14"/>
                <w:lang w:val="it-IT" w:eastAsia="it-IT"/>
              </w:rPr>
              <w:t>---</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45</w:t>
            </w:r>
          </w:p>
        </w:tc>
        <w:tc>
          <w:tcPr>
            <w:tcW w:w="169"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88</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67</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0</w:t>
            </w:r>
          </w:p>
        </w:tc>
        <w:tc>
          <w:tcPr>
            <w:tcW w:w="178"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43" w:type="pct"/>
            <w:tcBorders>
              <w:top w:val="nil"/>
              <w:left w:val="nil"/>
              <w:bottom w:val="nil"/>
              <w:right w:val="single" w:sz="4" w:space="0" w:color="000000"/>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r>
      <w:tr w:rsidR="003D0E01" w:rsidRPr="00F31150" w:rsidTr="003D0E01">
        <w:trPr>
          <w:trHeight w:val="210"/>
        </w:trPr>
        <w:tc>
          <w:tcPr>
            <w:tcW w:w="1625" w:type="pct"/>
            <w:tcBorders>
              <w:top w:val="nil"/>
              <w:left w:val="single" w:sz="4" w:space="0" w:color="000000"/>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r w:rsidRPr="009E7686">
              <w:rPr>
                <w:color w:val="000000"/>
                <w:sz w:val="14"/>
                <w:szCs w:val="14"/>
                <w:lang w:val="it-IT" w:eastAsia="it-IT"/>
              </w:rPr>
              <w:t xml:space="preserve">5.Environmental </w:t>
            </w:r>
            <w:proofErr w:type="spellStart"/>
            <w:r w:rsidRPr="009E7686">
              <w:rPr>
                <w:color w:val="000000"/>
                <w:sz w:val="14"/>
                <w:szCs w:val="14"/>
                <w:lang w:val="it-IT" w:eastAsia="it-IT"/>
              </w:rPr>
              <w:t>protection</w:t>
            </w:r>
            <w:proofErr w:type="spellEnd"/>
          </w:p>
        </w:tc>
        <w:tc>
          <w:tcPr>
            <w:tcW w:w="151"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69"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96</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78"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43" w:type="pct"/>
            <w:tcBorders>
              <w:top w:val="nil"/>
              <w:left w:val="nil"/>
              <w:bottom w:val="nil"/>
              <w:right w:val="single" w:sz="4" w:space="0" w:color="000000"/>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79</w:t>
            </w:r>
          </w:p>
        </w:tc>
      </w:tr>
      <w:tr w:rsidR="003D0E01" w:rsidRPr="00F31150" w:rsidTr="003D0E01">
        <w:trPr>
          <w:trHeight w:val="210"/>
        </w:trPr>
        <w:tc>
          <w:tcPr>
            <w:tcW w:w="1625" w:type="pct"/>
            <w:tcBorders>
              <w:top w:val="nil"/>
              <w:left w:val="single" w:sz="4" w:space="0" w:color="000000"/>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r w:rsidRPr="009E7686">
              <w:rPr>
                <w:color w:val="000000"/>
                <w:sz w:val="14"/>
                <w:szCs w:val="14"/>
                <w:lang w:val="it-IT" w:eastAsia="it-IT"/>
              </w:rPr>
              <w:t xml:space="preserve">6.Resources </w:t>
            </w:r>
            <w:proofErr w:type="spellStart"/>
            <w:r w:rsidRPr="009E7686">
              <w:rPr>
                <w:color w:val="000000"/>
                <w:sz w:val="14"/>
                <w:szCs w:val="14"/>
                <w:lang w:val="it-IT" w:eastAsia="it-IT"/>
              </w:rPr>
              <w:t>efficiency</w:t>
            </w:r>
            <w:proofErr w:type="spellEnd"/>
          </w:p>
        </w:tc>
        <w:tc>
          <w:tcPr>
            <w:tcW w:w="151"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center"/>
              <w:rPr>
                <w:color w:val="FF0000"/>
                <w:sz w:val="14"/>
                <w:szCs w:val="14"/>
                <w:lang w:val="it-IT" w:eastAsia="it-IT"/>
              </w:rPr>
            </w:pPr>
            <w:r w:rsidRPr="009E7686">
              <w:rPr>
                <w:color w:val="FF0000"/>
                <w:sz w:val="14"/>
                <w:szCs w:val="14"/>
                <w:lang w:val="it-IT" w:eastAsia="it-IT"/>
              </w:rPr>
              <w:t>---</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69" w:type="pct"/>
            <w:tcBorders>
              <w:top w:val="nil"/>
              <w:left w:val="nil"/>
              <w:bottom w:val="nil"/>
              <w:right w:val="nil"/>
            </w:tcBorders>
            <w:noWrap/>
            <w:vAlign w:val="bottom"/>
          </w:tcPr>
          <w:p w:rsidR="003D0E01" w:rsidRPr="009E7686" w:rsidRDefault="003D0E01" w:rsidP="003D0E01">
            <w:pPr>
              <w:spacing w:after="0" w:line="240" w:lineRule="auto"/>
              <w:jc w:val="center"/>
              <w:rPr>
                <w:color w:val="FF0000"/>
                <w:sz w:val="14"/>
                <w:szCs w:val="14"/>
                <w:lang w:val="it-IT" w:eastAsia="it-IT"/>
              </w:rPr>
            </w:pPr>
            <w:r w:rsidRPr="009E7686">
              <w:rPr>
                <w:color w:val="FF0000"/>
                <w:sz w:val="14"/>
                <w:szCs w:val="14"/>
                <w:lang w:val="it-IT" w:eastAsia="it-IT"/>
              </w:rPr>
              <w:t>---</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98</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78"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90</w:t>
            </w:r>
          </w:p>
        </w:tc>
        <w:tc>
          <w:tcPr>
            <w:tcW w:w="143" w:type="pct"/>
            <w:tcBorders>
              <w:top w:val="nil"/>
              <w:left w:val="nil"/>
              <w:bottom w:val="nil"/>
              <w:right w:val="single" w:sz="4" w:space="0" w:color="000000"/>
            </w:tcBorders>
            <w:noWrap/>
            <w:vAlign w:val="bottom"/>
          </w:tcPr>
          <w:p w:rsidR="003D0E01" w:rsidRPr="009E7686" w:rsidRDefault="003D0E01" w:rsidP="003D0E01">
            <w:pPr>
              <w:spacing w:after="0" w:line="240" w:lineRule="auto"/>
              <w:jc w:val="left"/>
              <w:rPr>
                <w:color w:val="000000"/>
                <w:sz w:val="14"/>
                <w:szCs w:val="14"/>
                <w:lang w:val="it-IT" w:eastAsia="it-IT"/>
              </w:rPr>
            </w:pPr>
            <w:r w:rsidRPr="009E7686">
              <w:rPr>
                <w:color w:val="000000"/>
                <w:sz w:val="14"/>
                <w:szCs w:val="14"/>
                <w:lang w:val="it-IT" w:eastAsia="it-IT"/>
              </w:rPr>
              <w:t> </w:t>
            </w:r>
          </w:p>
        </w:tc>
      </w:tr>
      <w:tr w:rsidR="003D0E01" w:rsidRPr="00F31150" w:rsidTr="003D0E01">
        <w:trPr>
          <w:trHeight w:val="210"/>
        </w:trPr>
        <w:tc>
          <w:tcPr>
            <w:tcW w:w="1625" w:type="pct"/>
            <w:tcBorders>
              <w:top w:val="nil"/>
              <w:left w:val="single" w:sz="4" w:space="0" w:color="000000"/>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r w:rsidRPr="009E7686">
              <w:rPr>
                <w:color w:val="000000"/>
                <w:sz w:val="14"/>
                <w:szCs w:val="14"/>
                <w:lang w:val="it-IT" w:eastAsia="it-IT"/>
              </w:rPr>
              <w:t>7.Transport</w:t>
            </w:r>
          </w:p>
        </w:tc>
        <w:tc>
          <w:tcPr>
            <w:tcW w:w="151"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center"/>
              <w:rPr>
                <w:color w:val="FF0000"/>
                <w:sz w:val="14"/>
                <w:szCs w:val="14"/>
                <w:lang w:val="it-IT" w:eastAsia="it-IT"/>
              </w:rPr>
            </w:pPr>
            <w:r w:rsidRPr="009E7686">
              <w:rPr>
                <w:color w:val="FF0000"/>
                <w:sz w:val="14"/>
                <w:szCs w:val="14"/>
                <w:lang w:val="it-IT" w:eastAsia="it-IT"/>
              </w:rPr>
              <w:t>---</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91</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69"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96</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center"/>
              <w:rPr>
                <w:color w:val="FF0000"/>
                <w:sz w:val="14"/>
                <w:szCs w:val="14"/>
                <w:lang w:val="it-IT" w:eastAsia="it-IT"/>
              </w:rPr>
            </w:pPr>
            <w:r w:rsidRPr="009E7686">
              <w:rPr>
                <w:color w:val="FF0000"/>
                <w:sz w:val="14"/>
                <w:szCs w:val="14"/>
                <w:lang w:val="it-IT" w:eastAsia="it-IT"/>
              </w:rPr>
              <w:t>---</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71</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88</w:t>
            </w:r>
          </w:p>
        </w:tc>
        <w:tc>
          <w:tcPr>
            <w:tcW w:w="178"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43" w:type="pct"/>
            <w:tcBorders>
              <w:top w:val="nil"/>
              <w:left w:val="nil"/>
              <w:bottom w:val="nil"/>
              <w:right w:val="single" w:sz="4" w:space="0" w:color="000000"/>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r>
      <w:tr w:rsidR="003D0E01" w:rsidRPr="00F31150" w:rsidTr="003D0E01">
        <w:trPr>
          <w:trHeight w:val="210"/>
        </w:trPr>
        <w:tc>
          <w:tcPr>
            <w:tcW w:w="1625" w:type="pct"/>
            <w:tcBorders>
              <w:top w:val="nil"/>
              <w:left w:val="single" w:sz="4" w:space="0" w:color="000000"/>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r w:rsidRPr="009E7686">
              <w:rPr>
                <w:color w:val="000000"/>
                <w:sz w:val="14"/>
                <w:szCs w:val="14"/>
                <w:lang w:val="it-IT" w:eastAsia="it-IT"/>
              </w:rPr>
              <w:t xml:space="preserve">8.Access to </w:t>
            </w:r>
            <w:proofErr w:type="spellStart"/>
            <w:r w:rsidRPr="009E7686">
              <w:rPr>
                <w:color w:val="000000"/>
                <w:sz w:val="14"/>
                <w:szCs w:val="14"/>
                <w:lang w:val="it-IT" w:eastAsia="it-IT"/>
              </w:rPr>
              <w:t>Employment</w:t>
            </w:r>
            <w:proofErr w:type="spellEnd"/>
          </w:p>
        </w:tc>
        <w:tc>
          <w:tcPr>
            <w:tcW w:w="151"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77</w:t>
            </w:r>
          </w:p>
        </w:tc>
        <w:tc>
          <w:tcPr>
            <w:tcW w:w="169"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68</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0</w:t>
            </w:r>
          </w:p>
        </w:tc>
        <w:tc>
          <w:tcPr>
            <w:tcW w:w="178"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43" w:type="pct"/>
            <w:tcBorders>
              <w:top w:val="nil"/>
              <w:left w:val="nil"/>
              <w:bottom w:val="nil"/>
              <w:right w:val="single" w:sz="4" w:space="0" w:color="000000"/>
            </w:tcBorders>
            <w:noWrap/>
            <w:vAlign w:val="bottom"/>
          </w:tcPr>
          <w:p w:rsidR="003D0E01" w:rsidRPr="009E7686" w:rsidRDefault="003D0E01" w:rsidP="003D0E01">
            <w:pPr>
              <w:spacing w:after="0" w:line="240" w:lineRule="auto"/>
              <w:jc w:val="left"/>
              <w:rPr>
                <w:color w:val="000000"/>
                <w:sz w:val="14"/>
                <w:szCs w:val="14"/>
                <w:lang w:val="it-IT" w:eastAsia="it-IT"/>
              </w:rPr>
            </w:pPr>
            <w:r w:rsidRPr="009E7686">
              <w:rPr>
                <w:color w:val="000000"/>
                <w:sz w:val="14"/>
                <w:szCs w:val="14"/>
                <w:lang w:val="it-IT" w:eastAsia="it-IT"/>
              </w:rPr>
              <w:t> </w:t>
            </w:r>
          </w:p>
        </w:tc>
      </w:tr>
      <w:tr w:rsidR="003D0E01" w:rsidRPr="00F31150" w:rsidTr="003D0E01">
        <w:trPr>
          <w:trHeight w:val="210"/>
        </w:trPr>
        <w:tc>
          <w:tcPr>
            <w:tcW w:w="1625" w:type="pct"/>
            <w:tcBorders>
              <w:top w:val="nil"/>
              <w:left w:val="single" w:sz="4" w:space="0" w:color="000000"/>
              <w:bottom w:val="nil"/>
              <w:right w:val="nil"/>
            </w:tcBorders>
            <w:noWrap/>
            <w:vAlign w:val="bottom"/>
          </w:tcPr>
          <w:p w:rsidR="003D0E01" w:rsidRPr="00340CAB" w:rsidRDefault="003D0E01" w:rsidP="003D0E01">
            <w:pPr>
              <w:spacing w:after="0" w:line="240" w:lineRule="auto"/>
              <w:jc w:val="left"/>
              <w:rPr>
                <w:color w:val="000000"/>
                <w:sz w:val="14"/>
                <w:szCs w:val="14"/>
                <w:lang w:eastAsia="it-IT"/>
              </w:rPr>
            </w:pPr>
            <w:r w:rsidRPr="0054221F">
              <w:rPr>
                <w:color w:val="000000"/>
                <w:sz w:val="14"/>
                <w:szCs w:val="14"/>
                <w:lang w:eastAsia="it-IT"/>
              </w:rPr>
              <w:t>9.LM integration of young people</w:t>
            </w:r>
          </w:p>
        </w:tc>
        <w:tc>
          <w:tcPr>
            <w:tcW w:w="151" w:type="pct"/>
            <w:tcBorders>
              <w:top w:val="nil"/>
              <w:left w:val="nil"/>
              <w:bottom w:val="nil"/>
              <w:right w:val="nil"/>
            </w:tcBorders>
            <w:noWrap/>
            <w:vAlign w:val="bottom"/>
          </w:tcPr>
          <w:p w:rsidR="003D0E01" w:rsidRPr="00340CAB" w:rsidRDefault="003D0E01" w:rsidP="003D0E01">
            <w:pPr>
              <w:spacing w:after="0" w:line="240" w:lineRule="auto"/>
              <w:jc w:val="left"/>
              <w:rPr>
                <w:color w:val="000000"/>
                <w:sz w:val="14"/>
                <w:szCs w:val="14"/>
                <w:lang w:eastAsia="it-IT"/>
              </w:rPr>
            </w:pPr>
          </w:p>
        </w:tc>
        <w:tc>
          <w:tcPr>
            <w:tcW w:w="152" w:type="pct"/>
            <w:tcBorders>
              <w:top w:val="nil"/>
              <w:left w:val="nil"/>
              <w:bottom w:val="nil"/>
              <w:right w:val="nil"/>
            </w:tcBorders>
            <w:noWrap/>
            <w:vAlign w:val="bottom"/>
          </w:tcPr>
          <w:p w:rsidR="003D0E01" w:rsidRPr="00340CAB" w:rsidRDefault="003D0E01" w:rsidP="003D0E01">
            <w:pPr>
              <w:spacing w:after="0" w:line="240" w:lineRule="auto"/>
              <w:jc w:val="left"/>
              <w:rPr>
                <w:color w:val="000000"/>
                <w:sz w:val="14"/>
                <w:szCs w:val="14"/>
                <w:lang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center"/>
              <w:rPr>
                <w:color w:val="FF0000"/>
                <w:sz w:val="14"/>
                <w:szCs w:val="14"/>
                <w:lang w:val="it-IT" w:eastAsia="it-IT"/>
              </w:rPr>
            </w:pPr>
            <w:r w:rsidRPr="009E7686">
              <w:rPr>
                <w:color w:val="FF0000"/>
                <w:sz w:val="14"/>
                <w:szCs w:val="14"/>
                <w:lang w:val="it-IT" w:eastAsia="it-IT"/>
              </w:rPr>
              <w:t>---</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69"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78"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43" w:type="pct"/>
            <w:tcBorders>
              <w:top w:val="nil"/>
              <w:left w:val="nil"/>
              <w:bottom w:val="nil"/>
              <w:right w:val="single" w:sz="4" w:space="0" w:color="000000"/>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r>
      <w:tr w:rsidR="003D0E01" w:rsidRPr="00F31150" w:rsidTr="003D0E01">
        <w:trPr>
          <w:trHeight w:val="210"/>
        </w:trPr>
        <w:tc>
          <w:tcPr>
            <w:tcW w:w="1625" w:type="pct"/>
            <w:tcBorders>
              <w:top w:val="nil"/>
              <w:left w:val="single" w:sz="4" w:space="0" w:color="000000"/>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r w:rsidRPr="009E7686">
              <w:rPr>
                <w:color w:val="000000"/>
                <w:sz w:val="14"/>
                <w:szCs w:val="14"/>
                <w:lang w:val="it-IT" w:eastAsia="it-IT"/>
              </w:rPr>
              <w:t xml:space="preserve">11.Gender </w:t>
            </w:r>
            <w:proofErr w:type="spellStart"/>
            <w:r w:rsidRPr="009E7686">
              <w:rPr>
                <w:color w:val="000000"/>
                <w:sz w:val="14"/>
                <w:szCs w:val="14"/>
                <w:lang w:val="it-IT" w:eastAsia="it-IT"/>
              </w:rPr>
              <w:t>Equality</w:t>
            </w:r>
            <w:proofErr w:type="spellEnd"/>
          </w:p>
        </w:tc>
        <w:tc>
          <w:tcPr>
            <w:tcW w:w="151"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11</w:t>
            </w:r>
          </w:p>
        </w:tc>
        <w:tc>
          <w:tcPr>
            <w:tcW w:w="169"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96</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center"/>
              <w:rPr>
                <w:color w:val="FF0000"/>
                <w:sz w:val="14"/>
                <w:szCs w:val="14"/>
                <w:lang w:val="it-IT" w:eastAsia="it-IT"/>
              </w:rPr>
            </w:pPr>
            <w:r w:rsidRPr="009E7686">
              <w:rPr>
                <w:color w:val="FF0000"/>
                <w:sz w:val="14"/>
                <w:szCs w:val="14"/>
                <w:lang w:val="it-IT" w:eastAsia="it-IT"/>
              </w:rPr>
              <w:t>---</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78"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43" w:type="pct"/>
            <w:tcBorders>
              <w:top w:val="nil"/>
              <w:left w:val="nil"/>
              <w:bottom w:val="nil"/>
              <w:right w:val="single" w:sz="4" w:space="0" w:color="000000"/>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r>
      <w:tr w:rsidR="003D0E01" w:rsidRPr="00F31150" w:rsidTr="003D0E01">
        <w:trPr>
          <w:trHeight w:val="210"/>
        </w:trPr>
        <w:tc>
          <w:tcPr>
            <w:tcW w:w="1625" w:type="pct"/>
            <w:tcBorders>
              <w:top w:val="nil"/>
              <w:left w:val="single" w:sz="4" w:space="0" w:color="000000"/>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r w:rsidRPr="009E7686">
              <w:rPr>
                <w:color w:val="000000"/>
                <w:sz w:val="14"/>
                <w:szCs w:val="14"/>
                <w:lang w:val="it-IT" w:eastAsia="it-IT"/>
              </w:rPr>
              <w:t xml:space="preserve">12.Integration of </w:t>
            </w:r>
            <w:proofErr w:type="spellStart"/>
            <w:r w:rsidRPr="009E7686">
              <w:rPr>
                <w:color w:val="000000"/>
                <w:sz w:val="14"/>
                <w:szCs w:val="14"/>
                <w:lang w:val="it-IT" w:eastAsia="it-IT"/>
              </w:rPr>
              <w:t>marginalized</w:t>
            </w:r>
            <w:proofErr w:type="spellEnd"/>
            <w:r w:rsidRPr="009E7686">
              <w:rPr>
                <w:color w:val="000000"/>
                <w:sz w:val="14"/>
                <w:szCs w:val="14"/>
                <w:lang w:val="it-IT" w:eastAsia="it-IT"/>
              </w:rPr>
              <w:t xml:space="preserve"> </w:t>
            </w:r>
            <w:proofErr w:type="spellStart"/>
            <w:r w:rsidRPr="009E7686">
              <w:rPr>
                <w:color w:val="000000"/>
                <w:sz w:val="14"/>
                <w:szCs w:val="14"/>
                <w:lang w:val="it-IT" w:eastAsia="it-IT"/>
              </w:rPr>
              <w:t>groups</w:t>
            </w:r>
            <w:proofErr w:type="spellEnd"/>
          </w:p>
        </w:tc>
        <w:tc>
          <w:tcPr>
            <w:tcW w:w="151"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41</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center"/>
              <w:rPr>
                <w:color w:val="FF0000"/>
                <w:sz w:val="14"/>
                <w:szCs w:val="14"/>
                <w:lang w:val="it-IT" w:eastAsia="it-IT"/>
              </w:rPr>
            </w:pPr>
            <w:r w:rsidRPr="009E7686">
              <w:rPr>
                <w:color w:val="FF0000"/>
                <w:sz w:val="14"/>
                <w:szCs w:val="14"/>
                <w:lang w:val="it-IT" w:eastAsia="it-IT"/>
              </w:rPr>
              <w:t>---</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69"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78"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43" w:type="pct"/>
            <w:tcBorders>
              <w:top w:val="nil"/>
              <w:left w:val="nil"/>
              <w:bottom w:val="nil"/>
              <w:right w:val="single" w:sz="4" w:space="0" w:color="000000"/>
            </w:tcBorders>
            <w:noWrap/>
            <w:vAlign w:val="bottom"/>
          </w:tcPr>
          <w:p w:rsidR="003D0E01" w:rsidRPr="009E7686" w:rsidRDefault="003D0E01" w:rsidP="003D0E01">
            <w:pPr>
              <w:spacing w:after="0" w:line="240" w:lineRule="auto"/>
              <w:jc w:val="left"/>
              <w:rPr>
                <w:color w:val="000000"/>
                <w:sz w:val="14"/>
                <w:szCs w:val="14"/>
                <w:lang w:val="it-IT" w:eastAsia="it-IT"/>
              </w:rPr>
            </w:pPr>
            <w:r w:rsidRPr="009E7686">
              <w:rPr>
                <w:color w:val="000000"/>
                <w:sz w:val="14"/>
                <w:szCs w:val="14"/>
                <w:lang w:val="it-IT" w:eastAsia="it-IT"/>
              </w:rPr>
              <w:t> </w:t>
            </w:r>
          </w:p>
        </w:tc>
      </w:tr>
      <w:tr w:rsidR="003D0E01" w:rsidRPr="00F31150" w:rsidTr="003D0E01">
        <w:trPr>
          <w:trHeight w:val="210"/>
        </w:trPr>
        <w:tc>
          <w:tcPr>
            <w:tcW w:w="1625" w:type="pct"/>
            <w:tcBorders>
              <w:top w:val="nil"/>
              <w:left w:val="single" w:sz="4" w:space="0" w:color="000000"/>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r w:rsidRPr="009E7686">
              <w:rPr>
                <w:color w:val="000000"/>
                <w:sz w:val="14"/>
                <w:szCs w:val="14"/>
                <w:lang w:val="it-IT" w:eastAsia="it-IT"/>
              </w:rPr>
              <w:t>13.Co</w:t>
            </w:r>
            <w:r>
              <w:rPr>
                <w:color w:val="000000"/>
                <w:sz w:val="14"/>
                <w:szCs w:val="14"/>
                <w:lang w:val="it-IT" w:eastAsia="it-IT"/>
              </w:rPr>
              <w:t>mbatting</w:t>
            </w:r>
            <w:r w:rsidRPr="009E7686">
              <w:rPr>
                <w:color w:val="000000"/>
                <w:sz w:val="14"/>
                <w:szCs w:val="14"/>
                <w:lang w:val="it-IT" w:eastAsia="it-IT"/>
              </w:rPr>
              <w:t xml:space="preserve"> </w:t>
            </w:r>
            <w:proofErr w:type="spellStart"/>
            <w:r w:rsidRPr="009E7686">
              <w:rPr>
                <w:color w:val="000000"/>
                <w:sz w:val="14"/>
                <w:szCs w:val="14"/>
                <w:lang w:val="it-IT" w:eastAsia="it-IT"/>
              </w:rPr>
              <w:t>discrimination</w:t>
            </w:r>
            <w:proofErr w:type="spellEnd"/>
            <w:r w:rsidRPr="009E7686">
              <w:rPr>
                <w:color w:val="000000"/>
                <w:sz w:val="14"/>
                <w:szCs w:val="14"/>
                <w:lang w:val="it-IT" w:eastAsia="it-IT"/>
              </w:rPr>
              <w:t xml:space="preserve"> and </w:t>
            </w:r>
            <w:proofErr w:type="spellStart"/>
            <w:r w:rsidRPr="009E7686">
              <w:rPr>
                <w:color w:val="000000"/>
                <w:sz w:val="14"/>
                <w:szCs w:val="14"/>
                <w:lang w:val="it-IT" w:eastAsia="it-IT"/>
              </w:rPr>
              <w:t>poverty</w:t>
            </w:r>
            <w:proofErr w:type="spellEnd"/>
          </w:p>
        </w:tc>
        <w:tc>
          <w:tcPr>
            <w:tcW w:w="151"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69"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99</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97</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center"/>
              <w:rPr>
                <w:color w:val="FF0000"/>
                <w:sz w:val="14"/>
                <w:szCs w:val="14"/>
                <w:lang w:val="it-IT" w:eastAsia="it-IT"/>
              </w:rPr>
            </w:pPr>
            <w:r w:rsidRPr="009E7686">
              <w:rPr>
                <w:color w:val="FF0000"/>
                <w:sz w:val="14"/>
                <w:szCs w:val="14"/>
                <w:lang w:val="it-IT" w:eastAsia="it-IT"/>
              </w:rPr>
              <w:t>---</w:t>
            </w:r>
          </w:p>
        </w:tc>
        <w:tc>
          <w:tcPr>
            <w:tcW w:w="178"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43" w:type="pct"/>
            <w:tcBorders>
              <w:top w:val="nil"/>
              <w:left w:val="nil"/>
              <w:bottom w:val="nil"/>
              <w:right w:val="single" w:sz="4" w:space="0" w:color="000000"/>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r>
      <w:tr w:rsidR="003D0E01" w:rsidRPr="00F31150" w:rsidTr="003D0E01">
        <w:trPr>
          <w:trHeight w:val="210"/>
        </w:trPr>
        <w:tc>
          <w:tcPr>
            <w:tcW w:w="1625" w:type="pct"/>
            <w:tcBorders>
              <w:top w:val="nil"/>
              <w:left w:val="single" w:sz="4" w:space="0" w:color="000000"/>
              <w:bottom w:val="nil"/>
              <w:right w:val="nil"/>
            </w:tcBorders>
            <w:noWrap/>
            <w:vAlign w:val="bottom"/>
          </w:tcPr>
          <w:p w:rsidR="003D0E01" w:rsidRPr="00340CAB" w:rsidRDefault="003D0E01" w:rsidP="003D0E01">
            <w:pPr>
              <w:spacing w:after="0" w:line="240" w:lineRule="auto"/>
              <w:jc w:val="left"/>
              <w:rPr>
                <w:color w:val="000000"/>
                <w:sz w:val="14"/>
                <w:szCs w:val="14"/>
                <w:lang w:eastAsia="it-IT"/>
              </w:rPr>
            </w:pPr>
            <w:r w:rsidRPr="0054221F">
              <w:rPr>
                <w:color w:val="000000"/>
                <w:sz w:val="14"/>
                <w:szCs w:val="14"/>
                <w:lang w:eastAsia="it-IT"/>
              </w:rPr>
              <w:t>15.Health and long-term care</w:t>
            </w:r>
          </w:p>
        </w:tc>
        <w:tc>
          <w:tcPr>
            <w:tcW w:w="151" w:type="pct"/>
            <w:tcBorders>
              <w:top w:val="nil"/>
              <w:left w:val="nil"/>
              <w:bottom w:val="nil"/>
              <w:right w:val="nil"/>
            </w:tcBorders>
            <w:noWrap/>
            <w:vAlign w:val="bottom"/>
          </w:tcPr>
          <w:p w:rsidR="003D0E01" w:rsidRPr="009E7686" w:rsidRDefault="003D0E01" w:rsidP="003D0E01">
            <w:pPr>
              <w:spacing w:after="0" w:line="240" w:lineRule="auto"/>
              <w:jc w:val="center"/>
              <w:rPr>
                <w:color w:val="FF0000"/>
                <w:sz w:val="14"/>
                <w:szCs w:val="14"/>
                <w:lang w:val="it-IT" w:eastAsia="it-IT"/>
              </w:rPr>
            </w:pPr>
            <w:r w:rsidRPr="009E7686">
              <w:rPr>
                <w:color w:val="FF0000"/>
                <w:sz w:val="14"/>
                <w:szCs w:val="14"/>
                <w:lang w:val="it-IT" w:eastAsia="it-IT"/>
              </w:rPr>
              <w:t>---</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center"/>
              <w:rPr>
                <w:color w:val="FF0000"/>
                <w:sz w:val="14"/>
                <w:szCs w:val="14"/>
                <w:lang w:val="it-IT" w:eastAsia="it-IT"/>
              </w:rPr>
            </w:pPr>
            <w:r w:rsidRPr="009E7686">
              <w:rPr>
                <w:color w:val="FF0000"/>
                <w:sz w:val="14"/>
                <w:szCs w:val="14"/>
                <w:lang w:val="it-IT" w:eastAsia="it-IT"/>
              </w:rPr>
              <w:t>---</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78</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69"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center"/>
              <w:rPr>
                <w:color w:val="FF0000"/>
                <w:sz w:val="14"/>
                <w:szCs w:val="14"/>
                <w:lang w:val="it-IT" w:eastAsia="it-IT"/>
              </w:rPr>
            </w:pPr>
            <w:r w:rsidRPr="009E7686">
              <w:rPr>
                <w:color w:val="FF0000"/>
                <w:sz w:val="14"/>
                <w:szCs w:val="14"/>
                <w:lang w:val="it-IT" w:eastAsia="it-IT"/>
              </w:rPr>
              <w:t>---</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78" w:type="pct"/>
            <w:tcBorders>
              <w:top w:val="nil"/>
              <w:left w:val="nil"/>
              <w:bottom w:val="nil"/>
              <w:right w:val="nil"/>
            </w:tcBorders>
            <w:noWrap/>
            <w:vAlign w:val="bottom"/>
          </w:tcPr>
          <w:p w:rsidR="003D0E01" w:rsidRPr="009E7686" w:rsidRDefault="003D0E01" w:rsidP="003D0E01">
            <w:pPr>
              <w:spacing w:after="0" w:line="240" w:lineRule="auto"/>
              <w:jc w:val="center"/>
              <w:rPr>
                <w:color w:val="FF0000"/>
                <w:sz w:val="14"/>
                <w:szCs w:val="14"/>
                <w:lang w:val="it-IT" w:eastAsia="it-IT"/>
              </w:rPr>
            </w:pPr>
            <w:r w:rsidRPr="009E7686">
              <w:rPr>
                <w:color w:val="FF0000"/>
                <w:sz w:val="14"/>
                <w:szCs w:val="14"/>
                <w:lang w:val="it-IT" w:eastAsia="it-IT"/>
              </w:rPr>
              <w:t>---</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80</w:t>
            </w:r>
          </w:p>
        </w:tc>
        <w:tc>
          <w:tcPr>
            <w:tcW w:w="143" w:type="pct"/>
            <w:tcBorders>
              <w:top w:val="nil"/>
              <w:left w:val="nil"/>
              <w:bottom w:val="nil"/>
              <w:right w:val="single" w:sz="4" w:space="0" w:color="000000"/>
            </w:tcBorders>
            <w:noWrap/>
            <w:vAlign w:val="bottom"/>
          </w:tcPr>
          <w:p w:rsidR="003D0E01" w:rsidRPr="009E7686" w:rsidRDefault="003D0E01" w:rsidP="003D0E01">
            <w:pPr>
              <w:spacing w:after="0" w:line="240" w:lineRule="auto"/>
              <w:jc w:val="left"/>
              <w:rPr>
                <w:color w:val="000000"/>
                <w:sz w:val="14"/>
                <w:szCs w:val="14"/>
                <w:lang w:val="it-IT" w:eastAsia="it-IT"/>
              </w:rPr>
            </w:pPr>
            <w:r w:rsidRPr="009E7686">
              <w:rPr>
                <w:color w:val="000000"/>
                <w:sz w:val="14"/>
                <w:szCs w:val="14"/>
                <w:lang w:val="it-IT" w:eastAsia="it-IT"/>
              </w:rPr>
              <w:t> </w:t>
            </w:r>
          </w:p>
        </w:tc>
      </w:tr>
      <w:tr w:rsidR="003D0E01" w:rsidRPr="00F31150" w:rsidTr="003D0E01">
        <w:trPr>
          <w:trHeight w:val="210"/>
        </w:trPr>
        <w:tc>
          <w:tcPr>
            <w:tcW w:w="1625" w:type="pct"/>
            <w:tcBorders>
              <w:top w:val="nil"/>
              <w:left w:val="single" w:sz="4" w:space="0" w:color="000000"/>
              <w:bottom w:val="nil"/>
              <w:right w:val="nil"/>
            </w:tcBorders>
            <w:noWrap/>
            <w:vAlign w:val="bottom"/>
          </w:tcPr>
          <w:p w:rsidR="003D0E01" w:rsidRPr="00340CAB" w:rsidRDefault="003D0E01" w:rsidP="003D0E01">
            <w:pPr>
              <w:spacing w:after="0" w:line="240" w:lineRule="auto"/>
              <w:jc w:val="left"/>
              <w:rPr>
                <w:color w:val="000000"/>
                <w:sz w:val="14"/>
                <w:szCs w:val="14"/>
                <w:lang w:eastAsia="it-IT"/>
              </w:rPr>
            </w:pPr>
            <w:r w:rsidRPr="0054221F">
              <w:rPr>
                <w:color w:val="000000"/>
                <w:sz w:val="14"/>
                <w:szCs w:val="14"/>
                <w:lang w:eastAsia="it-IT"/>
              </w:rPr>
              <w:t>16.Housing and other social infrastructure</w:t>
            </w:r>
          </w:p>
        </w:tc>
        <w:tc>
          <w:tcPr>
            <w:tcW w:w="151" w:type="pct"/>
            <w:tcBorders>
              <w:top w:val="nil"/>
              <w:left w:val="nil"/>
              <w:bottom w:val="nil"/>
              <w:right w:val="nil"/>
            </w:tcBorders>
            <w:noWrap/>
            <w:vAlign w:val="bottom"/>
          </w:tcPr>
          <w:p w:rsidR="003D0E01" w:rsidRPr="00340CAB" w:rsidRDefault="003D0E01" w:rsidP="003D0E01">
            <w:pPr>
              <w:spacing w:after="0" w:line="240" w:lineRule="auto"/>
              <w:jc w:val="left"/>
              <w:rPr>
                <w:color w:val="000000"/>
                <w:sz w:val="14"/>
                <w:szCs w:val="14"/>
                <w:lang w:eastAsia="it-IT"/>
              </w:rPr>
            </w:pPr>
          </w:p>
        </w:tc>
        <w:tc>
          <w:tcPr>
            <w:tcW w:w="152" w:type="pct"/>
            <w:tcBorders>
              <w:top w:val="nil"/>
              <w:left w:val="nil"/>
              <w:bottom w:val="nil"/>
              <w:right w:val="nil"/>
            </w:tcBorders>
            <w:noWrap/>
            <w:vAlign w:val="bottom"/>
          </w:tcPr>
          <w:p w:rsidR="003D0E01" w:rsidRPr="00340CAB" w:rsidRDefault="003D0E01" w:rsidP="003D0E01">
            <w:pPr>
              <w:spacing w:after="0" w:line="240" w:lineRule="auto"/>
              <w:jc w:val="left"/>
              <w:rPr>
                <w:color w:val="000000"/>
                <w:sz w:val="14"/>
                <w:szCs w:val="14"/>
                <w:lang w:eastAsia="it-IT"/>
              </w:rPr>
            </w:pPr>
          </w:p>
        </w:tc>
        <w:tc>
          <w:tcPr>
            <w:tcW w:w="152" w:type="pct"/>
            <w:tcBorders>
              <w:top w:val="nil"/>
              <w:left w:val="nil"/>
              <w:bottom w:val="nil"/>
              <w:right w:val="nil"/>
            </w:tcBorders>
            <w:noWrap/>
            <w:vAlign w:val="bottom"/>
          </w:tcPr>
          <w:p w:rsidR="003D0E01" w:rsidRPr="00340CAB" w:rsidRDefault="003D0E01" w:rsidP="003D0E01">
            <w:pPr>
              <w:spacing w:after="0" w:line="240" w:lineRule="auto"/>
              <w:jc w:val="left"/>
              <w:rPr>
                <w:color w:val="000000"/>
                <w:sz w:val="14"/>
                <w:szCs w:val="14"/>
                <w:lang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center"/>
              <w:rPr>
                <w:color w:val="FF0000"/>
                <w:sz w:val="14"/>
                <w:szCs w:val="14"/>
                <w:lang w:val="it-IT" w:eastAsia="it-IT"/>
              </w:rPr>
            </w:pPr>
            <w:r w:rsidRPr="009E7686">
              <w:rPr>
                <w:color w:val="FF0000"/>
                <w:sz w:val="14"/>
                <w:szCs w:val="14"/>
                <w:lang w:val="it-IT" w:eastAsia="it-IT"/>
              </w:rPr>
              <w:t>---</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69"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center"/>
              <w:rPr>
                <w:color w:val="FF0000"/>
                <w:sz w:val="14"/>
                <w:szCs w:val="14"/>
                <w:lang w:val="it-IT" w:eastAsia="it-IT"/>
              </w:rPr>
            </w:pPr>
            <w:r w:rsidRPr="009E7686">
              <w:rPr>
                <w:color w:val="FF0000"/>
                <w:sz w:val="14"/>
                <w:szCs w:val="14"/>
                <w:lang w:val="it-IT" w:eastAsia="it-IT"/>
              </w:rPr>
              <w:t>---</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0</w:t>
            </w:r>
          </w:p>
        </w:tc>
        <w:tc>
          <w:tcPr>
            <w:tcW w:w="178"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43" w:type="pct"/>
            <w:tcBorders>
              <w:top w:val="nil"/>
              <w:left w:val="nil"/>
              <w:bottom w:val="nil"/>
              <w:right w:val="single" w:sz="4" w:space="0" w:color="000000"/>
            </w:tcBorders>
            <w:noWrap/>
            <w:vAlign w:val="bottom"/>
          </w:tcPr>
          <w:p w:rsidR="003D0E01" w:rsidRPr="009E7686" w:rsidRDefault="003D0E01" w:rsidP="003D0E01">
            <w:pPr>
              <w:spacing w:after="0" w:line="240" w:lineRule="auto"/>
              <w:jc w:val="left"/>
              <w:rPr>
                <w:color w:val="000000"/>
                <w:sz w:val="14"/>
                <w:szCs w:val="14"/>
                <w:lang w:val="it-IT" w:eastAsia="it-IT"/>
              </w:rPr>
            </w:pPr>
            <w:r w:rsidRPr="009E7686">
              <w:rPr>
                <w:color w:val="000000"/>
                <w:sz w:val="14"/>
                <w:szCs w:val="14"/>
                <w:lang w:val="it-IT" w:eastAsia="it-IT"/>
              </w:rPr>
              <w:t> </w:t>
            </w:r>
          </w:p>
        </w:tc>
      </w:tr>
      <w:tr w:rsidR="003D0E01" w:rsidRPr="00F31150" w:rsidTr="003D0E01">
        <w:trPr>
          <w:trHeight w:val="210"/>
        </w:trPr>
        <w:tc>
          <w:tcPr>
            <w:tcW w:w="1625" w:type="pct"/>
            <w:tcBorders>
              <w:top w:val="nil"/>
              <w:left w:val="single" w:sz="4" w:space="0" w:color="000000"/>
              <w:bottom w:val="nil"/>
              <w:right w:val="nil"/>
            </w:tcBorders>
            <w:noWrap/>
            <w:vAlign w:val="bottom"/>
          </w:tcPr>
          <w:p w:rsidR="003D0E01" w:rsidRPr="00340CAB" w:rsidRDefault="003D0E01" w:rsidP="003D0E01">
            <w:pPr>
              <w:spacing w:after="0" w:line="240" w:lineRule="auto"/>
              <w:jc w:val="left"/>
              <w:rPr>
                <w:color w:val="000000"/>
                <w:sz w:val="14"/>
                <w:szCs w:val="14"/>
                <w:lang w:eastAsia="it-IT"/>
              </w:rPr>
            </w:pPr>
            <w:r w:rsidRPr="0054221F">
              <w:rPr>
                <w:color w:val="000000"/>
                <w:sz w:val="14"/>
                <w:szCs w:val="14"/>
                <w:lang w:eastAsia="it-IT"/>
              </w:rPr>
              <w:t>17.Improving access to quality education and training</w:t>
            </w:r>
          </w:p>
        </w:tc>
        <w:tc>
          <w:tcPr>
            <w:tcW w:w="151"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26</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87</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50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75</w:t>
            </w:r>
          </w:p>
        </w:tc>
        <w:tc>
          <w:tcPr>
            <w:tcW w:w="169"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76</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center"/>
              <w:rPr>
                <w:color w:val="FF0000"/>
                <w:sz w:val="14"/>
                <w:szCs w:val="14"/>
                <w:lang w:val="it-IT" w:eastAsia="it-IT"/>
              </w:rPr>
            </w:pPr>
            <w:r w:rsidRPr="009E7686">
              <w:rPr>
                <w:color w:val="FF0000"/>
                <w:sz w:val="14"/>
                <w:szCs w:val="14"/>
                <w:lang w:val="it-IT" w:eastAsia="it-IT"/>
              </w:rPr>
              <w:t>---</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92</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82</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78"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39</w:t>
            </w:r>
          </w:p>
        </w:tc>
        <w:tc>
          <w:tcPr>
            <w:tcW w:w="143" w:type="pct"/>
            <w:tcBorders>
              <w:top w:val="nil"/>
              <w:left w:val="nil"/>
              <w:bottom w:val="nil"/>
              <w:right w:val="single" w:sz="4" w:space="0" w:color="000000"/>
            </w:tcBorders>
            <w:noWrap/>
            <w:vAlign w:val="bottom"/>
          </w:tcPr>
          <w:p w:rsidR="003D0E01" w:rsidRPr="009E7686" w:rsidRDefault="003D0E01" w:rsidP="003D0E01">
            <w:pPr>
              <w:spacing w:after="0" w:line="240" w:lineRule="auto"/>
              <w:jc w:val="left"/>
              <w:rPr>
                <w:color w:val="000000"/>
                <w:sz w:val="14"/>
                <w:szCs w:val="14"/>
                <w:lang w:val="it-IT" w:eastAsia="it-IT"/>
              </w:rPr>
            </w:pPr>
            <w:r w:rsidRPr="009E7686">
              <w:rPr>
                <w:color w:val="000000"/>
                <w:sz w:val="14"/>
                <w:szCs w:val="14"/>
                <w:lang w:val="it-IT" w:eastAsia="it-IT"/>
              </w:rPr>
              <w:t> </w:t>
            </w:r>
          </w:p>
        </w:tc>
      </w:tr>
      <w:tr w:rsidR="003D0E01" w:rsidRPr="00F31150" w:rsidTr="003D0E01">
        <w:trPr>
          <w:trHeight w:val="210"/>
        </w:trPr>
        <w:tc>
          <w:tcPr>
            <w:tcW w:w="1625" w:type="pct"/>
            <w:tcBorders>
              <w:top w:val="nil"/>
              <w:left w:val="single" w:sz="4" w:space="0" w:color="000000"/>
              <w:bottom w:val="nil"/>
              <w:right w:val="nil"/>
            </w:tcBorders>
            <w:noWrap/>
            <w:vAlign w:val="bottom"/>
          </w:tcPr>
          <w:p w:rsidR="003D0E01" w:rsidRPr="00340CAB" w:rsidRDefault="003D0E01" w:rsidP="003D0E01">
            <w:pPr>
              <w:spacing w:after="0" w:line="240" w:lineRule="auto"/>
              <w:jc w:val="left"/>
              <w:rPr>
                <w:color w:val="000000"/>
                <w:sz w:val="14"/>
                <w:szCs w:val="14"/>
                <w:lang w:eastAsia="it-IT"/>
              </w:rPr>
            </w:pPr>
            <w:r w:rsidRPr="0054221F">
              <w:rPr>
                <w:color w:val="000000"/>
                <w:sz w:val="14"/>
                <w:szCs w:val="14"/>
                <w:lang w:eastAsia="it-IT"/>
              </w:rPr>
              <w:t>18.Reducing and preventing early school leaving</w:t>
            </w:r>
          </w:p>
        </w:tc>
        <w:tc>
          <w:tcPr>
            <w:tcW w:w="151"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center"/>
              <w:rPr>
                <w:color w:val="FF0000"/>
                <w:sz w:val="14"/>
                <w:szCs w:val="14"/>
                <w:lang w:val="it-IT" w:eastAsia="it-IT"/>
              </w:rPr>
            </w:pPr>
            <w:r w:rsidRPr="009E7686">
              <w:rPr>
                <w:color w:val="FF0000"/>
                <w:sz w:val="14"/>
                <w:szCs w:val="14"/>
                <w:lang w:val="it-IT" w:eastAsia="it-IT"/>
              </w:rPr>
              <w:t>---</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98</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center"/>
              <w:rPr>
                <w:color w:val="FF0000"/>
                <w:sz w:val="14"/>
                <w:szCs w:val="14"/>
                <w:lang w:val="it-IT" w:eastAsia="it-IT"/>
              </w:rPr>
            </w:pPr>
            <w:r w:rsidRPr="009E7686">
              <w:rPr>
                <w:color w:val="FF0000"/>
                <w:sz w:val="14"/>
                <w:szCs w:val="14"/>
                <w:lang w:val="it-IT" w:eastAsia="it-IT"/>
              </w:rPr>
              <w:t>---</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69"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99</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78"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43" w:type="pct"/>
            <w:tcBorders>
              <w:top w:val="nil"/>
              <w:left w:val="nil"/>
              <w:bottom w:val="nil"/>
              <w:right w:val="single" w:sz="4" w:space="0" w:color="000000"/>
            </w:tcBorders>
            <w:noWrap/>
            <w:vAlign w:val="bottom"/>
          </w:tcPr>
          <w:p w:rsidR="003D0E01" w:rsidRPr="009E7686" w:rsidRDefault="003D0E01" w:rsidP="003D0E01">
            <w:pPr>
              <w:spacing w:after="0" w:line="240" w:lineRule="auto"/>
              <w:jc w:val="left"/>
              <w:rPr>
                <w:color w:val="000000"/>
                <w:sz w:val="14"/>
                <w:szCs w:val="14"/>
                <w:lang w:val="it-IT" w:eastAsia="it-IT"/>
              </w:rPr>
            </w:pPr>
            <w:r w:rsidRPr="009E7686">
              <w:rPr>
                <w:color w:val="000000"/>
                <w:sz w:val="14"/>
                <w:szCs w:val="14"/>
                <w:lang w:val="it-IT" w:eastAsia="it-IT"/>
              </w:rPr>
              <w:t> </w:t>
            </w:r>
          </w:p>
        </w:tc>
      </w:tr>
      <w:tr w:rsidR="003D0E01" w:rsidRPr="00F31150" w:rsidTr="003D0E01">
        <w:trPr>
          <w:trHeight w:val="210"/>
        </w:trPr>
        <w:tc>
          <w:tcPr>
            <w:tcW w:w="1625" w:type="pct"/>
            <w:tcBorders>
              <w:top w:val="nil"/>
              <w:left w:val="single" w:sz="4" w:space="0" w:color="000000"/>
              <w:bottom w:val="nil"/>
              <w:right w:val="nil"/>
            </w:tcBorders>
            <w:noWrap/>
            <w:vAlign w:val="bottom"/>
          </w:tcPr>
          <w:p w:rsidR="003D0E01" w:rsidRPr="00340CAB" w:rsidRDefault="003D0E01" w:rsidP="003D0E01">
            <w:pPr>
              <w:spacing w:after="0" w:line="240" w:lineRule="auto"/>
              <w:jc w:val="left"/>
              <w:rPr>
                <w:color w:val="000000"/>
                <w:sz w:val="14"/>
                <w:szCs w:val="14"/>
                <w:lang w:eastAsia="it-IT"/>
              </w:rPr>
            </w:pPr>
            <w:r w:rsidRPr="0054221F">
              <w:rPr>
                <w:color w:val="000000"/>
                <w:sz w:val="14"/>
                <w:szCs w:val="14"/>
                <w:lang w:eastAsia="it-IT"/>
              </w:rPr>
              <w:t>19.Improving life-long learning for all age groups</w:t>
            </w:r>
          </w:p>
        </w:tc>
        <w:tc>
          <w:tcPr>
            <w:tcW w:w="151" w:type="pct"/>
            <w:tcBorders>
              <w:top w:val="nil"/>
              <w:left w:val="nil"/>
              <w:bottom w:val="nil"/>
              <w:right w:val="nil"/>
            </w:tcBorders>
            <w:noWrap/>
            <w:vAlign w:val="bottom"/>
          </w:tcPr>
          <w:p w:rsidR="003D0E01" w:rsidRPr="00340CAB" w:rsidRDefault="003D0E01" w:rsidP="003D0E01">
            <w:pPr>
              <w:spacing w:after="0" w:line="240" w:lineRule="auto"/>
              <w:jc w:val="left"/>
              <w:rPr>
                <w:color w:val="000000"/>
                <w:sz w:val="14"/>
                <w:szCs w:val="14"/>
                <w:lang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25</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center"/>
              <w:rPr>
                <w:color w:val="FF0000"/>
                <w:sz w:val="14"/>
                <w:szCs w:val="14"/>
                <w:lang w:val="it-IT" w:eastAsia="it-IT"/>
              </w:rPr>
            </w:pPr>
            <w:r w:rsidRPr="009E7686">
              <w:rPr>
                <w:color w:val="FF0000"/>
                <w:sz w:val="14"/>
                <w:szCs w:val="14"/>
                <w:lang w:val="it-IT" w:eastAsia="it-IT"/>
              </w:rPr>
              <w:t>---</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95</w:t>
            </w:r>
          </w:p>
        </w:tc>
        <w:tc>
          <w:tcPr>
            <w:tcW w:w="169"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67</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78"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43" w:type="pct"/>
            <w:tcBorders>
              <w:top w:val="nil"/>
              <w:left w:val="nil"/>
              <w:bottom w:val="nil"/>
              <w:right w:val="single" w:sz="4" w:space="0" w:color="000000"/>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r>
      <w:tr w:rsidR="003D0E01" w:rsidRPr="00F31150" w:rsidTr="003D0E01">
        <w:trPr>
          <w:trHeight w:val="210"/>
        </w:trPr>
        <w:tc>
          <w:tcPr>
            <w:tcW w:w="1625" w:type="pct"/>
            <w:tcBorders>
              <w:top w:val="nil"/>
              <w:left w:val="single" w:sz="4" w:space="0" w:color="000000"/>
              <w:bottom w:val="nil"/>
              <w:right w:val="nil"/>
            </w:tcBorders>
            <w:noWrap/>
            <w:vAlign w:val="bottom"/>
          </w:tcPr>
          <w:p w:rsidR="003D0E01" w:rsidRPr="00340CAB" w:rsidRDefault="003D0E01" w:rsidP="003D0E01">
            <w:pPr>
              <w:spacing w:after="0" w:line="240" w:lineRule="auto"/>
              <w:jc w:val="left"/>
              <w:rPr>
                <w:color w:val="000000"/>
                <w:sz w:val="14"/>
                <w:szCs w:val="14"/>
                <w:lang w:eastAsia="it-IT"/>
              </w:rPr>
            </w:pPr>
            <w:r w:rsidRPr="0054221F">
              <w:rPr>
                <w:color w:val="000000"/>
                <w:sz w:val="14"/>
                <w:szCs w:val="14"/>
                <w:lang w:eastAsia="it-IT"/>
              </w:rPr>
              <w:t>20.Improving the LM relevance of education &amp; training systems</w:t>
            </w:r>
          </w:p>
        </w:tc>
        <w:tc>
          <w:tcPr>
            <w:tcW w:w="151" w:type="pct"/>
            <w:tcBorders>
              <w:top w:val="nil"/>
              <w:left w:val="nil"/>
              <w:bottom w:val="nil"/>
              <w:right w:val="nil"/>
            </w:tcBorders>
            <w:noWrap/>
            <w:vAlign w:val="bottom"/>
          </w:tcPr>
          <w:p w:rsidR="003D0E01" w:rsidRPr="00340CAB" w:rsidRDefault="003D0E01" w:rsidP="003D0E01">
            <w:pPr>
              <w:spacing w:after="0" w:line="240" w:lineRule="auto"/>
              <w:jc w:val="left"/>
              <w:rPr>
                <w:color w:val="000000"/>
                <w:sz w:val="14"/>
                <w:szCs w:val="14"/>
                <w:lang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center"/>
              <w:rPr>
                <w:color w:val="FF0000"/>
                <w:sz w:val="14"/>
                <w:szCs w:val="14"/>
                <w:lang w:val="it-IT" w:eastAsia="it-IT"/>
              </w:rPr>
            </w:pPr>
            <w:r w:rsidRPr="009E7686">
              <w:rPr>
                <w:color w:val="FF0000"/>
                <w:sz w:val="14"/>
                <w:szCs w:val="14"/>
                <w:lang w:val="it-IT" w:eastAsia="it-IT"/>
              </w:rPr>
              <w:t>---</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69" w:type="pct"/>
            <w:tcBorders>
              <w:top w:val="nil"/>
              <w:left w:val="nil"/>
              <w:bottom w:val="nil"/>
              <w:right w:val="nil"/>
            </w:tcBorders>
            <w:noWrap/>
            <w:vAlign w:val="bottom"/>
          </w:tcPr>
          <w:p w:rsidR="003D0E01" w:rsidRPr="009E7686" w:rsidRDefault="003D0E01" w:rsidP="003D0E01">
            <w:pPr>
              <w:spacing w:after="0" w:line="240" w:lineRule="auto"/>
              <w:jc w:val="center"/>
              <w:rPr>
                <w:color w:val="FF0000"/>
                <w:sz w:val="14"/>
                <w:szCs w:val="14"/>
                <w:lang w:val="it-IT" w:eastAsia="it-IT"/>
              </w:rPr>
            </w:pPr>
            <w:r w:rsidRPr="009E7686">
              <w:rPr>
                <w:color w:val="FF0000"/>
                <w:sz w:val="14"/>
                <w:szCs w:val="14"/>
                <w:lang w:val="it-IT" w:eastAsia="it-IT"/>
              </w:rPr>
              <w:t>---</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64</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31</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78"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43" w:type="pct"/>
            <w:tcBorders>
              <w:top w:val="nil"/>
              <w:left w:val="nil"/>
              <w:bottom w:val="nil"/>
              <w:right w:val="single" w:sz="4" w:space="0" w:color="000000"/>
            </w:tcBorders>
            <w:noWrap/>
            <w:vAlign w:val="bottom"/>
          </w:tcPr>
          <w:p w:rsidR="003D0E01" w:rsidRPr="009E7686" w:rsidRDefault="003D0E01" w:rsidP="003D0E01">
            <w:pPr>
              <w:spacing w:after="0" w:line="240" w:lineRule="auto"/>
              <w:jc w:val="left"/>
              <w:rPr>
                <w:color w:val="000000"/>
                <w:sz w:val="14"/>
                <w:szCs w:val="14"/>
                <w:lang w:val="it-IT" w:eastAsia="it-IT"/>
              </w:rPr>
            </w:pPr>
            <w:r w:rsidRPr="009E7686">
              <w:rPr>
                <w:color w:val="000000"/>
                <w:sz w:val="14"/>
                <w:szCs w:val="14"/>
                <w:lang w:val="it-IT" w:eastAsia="it-IT"/>
              </w:rPr>
              <w:t> </w:t>
            </w:r>
          </w:p>
        </w:tc>
      </w:tr>
      <w:tr w:rsidR="003D0E01" w:rsidRPr="00F31150" w:rsidTr="003D0E01">
        <w:trPr>
          <w:trHeight w:val="210"/>
        </w:trPr>
        <w:tc>
          <w:tcPr>
            <w:tcW w:w="1625" w:type="pct"/>
            <w:tcBorders>
              <w:top w:val="nil"/>
              <w:left w:val="single" w:sz="4" w:space="0" w:color="000000"/>
              <w:bottom w:val="nil"/>
              <w:right w:val="nil"/>
            </w:tcBorders>
            <w:noWrap/>
            <w:vAlign w:val="bottom"/>
          </w:tcPr>
          <w:p w:rsidR="003D0E01" w:rsidRPr="00340CAB" w:rsidRDefault="003D0E01" w:rsidP="003D0E01">
            <w:pPr>
              <w:spacing w:after="0" w:line="240" w:lineRule="auto"/>
              <w:jc w:val="left"/>
              <w:rPr>
                <w:color w:val="000000"/>
                <w:sz w:val="14"/>
                <w:szCs w:val="14"/>
                <w:lang w:eastAsia="it-IT"/>
              </w:rPr>
            </w:pPr>
            <w:r w:rsidRPr="0054221F">
              <w:rPr>
                <w:color w:val="000000"/>
                <w:sz w:val="14"/>
                <w:szCs w:val="14"/>
                <w:lang w:eastAsia="it-IT"/>
              </w:rPr>
              <w:t xml:space="preserve">21.Institutional capacity, public administration, justice systems </w:t>
            </w:r>
          </w:p>
        </w:tc>
        <w:tc>
          <w:tcPr>
            <w:tcW w:w="151"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44</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60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96</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72</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89</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87</w:t>
            </w:r>
          </w:p>
        </w:tc>
        <w:tc>
          <w:tcPr>
            <w:tcW w:w="169"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74</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21</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78</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69</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77</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left"/>
              <w:rPr>
                <w:color w:val="000000"/>
                <w:sz w:val="14"/>
                <w:szCs w:val="14"/>
                <w:lang w:val="it-IT" w:eastAsia="it-IT"/>
              </w:rPr>
            </w:pPr>
          </w:p>
        </w:tc>
        <w:tc>
          <w:tcPr>
            <w:tcW w:w="178"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100</w:t>
            </w:r>
          </w:p>
        </w:tc>
        <w:tc>
          <w:tcPr>
            <w:tcW w:w="152" w:type="pct"/>
            <w:tcBorders>
              <w:top w:val="nil"/>
              <w:left w:val="nil"/>
              <w:bottom w:val="nil"/>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62</w:t>
            </w:r>
          </w:p>
        </w:tc>
        <w:tc>
          <w:tcPr>
            <w:tcW w:w="143" w:type="pct"/>
            <w:tcBorders>
              <w:top w:val="nil"/>
              <w:left w:val="nil"/>
              <w:bottom w:val="nil"/>
              <w:right w:val="single" w:sz="4" w:space="0" w:color="000000"/>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w:t>
            </w:r>
          </w:p>
        </w:tc>
      </w:tr>
      <w:tr w:rsidR="003D0E01" w:rsidRPr="00F31150" w:rsidTr="003D0E01">
        <w:trPr>
          <w:trHeight w:val="210"/>
        </w:trPr>
        <w:tc>
          <w:tcPr>
            <w:tcW w:w="1625" w:type="pct"/>
            <w:tcBorders>
              <w:top w:val="single" w:sz="4" w:space="0" w:color="auto"/>
              <w:left w:val="single" w:sz="4" w:space="0" w:color="auto"/>
              <w:bottom w:val="single" w:sz="4" w:space="0" w:color="auto"/>
              <w:right w:val="nil"/>
            </w:tcBorders>
            <w:noWrap/>
            <w:vAlign w:val="bottom"/>
          </w:tcPr>
          <w:p w:rsidR="003D0E01" w:rsidRPr="009E7686" w:rsidRDefault="003D0E01" w:rsidP="003D0E01">
            <w:pPr>
              <w:spacing w:after="0" w:line="240" w:lineRule="auto"/>
              <w:jc w:val="left"/>
              <w:rPr>
                <w:b/>
                <w:bCs/>
                <w:color w:val="000000"/>
                <w:sz w:val="14"/>
                <w:szCs w:val="14"/>
                <w:lang w:val="it-IT" w:eastAsia="it-IT"/>
              </w:rPr>
            </w:pPr>
            <w:r w:rsidRPr="009E7686">
              <w:rPr>
                <w:b/>
                <w:bCs/>
                <w:color w:val="000000"/>
                <w:sz w:val="14"/>
                <w:szCs w:val="14"/>
                <w:lang w:val="it-IT" w:eastAsia="it-IT"/>
              </w:rPr>
              <w:t>Total</w:t>
            </w:r>
          </w:p>
        </w:tc>
        <w:tc>
          <w:tcPr>
            <w:tcW w:w="151" w:type="pct"/>
            <w:tcBorders>
              <w:top w:val="single" w:sz="4" w:space="0" w:color="auto"/>
              <w:left w:val="nil"/>
              <w:bottom w:val="single" w:sz="4" w:space="0" w:color="auto"/>
              <w:right w:val="nil"/>
            </w:tcBorders>
            <w:noWrap/>
            <w:vAlign w:val="bottom"/>
          </w:tcPr>
          <w:p w:rsidR="003D0E01" w:rsidRPr="009E7686" w:rsidRDefault="003D0E01" w:rsidP="003D0E01">
            <w:pPr>
              <w:spacing w:after="0" w:line="240" w:lineRule="auto"/>
              <w:jc w:val="right"/>
              <w:rPr>
                <w:b/>
                <w:bCs/>
                <w:color w:val="000000"/>
                <w:sz w:val="14"/>
                <w:szCs w:val="14"/>
                <w:lang w:val="it-IT" w:eastAsia="it-IT"/>
              </w:rPr>
            </w:pPr>
            <w:r w:rsidRPr="009E7686">
              <w:rPr>
                <w:b/>
                <w:bCs/>
                <w:color w:val="000000"/>
                <w:sz w:val="14"/>
                <w:szCs w:val="14"/>
                <w:lang w:val="it-IT" w:eastAsia="it-IT"/>
              </w:rPr>
              <w:t>96</w:t>
            </w:r>
          </w:p>
        </w:tc>
        <w:tc>
          <w:tcPr>
            <w:tcW w:w="152" w:type="pct"/>
            <w:tcBorders>
              <w:top w:val="single" w:sz="4" w:space="0" w:color="auto"/>
              <w:left w:val="nil"/>
              <w:bottom w:val="single" w:sz="4" w:space="0" w:color="auto"/>
              <w:right w:val="nil"/>
            </w:tcBorders>
            <w:noWrap/>
            <w:vAlign w:val="bottom"/>
          </w:tcPr>
          <w:p w:rsidR="003D0E01" w:rsidRPr="009E7686" w:rsidRDefault="003D0E01" w:rsidP="003D0E01">
            <w:pPr>
              <w:spacing w:after="0" w:line="240" w:lineRule="auto"/>
              <w:jc w:val="right"/>
              <w:rPr>
                <w:b/>
                <w:bCs/>
                <w:color w:val="000000"/>
                <w:sz w:val="14"/>
                <w:szCs w:val="14"/>
                <w:lang w:val="it-IT" w:eastAsia="it-IT"/>
              </w:rPr>
            </w:pPr>
            <w:r w:rsidRPr="009E7686">
              <w:rPr>
                <w:b/>
                <w:bCs/>
                <w:color w:val="000000"/>
                <w:sz w:val="14"/>
                <w:szCs w:val="14"/>
                <w:lang w:val="it-IT" w:eastAsia="it-IT"/>
              </w:rPr>
              <w:t>83</w:t>
            </w:r>
          </w:p>
        </w:tc>
        <w:tc>
          <w:tcPr>
            <w:tcW w:w="152" w:type="pct"/>
            <w:tcBorders>
              <w:top w:val="single" w:sz="4" w:space="0" w:color="auto"/>
              <w:left w:val="nil"/>
              <w:bottom w:val="single" w:sz="4" w:space="0" w:color="auto"/>
              <w:right w:val="nil"/>
            </w:tcBorders>
            <w:noWrap/>
            <w:vAlign w:val="bottom"/>
          </w:tcPr>
          <w:p w:rsidR="003D0E01" w:rsidRPr="009E7686" w:rsidRDefault="003D0E01" w:rsidP="003D0E01">
            <w:pPr>
              <w:spacing w:after="0" w:line="240" w:lineRule="auto"/>
              <w:jc w:val="right"/>
              <w:rPr>
                <w:b/>
                <w:bCs/>
                <w:color w:val="000000"/>
                <w:sz w:val="14"/>
                <w:szCs w:val="14"/>
                <w:lang w:val="it-IT" w:eastAsia="it-IT"/>
              </w:rPr>
            </w:pPr>
            <w:r w:rsidRPr="009E7686">
              <w:rPr>
                <w:b/>
                <w:bCs/>
                <w:color w:val="000000"/>
                <w:sz w:val="14"/>
                <w:szCs w:val="14"/>
                <w:lang w:val="it-IT" w:eastAsia="it-IT"/>
              </w:rPr>
              <w:t>89</w:t>
            </w:r>
          </w:p>
        </w:tc>
        <w:tc>
          <w:tcPr>
            <w:tcW w:w="152" w:type="pct"/>
            <w:tcBorders>
              <w:top w:val="single" w:sz="4" w:space="0" w:color="auto"/>
              <w:left w:val="nil"/>
              <w:bottom w:val="single" w:sz="4" w:space="0" w:color="auto"/>
              <w:right w:val="nil"/>
            </w:tcBorders>
            <w:noWrap/>
            <w:vAlign w:val="bottom"/>
          </w:tcPr>
          <w:p w:rsidR="003D0E01" w:rsidRPr="009E7686" w:rsidRDefault="003D0E01" w:rsidP="003D0E01">
            <w:pPr>
              <w:spacing w:after="0" w:line="240" w:lineRule="auto"/>
              <w:jc w:val="right"/>
              <w:rPr>
                <w:b/>
                <w:bCs/>
                <w:color w:val="000000"/>
                <w:sz w:val="14"/>
                <w:szCs w:val="14"/>
                <w:lang w:val="it-IT" w:eastAsia="it-IT"/>
              </w:rPr>
            </w:pPr>
            <w:r w:rsidRPr="009E7686">
              <w:rPr>
                <w:b/>
                <w:bCs/>
                <w:color w:val="000000"/>
                <w:sz w:val="14"/>
                <w:szCs w:val="14"/>
                <w:lang w:val="it-IT" w:eastAsia="it-IT"/>
              </w:rPr>
              <w:t>56</w:t>
            </w:r>
          </w:p>
        </w:tc>
        <w:tc>
          <w:tcPr>
            <w:tcW w:w="152" w:type="pct"/>
            <w:tcBorders>
              <w:top w:val="single" w:sz="4" w:space="0" w:color="auto"/>
              <w:left w:val="nil"/>
              <w:bottom w:val="single" w:sz="4" w:space="0" w:color="auto"/>
              <w:right w:val="nil"/>
            </w:tcBorders>
            <w:noWrap/>
            <w:vAlign w:val="bottom"/>
          </w:tcPr>
          <w:p w:rsidR="003D0E01" w:rsidRPr="009E7686" w:rsidRDefault="003D0E01" w:rsidP="003D0E01">
            <w:pPr>
              <w:spacing w:after="0" w:line="240" w:lineRule="auto"/>
              <w:jc w:val="right"/>
              <w:rPr>
                <w:b/>
                <w:bCs/>
                <w:color w:val="000000"/>
                <w:sz w:val="14"/>
                <w:szCs w:val="14"/>
                <w:lang w:val="it-IT" w:eastAsia="it-IT"/>
              </w:rPr>
            </w:pPr>
            <w:r w:rsidRPr="009E7686">
              <w:rPr>
                <w:b/>
                <w:bCs/>
                <w:color w:val="000000"/>
                <w:sz w:val="14"/>
                <w:szCs w:val="14"/>
                <w:lang w:val="it-IT" w:eastAsia="it-IT"/>
              </w:rPr>
              <w:t>53</w:t>
            </w:r>
          </w:p>
        </w:tc>
        <w:tc>
          <w:tcPr>
            <w:tcW w:w="152" w:type="pct"/>
            <w:tcBorders>
              <w:top w:val="single" w:sz="4" w:space="0" w:color="auto"/>
              <w:left w:val="nil"/>
              <w:bottom w:val="single" w:sz="4" w:space="0" w:color="auto"/>
              <w:right w:val="nil"/>
            </w:tcBorders>
            <w:noWrap/>
            <w:vAlign w:val="bottom"/>
          </w:tcPr>
          <w:p w:rsidR="003D0E01" w:rsidRPr="009E7686" w:rsidRDefault="003D0E01" w:rsidP="003D0E01">
            <w:pPr>
              <w:spacing w:after="0" w:line="240" w:lineRule="auto"/>
              <w:jc w:val="right"/>
              <w:rPr>
                <w:b/>
                <w:bCs/>
                <w:color w:val="000000"/>
                <w:sz w:val="14"/>
                <w:szCs w:val="14"/>
                <w:lang w:val="it-IT" w:eastAsia="it-IT"/>
              </w:rPr>
            </w:pPr>
            <w:r w:rsidRPr="009E7686">
              <w:rPr>
                <w:b/>
                <w:bCs/>
                <w:color w:val="000000"/>
                <w:sz w:val="14"/>
                <w:szCs w:val="14"/>
                <w:lang w:val="it-IT" w:eastAsia="it-IT"/>
              </w:rPr>
              <w:t>86</w:t>
            </w:r>
          </w:p>
        </w:tc>
        <w:tc>
          <w:tcPr>
            <w:tcW w:w="152" w:type="pct"/>
            <w:tcBorders>
              <w:top w:val="single" w:sz="4" w:space="0" w:color="auto"/>
              <w:left w:val="nil"/>
              <w:bottom w:val="single" w:sz="4" w:space="0" w:color="auto"/>
              <w:right w:val="nil"/>
            </w:tcBorders>
            <w:noWrap/>
            <w:vAlign w:val="bottom"/>
          </w:tcPr>
          <w:p w:rsidR="003D0E01" w:rsidRPr="009E7686" w:rsidRDefault="003D0E01" w:rsidP="003D0E01">
            <w:pPr>
              <w:spacing w:after="0" w:line="240" w:lineRule="auto"/>
              <w:jc w:val="right"/>
              <w:rPr>
                <w:b/>
                <w:bCs/>
                <w:color w:val="000000"/>
                <w:sz w:val="14"/>
                <w:szCs w:val="14"/>
                <w:lang w:val="it-IT" w:eastAsia="it-IT"/>
              </w:rPr>
            </w:pPr>
            <w:r w:rsidRPr="009E7686">
              <w:rPr>
                <w:b/>
                <w:bCs/>
                <w:color w:val="000000"/>
                <w:sz w:val="14"/>
                <w:szCs w:val="14"/>
                <w:lang w:val="it-IT" w:eastAsia="it-IT"/>
              </w:rPr>
              <w:t>87</w:t>
            </w:r>
          </w:p>
        </w:tc>
        <w:tc>
          <w:tcPr>
            <w:tcW w:w="152" w:type="pct"/>
            <w:tcBorders>
              <w:top w:val="single" w:sz="4" w:space="0" w:color="auto"/>
              <w:left w:val="nil"/>
              <w:bottom w:val="single" w:sz="4" w:space="0" w:color="auto"/>
              <w:right w:val="nil"/>
            </w:tcBorders>
            <w:noWrap/>
            <w:vAlign w:val="bottom"/>
          </w:tcPr>
          <w:p w:rsidR="003D0E01" w:rsidRPr="009E7686" w:rsidRDefault="003D0E01" w:rsidP="003D0E01">
            <w:pPr>
              <w:spacing w:after="0" w:line="240" w:lineRule="auto"/>
              <w:jc w:val="right"/>
              <w:rPr>
                <w:b/>
                <w:bCs/>
                <w:color w:val="000000"/>
                <w:sz w:val="14"/>
                <w:szCs w:val="14"/>
                <w:lang w:val="it-IT" w:eastAsia="it-IT"/>
              </w:rPr>
            </w:pPr>
            <w:r w:rsidRPr="009E7686">
              <w:rPr>
                <w:b/>
                <w:bCs/>
                <w:color w:val="000000"/>
                <w:sz w:val="14"/>
                <w:szCs w:val="14"/>
                <w:lang w:val="it-IT" w:eastAsia="it-IT"/>
              </w:rPr>
              <w:t>95</w:t>
            </w:r>
          </w:p>
        </w:tc>
        <w:tc>
          <w:tcPr>
            <w:tcW w:w="152" w:type="pct"/>
            <w:tcBorders>
              <w:top w:val="single" w:sz="4" w:space="0" w:color="auto"/>
              <w:left w:val="nil"/>
              <w:bottom w:val="single" w:sz="4" w:space="0" w:color="auto"/>
              <w:right w:val="nil"/>
            </w:tcBorders>
            <w:noWrap/>
            <w:vAlign w:val="bottom"/>
          </w:tcPr>
          <w:p w:rsidR="003D0E01" w:rsidRPr="009E7686" w:rsidRDefault="003D0E01" w:rsidP="003D0E01">
            <w:pPr>
              <w:spacing w:after="0" w:line="240" w:lineRule="auto"/>
              <w:jc w:val="right"/>
              <w:rPr>
                <w:b/>
                <w:bCs/>
                <w:color w:val="000000"/>
                <w:sz w:val="14"/>
                <w:szCs w:val="14"/>
                <w:lang w:val="it-IT" w:eastAsia="it-IT"/>
              </w:rPr>
            </w:pPr>
            <w:r w:rsidRPr="009E7686">
              <w:rPr>
                <w:b/>
                <w:bCs/>
                <w:color w:val="000000"/>
                <w:sz w:val="14"/>
                <w:szCs w:val="14"/>
                <w:lang w:val="it-IT" w:eastAsia="it-IT"/>
              </w:rPr>
              <w:t>75</w:t>
            </w:r>
          </w:p>
        </w:tc>
        <w:tc>
          <w:tcPr>
            <w:tcW w:w="152" w:type="pct"/>
            <w:tcBorders>
              <w:top w:val="single" w:sz="4" w:space="0" w:color="auto"/>
              <w:left w:val="nil"/>
              <w:bottom w:val="single" w:sz="4" w:space="0" w:color="auto"/>
              <w:right w:val="nil"/>
            </w:tcBorders>
            <w:noWrap/>
            <w:vAlign w:val="bottom"/>
          </w:tcPr>
          <w:p w:rsidR="003D0E01" w:rsidRPr="009E7686" w:rsidRDefault="003D0E01" w:rsidP="003D0E01">
            <w:pPr>
              <w:spacing w:after="0" w:line="240" w:lineRule="auto"/>
              <w:jc w:val="right"/>
              <w:rPr>
                <w:b/>
                <w:bCs/>
                <w:color w:val="000000"/>
                <w:sz w:val="14"/>
                <w:szCs w:val="14"/>
                <w:lang w:val="it-IT" w:eastAsia="it-IT"/>
              </w:rPr>
            </w:pPr>
            <w:r w:rsidRPr="009E7686">
              <w:rPr>
                <w:b/>
                <w:bCs/>
                <w:color w:val="000000"/>
                <w:sz w:val="14"/>
                <w:szCs w:val="14"/>
                <w:lang w:val="it-IT" w:eastAsia="it-IT"/>
              </w:rPr>
              <w:t>86</w:t>
            </w:r>
          </w:p>
        </w:tc>
        <w:tc>
          <w:tcPr>
            <w:tcW w:w="169" w:type="pct"/>
            <w:tcBorders>
              <w:top w:val="single" w:sz="4" w:space="0" w:color="auto"/>
              <w:left w:val="nil"/>
              <w:bottom w:val="single" w:sz="4" w:space="0" w:color="auto"/>
              <w:right w:val="nil"/>
            </w:tcBorders>
            <w:noWrap/>
            <w:vAlign w:val="bottom"/>
          </w:tcPr>
          <w:p w:rsidR="003D0E01" w:rsidRPr="009E7686" w:rsidRDefault="003D0E01" w:rsidP="003D0E01">
            <w:pPr>
              <w:spacing w:after="0" w:line="240" w:lineRule="auto"/>
              <w:jc w:val="right"/>
              <w:rPr>
                <w:b/>
                <w:bCs/>
                <w:color w:val="000000"/>
                <w:sz w:val="14"/>
                <w:szCs w:val="14"/>
                <w:lang w:val="it-IT" w:eastAsia="it-IT"/>
              </w:rPr>
            </w:pPr>
            <w:r w:rsidRPr="009E7686">
              <w:rPr>
                <w:b/>
                <w:bCs/>
                <w:color w:val="000000"/>
                <w:sz w:val="14"/>
                <w:szCs w:val="14"/>
                <w:lang w:val="it-IT" w:eastAsia="it-IT"/>
              </w:rPr>
              <w:t>100</w:t>
            </w:r>
          </w:p>
        </w:tc>
        <w:tc>
          <w:tcPr>
            <w:tcW w:w="152" w:type="pct"/>
            <w:tcBorders>
              <w:top w:val="single" w:sz="4" w:space="0" w:color="auto"/>
              <w:left w:val="nil"/>
              <w:bottom w:val="single" w:sz="4" w:space="0" w:color="auto"/>
              <w:right w:val="nil"/>
            </w:tcBorders>
            <w:noWrap/>
            <w:vAlign w:val="bottom"/>
          </w:tcPr>
          <w:p w:rsidR="003D0E01" w:rsidRPr="009E7686" w:rsidRDefault="003D0E01" w:rsidP="003D0E01">
            <w:pPr>
              <w:spacing w:after="0" w:line="240" w:lineRule="auto"/>
              <w:jc w:val="right"/>
              <w:rPr>
                <w:b/>
                <w:bCs/>
                <w:color w:val="000000"/>
                <w:sz w:val="14"/>
                <w:szCs w:val="14"/>
                <w:lang w:val="it-IT" w:eastAsia="it-IT"/>
              </w:rPr>
            </w:pPr>
            <w:r w:rsidRPr="009E7686">
              <w:rPr>
                <w:b/>
                <w:bCs/>
                <w:color w:val="000000"/>
                <w:sz w:val="14"/>
                <w:szCs w:val="14"/>
                <w:lang w:val="it-IT" w:eastAsia="it-IT"/>
              </w:rPr>
              <w:t>93</w:t>
            </w:r>
          </w:p>
        </w:tc>
        <w:tc>
          <w:tcPr>
            <w:tcW w:w="152" w:type="pct"/>
            <w:tcBorders>
              <w:top w:val="single" w:sz="4" w:space="0" w:color="auto"/>
              <w:left w:val="nil"/>
              <w:bottom w:val="single" w:sz="4" w:space="0" w:color="auto"/>
              <w:right w:val="nil"/>
            </w:tcBorders>
            <w:noWrap/>
            <w:vAlign w:val="bottom"/>
          </w:tcPr>
          <w:p w:rsidR="003D0E01" w:rsidRPr="009E7686" w:rsidRDefault="003D0E01" w:rsidP="003D0E01">
            <w:pPr>
              <w:spacing w:after="0" w:line="240" w:lineRule="auto"/>
              <w:jc w:val="right"/>
              <w:rPr>
                <w:b/>
                <w:bCs/>
                <w:color w:val="000000"/>
                <w:sz w:val="14"/>
                <w:szCs w:val="14"/>
                <w:lang w:val="it-IT" w:eastAsia="it-IT"/>
              </w:rPr>
            </w:pPr>
            <w:r w:rsidRPr="009E7686">
              <w:rPr>
                <w:b/>
                <w:bCs/>
                <w:color w:val="000000"/>
                <w:sz w:val="14"/>
                <w:szCs w:val="14"/>
                <w:lang w:val="it-IT" w:eastAsia="it-IT"/>
              </w:rPr>
              <w:t>97</w:t>
            </w:r>
          </w:p>
        </w:tc>
        <w:tc>
          <w:tcPr>
            <w:tcW w:w="152" w:type="pct"/>
            <w:tcBorders>
              <w:top w:val="single" w:sz="4" w:space="0" w:color="auto"/>
              <w:left w:val="nil"/>
              <w:bottom w:val="single" w:sz="4" w:space="0" w:color="auto"/>
              <w:right w:val="nil"/>
            </w:tcBorders>
            <w:noWrap/>
            <w:vAlign w:val="bottom"/>
          </w:tcPr>
          <w:p w:rsidR="003D0E01" w:rsidRPr="009E7686" w:rsidRDefault="003D0E01" w:rsidP="003D0E01">
            <w:pPr>
              <w:spacing w:after="0" w:line="240" w:lineRule="auto"/>
              <w:jc w:val="right"/>
              <w:rPr>
                <w:b/>
                <w:bCs/>
                <w:color w:val="000000"/>
                <w:sz w:val="14"/>
                <w:szCs w:val="14"/>
                <w:lang w:val="it-IT" w:eastAsia="it-IT"/>
              </w:rPr>
            </w:pPr>
            <w:r w:rsidRPr="009E7686">
              <w:rPr>
                <w:b/>
                <w:bCs/>
                <w:color w:val="000000"/>
                <w:sz w:val="14"/>
                <w:szCs w:val="14"/>
                <w:lang w:val="it-IT" w:eastAsia="it-IT"/>
              </w:rPr>
              <w:t>92</w:t>
            </w:r>
          </w:p>
        </w:tc>
        <w:tc>
          <w:tcPr>
            <w:tcW w:w="152" w:type="pct"/>
            <w:tcBorders>
              <w:top w:val="single" w:sz="4" w:space="0" w:color="auto"/>
              <w:left w:val="nil"/>
              <w:bottom w:val="single" w:sz="4" w:space="0" w:color="auto"/>
              <w:right w:val="nil"/>
            </w:tcBorders>
            <w:noWrap/>
            <w:vAlign w:val="bottom"/>
          </w:tcPr>
          <w:p w:rsidR="003D0E01" w:rsidRPr="009E7686" w:rsidRDefault="003D0E01" w:rsidP="003D0E01">
            <w:pPr>
              <w:spacing w:after="0" w:line="240" w:lineRule="auto"/>
              <w:jc w:val="right"/>
              <w:rPr>
                <w:b/>
                <w:bCs/>
                <w:color w:val="000000"/>
                <w:sz w:val="14"/>
                <w:szCs w:val="14"/>
                <w:lang w:val="it-IT" w:eastAsia="it-IT"/>
              </w:rPr>
            </w:pPr>
            <w:r w:rsidRPr="009E7686">
              <w:rPr>
                <w:b/>
                <w:bCs/>
                <w:color w:val="000000"/>
                <w:sz w:val="14"/>
                <w:szCs w:val="14"/>
                <w:lang w:val="it-IT" w:eastAsia="it-IT"/>
              </w:rPr>
              <w:t>94</w:t>
            </w:r>
          </w:p>
        </w:tc>
        <w:tc>
          <w:tcPr>
            <w:tcW w:w="152" w:type="pct"/>
            <w:tcBorders>
              <w:top w:val="single" w:sz="4" w:space="0" w:color="auto"/>
              <w:left w:val="nil"/>
              <w:bottom w:val="single" w:sz="4" w:space="0" w:color="auto"/>
              <w:right w:val="nil"/>
            </w:tcBorders>
            <w:noWrap/>
            <w:vAlign w:val="bottom"/>
          </w:tcPr>
          <w:p w:rsidR="003D0E01" w:rsidRPr="009E7686" w:rsidRDefault="003D0E01" w:rsidP="003D0E01">
            <w:pPr>
              <w:spacing w:after="0" w:line="240" w:lineRule="auto"/>
              <w:jc w:val="right"/>
              <w:rPr>
                <w:b/>
                <w:bCs/>
                <w:color w:val="000000"/>
                <w:sz w:val="14"/>
                <w:szCs w:val="14"/>
                <w:lang w:val="it-IT" w:eastAsia="it-IT"/>
              </w:rPr>
            </w:pPr>
            <w:r w:rsidRPr="009E7686">
              <w:rPr>
                <w:b/>
                <w:bCs/>
                <w:color w:val="000000"/>
                <w:sz w:val="14"/>
                <w:szCs w:val="14"/>
                <w:lang w:val="it-IT" w:eastAsia="it-IT"/>
              </w:rPr>
              <w:t>91</w:t>
            </w:r>
          </w:p>
        </w:tc>
        <w:tc>
          <w:tcPr>
            <w:tcW w:w="152" w:type="pct"/>
            <w:tcBorders>
              <w:top w:val="single" w:sz="4" w:space="0" w:color="auto"/>
              <w:left w:val="nil"/>
              <w:bottom w:val="single" w:sz="4" w:space="0" w:color="auto"/>
              <w:right w:val="nil"/>
            </w:tcBorders>
            <w:noWrap/>
            <w:vAlign w:val="bottom"/>
          </w:tcPr>
          <w:p w:rsidR="003D0E01" w:rsidRPr="009E7686" w:rsidRDefault="003D0E01" w:rsidP="003D0E01">
            <w:pPr>
              <w:spacing w:after="0" w:line="240" w:lineRule="auto"/>
              <w:jc w:val="right"/>
              <w:rPr>
                <w:b/>
                <w:bCs/>
                <w:color w:val="000000"/>
                <w:sz w:val="14"/>
                <w:szCs w:val="14"/>
                <w:lang w:val="it-IT" w:eastAsia="it-IT"/>
              </w:rPr>
            </w:pPr>
            <w:r w:rsidRPr="009E7686">
              <w:rPr>
                <w:b/>
                <w:bCs/>
                <w:color w:val="000000"/>
                <w:sz w:val="14"/>
                <w:szCs w:val="14"/>
                <w:lang w:val="it-IT" w:eastAsia="it-IT"/>
              </w:rPr>
              <w:t>91</w:t>
            </w:r>
          </w:p>
        </w:tc>
        <w:tc>
          <w:tcPr>
            <w:tcW w:w="152" w:type="pct"/>
            <w:tcBorders>
              <w:top w:val="single" w:sz="4" w:space="0" w:color="auto"/>
              <w:left w:val="nil"/>
              <w:bottom w:val="single" w:sz="4" w:space="0" w:color="auto"/>
              <w:right w:val="nil"/>
            </w:tcBorders>
            <w:noWrap/>
            <w:vAlign w:val="bottom"/>
          </w:tcPr>
          <w:p w:rsidR="003D0E01" w:rsidRPr="009E7686" w:rsidRDefault="003D0E01" w:rsidP="003D0E01">
            <w:pPr>
              <w:spacing w:after="0" w:line="240" w:lineRule="auto"/>
              <w:jc w:val="right"/>
              <w:rPr>
                <w:b/>
                <w:bCs/>
                <w:color w:val="000000"/>
                <w:sz w:val="14"/>
                <w:szCs w:val="14"/>
                <w:lang w:val="it-IT" w:eastAsia="it-IT"/>
              </w:rPr>
            </w:pPr>
            <w:r w:rsidRPr="009E7686">
              <w:rPr>
                <w:b/>
                <w:bCs/>
                <w:color w:val="000000"/>
                <w:sz w:val="14"/>
                <w:szCs w:val="14"/>
                <w:lang w:val="it-IT" w:eastAsia="it-IT"/>
              </w:rPr>
              <w:t>97</w:t>
            </w:r>
          </w:p>
        </w:tc>
        <w:tc>
          <w:tcPr>
            <w:tcW w:w="152" w:type="pct"/>
            <w:tcBorders>
              <w:top w:val="single" w:sz="4" w:space="0" w:color="auto"/>
              <w:left w:val="nil"/>
              <w:bottom w:val="single" w:sz="4" w:space="0" w:color="auto"/>
              <w:right w:val="nil"/>
            </w:tcBorders>
            <w:noWrap/>
            <w:vAlign w:val="bottom"/>
          </w:tcPr>
          <w:p w:rsidR="003D0E01" w:rsidRPr="009E7686" w:rsidRDefault="003D0E01" w:rsidP="003D0E01">
            <w:pPr>
              <w:spacing w:after="0" w:line="240" w:lineRule="auto"/>
              <w:jc w:val="right"/>
              <w:rPr>
                <w:b/>
                <w:bCs/>
                <w:color w:val="000000"/>
                <w:sz w:val="14"/>
                <w:szCs w:val="14"/>
                <w:lang w:val="it-IT" w:eastAsia="it-IT"/>
              </w:rPr>
            </w:pPr>
            <w:r w:rsidRPr="009E7686">
              <w:rPr>
                <w:b/>
                <w:bCs/>
                <w:color w:val="000000"/>
                <w:sz w:val="14"/>
                <w:szCs w:val="14"/>
                <w:lang w:val="it-IT" w:eastAsia="it-IT"/>
              </w:rPr>
              <w:t>44</w:t>
            </w:r>
          </w:p>
        </w:tc>
        <w:tc>
          <w:tcPr>
            <w:tcW w:w="178" w:type="pct"/>
            <w:tcBorders>
              <w:top w:val="single" w:sz="4" w:space="0" w:color="auto"/>
              <w:left w:val="nil"/>
              <w:bottom w:val="single" w:sz="4" w:space="0" w:color="auto"/>
              <w:right w:val="nil"/>
            </w:tcBorders>
            <w:noWrap/>
            <w:vAlign w:val="bottom"/>
          </w:tcPr>
          <w:p w:rsidR="003D0E01" w:rsidRPr="009E7686" w:rsidRDefault="003D0E01" w:rsidP="003D0E01">
            <w:pPr>
              <w:spacing w:after="0" w:line="240" w:lineRule="auto"/>
              <w:jc w:val="right"/>
              <w:rPr>
                <w:b/>
                <w:bCs/>
                <w:color w:val="000000"/>
                <w:sz w:val="14"/>
                <w:szCs w:val="14"/>
                <w:lang w:val="it-IT" w:eastAsia="it-IT"/>
              </w:rPr>
            </w:pPr>
            <w:r w:rsidRPr="009E7686">
              <w:rPr>
                <w:b/>
                <w:bCs/>
                <w:color w:val="000000"/>
                <w:sz w:val="14"/>
                <w:szCs w:val="14"/>
                <w:lang w:val="it-IT" w:eastAsia="it-IT"/>
              </w:rPr>
              <w:t>100</w:t>
            </w:r>
          </w:p>
        </w:tc>
        <w:tc>
          <w:tcPr>
            <w:tcW w:w="152" w:type="pct"/>
            <w:tcBorders>
              <w:top w:val="single" w:sz="4" w:space="0" w:color="auto"/>
              <w:left w:val="nil"/>
              <w:bottom w:val="single" w:sz="4" w:space="0" w:color="auto"/>
              <w:right w:val="nil"/>
            </w:tcBorders>
            <w:noWrap/>
            <w:vAlign w:val="bottom"/>
          </w:tcPr>
          <w:p w:rsidR="003D0E01" w:rsidRPr="009E7686" w:rsidRDefault="003D0E01" w:rsidP="003D0E01">
            <w:pPr>
              <w:spacing w:after="0" w:line="240" w:lineRule="auto"/>
              <w:jc w:val="right"/>
              <w:rPr>
                <w:b/>
                <w:bCs/>
                <w:color w:val="000000"/>
                <w:sz w:val="14"/>
                <w:szCs w:val="14"/>
                <w:lang w:val="it-IT" w:eastAsia="it-IT"/>
              </w:rPr>
            </w:pPr>
            <w:r w:rsidRPr="009E7686">
              <w:rPr>
                <w:b/>
                <w:bCs/>
                <w:color w:val="000000"/>
                <w:sz w:val="14"/>
                <w:szCs w:val="14"/>
                <w:lang w:val="it-IT" w:eastAsia="it-IT"/>
              </w:rPr>
              <w:t>89</w:t>
            </w:r>
          </w:p>
        </w:tc>
        <w:tc>
          <w:tcPr>
            <w:tcW w:w="143" w:type="pct"/>
            <w:tcBorders>
              <w:top w:val="single" w:sz="4" w:space="0" w:color="auto"/>
              <w:left w:val="nil"/>
              <w:bottom w:val="single" w:sz="4" w:space="0" w:color="auto"/>
              <w:right w:val="single" w:sz="4" w:space="0" w:color="auto"/>
            </w:tcBorders>
            <w:noWrap/>
            <w:vAlign w:val="bottom"/>
          </w:tcPr>
          <w:p w:rsidR="003D0E01" w:rsidRPr="009E7686" w:rsidRDefault="003D0E01" w:rsidP="003D0E01">
            <w:pPr>
              <w:spacing w:after="0" w:line="240" w:lineRule="auto"/>
              <w:jc w:val="right"/>
              <w:rPr>
                <w:b/>
                <w:bCs/>
                <w:color w:val="000000"/>
                <w:sz w:val="14"/>
                <w:szCs w:val="14"/>
                <w:lang w:val="it-IT" w:eastAsia="it-IT"/>
              </w:rPr>
            </w:pPr>
            <w:r w:rsidRPr="009E7686">
              <w:rPr>
                <w:b/>
                <w:bCs/>
                <w:color w:val="000000"/>
                <w:sz w:val="14"/>
                <w:szCs w:val="14"/>
                <w:lang w:val="it-IT" w:eastAsia="it-IT"/>
              </w:rPr>
              <w:t>96</w:t>
            </w:r>
          </w:p>
        </w:tc>
      </w:tr>
      <w:tr w:rsidR="003D0E01" w:rsidRPr="00F31150" w:rsidTr="003D0E01">
        <w:trPr>
          <w:trHeight w:val="210"/>
        </w:trPr>
        <w:tc>
          <w:tcPr>
            <w:tcW w:w="1625" w:type="pct"/>
            <w:tcBorders>
              <w:top w:val="nil"/>
              <w:left w:val="single" w:sz="4" w:space="0" w:color="auto"/>
              <w:bottom w:val="single" w:sz="4" w:space="0" w:color="auto"/>
              <w:right w:val="nil"/>
            </w:tcBorders>
            <w:noWrap/>
            <w:vAlign w:val="bottom"/>
          </w:tcPr>
          <w:p w:rsidR="003D0E01" w:rsidRPr="00340CAB" w:rsidRDefault="003D0E01" w:rsidP="003D0E01">
            <w:pPr>
              <w:spacing w:after="0" w:line="240" w:lineRule="auto"/>
              <w:jc w:val="left"/>
              <w:rPr>
                <w:color w:val="000000"/>
                <w:sz w:val="14"/>
                <w:szCs w:val="14"/>
                <w:lang w:eastAsia="it-IT"/>
              </w:rPr>
            </w:pPr>
            <w:r w:rsidRPr="0054221F">
              <w:rPr>
                <w:color w:val="000000"/>
                <w:sz w:val="14"/>
                <w:szCs w:val="14"/>
                <w:lang w:eastAsia="it-IT"/>
              </w:rPr>
              <w:t>n° Policy areas in which there are CSRs</w:t>
            </w:r>
          </w:p>
        </w:tc>
        <w:tc>
          <w:tcPr>
            <w:tcW w:w="151" w:type="pct"/>
            <w:tcBorders>
              <w:top w:val="nil"/>
              <w:left w:val="nil"/>
              <w:bottom w:val="single" w:sz="4" w:space="0" w:color="auto"/>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7</w:t>
            </w:r>
          </w:p>
        </w:tc>
        <w:tc>
          <w:tcPr>
            <w:tcW w:w="152" w:type="pct"/>
            <w:tcBorders>
              <w:top w:val="nil"/>
              <w:left w:val="nil"/>
              <w:bottom w:val="single" w:sz="4" w:space="0" w:color="auto"/>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11</w:t>
            </w:r>
          </w:p>
        </w:tc>
        <w:tc>
          <w:tcPr>
            <w:tcW w:w="152" w:type="pct"/>
            <w:tcBorders>
              <w:top w:val="nil"/>
              <w:left w:val="nil"/>
              <w:bottom w:val="single" w:sz="4" w:space="0" w:color="auto"/>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13</w:t>
            </w:r>
          </w:p>
        </w:tc>
        <w:tc>
          <w:tcPr>
            <w:tcW w:w="152" w:type="pct"/>
            <w:tcBorders>
              <w:top w:val="nil"/>
              <w:left w:val="nil"/>
              <w:bottom w:val="single" w:sz="4" w:space="0" w:color="auto"/>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15</w:t>
            </w:r>
          </w:p>
        </w:tc>
        <w:tc>
          <w:tcPr>
            <w:tcW w:w="152" w:type="pct"/>
            <w:tcBorders>
              <w:top w:val="nil"/>
              <w:left w:val="nil"/>
              <w:bottom w:val="single" w:sz="4" w:space="0" w:color="auto"/>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8</w:t>
            </w:r>
          </w:p>
        </w:tc>
        <w:tc>
          <w:tcPr>
            <w:tcW w:w="152" w:type="pct"/>
            <w:tcBorders>
              <w:top w:val="nil"/>
              <w:left w:val="nil"/>
              <w:bottom w:val="single" w:sz="4" w:space="0" w:color="auto"/>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7</w:t>
            </w:r>
          </w:p>
        </w:tc>
        <w:tc>
          <w:tcPr>
            <w:tcW w:w="152" w:type="pct"/>
            <w:tcBorders>
              <w:top w:val="nil"/>
              <w:left w:val="nil"/>
              <w:bottom w:val="single" w:sz="4" w:space="0" w:color="auto"/>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11</w:t>
            </w:r>
          </w:p>
        </w:tc>
        <w:tc>
          <w:tcPr>
            <w:tcW w:w="152" w:type="pct"/>
            <w:tcBorders>
              <w:top w:val="nil"/>
              <w:left w:val="nil"/>
              <w:bottom w:val="single" w:sz="4" w:space="0" w:color="auto"/>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13</w:t>
            </w:r>
          </w:p>
        </w:tc>
        <w:tc>
          <w:tcPr>
            <w:tcW w:w="152" w:type="pct"/>
            <w:tcBorders>
              <w:top w:val="nil"/>
              <w:left w:val="nil"/>
              <w:bottom w:val="single" w:sz="4" w:space="0" w:color="auto"/>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w:t>
            </w:r>
          </w:p>
        </w:tc>
        <w:tc>
          <w:tcPr>
            <w:tcW w:w="152" w:type="pct"/>
            <w:tcBorders>
              <w:top w:val="nil"/>
              <w:left w:val="nil"/>
              <w:bottom w:val="single" w:sz="4" w:space="0" w:color="auto"/>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16</w:t>
            </w:r>
          </w:p>
        </w:tc>
        <w:tc>
          <w:tcPr>
            <w:tcW w:w="169" w:type="pct"/>
            <w:tcBorders>
              <w:top w:val="nil"/>
              <w:left w:val="nil"/>
              <w:bottom w:val="single" w:sz="4" w:space="0" w:color="auto"/>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8</w:t>
            </w:r>
          </w:p>
        </w:tc>
        <w:tc>
          <w:tcPr>
            <w:tcW w:w="152" w:type="pct"/>
            <w:tcBorders>
              <w:top w:val="nil"/>
              <w:left w:val="nil"/>
              <w:bottom w:val="single" w:sz="4" w:space="0" w:color="auto"/>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15</w:t>
            </w:r>
          </w:p>
        </w:tc>
        <w:tc>
          <w:tcPr>
            <w:tcW w:w="152" w:type="pct"/>
            <w:tcBorders>
              <w:top w:val="nil"/>
              <w:left w:val="nil"/>
              <w:bottom w:val="single" w:sz="4" w:space="0" w:color="auto"/>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8</w:t>
            </w:r>
          </w:p>
        </w:tc>
        <w:tc>
          <w:tcPr>
            <w:tcW w:w="152" w:type="pct"/>
            <w:tcBorders>
              <w:top w:val="nil"/>
              <w:left w:val="nil"/>
              <w:bottom w:val="single" w:sz="4" w:space="0" w:color="auto"/>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13</w:t>
            </w:r>
          </w:p>
        </w:tc>
        <w:tc>
          <w:tcPr>
            <w:tcW w:w="152" w:type="pct"/>
            <w:tcBorders>
              <w:top w:val="nil"/>
              <w:left w:val="nil"/>
              <w:bottom w:val="single" w:sz="4" w:space="0" w:color="auto"/>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9</w:t>
            </w:r>
          </w:p>
        </w:tc>
        <w:tc>
          <w:tcPr>
            <w:tcW w:w="152" w:type="pct"/>
            <w:tcBorders>
              <w:top w:val="nil"/>
              <w:left w:val="nil"/>
              <w:bottom w:val="single" w:sz="4" w:space="0" w:color="auto"/>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15</w:t>
            </w:r>
          </w:p>
        </w:tc>
        <w:tc>
          <w:tcPr>
            <w:tcW w:w="152" w:type="pct"/>
            <w:tcBorders>
              <w:top w:val="nil"/>
              <w:left w:val="nil"/>
              <w:bottom w:val="single" w:sz="4" w:space="0" w:color="auto"/>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11</w:t>
            </w:r>
          </w:p>
        </w:tc>
        <w:tc>
          <w:tcPr>
            <w:tcW w:w="152" w:type="pct"/>
            <w:tcBorders>
              <w:top w:val="nil"/>
              <w:left w:val="nil"/>
              <w:bottom w:val="single" w:sz="4" w:space="0" w:color="auto"/>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15</w:t>
            </w:r>
          </w:p>
        </w:tc>
        <w:tc>
          <w:tcPr>
            <w:tcW w:w="152" w:type="pct"/>
            <w:tcBorders>
              <w:top w:val="nil"/>
              <w:left w:val="nil"/>
              <w:bottom w:val="single" w:sz="4" w:space="0" w:color="auto"/>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8</w:t>
            </w:r>
          </w:p>
        </w:tc>
        <w:tc>
          <w:tcPr>
            <w:tcW w:w="178" w:type="pct"/>
            <w:tcBorders>
              <w:top w:val="nil"/>
              <w:left w:val="nil"/>
              <w:bottom w:val="single" w:sz="4" w:space="0" w:color="auto"/>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w:t>
            </w:r>
          </w:p>
        </w:tc>
        <w:tc>
          <w:tcPr>
            <w:tcW w:w="152" w:type="pct"/>
            <w:tcBorders>
              <w:top w:val="nil"/>
              <w:left w:val="nil"/>
              <w:bottom w:val="single" w:sz="4" w:space="0" w:color="auto"/>
              <w:right w:val="nil"/>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13</w:t>
            </w:r>
          </w:p>
        </w:tc>
        <w:tc>
          <w:tcPr>
            <w:tcW w:w="143" w:type="pct"/>
            <w:tcBorders>
              <w:top w:val="nil"/>
              <w:left w:val="nil"/>
              <w:bottom w:val="single" w:sz="4" w:space="0" w:color="auto"/>
              <w:right w:val="single" w:sz="4" w:space="0" w:color="auto"/>
            </w:tcBorders>
            <w:noWrap/>
            <w:vAlign w:val="bottom"/>
          </w:tcPr>
          <w:p w:rsidR="003D0E01" w:rsidRPr="009E7686" w:rsidRDefault="003D0E01" w:rsidP="003D0E01">
            <w:pPr>
              <w:spacing w:after="0" w:line="240" w:lineRule="auto"/>
              <w:jc w:val="right"/>
              <w:rPr>
                <w:color w:val="000000"/>
                <w:sz w:val="14"/>
                <w:szCs w:val="14"/>
                <w:lang w:val="it-IT" w:eastAsia="it-IT"/>
              </w:rPr>
            </w:pPr>
            <w:r w:rsidRPr="009E7686">
              <w:rPr>
                <w:color w:val="000000"/>
                <w:sz w:val="14"/>
                <w:szCs w:val="14"/>
                <w:lang w:val="it-IT" w:eastAsia="it-IT"/>
              </w:rPr>
              <w:t>10</w:t>
            </w:r>
          </w:p>
        </w:tc>
      </w:tr>
    </w:tbl>
    <w:p w:rsidR="003D0E01" w:rsidRDefault="003D0E01" w:rsidP="003D0E01">
      <w:pPr>
        <w:widowControl w:val="0"/>
        <w:spacing w:after="0" w:line="240" w:lineRule="auto"/>
        <w:rPr>
          <w:sz w:val="16"/>
          <w:szCs w:val="16"/>
        </w:rPr>
      </w:pPr>
      <w:r w:rsidRPr="00A74BA2">
        <w:rPr>
          <w:sz w:val="16"/>
          <w:szCs w:val="16"/>
        </w:rPr>
        <w:t xml:space="preserve">Note: </w:t>
      </w:r>
      <w:r w:rsidRPr="00691DC2">
        <w:rPr>
          <w:sz w:val="16"/>
          <w:szCs w:val="16"/>
        </w:rPr>
        <w:t xml:space="preserve">For IE and UK data are still provisional. CY, GR, HR, LU, </w:t>
      </w:r>
      <w:r>
        <w:rPr>
          <w:sz w:val="16"/>
          <w:szCs w:val="16"/>
        </w:rPr>
        <w:t xml:space="preserve">LV, </w:t>
      </w:r>
      <w:r w:rsidRPr="00691DC2">
        <w:rPr>
          <w:sz w:val="16"/>
          <w:szCs w:val="16"/>
        </w:rPr>
        <w:t>FR are missing because data have not yet been processed.</w:t>
      </w:r>
    </w:p>
    <w:p w:rsidR="003D0E01" w:rsidRDefault="003D0E01" w:rsidP="003D0E01">
      <w:pPr>
        <w:widowControl w:val="0"/>
        <w:spacing w:after="0" w:line="240" w:lineRule="auto"/>
        <w:rPr>
          <w:sz w:val="16"/>
          <w:szCs w:val="16"/>
        </w:rPr>
      </w:pPr>
      <w:r>
        <w:rPr>
          <w:sz w:val="16"/>
          <w:szCs w:val="16"/>
        </w:rPr>
        <w:t xml:space="preserve">In red </w:t>
      </w:r>
      <w:r w:rsidRPr="00941B7D">
        <w:rPr>
          <w:color w:val="FF0000"/>
          <w:sz w:val="16"/>
          <w:szCs w:val="16"/>
        </w:rPr>
        <w:t>(---)</w:t>
      </w:r>
      <w:r>
        <w:rPr>
          <w:sz w:val="16"/>
          <w:szCs w:val="16"/>
        </w:rPr>
        <w:t xml:space="preserve"> the policy areas </w:t>
      </w:r>
      <w:r w:rsidR="00C669D1">
        <w:rPr>
          <w:sz w:val="16"/>
          <w:szCs w:val="16"/>
        </w:rPr>
        <w:t xml:space="preserve">to which no money was allocated in the country, despite in those policy areas there are relevant </w:t>
      </w:r>
      <w:r>
        <w:rPr>
          <w:sz w:val="16"/>
          <w:szCs w:val="16"/>
        </w:rPr>
        <w:t>CSRs</w:t>
      </w:r>
      <w:r w:rsidR="00C669D1">
        <w:rPr>
          <w:sz w:val="16"/>
          <w:szCs w:val="16"/>
        </w:rPr>
        <w:t xml:space="preserve">. On the contrary the zeros (“0%”) indicate that the country allocated money to a certain policy area </w:t>
      </w:r>
      <w:r w:rsidR="00A44683">
        <w:rPr>
          <w:sz w:val="16"/>
          <w:szCs w:val="16"/>
        </w:rPr>
        <w:t xml:space="preserve">but </w:t>
      </w:r>
      <w:r w:rsidR="00C669D1">
        <w:rPr>
          <w:sz w:val="16"/>
          <w:szCs w:val="16"/>
        </w:rPr>
        <w:t>no share</w:t>
      </w:r>
      <w:r w:rsidR="00AF383F">
        <w:rPr>
          <w:sz w:val="16"/>
          <w:szCs w:val="16"/>
        </w:rPr>
        <w:t xml:space="preserve"> of the allocated funds</w:t>
      </w:r>
      <w:r w:rsidR="00C669D1">
        <w:rPr>
          <w:sz w:val="16"/>
          <w:szCs w:val="16"/>
        </w:rPr>
        <w:t xml:space="preserve"> went to CSR/structural challenges (e.g. no IP/SO </w:t>
      </w:r>
      <w:r w:rsidR="00AF383F">
        <w:rPr>
          <w:sz w:val="16"/>
          <w:szCs w:val="16"/>
        </w:rPr>
        <w:t>were</w:t>
      </w:r>
      <w:r w:rsidR="00C669D1">
        <w:rPr>
          <w:sz w:val="16"/>
          <w:szCs w:val="16"/>
        </w:rPr>
        <w:t xml:space="preserve"> mobilised). Only the zeros are considered in the calculation of the total</w:t>
      </w:r>
      <w:r w:rsidR="00A44683">
        <w:rPr>
          <w:sz w:val="16"/>
          <w:szCs w:val="16"/>
        </w:rPr>
        <w:t xml:space="preserve"> by country</w:t>
      </w:r>
      <w:r w:rsidR="00C669D1">
        <w:rPr>
          <w:sz w:val="16"/>
          <w:szCs w:val="16"/>
        </w:rPr>
        <w:t xml:space="preserve">.  </w:t>
      </w:r>
    </w:p>
    <w:p w:rsidR="003D0E01" w:rsidRPr="00A74BA2" w:rsidRDefault="003D0E01" w:rsidP="003D0E01">
      <w:pPr>
        <w:widowControl w:val="0"/>
        <w:spacing w:after="0" w:line="240" w:lineRule="auto"/>
        <w:rPr>
          <w:sz w:val="16"/>
          <w:szCs w:val="16"/>
        </w:rPr>
      </w:pPr>
    </w:p>
    <w:p w:rsidR="003D0E01" w:rsidRDefault="003D0E01" w:rsidP="003D0E01">
      <w:pPr>
        <w:widowControl w:val="0"/>
        <w:spacing w:after="0" w:line="240" w:lineRule="auto"/>
        <w:rPr>
          <w:sz w:val="16"/>
          <w:szCs w:val="16"/>
        </w:rPr>
      </w:pPr>
      <w:r w:rsidRPr="00A74BA2">
        <w:rPr>
          <w:sz w:val="16"/>
          <w:szCs w:val="16"/>
        </w:rPr>
        <w:t>Source: European Commission (financial data) and own calculations</w:t>
      </w:r>
    </w:p>
    <w:p w:rsidR="00917185" w:rsidRDefault="00917185" w:rsidP="003D0E01">
      <w:pPr>
        <w:sectPr w:rsidR="00917185" w:rsidSect="00917185">
          <w:pgSz w:w="16839" w:h="11907" w:orient="landscape" w:code="9"/>
          <w:pgMar w:top="1701" w:right="1418" w:bottom="1418" w:left="851" w:header="567" w:footer="720" w:gutter="0"/>
          <w:cols w:space="720"/>
          <w:docGrid w:linePitch="326"/>
        </w:sectPr>
      </w:pPr>
    </w:p>
    <w:p w:rsidR="00C669D1" w:rsidRDefault="00C669D1" w:rsidP="005C5399">
      <w:pPr>
        <w:pStyle w:val="Heading2"/>
      </w:pPr>
      <w:bookmarkStart w:id="40" w:name="_Toc466826807"/>
      <w:r>
        <w:t>A reflection on groupings of Member States which can be used in the following analysis</w:t>
      </w:r>
      <w:bookmarkEnd w:id="40"/>
    </w:p>
    <w:p w:rsidR="00C669D1" w:rsidRDefault="00A323C8" w:rsidP="003D0E01">
      <w:r>
        <w:t>I</w:t>
      </w:r>
      <w:r w:rsidR="00C669D1">
        <w:t xml:space="preserve">n the mapping </w:t>
      </w:r>
      <w:r w:rsidR="00F207AB">
        <w:t xml:space="preserve">of structural reform needs </w:t>
      </w:r>
      <w:r w:rsidR="00C669D1">
        <w:t xml:space="preserve">and in the analysis of programming documents, so far we distinguished between </w:t>
      </w:r>
      <w:r>
        <w:t>EU15 and EU13 Member States. This division, as previously highlighted, well reflects the findings of the mapping as well as the analysis of CPP, PA and OPs</w:t>
      </w:r>
      <w:r w:rsidR="00F207AB">
        <w:t>,</w:t>
      </w:r>
      <w:r>
        <w:t xml:space="preserve"> rather than being related to a mere consideration on the date of accession to the EU. The ke</w:t>
      </w:r>
      <w:r w:rsidR="005F2DD1">
        <w:t xml:space="preserve">y features of these two groups </w:t>
      </w:r>
      <w:r>
        <w:t xml:space="preserve">which </w:t>
      </w:r>
      <w:r w:rsidR="00F207AB">
        <w:t xml:space="preserve">emerged from the analysis and </w:t>
      </w:r>
      <w:r>
        <w:t xml:space="preserve">justify a </w:t>
      </w:r>
      <w:r w:rsidR="00F207AB">
        <w:t xml:space="preserve">clustering in the context of the present study </w:t>
      </w:r>
      <w:r w:rsidR="005F2DD1">
        <w:t xml:space="preserve">are described </w:t>
      </w:r>
      <w:r w:rsidR="00F207AB">
        <w:t>in the following paragraphs</w:t>
      </w:r>
      <w:r w:rsidR="005F2DD1">
        <w:t>.</w:t>
      </w:r>
    </w:p>
    <w:p w:rsidR="005F2DD1" w:rsidRDefault="00A323C8" w:rsidP="003D0E01">
      <w:r>
        <w:t>In EU15 Member States, in general, the Semester had a</w:t>
      </w:r>
      <w:r w:rsidR="00F207AB">
        <w:t>n important</w:t>
      </w:r>
      <w:r>
        <w:t xml:space="preserve"> influence on ESI Funds programming and implementation</w:t>
      </w:r>
      <w:r w:rsidR="00F207AB">
        <w:t>,</w:t>
      </w:r>
      <w:r>
        <w:t xml:space="preserve"> through the CSR</w:t>
      </w:r>
      <w:r w:rsidR="00AC0FC9">
        <w:t>s</w:t>
      </w:r>
      <w:r>
        <w:t xml:space="preserve"> as well as the Country Reports considered in the analysis. However, the detailed examination of documents conducted by the national experts highlighted that CSR/structural challenges were one among several </w:t>
      </w:r>
      <w:r w:rsidR="00F207AB">
        <w:t xml:space="preserve">influential </w:t>
      </w:r>
      <w:r>
        <w:t xml:space="preserve">factors. Others factors underlying the strategies and </w:t>
      </w:r>
      <w:r w:rsidR="00F207AB">
        <w:t>prompting</w:t>
      </w:r>
      <w:r w:rsidR="005F2DD1">
        <w:t xml:space="preserve"> the selection of priorities include</w:t>
      </w:r>
      <w:r w:rsidR="00F207AB">
        <w:t>:</w:t>
      </w:r>
      <w:r w:rsidR="005F2DD1">
        <w:t xml:space="preserve"> the existing national policies, with a budget often much larger than the resources made available by EU cohesion policy</w:t>
      </w:r>
      <w:r w:rsidR="00F207AB">
        <w:t>;</w:t>
      </w:r>
      <w:r w:rsidR="005F2DD1">
        <w:t xml:space="preserve"> and the diverging strategic views of the national governments, whose position were sometimes not aligned to the EC recommendations in certain policy areas</w:t>
      </w:r>
      <w:r w:rsidR="00F207AB">
        <w:t xml:space="preserve"> (e.g. attention to innovation vs. promotion of liberalisation as driver of competitiveness</w:t>
      </w:r>
      <w:r w:rsidR="00A25A84">
        <w:t>)</w:t>
      </w:r>
      <w:r w:rsidR="005F2DD1">
        <w:t>. Obviously a generalisation is difficult, in the sense that there are considerable differences across countries</w:t>
      </w:r>
      <w:r w:rsidR="00A25A84">
        <w:t>: in some MS the alignment is significant (e.g. Spain, Italy), while in others is limited (e.g. Germany, France, Portugal)</w:t>
      </w:r>
      <w:r w:rsidR="005F2DD1">
        <w:t xml:space="preserve">. </w:t>
      </w:r>
    </w:p>
    <w:p w:rsidR="005C5399" w:rsidRDefault="005F2DD1" w:rsidP="003D0E01">
      <w:r>
        <w:t xml:space="preserve">In the EU13 Member States, overall, the Semester had a pivotal role and influenced ESI Funds programming and implementation heavily. This is mostly related to the importance of the Funds which in several policy areas represent the major, if not the only, source of investment. The desk analysis of programming documents as well as the interviews with key stakeholders pointed out that there </w:t>
      </w:r>
      <w:r w:rsidR="00A25A84">
        <w:t>i</w:t>
      </w:r>
      <w:r>
        <w:t xml:space="preserve">s stronger alignment and in most cases the selected priorities </w:t>
      </w:r>
      <w:r w:rsidR="00A25A84">
        <w:t>are</w:t>
      </w:r>
      <w:r>
        <w:t xml:space="preserve"> a “translation” </w:t>
      </w:r>
      <w:r w:rsidR="005C5399">
        <w:t>of the CSR</w:t>
      </w:r>
      <w:r w:rsidR="00AC0FC9">
        <w:t>s</w:t>
      </w:r>
      <w:r w:rsidR="005C5399">
        <w:t xml:space="preserve"> and the challenges identified in the Country Reports. Obviously a difference which somehow explains this feature of the EU13 is that </w:t>
      </w:r>
      <w:r w:rsidR="006F434C">
        <w:t xml:space="preserve">CSR/structural challenges in </w:t>
      </w:r>
      <w:r w:rsidR="005C5399">
        <w:t xml:space="preserve">these Member States </w:t>
      </w:r>
      <w:r w:rsidR="006F434C">
        <w:t>cover a</w:t>
      </w:r>
      <w:r w:rsidR="006F434C" w:rsidRPr="006F434C">
        <w:t xml:space="preserve"> wide range of policy while there is more concentration in EU15.</w:t>
      </w:r>
      <w:r w:rsidR="006F434C">
        <w:t xml:space="preserve"> </w:t>
      </w:r>
      <w:r w:rsidR="005C5399">
        <w:t>In other words</w:t>
      </w:r>
      <w:r w:rsidR="00A25A84">
        <w:t>,</w:t>
      </w:r>
      <w:r w:rsidR="005C5399">
        <w:t xml:space="preserve"> the recommendations made within the Semester have a wider scope than in the other countries and </w:t>
      </w:r>
      <w:r w:rsidR="001B2361">
        <w:t xml:space="preserve">hence are more likely to have a more pervasive influence on </w:t>
      </w:r>
      <w:r w:rsidR="005C5399">
        <w:t xml:space="preserve">ESIF strategies </w:t>
      </w:r>
      <w:r w:rsidR="001B2361">
        <w:t>that</w:t>
      </w:r>
      <w:r w:rsidR="00BF28B7">
        <w:t>, despite the need for thematic concentration,</w:t>
      </w:r>
      <w:r w:rsidR="001B2361">
        <w:t xml:space="preserve"> </w:t>
      </w:r>
      <w:r w:rsidR="00BF28B7">
        <w:t>can be used to intervene on a very wide range of policy fields</w:t>
      </w:r>
      <w:r w:rsidR="005C5399">
        <w:t>. Trying to determine whether the CSR/structural challenges were more influential</w:t>
      </w:r>
      <w:r w:rsidR="00BF28B7">
        <w:t>,</w:t>
      </w:r>
      <w:r w:rsidR="005C5399">
        <w:t xml:space="preserve"> overall</w:t>
      </w:r>
      <w:r w:rsidR="00BF28B7">
        <w:t>,</w:t>
      </w:r>
      <w:r w:rsidR="005C5399">
        <w:t xml:space="preserve"> in the EU13 because the</w:t>
      </w:r>
      <w:r w:rsidR="00BF28B7">
        <w:t>y</w:t>
      </w:r>
      <w:r w:rsidR="005C5399">
        <w:t xml:space="preserve"> cover nearly all policy areas relevant for cohesion or</w:t>
      </w:r>
      <w:r w:rsidR="00BF28B7">
        <w:t>, on the contrary,</w:t>
      </w:r>
      <w:r w:rsidR="005C5399">
        <w:t xml:space="preserve"> they cover</w:t>
      </w:r>
      <w:r w:rsidR="00BF28B7">
        <w:t xml:space="preserve"> </w:t>
      </w:r>
      <w:r w:rsidR="005C5399">
        <w:t>many areas just because they are more influential</w:t>
      </w:r>
      <w:r w:rsidR="00BF28B7">
        <w:t xml:space="preserve"> (e.g. due to their financial weight)</w:t>
      </w:r>
      <w:r w:rsidR="005C5399">
        <w:t>, it is like trying to decide wh</w:t>
      </w:r>
      <w:r w:rsidR="00574A2D">
        <w:t>ich</w:t>
      </w:r>
      <w:r w:rsidR="005C5399">
        <w:t xml:space="preserve"> came first, the chicken </w:t>
      </w:r>
      <w:r w:rsidR="00574A2D">
        <w:t xml:space="preserve">or </w:t>
      </w:r>
      <w:r w:rsidR="005C5399">
        <w:t xml:space="preserve">the egg. The fact </w:t>
      </w:r>
      <w:r w:rsidR="00574A2D">
        <w:t xml:space="preserve">is that </w:t>
      </w:r>
      <w:r w:rsidR="005C5399">
        <w:t xml:space="preserve">the analysis highlighted a tighter alignment </w:t>
      </w:r>
      <w:r w:rsidR="00574A2D">
        <w:t xml:space="preserve">between the CSR/structural challenges and the ESIF programming in </w:t>
      </w:r>
      <w:r w:rsidR="005C5399">
        <w:t xml:space="preserve">these countries. </w:t>
      </w:r>
    </w:p>
    <w:p w:rsidR="00F52A46" w:rsidRDefault="005C5399" w:rsidP="00D365C3">
      <w:r>
        <w:t xml:space="preserve">The analysis of funding by policy area also </w:t>
      </w:r>
      <w:r w:rsidR="00DA5EAA">
        <w:t xml:space="preserve">highlights </w:t>
      </w:r>
      <w:r>
        <w:t xml:space="preserve">additional commonalities within </w:t>
      </w:r>
      <w:r w:rsidR="00574A2D">
        <w:t xml:space="preserve">these </w:t>
      </w:r>
      <w:r>
        <w:t xml:space="preserve">groups </w:t>
      </w:r>
      <w:r w:rsidR="00574A2D">
        <w:t xml:space="preserve">of Member States and </w:t>
      </w:r>
      <w:r>
        <w:t>differences between groups</w:t>
      </w:r>
      <w:r w:rsidR="00B92407">
        <w:t xml:space="preserve"> in relation to the </w:t>
      </w:r>
      <w:r w:rsidR="00D72599" w:rsidRPr="006D5D58">
        <w:rPr>
          <w:b/>
        </w:rPr>
        <w:t>prevailing policy areas</w:t>
      </w:r>
      <w:r>
        <w:t>.</w:t>
      </w:r>
      <w:r w:rsidR="00D365C3">
        <w:t xml:space="preserve"> In the EU13</w:t>
      </w:r>
      <w:r w:rsidR="00574A2D">
        <w:t>,</w:t>
      </w:r>
      <w:r w:rsidR="00D365C3">
        <w:t xml:space="preserve"> there is a “specialisation” in the allocation of funds </w:t>
      </w:r>
      <w:r w:rsidR="00574A2D">
        <w:t>(measured as Revealed Compar</w:t>
      </w:r>
      <w:r w:rsidR="00DA5EAA">
        <w:t>ative Advantage</w:t>
      </w:r>
      <w:r w:rsidR="00F52A46">
        <w:t xml:space="preserve"> – RCA </w:t>
      </w:r>
      <w:r w:rsidR="00DA5EAA">
        <w:t>relative</w:t>
      </w:r>
      <w:r w:rsidR="00574A2D">
        <w:t xml:space="preserve"> to EU average</w:t>
      </w:r>
      <w:r w:rsidR="00F52A46">
        <w:rPr>
          <w:rStyle w:val="FootnoteReference"/>
        </w:rPr>
        <w:footnoteReference w:id="25"/>
      </w:r>
      <w:r w:rsidR="00574A2D">
        <w:t xml:space="preserve">) </w:t>
      </w:r>
      <w:r w:rsidR="00D365C3">
        <w:t>on infrastructures and institutional capacity, while the EU15 Member States tend to be more specialised on RTDI and business support as well as on education and LM participation. Obviously</w:t>
      </w:r>
      <w:r w:rsidR="00574A2D">
        <w:t>,</w:t>
      </w:r>
      <w:r w:rsidR="00D365C3">
        <w:t xml:space="preserve"> the situation is not so clear cut. For instance some EU15 Countries such as France, Italy, Ireland and Luxembourg tend to be highly specialised in the areas of access to employment, support to young people, social cohesion and gender. </w:t>
      </w:r>
    </w:p>
    <w:p w:rsidR="00223C92" w:rsidRDefault="00FD2FF3" w:rsidP="00FD2FF3">
      <w:pPr>
        <w:pStyle w:val="Caption"/>
      </w:pPr>
      <w:r>
        <w:t xml:space="preserve">Table </w:t>
      </w:r>
      <w:r w:rsidR="00C52F7F">
        <w:fldChar w:fldCharType="begin"/>
      </w:r>
      <w:r w:rsidR="00F62F72">
        <w:instrText xml:space="preserve"> SEQ Table \* ARABIC </w:instrText>
      </w:r>
      <w:r w:rsidR="00C52F7F">
        <w:fldChar w:fldCharType="separate"/>
      </w:r>
      <w:r w:rsidR="00183DCC">
        <w:rPr>
          <w:noProof/>
        </w:rPr>
        <w:t>15</w:t>
      </w:r>
      <w:r w:rsidR="00C52F7F">
        <w:rPr>
          <w:noProof/>
        </w:rPr>
        <w:fldChar w:fldCharType="end"/>
      </w:r>
      <w:r w:rsidR="00F52A46">
        <w:t xml:space="preserve"> - Specialisation index of ESIF investments by country</w:t>
      </w:r>
      <w:r w:rsidR="00F52A46" w:rsidRPr="00F52A46">
        <w:rPr>
          <w:b w:val="0"/>
        </w:rPr>
        <w:t xml:space="preserve"> (RCA calculated on the basis of total allocations; index values &gt; 1.0 indicate a specialisation</w:t>
      </w:r>
      <w:r w:rsidR="00E37E12">
        <w:rPr>
          <w:b w:val="0"/>
        </w:rPr>
        <w:t xml:space="preserve"> in a field</w:t>
      </w:r>
      <w:r w:rsidR="00F52A46" w:rsidRPr="00F52A46">
        <w:rPr>
          <w:b w:val="0"/>
        </w:rPr>
        <w:t>)</w:t>
      </w:r>
    </w:p>
    <w:tbl>
      <w:tblPr>
        <w:tblW w:w="891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1457"/>
        <w:gridCol w:w="1740"/>
        <w:gridCol w:w="1371"/>
        <w:gridCol w:w="1090"/>
        <w:gridCol w:w="1071"/>
        <w:gridCol w:w="1253"/>
      </w:tblGrid>
      <w:tr w:rsidR="00223C92" w:rsidRPr="00F52A46" w:rsidTr="00F52A46">
        <w:trPr>
          <w:trHeight w:hRule="exact" w:val="924"/>
        </w:trPr>
        <w:tc>
          <w:tcPr>
            <w:tcW w:w="929" w:type="dxa"/>
            <w:shd w:val="clear" w:color="auto" w:fill="A6A6A6" w:themeFill="background1" w:themeFillShade="A6"/>
            <w:noWrap/>
            <w:vAlign w:val="center"/>
            <w:hideMark/>
          </w:tcPr>
          <w:p w:rsidR="00223C92" w:rsidRPr="00223C92" w:rsidRDefault="00223C92" w:rsidP="00F52A46">
            <w:pPr>
              <w:spacing w:after="0" w:line="240" w:lineRule="auto"/>
              <w:jc w:val="right"/>
              <w:rPr>
                <w:rFonts w:ascii="Calibri" w:eastAsia="Times New Roman" w:hAnsi="Calibri" w:cs="Times New Roman"/>
                <w:b/>
                <w:color w:val="000000"/>
                <w:sz w:val="18"/>
                <w:szCs w:val="18"/>
                <w:lang w:eastAsia="en-GB"/>
              </w:rPr>
            </w:pPr>
          </w:p>
        </w:tc>
        <w:tc>
          <w:tcPr>
            <w:tcW w:w="1457" w:type="dxa"/>
            <w:shd w:val="clear" w:color="auto" w:fill="A6A6A6" w:themeFill="background1" w:themeFillShade="A6"/>
            <w:noWrap/>
            <w:vAlign w:val="center"/>
            <w:hideMark/>
          </w:tcPr>
          <w:p w:rsidR="00223C92" w:rsidRPr="00223C92" w:rsidRDefault="00223C92" w:rsidP="00F52A46">
            <w:pPr>
              <w:spacing w:after="0" w:line="240" w:lineRule="auto"/>
              <w:jc w:val="right"/>
              <w:rPr>
                <w:rFonts w:ascii="Calibri" w:eastAsia="Times New Roman" w:hAnsi="Calibri" w:cs="Times New Roman"/>
                <w:b/>
                <w:color w:val="000000"/>
                <w:sz w:val="18"/>
                <w:szCs w:val="18"/>
                <w:lang w:eastAsia="en-GB"/>
              </w:rPr>
            </w:pPr>
            <w:r w:rsidRPr="00223C92">
              <w:rPr>
                <w:rFonts w:ascii="Calibri" w:eastAsia="Times New Roman" w:hAnsi="Calibri" w:cs="Times New Roman"/>
                <w:b/>
                <w:color w:val="000000"/>
                <w:sz w:val="18"/>
                <w:szCs w:val="18"/>
                <w:lang w:eastAsia="en-GB"/>
              </w:rPr>
              <w:t>RTDI</w:t>
            </w:r>
            <w:r w:rsidR="00F52A46" w:rsidRPr="00F52A46">
              <w:rPr>
                <w:rFonts w:ascii="Calibri" w:eastAsia="Times New Roman" w:hAnsi="Calibri" w:cs="Times New Roman"/>
                <w:b/>
                <w:color w:val="000000"/>
                <w:sz w:val="18"/>
                <w:szCs w:val="18"/>
                <w:lang w:eastAsia="en-GB"/>
              </w:rPr>
              <w:t xml:space="preserve"> </w:t>
            </w:r>
            <w:r w:rsidRPr="00223C92">
              <w:rPr>
                <w:rFonts w:ascii="Calibri" w:eastAsia="Times New Roman" w:hAnsi="Calibri" w:cs="Times New Roman"/>
                <w:b/>
                <w:color w:val="000000"/>
                <w:sz w:val="18"/>
                <w:szCs w:val="18"/>
                <w:lang w:eastAsia="en-GB"/>
              </w:rPr>
              <w:t>+</w:t>
            </w:r>
            <w:r w:rsidR="00F52A46" w:rsidRPr="00F52A46">
              <w:rPr>
                <w:rFonts w:ascii="Calibri" w:eastAsia="Times New Roman" w:hAnsi="Calibri" w:cs="Times New Roman"/>
                <w:b/>
                <w:color w:val="000000"/>
                <w:sz w:val="18"/>
                <w:szCs w:val="18"/>
                <w:lang w:eastAsia="en-GB"/>
              </w:rPr>
              <w:t xml:space="preserve"> </w:t>
            </w:r>
            <w:r w:rsidRPr="00223C92">
              <w:rPr>
                <w:rFonts w:ascii="Calibri" w:eastAsia="Times New Roman" w:hAnsi="Calibri" w:cs="Times New Roman"/>
                <w:b/>
                <w:color w:val="000000"/>
                <w:sz w:val="18"/>
                <w:szCs w:val="18"/>
                <w:lang w:eastAsia="en-GB"/>
              </w:rPr>
              <w:t xml:space="preserve">Business </w:t>
            </w:r>
            <w:proofErr w:type="spellStart"/>
            <w:r w:rsidRPr="00223C92">
              <w:rPr>
                <w:rFonts w:ascii="Calibri" w:eastAsia="Times New Roman" w:hAnsi="Calibri" w:cs="Times New Roman"/>
                <w:b/>
                <w:color w:val="000000"/>
                <w:sz w:val="18"/>
                <w:szCs w:val="18"/>
                <w:lang w:eastAsia="en-GB"/>
              </w:rPr>
              <w:t>env</w:t>
            </w:r>
            <w:proofErr w:type="spellEnd"/>
            <w:r w:rsidRPr="00223C92">
              <w:rPr>
                <w:rFonts w:ascii="Calibri" w:eastAsia="Times New Roman" w:hAnsi="Calibri" w:cs="Times New Roman"/>
                <w:b/>
                <w:color w:val="000000"/>
                <w:sz w:val="18"/>
                <w:szCs w:val="18"/>
                <w:lang w:eastAsia="en-GB"/>
              </w:rPr>
              <w:t>.</w:t>
            </w:r>
          </w:p>
        </w:tc>
        <w:tc>
          <w:tcPr>
            <w:tcW w:w="1740" w:type="dxa"/>
            <w:shd w:val="clear" w:color="auto" w:fill="A6A6A6" w:themeFill="background1" w:themeFillShade="A6"/>
            <w:noWrap/>
            <w:vAlign w:val="center"/>
            <w:hideMark/>
          </w:tcPr>
          <w:p w:rsidR="00223C92" w:rsidRPr="00223C92" w:rsidRDefault="00223C92" w:rsidP="00F52A46">
            <w:pPr>
              <w:spacing w:after="0" w:line="240" w:lineRule="auto"/>
              <w:jc w:val="right"/>
              <w:rPr>
                <w:rFonts w:ascii="Calibri" w:eastAsia="Times New Roman" w:hAnsi="Calibri" w:cs="Times New Roman"/>
                <w:b/>
                <w:color w:val="000000"/>
                <w:sz w:val="18"/>
                <w:szCs w:val="18"/>
                <w:lang w:val="fr-FR" w:eastAsia="en-GB"/>
              </w:rPr>
            </w:pPr>
            <w:r w:rsidRPr="00223C92">
              <w:rPr>
                <w:rFonts w:ascii="Calibri" w:eastAsia="Times New Roman" w:hAnsi="Calibri" w:cs="Times New Roman"/>
                <w:b/>
                <w:color w:val="000000"/>
                <w:sz w:val="18"/>
                <w:szCs w:val="18"/>
                <w:lang w:val="fr-FR" w:eastAsia="en-GB"/>
              </w:rPr>
              <w:t>Infrastructures</w:t>
            </w:r>
            <w:r w:rsidR="00F52A46" w:rsidRPr="002B3BB7">
              <w:rPr>
                <w:rFonts w:ascii="Calibri" w:eastAsia="Times New Roman" w:hAnsi="Calibri" w:cs="Times New Roman"/>
                <w:b/>
                <w:color w:val="000000"/>
                <w:sz w:val="18"/>
                <w:szCs w:val="18"/>
                <w:lang w:val="fr-FR" w:eastAsia="en-GB"/>
              </w:rPr>
              <w:t xml:space="preserve"> (</w:t>
            </w:r>
            <w:r w:rsidRPr="00223C92">
              <w:rPr>
                <w:rFonts w:ascii="Calibri" w:eastAsia="Times New Roman" w:hAnsi="Calibri" w:cs="Times New Roman"/>
                <w:b/>
                <w:color w:val="000000"/>
                <w:sz w:val="18"/>
                <w:szCs w:val="18"/>
                <w:lang w:val="fr-FR" w:eastAsia="en-GB"/>
              </w:rPr>
              <w:t xml:space="preserve">transport, </w:t>
            </w:r>
            <w:proofErr w:type="spellStart"/>
            <w:r w:rsidRPr="00223C92">
              <w:rPr>
                <w:rFonts w:ascii="Calibri" w:eastAsia="Times New Roman" w:hAnsi="Calibri" w:cs="Times New Roman"/>
                <w:b/>
                <w:color w:val="000000"/>
                <w:sz w:val="18"/>
                <w:szCs w:val="18"/>
                <w:lang w:val="fr-FR" w:eastAsia="en-GB"/>
              </w:rPr>
              <w:t>energy</w:t>
            </w:r>
            <w:proofErr w:type="spellEnd"/>
            <w:r w:rsidRPr="00223C92">
              <w:rPr>
                <w:rFonts w:ascii="Calibri" w:eastAsia="Times New Roman" w:hAnsi="Calibri" w:cs="Times New Roman"/>
                <w:b/>
                <w:color w:val="000000"/>
                <w:sz w:val="18"/>
                <w:szCs w:val="18"/>
                <w:lang w:val="fr-FR" w:eastAsia="en-GB"/>
              </w:rPr>
              <w:t xml:space="preserve">, </w:t>
            </w:r>
            <w:proofErr w:type="spellStart"/>
            <w:r w:rsidRPr="00223C92">
              <w:rPr>
                <w:rFonts w:ascii="Calibri" w:eastAsia="Times New Roman" w:hAnsi="Calibri" w:cs="Times New Roman"/>
                <w:b/>
                <w:color w:val="000000"/>
                <w:sz w:val="18"/>
                <w:szCs w:val="18"/>
                <w:lang w:val="fr-FR" w:eastAsia="en-GB"/>
              </w:rPr>
              <w:t>environment</w:t>
            </w:r>
            <w:proofErr w:type="spellEnd"/>
            <w:r w:rsidRPr="00223C92">
              <w:rPr>
                <w:rFonts w:ascii="Calibri" w:eastAsia="Times New Roman" w:hAnsi="Calibri" w:cs="Times New Roman"/>
                <w:b/>
                <w:color w:val="000000"/>
                <w:sz w:val="18"/>
                <w:szCs w:val="18"/>
                <w:lang w:val="fr-FR" w:eastAsia="en-GB"/>
              </w:rPr>
              <w:t>,</w:t>
            </w:r>
            <w:r w:rsidR="00F52A46" w:rsidRPr="002B3BB7">
              <w:rPr>
                <w:rFonts w:ascii="Calibri" w:eastAsia="Times New Roman" w:hAnsi="Calibri" w:cs="Times New Roman"/>
                <w:b/>
                <w:color w:val="000000"/>
                <w:sz w:val="18"/>
                <w:szCs w:val="18"/>
                <w:lang w:val="fr-FR" w:eastAsia="en-GB"/>
              </w:rPr>
              <w:t xml:space="preserve"> d</w:t>
            </w:r>
            <w:r w:rsidRPr="00223C92">
              <w:rPr>
                <w:rFonts w:ascii="Calibri" w:eastAsia="Times New Roman" w:hAnsi="Calibri" w:cs="Times New Roman"/>
                <w:b/>
                <w:color w:val="000000"/>
                <w:sz w:val="18"/>
                <w:szCs w:val="18"/>
                <w:lang w:val="fr-FR" w:eastAsia="en-GB"/>
              </w:rPr>
              <w:t>igital)</w:t>
            </w:r>
          </w:p>
        </w:tc>
        <w:tc>
          <w:tcPr>
            <w:tcW w:w="1371" w:type="dxa"/>
            <w:shd w:val="clear" w:color="auto" w:fill="A6A6A6" w:themeFill="background1" w:themeFillShade="A6"/>
            <w:noWrap/>
            <w:vAlign w:val="center"/>
            <w:hideMark/>
          </w:tcPr>
          <w:p w:rsidR="00223C92" w:rsidRPr="00223C92" w:rsidRDefault="00223C92" w:rsidP="00F52A46">
            <w:pPr>
              <w:spacing w:after="0" w:line="240" w:lineRule="auto"/>
              <w:jc w:val="right"/>
              <w:rPr>
                <w:rFonts w:ascii="Calibri" w:eastAsia="Times New Roman" w:hAnsi="Calibri" w:cs="Times New Roman"/>
                <w:b/>
                <w:color w:val="000000"/>
                <w:sz w:val="18"/>
                <w:szCs w:val="18"/>
                <w:lang w:eastAsia="en-GB"/>
              </w:rPr>
            </w:pPr>
            <w:r w:rsidRPr="00223C92">
              <w:rPr>
                <w:rFonts w:ascii="Calibri" w:eastAsia="Times New Roman" w:hAnsi="Calibri" w:cs="Times New Roman"/>
                <w:b/>
                <w:color w:val="000000"/>
                <w:sz w:val="18"/>
                <w:szCs w:val="18"/>
                <w:lang w:eastAsia="en-GB"/>
              </w:rPr>
              <w:t>Employment and young</w:t>
            </w:r>
          </w:p>
        </w:tc>
        <w:tc>
          <w:tcPr>
            <w:tcW w:w="1090" w:type="dxa"/>
            <w:shd w:val="clear" w:color="auto" w:fill="A6A6A6" w:themeFill="background1" w:themeFillShade="A6"/>
            <w:noWrap/>
            <w:vAlign w:val="center"/>
            <w:hideMark/>
          </w:tcPr>
          <w:p w:rsidR="00223C92" w:rsidRPr="00223C92" w:rsidRDefault="00223C92" w:rsidP="00F52A46">
            <w:pPr>
              <w:spacing w:after="0" w:line="240" w:lineRule="auto"/>
              <w:jc w:val="right"/>
              <w:rPr>
                <w:rFonts w:ascii="Calibri" w:eastAsia="Times New Roman" w:hAnsi="Calibri" w:cs="Times New Roman"/>
                <w:b/>
                <w:color w:val="000000"/>
                <w:sz w:val="18"/>
                <w:szCs w:val="18"/>
                <w:lang w:eastAsia="en-GB"/>
              </w:rPr>
            </w:pPr>
            <w:r w:rsidRPr="00223C92">
              <w:rPr>
                <w:rFonts w:ascii="Calibri" w:eastAsia="Times New Roman" w:hAnsi="Calibri" w:cs="Times New Roman"/>
                <w:b/>
                <w:color w:val="000000"/>
                <w:sz w:val="18"/>
                <w:szCs w:val="18"/>
                <w:lang w:eastAsia="en-GB"/>
              </w:rPr>
              <w:t>Social cohesion</w:t>
            </w:r>
            <w:r w:rsidR="00F52A46" w:rsidRPr="00F52A46">
              <w:rPr>
                <w:rFonts w:ascii="Calibri" w:eastAsia="Times New Roman" w:hAnsi="Calibri" w:cs="Times New Roman"/>
                <w:b/>
                <w:color w:val="000000"/>
                <w:sz w:val="18"/>
                <w:szCs w:val="18"/>
                <w:lang w:eastAsia="en-GB"/>
              </w:rPr>
              <w:t xml:space="preserve"> </w:t>
            </w:r>
            <w:r w:rsidRPr="00223C92">
              <w:rPr>
                <w:rFonts w:ascii="Calibri" w:eastAsia="Times New Roman" w:hAnsi="Calibri" w:cs="Times New Roman"/>
                <w:b/>
                <w:color w:val="000000"/>
                <w:sz w:val="18"/>
                <w:szCs w:val="18"/>
                <w:lang w:eastAsia="en-GB"/>
              </w:rPr>
              <w:t>+ gender</w:t>
            </w:r>
          </w:p>
        </w:tc>
        <w:tc>
          <w:tcPr>
            <w:tcW w:w="1071" w:type="dxa"/>
            <w:shd w:val="clear" w:color="auto" w:fill="A6A6A6" w:themeFill="background1" w:themeFillShade="A6"/>
            <w:noWrap/>
            <w:vAlign w:val="center"/>
            <w:hideMark/>
          </w:tcPr>
          <w:p w:rsidR="00223C92" w:rsidRPr="00223C92" w:rsidRDefault="00223C92" w:rsidP="00F52A46">
            <w:pPr>
              <w:spacing w:after="0" w:line="240" w:lineRule="auto"/>
              <w:jc w:val="right"/>
              <w:rPr>
                <w:rFonts w:ascii="Calibri" w:eastAsia="Times New Roman" w:hAnsi="Calibri" w:cs="Times New Roman"/>
                <w:b/>
                <w:color w:val="000000"/>
                <w:sz w:val="18"/>
                <w:szCs w:val="18"/>
                <w:lang w:eastAsia="en-GB"/>
              </w:rPr>
            </w:pPr>
            <w:r w:rsidRPr="00223C92">
              <w:rPr>
                <w:rFonts w:ascii="Calibri" w:eastAsia="Times New Roman" w:hAnsi="Calibri" w:cs="Times New Roman"/>
                <w:b/>
                <w:color w:val="000000"/>
                <w:sz w:val="18"/>
                <w:szCs w:val="18"/>
                <w:lang w:eastAsia="en-GB"/>
              </w:rPr>
              <w:t>Education</w:t>
            </w:r>
          </w:p>
        </w:tc>
        <w:tc>
          <w:tcPr>
            <w:tcW w:w="1253" w:type="dxa"/>
            <w:shd w:val="clear" w:color="auto" w:fill="A6A6A6" w:themeFill="background1" w:themeFillShade="A6"/>
            <w:noWrap/>
            <w:vAlign w:val="center"/>
            <w:hideMark/>
          </w:tcPr>
          <w:p w:rsidR="00223C92" w:rsidRPr="00223C92" w:rsidRDefault="00223C92" w:rsidP="00F52A46">
            <w:pPr>
              <w:spacing w:after="0" w:line="240" w:lineRule="auto"/>
              <w:jc w:val="right"/>
              <w:rPr>
                <w:rFonts w:ascii="Calibri" w:eastAsia="Times New Roman" w:hAnsi="Calibri" w:cs="Times New Roman"/>
                <w:b/>
                <w:color w:val="000000"/>
                <w:sz w:val="18"/>
                <w:szCs w:val="18"/>
                <w:lang w:eastAsia="en-GB"/>
              </w:rPr>
            </w:pPr>
            <w:r w:rsidRPr="00223C92">
              <w:rPr>
                <w:rFonts w:ascii="Calibri" w:eastAsia="Times New Roman" w:hAnsi="Calibri" w:cs="Times New Roman"/>
                <w:b/>
                <w:color w:val="000000"/>
                <w:sz w:val="18"/>
                <w:szCs w:val="18"/>
                <w:lang w:eastAsia="en-GB"/>
              </w:rPr>
              <w:t>Institutional capacity</w:t>
            </w:r>
          </w:p>
        </w:tc>
      </w:tr>
      <w:tr w:rsidR="002B3BB7" w:rsidRPr="00F52A46" w:rsidTr="00F52A46">
        <w:trPr>
          <w:trHeight w:hRule="exact" w:val="289"/>
        </w:trPr>
        <w:tc>
          <w:tcPr>
            <w:tcW w:w="929"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FI</w:t>
            </w:r>
          </w:p>
        </w:tc>
        <w:tc>
          <w:tcPr>
            <w:tcW w:w="1457" w:type="dxa"/>
            <w:shd w:val="clear" w:color="auto" w:fill="8DB3E2" w:themeFill="text2" w:themeFillTint="66"/>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2.4</w:t>
            </w:r>
          </w:p>
        </w:tc>
        <w:tc>
          <w:tcPr>
            <w:tcW w:w="1740"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371" w:type="dxa"/>
            <w:shd w:val="clear" w:color="auto" w:fill="8DB3E2" w:themeFill="text2" w:themeFillTint="66"/>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1.8</w:t>
            </w:r>
          </w:p>
        </w:tc>
        <w:tc>
          <w:tcPr>
            <w:tcW w:w="1090"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071" w:type="dxa"/>
            <w:shd w:val="clear" w:color="auto" w:fill="8DB3E2" w:themeFill="text2" w:themeFillTint="66"/>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1.2</w:t>
            </w:r>
          </w:p>
        </w:tc>
        <w:tc>
          <w:tcPr>
            <w:tcW w:w="1253"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r>
      <w:tr w:rsidR="002B3BB7" w:rsidRPr="00F52A46" w:rsidTr="00F52A46">
        <w:trPr>
          <w:trHeight w:hRule="exact" w:val="289"/>
        </w:trPr>
        <w:tc>
          <w:tcPr>
            <w:tcW w:w="929"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DK</w:t>
            </w:r>
          </w:p>
        </w:tc>
        <w:tc>
          <w:tcPr>
            <w:tcW w:w="1457" w:type="dxa"/>
            <w:shd w:val="clear" w:color="auto" w:fill="8DB3E2" w:themeFill="text2" w:themeFillTint="66"/>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2.1</w:t>
            </w:r>
          </w:p>
        </w:tc>
        <w:tc>
          <w:tcPr>
            <w:tcW w:w="1740"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371" w:type="dxa"/>
            <w:shd w:val="clear" w:color="auto" w:fill="8DB3E2" w:themeFill="text2" w:themeFillTint="66"/>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1.9</w:t>
            </w:r>
          </w:p>
        </w:tc>
        <w:tc>
          <w:tcPr>
            <w:tcW w:w="1090"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071" w:type="dxa"/>
            <w:shd w:val="clear" w:color="auto" w:fill="8DB3E2" w:themeFill="text2" w:themeFillTint="66"/>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1.8</w:t>
            </w:r>
          </w:p>
        </w:tc>
        <w:tc>
          <w:tcPr>
            <w:tcW w:w="1253"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r>
      <w:tr w:rsidR="002B3BB7" w:rsidRPr="00F52A46" w:rsidTr="00F52A46">
        <w:trPr>
          <w:trHeight w:hRule="exact" w:val="289"/>
        </w:trPr>
        <w:tc>
          <w:tcPr>
            <w:tcW w:w="929"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SE</w:t>
            </w:r>
          </w:p>
        </w:tc>
        <w:tc>
          <w:tcPr>
            <w:tcW w:w="1457" w:type="dxa"/>
            <w:shd w:val="clear" w:color="auto" w:fill="8DB3E2" w:themeFill="text2" w:themeFillTint="66"/>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1.7</w:t>
            </w:r>
          </w:p>
        </w:tc>
        <w:tc>
          <w:tcPr>
            <w:tcW w:w="1740"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371" w:type="dxa"/>
            <w:shd w:val="clear" w:color="auto" w:fill="8DB3E2" w:themeFill="text2" w:themeFillTint="66"/>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2.5</w:t>
            </w:r>
          </w:p>
        </w:tc>
        <w:tc>
          <w:tcPr>
            <w:tcW w:w="1090"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071" w:type="dxa"/>
            <w:shd w:val="clear" w:color="auto" w:fill="8DB3E2" w:themeFill="text2" w:themeFillTint="66"/>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1.2</w:t>
            </w:r>
          </w:p>
        </w:tc>
        <w:tc>
          <w:tcPr>
            <w:tcW w:w="1253"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r>
      <w:tr w:rsidR="002B3BB7" w:rsidRPr="00F52A46" w:rsidTr="00F52A46">
        <w:trPr>
          <w:trHeight w:hRule="exact" w:val="289"/>
        </w:trPr>
        <w:tc>
          <w:tcPr>
            <w:tcW w:w="929"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UK</w:t>
            </w:r>
          </w:p>
        </w:tc>
        <w:tc>
          <w:tcPr>
            <w:tcW w:w="1457" w:type="dxa"/>
            <w:shd w:val="clear" w:color="auto" w:fill="8DB3E2" w:themeFill="text2" w:themeFillTint="66"/>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1.6</w:t>
            </w:r>
          </w:p>
        </w:tc>
        <w:tc>
          <w:tcPr>
            <w:tcW w:w="1740"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371" w:type="dxa"/>
            <w:shd w:val="clear" w:color="auto" w:fill="8DB3E2" w:themeFill="text2" w:themeFillTint="66"/>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1.7</w:t>
            </w:r>
          </w:p>
        </w:tc>
        <w:tc>
          <w:tcPr>
            <w:tcW w:w="1090"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071" w:type="dxa"/>
            <w:shd w:val="clear" w:color="auto" w:fill="8DB3E2" w:themeFill="text2" w:themeFillTint="66"/>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1.8</w:t>
            </w:r>
          </w:p>
        </w:tc>
        <w:tc>
          <w:tcPr>
            <w:tcW w:w="1253"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r>
      <w:tr w:rsidR="002B3BB7" w:rsidRPr="00F52A46" w:rsidTr="00F52A46">
        <w:trPr>
          <w:trHeight w:hRule="exact" w:val="289"/>
        </w:trPr>
        <w:tc>
          <w:tcPr>
            <w:tcW w:w="929"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AT</w:t>
            </w:r>
          </w:p>
        </w:tc>
        <w:tc>
          <w:tcPr>
            <w:tcW w:w="1457" w:type="dxa"/>
            <w:shd w:val="clear" w:color="auto" w:fill="8DB3E2" w:themeFill="text2" w:themeFillTint="66"/>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2.1</w:t>
            </w:r>
          </w:p>
        </w:tc>
        <w:tc>
          <w:tcPr>
            <w:tcW w:w="1740"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371"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090" w:type="dxa"/>
            <w:shd w:val="clear" w:color="auto" w:fill="8DB3E2" w:themeFill="text2" w:themeFillTint="66"/>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1.8</w:t>
            </w:r>
          </w:p>
        </w:tc>
        <w:tc>
          <w:tcPr>
            <w:tcW w:w="1071" w:type="dxa"/>
            <w:shd w:val="clear" w:color="auto" w:fill="8DB3E2" w:themeFill="text2" w:themeFillTint="66"/>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2.1</w:t>
            </w:r>
          </w:p>
        </w:tc>
        <w:tc>
          <w:tcPr>
            <w:tcW w:w="1253"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r>
      <w:tr w:rsidR="002B3BB7" w:rsidRPr="00F52A46" w:rsidTr="00F52A46">
        <w:trPr>
          <w:trHeight w:hRule="exact" w:val="289"/>
        </w:trPr>
        <w:tc>
          <w:tcPr>
            <w:tcW w:w="929"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DE</w:t>
            </w:r>
          </w:p>
        </w:tc>
        <w:tc>
          <w:tcPr>
            <w:tcW w:w="1457" w:type="dxa"/>
            <w:shd w:val="clear" w:color="auto" w:fill="8DB3E2" w:themeFill="text2" w:themeFillTint="66"/>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1.6</w:t>
            </w:r>
          </w:p>
        </w:tc>
        <w:tc>
          <w:tcPr>
            <w:tcW w:w="1740"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371" w:type="dxa"/>
            <w:shd w:val="clear" w:color="auto" w:fill="8DB3E2" w:themeFill="text2" w:themeFillTint="66"/>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1.2</w:t>
            </w:r>
          </w:p>
        </w:tc>
        <w:tc>
          <w:tcPr>
            <w:tcW w:w="1090" w:type="dxa"/>
            <w:shd w:val="clear" w:color="auto" w:fill="8DB3E2" w:themeFill="text2" w:themeFillTint="66"/>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1.7</w:t>
            </w:r>
          </w:p>
        </w:tc>
        <w:tc>
          <w:tcPr>
            <w:tcW w:w="1071" w:type="dxa"/>
            <w:shd w:val="clear" w:color="auto" w:fill="8DB3E2" w:themeFill="text2" w:themeFillTint="66"/>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1.4</w:t>
            </w:r>
          </w:p>
        </w:tc>
        <w:tc>
          <w:tcPr>
            <w:tcW w:w="1253"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r>
      <w:tr w:rsidR="002B3BB7" w:rsidRPr="00F52A46" w:rsidTr="00F52A46">
        <w:trPr>
          <w:trHeight w:hRule="exact" w:val="289"/>
        </w:trPr>
        <w:tc>
          <w:tcPr>
            <w:tcW w:w="929"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BE</w:t>
            </w:r>
          </w:p>
        </w:tc>
        <w:tc>
          <w:tcPr>
            <w:tcW w:w="1457" w:type="dxa"/>
            <w:shd w:val="clear" w:color="auto" w:fill="8DB3E2" w:themeFill="text2" w:themeFillTint="66"/>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1.3</w:t>
            </w:r>
          </w:p>
        </w:tc>
        <w:tc>
          <w:tcPr>
            <w:tcW w:w="1740"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371" w:type="dxa"/>
            <w:shd w:val="clear" w:color="auto" w:fill="8DB3E2" w:themeFill="text2" w:themeFillTint="66"/>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2.1</w:t>
            </w:r>
          </w:p>
        </w:tc>
        <w:tc>
          <w:tcPr>
            <w:tcW w:w="1090" w:type="dxa"/>
            <w:shd w:val="clear" w:color="auto" w:fill="8DB3E2" w:themeFill="text2" w:themeFillTint="66"/>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1.7</w:t>
            </w:r>
          </w:p>
        </w:tc>
        <w:tc>
          <w:tcPr>
            <w:tcW w:w="1071" w:type="dxa"/>
            <w:shd w:val="clear" w:color="auto" w:fill="8DB3E2" w:themeFill="text2" w:themeFillTint="66"/>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1.6</w:t>
            </w:r>
          </w:p>
        </w:tc>
        <w:tc>
          <w:tcPr>
            <w:tcW w:w="1253"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r>
      <w:tr w:rsidR="002B3BB7" w:rsidRPr="00F52A46" w:rsidTr="00F52A46">
        <w:trPr>
          <w:trHeight w:hRule="exact" w:val="289"/>
        </w:trPr>
        <w:tc>
          <w:tcPr>
            <w:tcW w:w="929"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PT</w:t>
            </w:r>
          </w:p>
        </w:tc>
        <w:tc>
          <w:tcPr>
            <w:tcW w:w="1457" w:type="dxa"/>
            <w:shd w:val="clear" w:color="auto" w:fill="8DB3E2" w:themeFill="text2" w:themeFillTint="66"/>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1.5</w:t>
            </w:r>
          </w:p>
        </w:tc>
        <w:tc>
          <w:tcPr>
            <w:tcW w:w="1740"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371"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090"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071" w:type="dxa"/>
            <w:shd w:val="clear" w:color="auto" w:fill="8DB3E2" w:themeFill="text2" w:themeFillTint="66"/>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2</w:t>
            </w:r>
          </w:p>
        </w:tc>
        <w:tc>
          <w:tcPr>
            <w:tcW w:w="1253"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r>
      <w:tr w:rsidR="002B3BB7" w:rsidRPr="00F52A46" w:rsidTr="00F52A46">
        <w:trPr>
          <w:trHeight w:hRule="exact" w:val="289"/>
        </w:trPr>
        <w:tc>
          <w:tcPr>
            <w:tcW w:w="929"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NL</w:t>
            </w:r>
          </w:p>
        </w:tc>
        <w:tc>
          <w:tcPr>
            <w:tcW w:w="1457" w:type="dxa"/>
            <w:shd w:val="clear" w:color="auto" w:fill="8DB3E2" w:themeFill="text2" w:themeFillTint="66"/>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1.9</w:t>
            </w:r>
          </w:p>
        </w:tc>
        <w:tc>
          <w:tcPr>
            <w:tcW w:w="1740"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371" w:type="dxa"/>
            <w:shd w:val="clear" w:color="auto" w:fill="8DB3E2" w:themeFill="text2" w:themeFillTint="66"/>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1.3</w:t>
            </w:r>
          </w:p>
        </w:tc>
        <w:tc>
          <w:tcPr>
            <w:tcW w:w="1090" w:type="dxa"/>
            <w:shd w:val="clear" w:color="auto" w:fill="8DB3E2" w:themeFill="text2" w:themeFillTint="66"/>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3.6</w:t>
            </w:r>
          </w:p>
        </w:tc>
        <w:tc>
          <w:tcPr>
            <w:tcW w:w="1071"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253"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r>
      <w:tr w:rsidR="002B3BB7" w:rsidRPr="00F52A46" w:rsidTr="00F52A46">
        <w:trPr>
          <w:trHeight w:hRule="exact" w:val="289"/>
        </w:trPr>
        <w:tc>
          <w:tcPr>
            <w:tcW w:w="929"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SI</w:t>
            </w:r>
          </w:p>
        </w:tc>
        <w:tc>
          <w:tcPr>
            <w:tcW w:w="1457" w:type="dxa"/>
            <w:shd w:val="clear" w:color="auto" w:fill="8DB3E2" w:themeFill="text2" w:themeFillTint="66"/>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1.5</w:t>
            </w:r>
          </w:p>
        </w:tc>
        <w:tc>
          <w:tcPr>
            <w:tcW w:w="1740"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371"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090"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071"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253" w:type="dxa"/>
            <w:shd w:val="clear" w:color="auto" w:fill="8DB3E2" w:themeFill="text2" w:themeFillTint="66"/>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1.1</w:t>
            </w:r>
          </w:p>
        </w:tc>
      </w:tr>
      <w:tr w:rsidR="002B3BB7" w:rsidRPr="00F52A46" w:rsidTr="00F52A46">
        <w:trPr>
          <w:trHeight w:hRule="exact" w:val="289"/>
        </w:trPr>
        <w:tc>
          <w:tcPr>
            <w:tcW w:w="929"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EE</w:t>
            </w:r>
          </w:p>
        </w:tc>
        <w:tc>
          <w:tcPr>
            <w:tcW w:w="1457" w:type="dxa"/>
            <w:shd w:val="clear" w:color="auto" w:fill="8DB3E2" w:themeFill="text2" w:themeFillTint="66"/>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1.3</w:t>
            </w:r>
          </w:p>
        </w:tc>
        <w:tc>
          <w:tcPr>
            <w:tcW w:w="1740"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371"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090" w:type="dxa"/>
            <w:shd w:val="clear" w:color="auto" w:fill="8DB3E2" w:themeFill="text2" w:themeFillTint="66"/>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1.4</w:t>
            </w:r>
          </w:p>
        </w:tc>
        <w:tc>
          <w:tcPr>
            <w:tcW w:w="1071" w:type="dxa"/>
            <w:shd w:val="clear" w:color="auto" w:fill="8DB3E2" w:themeFill="text2" w:themeFillTint="66"/>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1.2</w:t>
            </w:r>
          </w:p>
        </w:tc>
        <w:tc>
          <w:tcPr>
            <w:tcW w:w="1253" w:type="dxa"/>
            <w:shd w:val="clear" w:color="auto" w:fill="8DB3E2" w:themeFill="text2" w:themeFillTint="66"/>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1.3</w:t>
            </w:r>
          </w:p>
        </w:tc>
      </w:tr>
      <w:tr w:rsidR="002B3BB7" w:rsidRPr="00F52A46" w:rsidTr="00F52A46">
        <w:trPr>
          <w:trHeight w:hRule="exact" w:val="289"/>
        </w:trPr>
        <w:tc>
          <w:tcPr>
            <w:tcW w:w="929"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ES</w:t>
            </w:r>
          </w:p>
        </w:tc>
        <w:tc>
          <w:tcPr>
            <w:tcW w:w="1457" w:type="dxa"/>
            <w:shd w:val="clear" w:color="auto" w:fill="8DB3E2" w:themeFill="text2" w:themeFillTint="66"/>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1.2</w:t>
            </w:r>
          </w:p>
        </w:tc>
        <w:tc>
          <w:tcPr>
            <w:tcW w:w="1740"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371" w:type="dxa"/>
            <w:shd w:val="clear" w:color="auto" w:fill="8DB3E2" w:themeFill="text2" w:themeFillTint="66"/>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1.7</w:t>
            </w:r>
          </w:p>
        </w:tc>
        <w:tc>
          <w:tcPr>
            <w:tcW w:w="1090" w:type="dxa"/>
            <w:shd w:val="clear" w:color="auto" w:fill="8DB3E2" w:themeFill="text2" w:themeFillTint="66"/>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1.1</w:t>
            </w:r>
          </w:p>
        </w:tc>
        <w:tc>
          <w:tcPr>
            <w:tcW w:w="1071"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253"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r>
      <w:tr w:rsidR="002B3BB7" w:rsidRPr="00F52A46" w:rsidTr="00F52A46">
        <w:trPr>
          <w:trHeight w:hRule="exact" w:val="289"/>
        </w:trPr>
        <w:tc>
          <w:tcPr>
            <w:tcW w:w="929"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HU</w:t>
            </w:r>
          </w:p>
        </w:tc>
        <w:tc>
          <w:tcPr>
            <w:tcW w:w="1457" w:type="dxa"/>
            <w:shd w:val="clear" w:color="auto" w:fill="8DB3E2" w:themeFill="text2" w:themeFillTint="66"/>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1.1</w:t>
            </w:r>
          </w:p>
        </w:tc>
        <w:tc>
          <w:tcPr>
            <w:tcW w:w="1740" w:type="dxa"/>
            <w:shd w:val="clear" w:color="auto" w:fill="8DB3E2" w:themeFill="text2" w:themeFillTint="66"/>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1.1</w:t>
            </w:r>
          </w:p>
        </w:tc>
        <w:tc>
          <w:tcPr>
            <w:tcW w:w="1371"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090"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071"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253" w:type="dxa"/>
            <w:shd w:val="clear" w:color="auto" w:fill="8DB3E2" w:themeFill="text2"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r>
      <w:tr w:rsidR="00F52A46" w:rsidRPr="00F52A46" w:rsidTr="00F52A46">
        <w:trPr>
          <w:trHeight w:hRule="exact" w:val="289"/>
        </w:trPr>
        <w:tc>
          <w:tcPr>
            <w:tcW w:w="929" w:type="dxa"/>
            <w:shd w:val="clear" w:color="auto" w:fill="B8CCE4" w:themeFill="accent1"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LU</w:t>
            </w:r>
          </w:p>
        </w:tc>
        <w:tc>
          <w:tcPr>
            <w:tcW w:w="1457" w:type="dxa"/>
            <w:shd w:val="clear" w:color="auto" w:fill="B8CCE4" w:themeFill="accent1"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740" w:type="dxa"/>
            <w:shd w:val="clear" w:color="auto" w:fill="B8CCE4" w:themeFill="accent1"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371" w:type="dxa"/>
            <w:shd w:val="clear" w:color="auto" w:fill="B8CCE4" w:themeFill="accent1" w:themeFillTint="66"/>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2.8</w:t>
            </w:r>
          </w:p>
        </w:tc>
        <w:tc>
          <w:tcPr>
            <w:tcW w:w="1090" w:type="dxa"/>
            <w:shd w:val="clear" w:color="auto" w:fill="B8CCE4" w:themeFill="accent1"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071" w:type="dxa"/>
            <w:shd w:val="clear" w:color="auto" w:fill="B8CCE4" w:themeFill="accent1"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253" w:type="dxa"/>
            <w:shd w:val="clear" w:color="auto" w:fill="B8CCE4" w:themeFill="accent1"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r>
      <w:tr w:rsidR="00F52A46" w:rsidRPr="00F52A46" w:rsidTr="00F52A46">
        <w:trPr>
          <w:trHeight w:hRule="exact" w:val="289"/>
        </w:trPr>
        <w:tc>
          <w:tcPr>
            <w:tcW w:w="929" w:type="dxa"/>
            <w:shd w:val="clear" w:color="auto" w:fill="B8CCE4" w:themeFill="accent1"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FR</w:t>
            </w:r>
          </w:p>
        </w:tc>
        <w:tc>
          <w:tcPr>
            <w:tcW w:w="1457" w:type="dxa"/>
            <w:shd w:val="clear" w:color="auto" w:fill="B8CCE4" w:themeFill="accent1"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740" w:type="dxa"/>
            <w:shd w:val="clear" w:color="auto" w:fill="B8CCE4" w:themeFill="accent1"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371" w:type="dxa"/>
            <w:shd w:val="clear" w:color="auto" w:fill="B8CCE4" w:themeFill="accent1" w:themeFillTint="66"/>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1.7</w:t>
            </w:r>
          </w:p>
        </w:tc>
        <w:tc>
          <w:tcPr>
            <w:tcW w:w="1090" w:type="dxa"/>
            <w:shd w:val="clear" w:color="auto" w:fill="B8CCE4" w:themeFill="accent1" w:themeFillTint="66"/>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1.6</w:t>
            </w:r>
          </w:p>
        </w:tc>
        <w:tc>
          <w:tcPr>
            <w:tcW w:w="1071" w:type="dxa"/>
            <w:shd w:val="clear" w:color="auto" w:fill="B8CCE4" w:themeFill="accent1" w:themeFillTint="66"/>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1.3</w:t>
            </w:r>
          </w:p>
        </w:tc>
        <w:tc>
          <w:tcPr>
            <w:tcW w:w="1253" w:type="dxa"/>
            <w:shd w:val="clear" w:color="auto" w:fill="B8CCE4" w:themeFill="accent1"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r>
      <w:tr w:rsidR="00F52A46" w:rsidRPr="00F52A46" w:rsidTr="00F52A46">
        <w:trPr>
          <w:trHeight w:hRule="exact" w:val="289"/>
        </w:trPr>
        <w:tc>
          <w:tcPr>
            <w:tcW w:w="929" w:type="dxa"/>
            <w:shd w:val="clear" w:color="auto" w:fill="B8CCE4" w:themeFill="accent1"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IE</w:t>
            </w:r>
          </w:p>
        </w:tc>
        <w:tc>
          <w:tcPr>
            <w:tcW w:w="1457" w:type="dxa"/>
            <w:shd w:val="clear" w:color="auto" w:fill="B8CCE4" w:themeFill="accent1"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740" w:type="dxa"/>
            <w:shd w:val="clear" w:color="auto" w:fill="B8CCE4" w:themeFill="accent1"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371" w:type="dxa"/>
            <w:shd w:val="clear" w:color="auto" w:fill="B8CCE4" w:themeFill="accent1" w:themeFillTint="66"/>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3</w:t>
            </w:r>
          </w:p>
        </w:tc>
        <w:tc>
          <w:tcPr>
            <w:tcW w:w="1090" w:type="dxa"/>
            <w:shd w:val="clear" w:color="auto" w:fill="B8CCE4" w:themeFill="accent1" w:themeFillTint="66"/>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1.9</w:t>
            </w:r>
          </w:p>
        </w:tc>
        <w:tc>
          <w:tcPr>
            <w:tcW w:w="1071" w:type="dxa"/>
            <w:shd w:val="clear" w:color="auto" w:fill="B8CCE4" w:themeFill="accent1"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253" w:type="dxa"/>
            <w:shd w:val="clear" w:color="auto" w:fill="B8CCE4" w:themeFill="accent1"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r>
      <w:tr w:rsidR="00F52A46" w:rsidRPr="00F52A46" w:rsidTr="00F52A46">
        <w:trPr>
          <w:trHeight w:hRule="exact" w:val="289"/>
        </w:trPr>
        <w:tc>
          <w:tcPr>
            <w:tcW w:w="929" w:type="dxa"/>
            <w:shd w:val="clear" w:color="auto" w:fill="B8CCE4" w:themeFill="accent1"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IT</w:t>
            </w:r>
          </w:p>
        </w:tc>
        <w:tc>
          <w:tcPr>
            <w:tcW w:w="1457" w:type="dxa"/>
            <w:shd w:val="clear" w:color="auto" w:fill="B8CCE4" w:themeFill="accent1"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740" w:type="dxa"/>
            <w:shd w:val="clear" w:color="auto" w:fill="B8CCE4" w:themeFill="accent1" w:themeFillTint="66"/>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371" w:type="dxa"/>
            <w:shd w:val="clear" w:color="auto" w:fill="B8CCE4" w:themeFill="accent1" w:themeFillTint="66"/>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1.5</w:t>
            </w:r>
          </w:p>
        </w:tc>
        <w:tc>
          <w:tcPr>
            <w:tcW w:w="1090" w:type="dxa"/>
            <w:shd w:val="clear" w:color="auto" w:fill="B8CCE4" w:themeFill="accent1" w:themeFillTint="66"/>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1.1</w:t>
            </w:r>
          </w:p>
        </w:tc>
        <w:tc>
          <w:tcPr>
            <w:tcW w:w="1071" w:type="dxa"/>
            <w:shd w:val="clear" w:color="auto" w:fill="B8CCE4" w:themeFill="accent1" w:themeFillTint="66"/>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1.2</w:t>
            </w:r>
          </w:p>
        </w:tc>
        <w:tc>
          <w:tcPr>
            <w:tcW w:w="1253" w:type="dxa"/>
            <w:shd w:val="clear" w:color="auto" w:fill="B8CCE4" w:themeFill="accent1" w:themeFillTint="66"/>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1.2</w:t>
            </w:r>
          </w:p>
        </w:tc>
      </w:tr>
      <w:tr w:rsidR="00F52A46" w:rsidRPr="00F52A46" w:rsidTr="00E37E12">
        <w:trPr>
          <w:trHeight w:hRule="exact" w:val="289"/>
        </w:trPr>
        <w:tc>
          <w:tcPr>
            <w:tcW w:w="929"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CY</w:t>
            </w:r>
          </w:p>
        </w:tc>
        <w:tc>
          <w:tcPr>
            <w:tcW w:w="1457"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740" w:type="dxa"/>
            <w:shd w:val="clear" w:color="auto" w:fill="D99594" w:themeFill="accent2" w:themeFillTint="99"/>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1.1</w:t>
            </w:r>
          </w:p>
        </w:tc>
        <w:tc>
          <w:tcPr>
            <w:tcW w:w="1371" w:type="dxa"/>
            <w:shd w:val="clear" w:color="auto" w:fill="D99594" w:themeFill="accent2" w:themeFillTint="99"/>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1.2</w:t>
            </w:r>
          </w:p>
        </w:tc>
        <w:tc>
          <w:tcPr>
            <w:tcW w:w="1090"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071"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253" w:type="dxa"/>
            <w:shd w:val="clear" w:color="auto" w:fill="D99594" w:themeFill="accent2" w:themeFillTint="99"/>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1.9</w:t>
            </w:r>
          </w:p>
        </w:tc>
      </w:tr>
      <w:tr w:rsidR="00F52A46" w:rsidRPr="00F52A46" w:rsidTr="00F52A46">
        <w:trPr>
          <w:trHeight w:hRule="exact" w:val="289"/>
        </w:trPr>
        <w:tc>
          <w:tcPr>
            <w:tcW w:w="929"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MT</w:t>
            </w:r>
          </w:p>
        </w:tc>
        <w:tc>
          <w:tcPr>
            <w:tcW w:w="1457"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740" w:type="dxa"/>
            <w:shd w:val="clear" w:color="auto" w:fill="D99594" w:themeFill="accent2" w:themeFillTint="99"/>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1.3</w:t>
            </w:r>
          </w:p>
        </w:tc>
        <w:tc>
          <w:tcPr>
            <w:tcW w:w="1371"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090" w:type="dxa"/>
            <w:shd w:val="clear" w:color="auto" w:fill="D99594" w:themeFill="accent2" w:themeFillTint="99"/>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1.3</w:t>
            </w:r>
          </w:p>
        </w:tc>
        <w:tc>
          <w:tcPr>
            <w:tcW w:w="1071"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253"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r>
      <w:tr w:rsidR="00F52A46" w:rsidRPr="00F52A46" w:rsidTr="00F52A46">
        <w:trPr>
          <w:trHeight w:hRule="exact" w:val="289"/>
        </w:trPr>
        <w:tc>
          <w:tcPr>
            <w:tcW w:w="929"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LV</w:t>
            </w:r>
          </w:p>
        </w:tc>
        <w:tc>
          <w:tcPr>
            <w:tcW w:w="1457"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740" w:type="dxa"/>
            <w:shd w:val="clear" w:color="auto" w:fill="D99594" w:themeFill="accent2" w:themeFillTint="99"/>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1.3</w:t>
            </w:r>
          </w:p>
        </w:tc>
        <w:tc>
          <w:tcPr>
            <w:tcW w:w="1371"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090"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071" w:type="dxa"/>
            <w:shd w:val="clear" w:color="auto" w:fill="D99594" w:themeFill="accent2" w:themeFillTint="99"/>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1.1</w:t>
            </w:r>
          </w:p>
        </w:tc>
        <w:tc>
          <w:tcPr>
            <w:tcW w:w="1253"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r>
      <w:tr w:rsidR="00F52A46" w:rsidRPr="00F52A46" w:rsidTr="00F52A46">
        <w:trPr>
          <w:trHeight w:hRule="exact" w:val="289"/>
        </w:trPr>
        <w:tc>
          <w:tcPr>
            <w:tcW w:w="929"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CZ</w:t>
            </w:r>
          </w:p>
        </w:tc>
        <w:tc>
          <w:tcPr>
            <w:tcW w:w="1457"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740" w:type="dxa"/>
            <w:shd w:val="clear" w:color="auto" w:fill="D99594" w:themeFill="accent2" w:themeFillTint="99"/>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1.2</w:t>
            </w:r>
          </w:p>
        </w:tc>
        <w:tc>
          <w:tcPr>
            <w:tcW w:w="1371"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090"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071"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253"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r>
      <w:tr w:rsidR="00F52A46" w:rsidRPr="00F52A46" w:rsidTr="00F52A46">
        <w:trPr>
          <w:trHeight w:hRule="exact" w:val="289"/>
        </w:trPr>
        <w:tc>
          <w:tcPr>
            <w:tcW w:w="929"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PL</w:t>
            </w:r>
          </w:p>
        </w:tc>
        <w:tc>
          <w:tcPr>
            <w:tcW w:w="1457"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740" w:type="dxa"/>
            <w:shd w:val="clear" w:color="auto" w:fill="D99594" w:themeFill="accent2" w:themeFillTint="99"/>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1.3</w:t>
            </w:r>
          </w:p>
        </w:tc>
        <w:tc>
          <w:tcPr>
            <w:tcW w:w="1371"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090"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071"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253"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r>
      <w:tr w:rsidR="00F52A46" w:rsidRPr="00F52A46" w:rsidTr="00F52A46">
        <w:trPr>
          <w:trHeight w:hRule="exact" w:val="289"/>
        </w:trPr>
        <w:tc>
          <w:tcPr>
            <w:tcW w:w="929"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LT</w:t>
            </w:r>
          </w:p>
        </w:tc>
        <w:tc>
          <w:tcPr>
            <w:tcW w:w="1457"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740" w:type="dxa"/>
            <w:shd w:val="clear" w:color="auto" w:fill="D99594" w:themeFill="accent2" w:themeFillTint="99"/>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1.1</w:t>
            </w:r>
          </w:p>
        </w:tc>
        <w:tc>
          <w:tcPr>
            <w:tcW w:w="1371"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090" w:type="dxa"/>
            <w:shd w:val="clear" w:color="auto" w:fill="D99594" w:themeFill="accent2" w:themeFillTint="99"/>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1.5</w:t>
            </w:r>
          </w:p>
        </w:tc>
        <w:tc>
          <w:tcPr>
            <w:tcW w:w="1071"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253" w:type="dxa"/>
            <w:shd w:val="clear" w:color="auto" w:fill="D99594" w:themeFill="accent2" w:themeFillTint="99"/>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1.3</w:t>
            </w:r>
          </w:p>
        </w:tc>
      </w:tr>
      <w:tr w:rsidR="00F52A46" w:rsidRPr="00F52A46" w:rsidTr="00F52A46">
        <w:trPr>
          <w:trHeight w:hRule="exact" w:val="289"/>
        </w:trPr>
        <w:tc>
          <w:tcPr>
            <w:tcW w:w="929"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HR</w:t>
            </w:r>
          </w:p>
        </w:tc>
        <w:tc>
          <w:tcPr>
            <w:tcW w:w="1457"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740" w:type="dxa"/>
            <w:shd w:val="clear" w:color="auto" w:fill="D99594" w:themeFill="accent2" w:themeFillTint="99"/>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1.2</w:t>
            </w:r>
          </w:p>
        </w:tc>
        <w:tc>
          <w:tcPr>
            <w:tcW w:w="1371"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090"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071"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253" w:type="dxa"/>
            <w:shd w:val="clear" w:color="auto" w:fill="D99594" w:themeFill="accent2" w:themeFillTint="99"/>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1.1</w:t>
            </w:r>
          </w:p>
        </w:tc>
      </w:tr>
      <w:tr w:rsidR="00F52A46" w:rsidRPr="00F52A46" w:rsidTr="00F52A46">
        <w:trPr>
          <w:trHeight w:hRule="exact" w:val="289"/>
        </w:trPr>
        <w:tc>
          <w:tcPr>
            <w:tcW w:w="929"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SK</w:t>
            </w:r>
          </w:p>
        </w:tc>
        <w:tc>
          <w:tcPr>
            <w:tcW w:w="1457"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740" w:type="dxa"/>
            <w:shd w:val="clear" w:color="auto" w:fill="D99594" w:themeFill="accent2" w:themeFillTint="99"/>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1.2</w:t>
            </w:r>
          </w:p>
        </w:tc>
        <w:tc>
          <w:tcPr>
            <w:tcW w:w="1371"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090"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071"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253" w:type="dxa"/>
            <w:shd w:val="clear" w:color="auto" w:fill="D99594" w:themeFill="accent2" w:themeFillTint="99"/>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1.5</w:t>
            </w:r>
          </w:p>
        </w:tc>
      </w:tr>
      <w:tr w:rsidR="00F52A46" w:rsidRPr="00F52A46" w:rsidTr="00F52A46">
        <w:trPr>
          <w:trHeight w:hRule="exact" w:val="289"/>
        </w:trPr>
        <w:tc>
          <w:tcPr>
            <w:tcW w:w="929"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BG</w:t>
            </w:r>
          </w:p>
        </w:tc>
        <w:tc>
          <w:tcPr>
            <w:tcW w:w="1457"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740" w:type="dxa"/>
            <w:shd w:val="clear" w:color="auto" w:fill="D99594" w:themeFill="accent2" w:themeFillTint="99"/>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1.3</w:t>
            </w:r>
          </w:p>
        </w:tc>
        <w:tc>
          <w:tcPr>
            <w:tcW w:w="1371"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090"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071"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253" w:type="dxa"/>
            <w:shd w:val="clear" w:color="auto" w:fill="D99594" w:themeFill="accent2" w:themeFillTint="99"/>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1.3</w:t>
            </w:r>
          </w:p>
        </w:tc>
      </w:tr>
      <w:tr w:rsidR="00F52A46" w:rsidRPr="00F52A46" w:rsidTr="00F52A46">
        <w:trPr>
          <w:trHeight w:hRule="exact" w:val="289"/>
        </w:trPr>
        <w:tc>
          <w:tcPr>
            <w:tcW w:w="929"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GR</w:t>
            </w:r>
          </w:p>
        </w:tc>
        <w:tc>
          <w:tcPr>
            <w:tcW w:w="1457"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740" w:type="dxa"/>
            <w:shd w:val="clear" w:color="auto" w:fill="D99594" w:themeFill="accent2" w:themeFillTint="99"/>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1.3</w:t>
            </w:r>
          </w:p>
        </w:tc>
        <w:tc>
          <w:tcPr>
            <w:tcW w:w="1371"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090"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071"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253" w:type="dxa"/>
            <w:shd w:val="clear" w:color="auto" w:fill="D99594" w:themeFill="accent2" w:themeFillTint="99"/>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1.2</w:t>
            </w:r>
          </w:p>
        </w:tc>
      </w:tr>
      <w:tr w:rsidR="00F52A46" w:rsidRPr="00F52A46" w:rsidTr="00F52A46">
        <w:trPr>
          <w:trHeight w:hRule="exact" w:val="289"/>
        </w:trPr>
        <w:tc>
          <w:tcPr>
            <w:tcW w:w="929"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RO</w:t>
            </w:r>
          </w:p>
        </w:tc>
        <w:tc>
          <w:tcPr>
            <w:tcW w:w="1457"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740" w:type="dxa"/>
            <w:shd w:val="clear" w:color="auto" w:fill="D99594" w:themeFill="accent2" w:themeFillTint="99"/>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1.5</w:t>
            </w:r>
          </w:p>
        </w:tc>
        <w:tc>
          <w:tcPr>
            <w:tcW w:w="1371"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090"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071" w:type="dxa"/>
            <w:shd w:val="clear" w:color="auto" w:fill="D99594" w:themeFill="accent2" w:themeFillTint="99"/>
            <w:noWrap/>
            <w:vAlign w:val="bottom"/>
            <w:hideMark/>
          </w:tcPr>
          <w:p w:rsidR="00223C92" w:rsidRPr="00223C92" w:rsidRDefault="00223C92" w:rsidP="00F52A46">
            <w:pPr>
              <w:spacing w:after="0" w:line="240" w:lineRule="auto"/>
              <w:jc w:val="left"/>
              <w:rPr>
                <w:rFonts w:ascii="Calibri" w:eastAsia="Times New Roman" w:hAnsi="Calibri" w:cs="Times New Roman"/>
                <w:color w:val="000000"/>
                <w:sz w:val="18"/>
                <w:szCs w:val="18"/>
                <w:lang w:eastAsia="en-GB"/>
              </w:rPr>
            </w:pPr>
          </w:p>
        </w:tc>
        <w:tc>
          <w:tcPr>
            <w:tcW w:w="1253" w:type="dxa"/>
            <w:shd w:val="clear" w:color="auto" w:fill="D99594" w:themeFill="accent2" w:themeFillTint="99"/>
            <w:noWrap/>
            <w:vAlign w:val="bottom"/>
            <w:hideMark/>
          </w:tcPr>
          <w:p w:rsidR="00223C92" w:rsidRPr="00223C92" w:rsidRDefault="00223C92" w:rsidP="00F52A46">
            <w:pPr>
              <w:spacing w:after="0" w:line="240" w:lineRule="auto"/>
              <w:jc w:val="right"/>
              <w:rPr>
                <w:rFonts w:ascii="Calibri" w:eastAsia="Times New Roman" w:hAnsi="Calibri" w:cs="Times New Roman"/>
                <w:color w:val="000000"/>
                <w:sz w:val="18"/>
                <w:szCs w:val="18"/>
                <w:lang w:eastAsia="en-GB"/>
              </w:rPr>
            </w:pPr>
            <w:r w:rsidRPr="00223C92">
              <w:rPr>
                <w:rFonts w:ascii="Calibri" w:eastAsia="Times New Roman" w:hAnsi="Calibri" w:cs="Times New Roman"/>
                <w:color w:val="000000"/>
                <w:sz w:val="18"/>
                <w:szCs w:val="18"/>
                <w:lang w:eastAsia="en-GB"/>
              </w:rPr>
              <w:t>1.2</w:t>
            </w:r>
          </w:p>
        </w:tc>
      </w:tr>
    </w:tbl>
    <w:p w:rsidR="00AF5F9E" w:rsidRDefault="00AF5F9E" w:rsidP="00D365C3"/>
    <w:p w:rsidR="00A323C8" w:rsidRDefault="007A2F4C" w:rsidP="00D365C3">
      <w:r>
        <w:t>T</w:t>
      </w:r>
      <w:r w:rsidR="00D365C3">
        <w:t>he distinction between EU15 and EU13 is not</w:t>
      </w:r>
      <w:r w:rsidR="00F74611">
        <w:t xml:space="preserve"> </w:t>
      </w:r>
      <w:r w:rsidR="00D365C3">
        <w:t>exhaustive</w:t>
      </w:r>
      <w:r w:rsidR="00F74611">
        <w:t xml:space="preserve">, or in any case </w:t>
      </w:r>
      <w:r w:rsidR="00E47414">
        <w:t xml:space="preserve">it is </w:t>
      </w:r>
      <w:r w:rsidR="00F74611">
        <w:t>not the only one,</w:t>
      </w:r>
      <w:r w:rsidR="00D365C3">
        <w:t xml:space="preserve"> and therefore additional </w:t>
      </w:r>
      <w:r w:rsidR="00DA5EAA">
        <w:t>groupings can</w:t>
      </w:r>
      <w:r w:rsidR="00D365C3">
        <w:t xml:space="preserve"> be considered in the rest of the analysis and especially in Task 6 which is aimed at drawing conclusions and providing recommendations.  </w:t>
      </w:r>
      <w:r w:rsidR="005C5399">
        <w:t xml:space="preserve">   </w:t>
      </w:r>
      <w:r w:rsidR="005F2DD1">
        <w:t xml:space="preserve">    </w:t>
      </w:r>
      <w:r w:rsidR="00A323C8">
        <w:t xml:space="preserve">  </w:t>
      </w:r>
    </w:p>
    <w:p w:rsidR="008C269B" w:rsidRDefault="00BE4B9E" w:rsidP="003D0E01">
      <w:r>
        <w:t xml:space="preserve">In relation to </w:t>
      </w:r>
      <w:r w:rsidR="00DA5EAA">
        <w:t>investments</w:t>
      </w:r>
      <w:r>
        <w:t xml:space="preserve">, DG ECFIN distinguishes </w:t>
      </w:r>
      <w:r w:rsidR="00DA5EAA">
        <w:t xml:space="preserve">Member States </w:t>
      </w:r>
      <w:r>
        <w:t xml:space="preserve">on the bases of the </w:t>
      </w:r>
      <w:r w:rsidR="00D72599" w:rsidRPr="006D5D58">
        <w:rPr>
          <w:b/>
        </w:rPr>
        <w:t>relative weight of ESIF on total as well as on public investments</w:t>
      </w:r>
      <w:r w:rsidR="008D7180">
        <w:t>, as in the example displayed in the following figure</w:t>
      </w:r>
      <w:r>
        <w:t xml:space="preserve">. </w:t>
      </w:r>
      <w:r w:rsidR="008D7180">
        <w:t xml:space="preserve">This graph </w:t>
      </w:r>
      <w:r w:rsidR="00816144">
        <w:t xml:space="preserve">may highlight a number of </w:t>
      </w:r>
      <w:r w:rsidR="008D7180">
        <w:t>groups</w:t>
      </w:r>
      <w:r w:rsidR="00816144">
        <w:t>:</w:t>
      </w:r>
    </w:p>
    <w:p w:rsidR="008C269B" w:rsidRPr="008C269B" w:rsidRDefault="008C269B" w:rsidP="00816144">
      <w:pPr>
        <w:pStyle w:val="Bulletpoint1"/>
      </w:pPr>
      <w:r w:rsidRPr="008C269B">
        <w:t xml:space="preserve">Croatia, Portugal, Lithuania, Latvia, Slovakia, Poland, Romania, Bulgaria, Estonia and Hungary: </w:t>
      </w:r>
      <w:r w:rsidR="008D7180">
        <w:t xml:space="preserve">where the </w:t>
      </w:r>
      <w:r w:rsidRPr="008C269B">
        <w:t xml:space="preserve">ESIF </w:t>
      </w:r>
      <w:r w:rsidR="00373C4D">
        <w:t xml:space="preserve">as % </w:t>
      </w:r>
      <w:r w:rsidRPr="008C269B">
        <w:t xml:space="preserve">of public </w:t>
      </w:r>
      <w:r w:rsidR="00A56D89">
        <w:t>gross fixed capital formation (</w:t>
      </w:r>
      <w:r w:rsidRPr="008C269B">
        <w:t>GFCF</w:t>
      </w:r>
      <w:r w:rsidR="00A56D89">
        <w:t>)</w:t>
      </w:r>
      <w:r w:rsidR="00373C4D" w:rsidRPr="00373C4D">
        <w:t xml:space="preserve"> </w:t>
      </w:r>
      <w:r w:rsidR="00373C4D">
        <w:t xml:space="preserve">is </w:t>
      </w:r>
      <w:r w:rsidR="00373C4D" w:rsidRPr="00816144">
        <w:rPr>
          <w:b/>
        </w:rPr>
        <w:t>above EU average</w:t>
      </w:r>
      <w:r w:rsidR="00373C4D">
        <w:t xml:space="preserve"> and </w:t>
      </w:r>
      <w:r w:rsidR="00373C4D" w:rsidRPr="008C269B">
        <w:t>range</w:t>
      </w:r>
      <w:r w:rsidR="00373C4D">
        <w:t>s</w:t>
      </w:r>
      <w:r w:rsidR="00373C4D" w:rsidRPr="008C269B">
        <w:t xml:space="preserve"> between 54</w:t>
      </w:r>
      <w:r w:rsidR="00373C4D">
        <w:t xml:space="preserve"> and </w:t>
      </w:r>
      <w:r w:rsidR="00373C4D" w:rsidRPr="008C269B">
        <w:t>100%</w:t>
      </w:r>
      <w:r>
        <w:t>;</w:t>
      </w:r>
    </w:p>
    <w:p w:rsidR="008C269B" w:rsidRDefault="008C269B" w:rsidP="00816144">
      <w:pPr>
        <w:pStyle w:val="Bulletpoint1"/>
      </w:pPr>
      <w:r w:rsidRPr="008C269B">
        <w:t>Cyprus, Czech Republic, Greece, Malta, Slovenia, Spain and Italy</w:t>
      </w:r>
      <w:r>
        <w:t xml:space="preserve">: ESIF </w:t>
      </w:r>
      <w:r w:rsidR="00373C4D">
        <w:t xml:space="preserve">as % of public GFCF </w:t>
      </w:r>
      <w:r w:rsidR="00816144">
        <w:t xml:space="preserve">is </w:t>
      </w:r>
      <w:r w:rsidR="00816144" w:rsidRPr="00816144">
        <w:rPr>
          <w:b/>
        </w:rPr>
        <w:t>above EU average</w:t>
      </w:r>
      <w:r w:rsidR="00816144">
        <w:t xml:space="preserve"> and </w:t>
      </w:r>
      <w:r>
        <w:t>range</w:t>
      </w:r>
      <w:r w:rsidR="00816144">
        <w:t>s</w:t>
      </w:r>
      <w:r>
        <w:t xml:space="preserve"> between 16 and 48%;</w:t>
      </w:r>
    </w:p>
    <w:p w:rsidR="008C269B" w:rsidRPr="008C269B" w:rsidRDefault="008C269B" w:rsidP="00816144">
      <w:pPr>
        <w:pStyle w:val="Bulletpoint1"/>
      </w:pPr>
      <w:r>
        <w:t xml:space="preserve">Austria, Finland, Germany, France, Belgium, UK, Sweden, </w:t>
      </w:r>
      <w:r w:rsidR="00816144">
        <w:t xml:space="preserve">Denmark, Netherlands, Luxembourg: ESIF </w:t>
      </w:r>
      <w:r w:rsidR="00373C4D">
        <w:t xml:space="preserve">as % of public GFCF </w:t>
      </w:r>
      <w:r w:rsidR="00816144">
        <w:t xml:space="preserve">is </w:t>
      </w:r>
      <w:r w:rsidR="00816144" w:rsidRPr="00816144">
        <w:rPr>
          <w:b/>
        </w:rPr>
        <w:t>below EU average</w:t>
      </w:r>
      <w:r w:rsidR="00816144">
        <w:t xml:space="preserve"> and ranges between 1% and 7%. </w:t>
      </w:r>
      <w:r w:rsidRPr="008C269B">
        <w:t xml:space="preserve"> </w:t>
      </w:r>
    </w:p>
    <w:p w:rsidR="008C269B" w:rsidRDefault="00BE4B9E" w:rsidP="008C269B">
      <w:r>
        <w:t xml:space="preserve">The outcome of such distinction reflects to some extent the EU13-EU15 groupings </w:t>
      </w:r>
      <w:r w:rsidR="008C269B">
        <w:t>(</w:t>
      </w:r>
      <w:r w:rsidR="00816144">
        <w:t>with the exception of Mediterranean countries: Portugal, Spain, Italy and Greece</w:t>
      </w:r>
      <w:r w:rsidR="00A56D89">
        <w:t>, which can be treated as a separate group</w:t>
      </w:r>
      <w:r w:rsidR="008C269B">
        <w:t xml:space="preserve">) </w:t>
      </w:r>
      <w:r>
        <w:t xml:space="preserve">but </w:t>
      </w:r>
      <w:r w:rsidR="00E47414">
        <w:t xml:space="preserve">the weight of ESIF on GFCF </w:t>
      </w:r>
      <w:r w:rsidR="008D7180">
        <w:t>might be d</w:t>
      </w:r>
      <w:r>
        <w:t xml:space="preserve">efinitely </w:t>
      </w:r>
      <w:r w:rsidR="00E47414">
        <w:t xml:space="preserve">a </w:t>
      </w:r>
      <w:r>
        <w:t xml:space="preserve">useful </w:t>
      </w:r>
      <w:r w:rsidR="00E47414">
        <w:t>indicator characterise different patterns</w:t>
      </w:r>
      <w:r>
        <w:t xml:space="preserve">. </w:t>
      </w:r>
    </w:p>
    <w:p w:rsidR="008C269B" w:rsidRPr="008C269B" w:rsidRDefault="008C269B" w:rsidP="008C269B">
      <w:pPr>
        <w:pStyle w:val="Caption"/>
        <w:keepNext/>
      </w:pPr>
      <w:r>
        <w:t xml:space="preserve">Figure </w:t>
      </w:r>
      <w:r w:rsidR="00C52F7F">
        <w:fldChar w:fldCharType="begin"/>
      </w:r>
      <w:r w:rsidR="00F62F72">
        <w:instrText xml:space="preserve"> SEQ Figure \* ARABIC </w:instrText>
      </w:r>
      <w:r w:rsidR="00C52F7F">
        <w:fldChar w:fldCharType="separate"/>
      </w:r>
      <w:r w:rsidR="00183DCC">
        <w:rPr>
          <w:noProof/>
        </w:rPr>
        <w:t>12</w:t>
      </w:r>
      <w:r w:rsidR="00C52F7F">
        <w:rPr>
          <w:noProof/>
        </w:rPr>
        <w:fldChar w:fldCharType="end"/>
      </w:r>
      <w:r>
        <w:t xml:space="preserve"> – ESI Funds as % of public gross fixed capital formation  </w:t>
      </w:r>
    </w:p>
    <w:p w:rsidR="00BE4B9E" w:rsidRPr="008C269B" w:rsidRDefault="008C269B" w:rsidP="008C269B">
      <w:r>
        <w:rPr>
          <w:noProof/>
          <w:lang w:eastAsia="en-GB"/>
        </w:rPr>
        <w:drawing>
          <wp:inline distT="0" distB="0" distL="0" distR="0" wp14:anchorId="441EB0FB" wp14:editId="6878788E">
            <wp:extent cx="4678680" cy="3063021"/>
            <wp:effectExtent l="0" t="0" r="0" b="0"/>
            <wp:docPr id="20" name="Immagine 20" descr="cid:image001.png@01D1CD31.D27DB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1CD31.D27DB3C0"/>
                    <pic:cNvPicPr>
                      <a:picLocks noChangeAspect="1" noChangeArrowheads="1"/>
                    </pic:cNvPicPr>
                  </pic:nvPicPr>
                  <pic:blipFill>
                    <a:blip r:embed="rId36" r:link="rId37" cstate="print">
                      <a:extLst>
                        <a:ext uri="{28A0092B-C50C-407E-A947-70E740481C1C}">
                          <a14:useLocalDpi xmlns:a14="http://schemas.microsoft.com/office/drawing/2010/main" val="0"/>
                        </a:ext>
                      </a:extLst>
                    </a:blip>
                    <a:srcRect/>
                    <a:stretch>
                      <a:fillRect/>
                    </a:stretch>
                  </pic:blipFill>
                  <pic:spPr bwMode="auto">
                    <a:xfrm>
                      <a:off x="0" y="0"/>
                      <a:ext cx="4678680" cy="3063021"/>
                    </a:xfrm>
                    <a:prstGeom prst="rect">
                      <a:avLst/>
                    </a:prstGeom>
                    <a:noFill/>
                    <a:ln>
                      <a:noFill/>
                    </a:ln>
                  </pic:spPr>
                </pic:pic>
              </a:graphicData>
            </a:graphic>
          </wp:inline>
        </w:drawing>
      </w:r>
    </w:p>
    <w:p w:rsidR="00F74611" w:rsidRDefault="00816144" w:rsidP="003D0E01">
      <w:r>
        <w:t>Source: DG ECFIN</w:t>
      </w:r>
    </w:p>
    <w:p w:rsidR="00E47414" w:rsidRDefault="00E47414" w:rsidP="00E47414">
      <w:r>
        <w:t xml:space="preserve">Another possible grouping can be related to </w:t>
      </w:r>
      <w:r w:rsidR="00D72599" w:rsidRPr="006D5D58">
        <w:rPr>
          <w:b/>
        </w:rPr>
        <w:t>prevailing EU objectives</w:t>
      </w:r>
      <w:r>
        <w:t xml:space="preserve">. In other words, it is possible to distinguish between: 1) Member States that include mostly (or only) more developed regions such as those in Northern and Central Europe; 2) Member States that include mostly (or only) less developed regions, such as those Southern and Eastern Europe; 3) Member States that include a combination of more developed, less developed and transition regions. This distinction </w:t>
      </w:r>
      <w:r w:rsidR="00A56D89">
        <w:t>can be justified on the basis of a similar/different level of development and GDP differences</w:t>
      </w:r>
      <w:r>
        <w:t>. Furthermore, it also reflects the relative importance of EU resources as the largest share of those goes to less developed and transition areas.</w:t>
      </w:r>
    </w:p>
    <w:p w:rsidR="00E47414" w:rsidRDefault="00E47414" w:rsidP="00E47414">
      <w:r>
        <w:t xml:space="preserve">The </w:t>
      </w:r>
      <w:r w:rsidR="00D72599" w:rsidRPr="006D5D58">
        <w:rPr>
          <w:b/>
        </w:rPr>
        <w:t>size of a country and the distribution of competences</w:t>
      </w:r>
      <w:r>
        <w:t xml:space="preserve"> are also important factors which may be relevant for this analysis. It is more likely that CSR/structural challenges, which concern a Member State as a whole, can produce a stronger “imprinting” on ESI Funds programming in smaller and centralised countries. While it is less likely that they can have the same pervasive influence in countries that are regionalised (e.g. Italy and Spain), or are centralised but characterised by a considerable degree of devolution (e.g. France) or in federal States (e.g. Germany, Belgium). This was in part evidenced in the desk analysis and can suggest to distinguish between: 1) Large and centralised countries, 2) Large and not centralised (e.g. regionalised, with high devolution and federal countries), 3) </w:t>
      </w:r>
      <w:r w:rsidR="00F31B2E">
        <w:t>S</w:t>
      </w:r>
      <w:r>
        <w:t xml:space="preserve">mall countries. However, such a division does not seem very compatible with those based on relative importance of EU resources.  </w:t>
      </w:r>
    </w:p>
    <w:p w:rsidR="00D66FF9" w:rsidRDefault="00BE4B9E" w:rsidP="003D0E01">
      <w:r>
        <w:t>In conclusion</w:t>
      </w:r>
      <w:r w:rsidR="00816144">
        <w:t>,</w:t>
      </w:r>
      <w:r>
        <w:t xml:space="preserve"> when the results of task 4 and 5 </w:t>
      </w:r>
      <w:r w:rsidR="003E7198">
        <w:t>will be a</w:t>
      </w:r>
      <w:r>
        <w:t>lso available</w:t>
      </w:r>
      <w:r w:rsidR="00E47414">
        <w:t xml:space="preserve"> and</w:t>
      </w:r>
      <w:r w:rsidR="002A44E2">
        <w:t xml:space="preserve"> </w:t>
      </w:r>
      <w:r w:rsidR="00E47414">
        <w:t xml:space="preserve">we </w:t>
      </w:r>
      <w:r w:rsidR="003E7198">
        <w:t xml:space="preserve">will </w:t>
      </w:r>
      <w:r w:rsidR="00E47414">
        <w:t xml:space="preserve">have a fuller picture of the context in which CSR operate, </w:t>
      </w:r>
      <w:r w:rsidR="002A44E2">
        <w:t xml:space="preserve">a further reflection on appropriate groupings will be </w:t>
      </w:r>
      <w:r w:rsidR="003E7198">
        <w:t>carried out</w:t>
      </w:r>
      <w:r w:rsidR="00E47414">
        <w:t xml:space="preserve">. The team will reconsider the various options and make a synthesis proposal, based on evidence, </w:t>
      </w:r>
      <w:r w:rsidR="00D47711">
        <w:t xml:space="preserve">on the most suitable division of Member States. This will </w:t>
      </w:r>
      <w:r w:rsidR="00E47414">
        <w:t>be discussed with the Commission</w:t>
      </w:r>
      <w:r w:rsidR="00D47711">
        <w:t xml:space="preserve"> and used in Task 6</w:t>
      </w:r>
      <w:r>
        <w:t xml:space="preserve"> </w:t>
      </w:r>
      <w:r w:rsidR="008D7180">
        <w:t xml:space="preserve">when </w:t>
      </w:r>
      <w:r>
        <w:t>the findings will be reflected upon and cross analysed in order to produce conclu</w:t>
      </w:r>
      <w:r w:rsidR="00D66FF9">
        <w:t>sions and recommendations</w:t>
      </w:r>
      <w:r w:rsidR="00816144">
        <w:t xml:space="preserve">. </w:t>
      </w:r>
    </w:p>
    <w:p w:rsidR="00F90276" w:rsidRDefault="00B92407" w:rsidP="006D5D58">
      <w:r>
        <w:t xml:space="preserve">The following table summarises </w:t>
      </w:r>
      <w:r w:rsidR="00F31B2E">
        <w:t xml:space="preserve">the possible </w:t>
      </w:r>
      <w:r>
        <w:t xml:space="preserve">grouping criteria which </w:t>
      </w:r>
      <w:r w:rsidR="00F31B2E">
        <w:t>can be used</w:t>
      </w:r>
      <w:r>
        <w:t xml:space="preserve"> </w:t>
      </w:r>
      <w:r w:rsidRPr="00B92407">
        <w:t>especially in view of Task 6, when conclus</w:t>
      </w:r>
      <w:r>
        <w:t xml:space="preserve">ions and policy recommendations are </w:t>
      </w:r>
      <w:r w:rsidRPr="00B92407">
        <w:t>formulated</w:t>
      </w:r>
      <w:r>
        <w:t>.</w:t>
      </w:r>
      <w:r w:rsidR="00F31B2E">
        <w:t xml:space="preserve"> </w:t>
      </w:r>
    </w:p>
    <w:p w:rsidR="00F90276" w:rsidRDefault="00B92407" w:rsidP="006D5D58">
      <w:pPr>
        <w:pStyle w:val="Caption"/>
      </w:pPr>
      <w:r>
        <w:t xml:space="preserve">Figure </w:t>
      </w:r>
      <w:r w:rsidR="00C52F7F">
        <w:fldChar w:fldCharType="begin"/>
      </w:r>
      <w:r>
        <w:instrText xml:space="preserve"> SEQ Figure \* ARABIC </w:instrText>
      </w:r>
      <w:r w:rsidR="00C52F7F">
        <w:fldChar w:fldCharType="separate"/>
      </w:r>
      <w:r w:rsidR="00183DCC">
        <w:rPr>
          <w:noProof/>
        </w:rPr>
        <w:t>13</w:t>
      </w:r>
      <w:r w:rsidR="00C52F7F">
        <w:fldChar w:fldCharType="end"/>
      </w:r>
      <w:r>
        <w:t xml:space="preserve"> - Possible grouping criteria for conclusions/policy recommendations</w:t>
      </w:r>
    </w:p>
    <w:tbl>
      <w:tblPr>
        <w:tblStyle w:val="TableGrid"/>
        <w:tblW w:w="5000" w:type="pct"/>
        <w:tblLook w:val="04A0" w:firstRow="1" w:lastRow="0" w:firstColumn="1" w:lastColumn="0" w:noHBand="0" w:noVBand="1"/>
      </w:tblPr>
      <w:tblGrid>
        <w:gridCol w:w="2375"/>
        <w:gridCol w:w="6629"/>
      </w:tblGrid>
      <w:tr w:rsidR="00B92407" w:rsidRPr="00B92407" w:rsidTr="005B0FDF">
        <w:trPr>
          <w:trHeight w:val="399"/>
        </w:trPr>
        <w:tc>
          <w:tcPr>
            <w:tcW w:w="1319" w:type="pct"/>
            <w:shd w:val="clear" w:color="auto" w:fill="BFBFBF" w:themeFill="background1" w:themeFillShade="BF"/>
            <w:vAlign w:val="center"/>
          </w:tcPr>
          <w:p w:rsidR="00B92407" w:rsidRPr="00B92407" w:rsidRDefault="00B92407" w:rsidP="005B0FDF">
            <w:pPr>
              <w:jc w:val="left"/>
              <w:rPr>
                <w:b/>
              </w:rPr>
            </w:pPr>
            <w:r w:rsidRPr="00B92407">
              <w:rPr>
                <w:b/>
              </w:rPr>
              <w:t>Grouping criterion</w:t>
            </w:r>
          </w:p>
        </w:tc>
        <w:tc>
          <w:tcPr>
            <w:tcW w:w="3681" w:type="pct"/>
            <w:shd w:val="clear" w:color="auto" w:fill="BFBFBF" w:themeFill="background1" w:themeFillShade="BF"/>
            <w:vAlign w:val="center"/>
          </w:tcPr>
          <w:p w:rsidR="00B92407" w:rsidRPr="00B92407" w:rsidRDefault="00B92407" w:rsidP="005B0FDF">
            <w:pPr>
              <w:jc w:val="left"/>
              <w:rPr>
                <w:b/>
              </w:rPr>
            </w:pPr>
            <w:r w:rsidRPr="00B92407">
              <w:rPr>
                <w:b/>
              </w:rPr>
              <w:t>Possible groups</w:t>
            </w:r>
            <w:r>
              <w:rPr>
                <w:b/>
              </w:rPr>
              <w:t xml:space="preserve"> of Member States</w:t>
            </w:r>
          </w:p>
        </w:tc>
      </w:tr>
      <w:tr w:rsidR="00B92407" w:rsidTr="005B0FDF">
        <w:tc>
          <w:tcPr>
            <w:tcW w:w="1319" w:type="pct"/>
            <w:vAlign w:val="center"/>
          </w:tcPr>
          <w:p w:rsidR="00B92407" w:rsidRDefault="00B92407" w:rsidP="005B0FDF">
            <w:pPr>
              <w:pStyle w:val="CommentText"/>
              <w:jc w:val="left"/>
            </w:pPr>
            <w:r>
              <w:t>Distribution of competences</w:t>
            </w:r>
          </w:p>
        </w:tc>
        <w:tc>
          <w:tcPr>
            <w:tcW w:w="3681" w:type="pct"/>
            <w:vAlign w:val="center"/>
          </w:tcPr>
          <w:p w:rsidR="00B92407" w:rsidRDefault="00B92407" w:rsidP="00807960">
            <w:pPr>
              <w:pStyle w:val="bullettable2"/>
            </w:pPr>
            <w:r>
              <w:t xml:space="preserve">Centralised Member States </w:t>
            </w:r>
          </w:p>
          <w:p w:rsidR="00B92407" w:rsidRDefault="00B92407" w:rsidP="00807960">
            <w:pPr>
              <w:pStyle w:val="bullettable2"/>
            </w:pPr>
            <w:r>
              <w:t>Countries with high level of devolution</w:t>
            </w:r>
          </w:p>
          <w:p w:rsidR="00B92407" w:rsidRDefault="00B92407" w:rsidP="00807960">
            <w:pPr>
              <w:pStyle w:val="bullettable2"/>
            </w:pPr>
            <w:r>
              <w:t>Regionalised MS</w:t>
            </w:r>
          </w:p>
          <w:p w:rsidR="00B92407" w:rsidRDefault="00B92407" w:rsidP="00807960">
            <w:pPr>
              <w:pStyle w:val="bullettable2"/>
            </w:pPr>
            <w:r>
              <w:t>Federal MS</w:t>
            </w:r>
          </w:p>
        </w:tc>
      </w:tr>
      <w:tr w:rsidR="00B92407" w:rsidTr="005B0FDF">
        <w:tc>
          <w:tcPr>
            <w:tcW w:w="1319" w:type="pct"/>
            <w:vAlign w:val="center"/>
          </w:tcPr>
          <w:p w:rsidR="00B92407" w:rsidRDefault="00B92407" w:rsidP="005B0FDF">
            <w:pPr>
              <w:jc w:val="left"/>
            </w:pPr>
            <w:r>
              <w:t>Prevailing EU Cohesion objective</w:t>
            </w:r>
          </w:p>
        </w:tc>
        <w:tc>
          <w:tcPr>
            <w:tcW w:w="3681" w:type="pct"/>
            <w:vAlign w:val="center"/>
          </w:tcPr>
          <w:p w:rsidR="00B92407" w:rsidRDefault="00DF37EC" w:rsidP="00807960">
            <w:pPr>
              <w:pStyle w:val="bullettable2"/>
            </w:pPr>
            <w:r>
              <w:t xml:space="preserve">MS with </w:t>
            </w:r>
            <w:r w:rsidR="00B92407" w:rsidRPr="00373C4D">
              <w:t>mostly (or only) more developed regions</w:t>
            </w:r>
          </w:p>
          <w:p w:rsidR="001B0B5C" w:rsidRDefault="00DF37EC" w:rsidP="00807960">
            <w:pPr>
              <w:pStyle w:val="bullettable2"/>
            </w:pPr>
            <w:r>
              <w:t xml:space="preserve">MS with </w:t>
            </w:r>
            <w:r w:rsidR="00B92407" w:rsidRPr="00373C4D">
              <w:t>mostly (or</w:t>
            </w:r>
            <w:r w:rsidR="00B92407">
              <w:t xml:space="preserve"> </w:t>
            </w:r>
            <w:r w:rsidR="00B92407" w:rsidRPr="00373C4D">
              <w:t xml:space="preserve">only) less developed regions </w:t>
            </w:r>
          </w:p>
          <w:p w:rsidR="00B92407" w:rsidRDefault="00DF37EC" w:rsidP="00807960">
            <w:pPr>
              <w:pStyle w:val="bullettable2"/>
            </w:pPr>
            <w:r>
              <w:t xml:space="preserve">MS with a </w:t>
            </w:r>
            <w:r w:rsidR="00B92407" w:rsidRPr="00373C4D">
              <w:t>combination of more developed, less developed and transition regions</w:t>
            </w:r>
          </w:p>
        </w:tc>
      </w:tr>
      <w:tr w:rsidR="00B92407" w:rsidTr="005B0FDF">
        <w:tc>
          <w:tcPr>
            <w:tcW w:w="1319" w:type="pct"/>
            <w:vAlign w:val="center"/>
          </w:tcPr>
          <w:p w:rsidR="00B92407" w:rsidRDefault="00B92407" w:rsidP="005B0FDF">
            <w:pPr>
              <w:jc w:val="left"/>
            </w:pPr>
            <w:r>
              <w:t xml:space="preserve">Country Size </w:t>
            </w:r>
          </w:p>
        </w:tc>
        <w:tc>
          <w:tcPr>
            <w:tcW w:w="3681" w:type="pct"/>
            <w:vAlign w:val="center"/>
          </w:tcPr>
          <w:p w:rsidR="00B92407" w:rsidRDefault="00B92407" w:rsidP="00807960">
            <w:pPr>
              <w:pStyle w:val="bullettable2"/>
            </w:pPr>
            <w:r>
              <w:t>Large Member States</w:t>
            </w:r>
          </w:p>
          <w:p w:rsidR="00B92407" w:rsidRDefault="00B92407" w:rsidP="00807960">
            <w:pPr>
              <w:pStyle w:val="bullettable2"/>
            </w:pPr>
            <w:r>
              <w:t>Medium Member States</w:t>
            </w:r>
          </w:p>
          <w:p w:rsidR="00B92407" w:rsidRDefault="00B92407" w:rsidP="00807960">
            <w:pPr>
              <w:pStyle w:val="bullettable2"/>
            </w:pPr>
            <w:r>
              <w:t>Small Member States</w:t>
            </w:r>
          </w:p>
        </w:tc>
      </w:tr>
      <w:tr w:rsidR="00B92407" w:rsidTr="005B0FDF">
        <w:tc>
          <w:tcPr>
            <w:tcW w:w="1319" w:type="pct"/>
            <w:vAlign w:val="center"/>
          </w:tcPr>
          <w:p w:rsidR="00B92407" w:rsidRDefault="00B92407" w:rsidP="005B0FDF">
            <w:pPr>
              <w:jc w:val="left"/>
            </w:pPr>
            <w:r>
              <w:t>Prevailing policy areas.</w:t>
            </w:r>
          </w:p>
        </w:tc>
        <w:tc>
          <w:tcPr>
            <w:tcW w:w="3681" w:type="pct"/>
            <w:vAlign w:val="center"/>
          </w:tcPr>
          <w:p w:rsidR="00B92407" w:rsidRDefault="00B92407" w:rsidP="00807960">
            <w:pPr>
              <w:pStyle w:val="bullettable2"/>
            </w:pPr>
            <w:r w:rsidRPr="00B92407">
              <w:t>infrastructu</w:t>
            </w:r>
            <w:r>
              <w:t>res and institutional capacity</w:t>
            </w:r>
          </w:p>
          <w:p w:rsidR="00B92407" w:rsidRDefault="00B92407" w:rsidP="00807960">
            <w:pPr>
              <w:pStyle w:val="bullettable2"/>
            </w:pPr>
            <w:r w:rsidRPr="00B92407">
              <w:t xml:space="preserve">RTDI and business support </w:t>
            </w:r>
          </w:p>
          <w:p w:rsidR="00B92407" w:rsidRDefault="00B92407" w:rsidP="00807960">
            <w:pPr>
              <w:pStyle w:val="bullettable2"/>
            </w:pPr>
            <w:r w:rsidRPr="00B92407">
              <w:t>access to employment, support to young people, social cohesion and gender.</w:t>
            </w:r>
          </w:p>
        </w:tc>
      </w:tr>
      <w:tr w:rsidR="00B92407" w:rsidTr="005B0FDF">
        <w:tc>
          <w:tcPr>
            <w:tcW w:w="1319" w:type="pct"/>
            <w:vAlign w:val="center"/>
          </w:tcPr>
          <w:p w:rsidR="00B92407" w:rsidRDefault="00B92407" w:rsidP="005B0FDF">
            <w:pPr>
              <w:jc w:val="left"/>
            </w:pPr>
            <w:r>
              <w:t>Relative weight of ESI Funds on public investments</w:t>
            </w:r>
          </w:p>
        </w:tc>
        <w:tc>
          <w:tcPr>
            <w:tcW w:w="3681" w:type="pct"/>
            <w:vAlign w:val="center"/>
          </w:tcPr>
          <w:p w:rsidR="00B92407" w:rsidRDefault="00B92407" w:rsidP="00807960">
            <w:pPr>
              <w:pStyle w:val="bullettable2"/>
            </w:pPr>
            <w:r>
              <w:t>ESIF as % of public GFCF is well above average (&gt;50%)</w:t>
            </w:r>
          </w:p>
          <w:p w:rsidR="00B92407" w:rsidRDefault="00B92407" w:rsidP="00807960">
            <w:pPr>
              <w:pStyle w:val="bullettable2"/>
            </w:pPr>
            <w:r>
              <w:t>ESIF weight is above average</w:t>
            </w:r>
          </w:p>
          <w:p w:rsidR="00B92407" w:rsidRDefault="00B92407" w:rsidP="00807960">
            <w:pPr>
              <w:pStyle w:val="bullettable2"/>
            </w:pPr>
            <w:r>
              <w:t>ESIF weight is below average</w:t>
            </w:r>
          </w:p>
        </w:tc>
      </w:tr>
    </w:tbl>
    <w:p w:rsidR="00F90276" w:rsidRDefault="00F90276" w:rsidP="006D5D58"/>
    <w:p w:rsidR="00F90276" w:rsidRDefault="00F90276" w:rsidP="006D5D58"/>
    <w:p w:rsidR="00EB71D4" w:rsidRDefault="00EB71D4" w:rsidP="00EB71D4">
      <w:pPr>
        <w:pStyle w:val="Heading1"/>
      </w:pPr>
      <w:bookmarkStart w:id="41" w:name="_Toc466826808"/>
      <w:r>
        <w:t>Annex 1 – Country Fiches</w:t>
      </w:r>
      <w:bookmarkEnd w:id="41"/>
    </w:p>
    <w:p w:rsidR="00EB71D4" w:rsidRDefault="00EB71D4" w:rsidP="003D0E01">
      <w:r>
        <w:t>(see separate Word file)</w:t>
      </w:r>
    </w:p>
    <w:p w:rsidR="00EB71D4" w:rsidRDefault="00EB71D4" w:rsidP="003D0E01"/>
    <w:p w:rsidR="00E37E12" w:rsidRDefault="00E37E12" w:rsidP="003D0E01"/>
    <w:p w:rsidR="00EB71D4" w:rsidRDefault="00EB71D4" w:rsidP="00EB71D4">
      <w:pPr>
        <w:pStyle w:val="Heading1"/>
      </w:pPr>
      <w:bookmarkStart w:id="42" w:name="_Toc466826809"/>
      <w:r>
        <w:t>Annex 2 – Assembled Overview Tables</w:t>
      </w:r>
      <w:bookmarkEnd w:id="42"/>
    </w:p>
    <w:p w:rsidR="009E0D5A" w:rsidRDefault="00EB71D4" w:rsidP="003D0E01">
      <w:r>
        <w:t>(see separate Excel file)</w:t>
      </w:r>
      <w:r w:rsidR="00BE4B9E">
        <w:t xml:space="preserve"> </w:t>
      </w:r>
      <w:r w:rsidR="004E239B">
        <w:t xml:space="preserve">  </w:t>
      </w:r>
    </w:p>
    <w:p w:rsidR="009E0D5A" w:rsidRDefault="009E0D5A" w:rsidP="009E0D5A"/>
    <w:p w:rsidR="00584B95" w:rsidRDefault="00584B95" w:rsidP="009E0D5A">
      <w:pPr>
        <w:pStyle w:val="Heading1"/>
        <w:sectPr w:rsidR="00584B95" w:rsidSect="00917185">
          <w:pgSz w:w="11907" w:h="16839" w:code="9"/>
          <w:pgMar w:top="1418" w:right="1418" w:bottom="851" w:left="1701" w:header="567" w:footer="720" w:gutter="0"/>
          <w:cols w:space="720"/>
          <w:docGrid w:linePitch="326"/>
        </w:sectPr>
      </w:pPr>
    </w:p>
    <w:p w:rsidR="00A323C8" w:rsidRDefault="009E0D5A" w:rsidP="00584B95">
      <w:pPr>
        <w:pStyle w:val="Heading1"/>
      </w:pPr>
      <w:bookmarkStart w:id="43" w:name="_Toc466826810"/>
      <w:r>
        <w:t xml:space="preserve">Annex 3 – Summary of the analysis of Position </w:t>
      </w:r>
      <w:r w:rsidR="00D25F91">
        <w:t>P</w:t>
      </w:r>
      <w:r>
        <w:t>apers</w:t>
      </w:r>
      <w:bookmarkEnd w:id="43"/>
    </w:p>
    <w:p w:rsidR="00584B95" w:rsidRDefault="00584B95" w:rsidP="00584B95">
      <w:pPr>
        <w:pStyle w:val="Caption"/>
      </w:pPr>
      <w:r>
        <w:t xml:space="preserve">Table </w:t>
      </w:r>
      <w:fldSimple w:instr=" SEQ Table \* ARABIC ">
        <w:r>
          <w:rPr>
            <w:noProof/>
          </w:rPr>
          <w:t>13</w:t>
        </w:r>
      </w:fldSimple>
      <w:r>
        <w:t xml:space="preserve"> - </w:t>
      </w:r>
      <w:r w:rsidRPr="00E2265C">
        <w:t>Key results of the analysis of CPP across countries</w:t>
      </w:r>
    </w:p>
    <w:tbl>
      <w:tblPr>
        <w:tblStyle w:val="TableGrid"/>
        <w:tblW w:w="5000" w:type="pct"/>
        <w:tblLook w:val="04A0" w:firstRow="1" w:lastRow="0" w:firstColumn="1" w:lastColumn="0" w:noHBand="0" w:noVBand="1"/>
      </w:tblPr>
      <w:tblGrid>
        <w:gridCol w:w="674"/>
        <w:gridCol w:w="2552"/>
        <w:gridCol w:w="2268"/>
        <w:gridCol w:w="3404"/>
        <w:gridCol w:w="3117"/>
        <w:gridCol w:w="2771"/>
      </w:tblGrid>
      <w:tr w:rsidR="00584B95" w:rsidRPr="0056795A" w:rsidTr="00766B4F">
        <w:trPr>
          <w:tblHeader/>
        </w:trPr>
        <w:tc>
          <w:tcPr>
            <w:tcW w:w="228" w:type="pct"/>
            <w:shd w:val="clear" w:color="auto" w:fill="D9D9D9" w:themeFill="background1" w:themeFillShade="D9"/>
            <w:vAlign w:val="center"/>
          </w:tcPr>
          <w:p w:rsidR="00584B95" w:rsidRPr="0056795A" w:rsidRDefault="00584B95" w:rsidP="00766B4F">
            <w:pPr>
              <w:jc w:val="left"/>
              <w:rPr>
                <w:b/>
                <w:sz w:val="18"/>
                <w:szCs w:val="18"/>
                <w:lang w:val="it-IT"/>
              </w:rPr>
            </w:pPr>
            <w:r w:rsidRPr="0056795A">
              <w:rPr>
                <w:b/>
                <w:sz w:val="18"/>
                <w:szCs w:val="18"/>
                <w:lang w:val="it-IT"/>
              </w:rPr>
              <w:t>MS</w:t>
            </w:r>
          </w:p>
        </w:tc>
        <w:tc>
          <w:tcPr>
            <w:tcW w:w="863" w:type="pct"/>
            <w:shd w:val="clear" w:color="auto" w:fill="D9D9D9" w:themeFill="background1" w:themeFillShade="D9"/>
            <w:vAlign w:val="center"/>
          </w:tcPr>
          <w:p w:rsidR="00584B95" w:rsidRPr="0056795A" w:rsidRDefault="00584B95" w:rsidP="00766B4F">
            <w:pPr>
              <w:jc w:val="left"/>
              <w:rPr>
                <w:b/>
                <w:sz w:val="18"/>
                <w:szCs w:val="18"/>
              </w:rPr>
            </w:pPr>
            <w:r w:rsidRPr="0056795A">
              <w:rPr>
                <w:b/>
                <w:sz w:val="18"/>
                <w:szCs w:val="18"/>
              </w:rPr>
              <w:t>Systematic reference to CSR</w:t>
            </w:r>
          </w:p>
        </w:tc>
        <w:tc>
          <w:tcPr>
            <w:tcW w:w="767" w:type="pct"/>
            <w:shd w:val="clear" w:color="auto" w:fill="D9D9D9" w:themeFill="background1" w:themeFillShade="D9"/>
            <w:vAlign w:val="center"/>
          </w:tcPr>
          <w:p w:rsidR="00584B95" w:rsidRPr="0056795A" w:rsidRDefault="00584B95" w:rsidP="00766B4F">
            <w:pPr>
              <w:jc w:val="left"/>
              <w:rPr>
                <w:b/>
                <w:sz w:val="18"/>
                <w:szCs w:val="18"/>
              </w:rPr>
            </w:pPr>
            <w:r w:rsidRPr="0056795A">
              <w:rPr>
                <w:b/>
                <w:sz w:val="18"/>
                <w:szCs w:val="18"/>
              </w:rPr>
              <w:t>Reference to other key challenges (e.g. Country Reports)</w:t>
            </w:r>
          </w:p>
        </w:tc>
        <w:tc>
          <w:tcPr>
            <w:tcW w:w="1151" w:type="pct"/>
            <w:shd w:val="clear" w:color="auto" w:fill="D9D9D9" w:themeFill="background1" w:themeFillShade="D9"/>
            <w:vAlign w:val="center"/>
          </w:tcPr>
          <w:p w:rsidR="00584B95" w:rsidRPr="0056795A" w:rsidRDefault="00584B95" w:rsidP="00766B4F">
            <w:pPr>
              <w:jc w:val="left"/>
              <w:rPr>
                <w:b/>
                <w:sz w:val="18"/>
                <w:szCs w:val="18"/>
              </w:rPr>
            </w:pPr>
            <w:r w:rsidRPr="0056795A">
              <w:rPr>
                <w:b/>
                <w:sz w:val="18"/>
                <w:szCs w:val="18"/>
              </w:rPr>
              <w:t>Relevant CSR/structural challenges not sufficiently covered</w:t>
            </w:r>
          </w:p>
        </w:tc>
        <w:tc>
          <w:tcPr>
            <w:tcW w:w="1054" w:type="pct"/>
            <w:shd w:val="clear" w:color="auto" w:fill="D9D9D9" w:themeFill="background1" w:themeFillShade="D9"/>
            <w:vAlign w:val="center"/>
          </w:tcPr>
          <w:p w:rsidR="00584B95" w:rsidRPr="0056795A" w:rsidRDefault="00584B95" w:rsidP="00766B4F">
            <w:pPr>
              <w:jc w:val="left"/>
              <w:rPr>
                <w:b/>
                <w:sz w:val="18"/>
                <w:szCs w:val="18"/>
              </w:rPr>
            </w:pPr>
            <w:r w:rsidRPr="0056795A">
              <w:rPr>
                <w:b/>
                <w:sz w:val="18"/>
                <w:szCs w:val="18"/>
              </w:rPr>
              <w:t>Role played by CSR</w:t>
            </w:r>
            <w:r>
              <w:rPr>
                <w:b/>
                <w:sz w:val="18"/>
                <w:szCs w:val="18"/>
              </w:rPr>
              <w:t>/structural challenges</w:t>
            </w:r>
            <w:r w:rsidRPr="0056795A">
              <w:rPr>
                <w:b/>
                <w:sz w:val="18"/>
                <w:szCs w:val="18"/>
              </w:rPr>
              <w:t xml:space="preserve"> in selection of priority/programming</w:t>
            </w:r>
          </w:p>
        </w:tc>
        <w:tc>
          <w:tcPr>
            <w:tcW w:w="937" w:type="pct"/>
            <w:shd w:val="clear" w:color="auto" w:fill="D9D9D9" w:themeFill="background1" w:themeFillShade="D9"/>
            <w:vAlign w:val="center"/>
          </w:tcPr>
          <w:p w:rsidR="00584B95" w:rsidRPr="0056795A" w:rsidRDefault="00584B95" w:rsidP="00766B4F">
            <w:pPr>
              <w:jc w:val="left"/>
              <w:rPr>
                <w:b/>
                <w:sz w:val="18"/>
                <w:szCs w:val="18"/>
              </w:rPr>
            </w:pPr>
            <w:r w:rsidRPr="0056795A">
              <w:rPr>
                <w:b/>
                <w:sz w:val="18"/>
                <w:szCs w:val="18"/>
              </w:rPr>
              <w:t>Overall alignment between CSR</w:t>
            </w:r>
            <w:r>
              <w:rPr>
                <w:b/>
                <w:sz w:val="18"/>
                <w:szCs w:val="18"/>
              </w:rPr>
              <w:t>/structural challenges</w:t>
            </w:r>
            <w:r w:rsidRPr="0056795A">
              <w:rPr>
                <w:b/>
                <w:sz w:val="18"/>
                <w:szCs w:val="18"/>
              </w:rPr>
              <w:t xml:space="preserve"> and CPP</w:t>
            </w:r>
          </w:p>
        </w:tc>
      </w:tr>
      <w:tr w:rsidR="00584B95" w:rsidRPr="0056795A" w:rsidTr="00766B4F">
        <w:tc>
          <w:tcPr>
            <w:tcW w:w="228" w:type="pct"/>
            <w:vAlign w:val="center"/>
          </w:tcPr>
          <w:p w:rsidR="00584B95" w:rsidRPr="0056795A" w:rsidRDefault="00584B95" w:rsidP="00766B4F">
            <w:pPr>
              <w:jc w:val="left"/>
              <w:rPr>
                <w:sz w:val="18"/>
                <w:szCs w:val="18"/>
              </w:rPr>
            </w:pPr>
            <w:r w:rsidRPr="0056795A">
              <w:rPr>
                <w:sz w:val="18"/>
                <w:szCs w:val="18"/>
              </w:rPr>
              <w:t>AT</w:t>
            </w:r>
          </w:p>
        </w:tc>
        <w:tc>
          <w:tcPr>
            <w:tcW w:w="863" w:type="pct"/>
            <w:vAlign w:val="center"/>
          </w:tcPr>
          <w:p w:rsidR="00584B95" w:rsidRPr="0056795A" w:rsidRDefault="00584B95" w:rsidP="00766B4F">
            <w:pPr>
              <w:jc w:val="left"/>
              <w:rPr>
                <w:sz w:val="18"/>
                <w:szCs w:val="18"/>
              </w:rPr>
            </w:pPr>
            <w:r w:rsidRPr="0056795A">
              <w:rPr>
                <w:sz w:val="18"/>
                <w:szCs w:val="18"/>
              </w:rPr>
              <w:t xml:space="preserve">All cohesion relevant 2012 </w:t>
            </w:r>
            <w:r>
              <w:rPr>
                <w:sz w:val="18"/>
                <w:szCs w:val="18"/>
              </w:rPr>
              <w:t>CSRs</w:t>
            </w:r>
            <w:r w:rsidRPr="0056795A">
              <w:rPr>
                <w:sz w:val="18"/>
                <w:szCs w:val="18"/>
              </w:rPr>
              <w:t xml:space="preserve"> are explicitly referred to in the document, especially in section 1 and 2 as well as in Annex B “assessment of funding needs”.</w:t>
            </w:r>
          </w:p>
        </w:tc>
        <w:tc>
          <w:tcPr>
            <w:tcW w:w="767" w:type="pct"/>
            <w:vAlign w:val="center"/>
          </w:tcPr>
          <w:p w:rsidR="00584B95" w:rsidRPr="0056795A" w:rsidRDefault="00584B95" w:rsidP="00766B4F">
            <w:pPr>
              <w:jc w:val="left"/>
              <w:rPr>
                <w:sz w:val="18"/>
                <w:szCs w:val="18"/>
              </w:rPr>
            </w:pPr>
            <w:r w:rsidRPr="0056795A">
              <w:rPr>
                <w:sz w:val="18"/>
                <w:szCs w:val="18"/>
              </w:rPr>
              <w:t>The structural  challenges identified in the Country Report and relevant to ESI Funds are a recurrent topic throughout the Austrian CPP.</w:t>
            </w:r>
          </w:p>
        </w:tc>
        <w:tc>
          <w:tcPr>
            <w:tcW w:w="1151" w:type="pct"/>
            <w:vAlign w:val="center"/>
          </w:tcPr>
          <w:p w:rsidR="00584B95" w:rsidRPr="0056795A" w:rsidRDefault="00584B95" w:rsidP="00766B4F">
            <w:pPr>
              <w:jc w:val="left"/>
              <w:rPr>
                <w:sz w:val="18"/>
                <w:szCs w:val="18"/>
              </w:rPr>
            </w:pPr>
            <w:r w:rsidRPr="0056795A">
              <w:rPr>
                <w:sz w:val="18"/>
                <w:szCs w:val="18"/>
              </w:rPr>
              <w:t>The 2012 CSR 6.1 concerning competition in the services sector is the only recommendation which is not addressed. However, this CSR cannot be linked directly to a TO and ESI funds can address it only to a limited extent.</w:t>
            </w:r>
          </w:p>
        </w:tc>
        <w:tc>
          <w:tcPr>
            <w:tcW w:w="1054" w:type="pct"/>
            <w:vAlign w:val="center"/>
          </w:tcPr>
          <w:p w:rsidR="00584B95" w:rsidRPr="0056795A" w:rsidRDefault="00584B95" w:rsidP="00766B4F">
            <w:pPr>
              <w:jc w:val="left"/>
              <w:rPr>
                <w:sz w:val="18"/>
                <w:szCs w:val="18"/>
              </w:rPr>
            </w:pPr>
            <w:r w:rsidRPr="0056795A">
              <w:rPr>
                <w:sz w:val="18"/>
                <w:szCs w:val="18"/>
              </w:rPr>
              <w:t xml:space="preserve">There is a strong overlap of the </w:t>
            </w:r>
            <w:r>
              <w:rPr>
                <w:sz w:val="18"/>
                <w:szCs w:val="18"/>
              </w:rPr>
              <w:t>CSR</w:t>
            </w:r>
            <w:r w:rsidRPr="0056795A">
              <w:rPr>
                <w:sz w:val="18"/>
                <w:szCs w:val="18"/>
              </w:rPr>
              <w:t xml:space="preserve"> referring to gender equality, education, social inclusion and the CPP. Other </w:t>
            </w:r>
            <w:r>
              <w:rPr>
                <w:sz w:val="18"/>
                <w:szCs w:val="18"/>
              </w:rPr>
              <w:t>CSR</w:t>
            </w:r>
            <w:r w:rsidRPr="0056795A">
              <w:rPr>
                <w:sz w:val="18"/>
                <w:szCs w:val="18"/>
              </w:rPr>
              <w:t xml:space="preserve"> are less relevant for ESI Funds and are thus not covered in the CPP. In turn the CPP covers topics (environment, R&amp;D&amp;I) not covered in </w:t>
            </w:r>
            <w:r>
              <w:rPr>
                <w:sz w:val="18"/>
                <w:szCs w:val="18"/>
              </w:rPr>
              <w:t>CSR</w:t>
            </w:r>
            <w:r w:rsidRPr="0056795A">
              <w:rPr>
                <w:sz w:val="18"/>
                <w:szCs w:val="18"/>
              </w:rPr>
              <w:t>.</w:t>
            </w:r>
          </w:p>
        </w:tc>
        <w:tc>
          <w:tcPr>
            <w:tcW w:w="937" w:type="pct"/>
            <w:vAlign w:val="center"/>
          </w:tcPr>
          <w:p w:rsidR="00584B95" w:rsidRPr="0056795A" w:rsidRDefault="00584B95" w:rsidP="00766B4F">
            <w:pPr>
              <w:jc w:val="left"/>
              <w:rPr>
                <w:sz w:val="18"/>
                <w:szCs w:val="18"/>
              </w:rPr>
            </w:pPr>
            <w:r w:rsidRPr="0056795A">
              <w:rPr>
                <w:sz w:val="18"/>
                <w:szCs w:val="18"/>
              </w:rPr>
              <w:t>High alignment.</w:t>
            </w:r>
          </w:p>
          <w:p w:rsidR="00584B95" w:rsidRPr="0056795A" w:rsidRDefault="00584B95" w:rsidP="00766B4F">
            <w:pPr>
              <w:jc w:val="left"/>
              <w:rPr>
                <w:sz w:val="18"/>
                <w:szCs w:val="18"/>
              </w:rPr>
            </w:pPr>
            <w:r w:rsidRPr="0056795A">
              <w:rPr>
                <w:sz w:val="18"/>
                <w:szCs w:val="18"/>
              </w:rPr>
              <w:t xml:space="preserve">The cohesion relevant </w:t>
            </w:r>
            <w:r>
              <w:rPr>
                <w:sz w:val="18"/>
                <w:szCs w:val="18"/>
              </w:rPr>
              <w:t>CSR</w:t>
            </w:r>
            <w:r w:rsidRPr="0056795A">
              <w:rPr>
                <w:sz w:val="18"/>
                <w:szCs w:val="18"/>
              </w:rPr>
              <w:t xml:space="preserve"> play an important role in the CPP, though overall the document covers more topics than the </w:t>
            </w:r>
            <w:r>
              <w:rPr>
                <w:sz w:val="18"/>
                <w:szCs w:val="18"/>
              </w:rPr>
              <w:t>CSR</w:t>
            </w:r>
            <w:r w:rsidRPr="0056795A">
              <w:rPr>
                <w:sz w:val="18"/>
                <w:szCs w:val="18"/>
              </w:rPr>
              <w:t>.</w:t>
            </w:r>
          </w:p>
          <w:p w:rsidR="00584B95" w:rsidRPr="0056795A" w:rsidRDefault="00584B95" w:rsidP="00766B4F">
            <w:pPr>
              <w:jc w:val="left"/>
              <w:rPr>
                <w:sz w:val="18"/>
                <w:szCs w:val="18"/>
              </w:rPr>
            </w:pPr>
            <w:r w:rsidRPr="0056795A">
              <w:rPr>
                <w:sz w:val="18"/>
                <w:szCs w:val="18"/>
              </w:rPr>
              <w:t>The initiatives envisaged clearly have a potential to tackle the  structural challenges.</w:t>
            </w:r>
          </w:p>
        </w:tc>
      </w:tr>
      <w:tr w:rsidR="00584B95" w:rsidRPr="0056795A" w:rsidTr="00766B4F">
        <w:tc>
          <w:tcPr>
            <w:tcW w:w="228" w:type="pct"/>
            <w:vAlign w:val="center"/>
          </w:tcPr>
          <w:p w:rsidR="00584B95" w:rsidRPr="0056795A" w:rsidRDefault="00584B95" w:rsidP="00766B4F">
            <w:pPr>
              <w:jc w:val="left"/>
              <w:rPr>
                <w:sz w:val="18"/>
                <w:szCs w:val="18"/>
              </w:rPr>
            </w:pPr>
            <w:r w:rsidRPr="0056795A">
              <w:rPr>
                <w:sz w:val="18"/>
                <w:szCs w:val="18"/>
              </w:rPr>
              <w:t>BE</w:t>
            </w:r>
          </w:p>
        </w:tc>
        <w:tc>
          <w:tcPr>
            <w:tcW w:w="863" w:type="pct"/>
            <w:vAlign w:val="center"/>
          </w:tcPr>
          <w:p w:rsidR="00584B95" w:rsidRPr="0056795A" w:rsidRDefault="00584B95" w:rsidP="00766B4F">
            <w:pPr>
              <w:jc w:val="left"/>
              <w:rPr>
                <w:sz w:val="18"/>
                <w:szCs w:val="18"/>
              </w:rPr>
            </w:pPr>
            <w:r w:rsidRPr="0056795A">
              <w:rPr>
                <w:sz w:val="18"/>
                <w:szCs w:val="18"/>
              </w:rPr>
              <w:t xml:space="preserve">All 2012 CSR are explicitly mentioned in Annex B ‘Assessment of funding needs in relation to TOs’ while in the other sections of CPP there are implicit references to the CSR but not to each of them separately (apart from the recommendation on reduction of GHG emissions, mentioned explicitly in section 1 on Main challenges). </w:t>
            </w:r>
          </w:p>
        </w:tc>
        <w:tc>
          <w:tcPr>
            <w:tcW w:w="767" w:type="pct"/>
            <w:vAlign w:val="center"/>
          </w:tcPr>
          <w:p w:rsidR="00584B95" w:rsidRPr="0056795A" w:rsidRDefault="00584B95" w:rsidP="00766B4F">
            <w:pPr>
              <w:jc w:val="left"/>
              <w:rPr>
                <w:sz w:val="18"/>
                <w:szCs w:val="18"/>
              </w:rPr>
            </w:pPr>
            <w:r w:rsidRPr="0056795A">
              <w:rPr>
                <w:sz w:val="18"/>
                <w:szCs w:val="18"/>
              </w:rPr>
              <w:t>There is no reference to Country Report challenges not captured by CSR</w:t>
            </w:r>
          </w:p>
        </w:tc>
        <w:tc>
          <w:tcPr>
            <w:tcW w:w="1151" w:type="pct"/>
            <w:vAlign w:val="center"/>
          </w:tcPr>
          <w:p w:rsidR="00584B95" w:rsidRPr="0056795A" w:rsidRDefault="00584B95" w:rsidP="00766B4F">
            <w:pPr>
              <w:jc w:val="left"/>
              <w:rPr>
                <w:sz w:val="18"/>
                <w:szCs w:val="18"/>
              </w:rPr>
            </w:pPr>
            <w:r w:rsidRPr="0056795A">
              <w:rPr>
                <w:sz w:val="18"/>
                <w:szCs w:val="18"/>
              </w:rPr>
              <w:t>The inefficient government bureaucracy, still listed as one of the three major problems in terms of doing business in Belgium (Country Report 2012), is not mentioned anywhere in the CPP.</w:t>
            </w:r>
          </w:p>
        </w:tc>
        <w:tc>
          <w:tcPr>
            <w:tcW w:w="1054" w:type="pct"/>
            <w:vAlign w:val="center"/>
          </w:tcPr>
          <w:p w:rsidR="00584B95" w:rsidRPr="0056795A" w:rsidRDefault="00584B95" w:rsidP="00766B4F">
            <w:pPr>
              <w:jc w:val="left"/>
              <w:rPr>
                <w:sz w:val="18"/>
                <w:szCs w:val="18"/>
              </w:rPr>
            </w:pPr>
            <w:r w:rsidRPr="0056795A">
              <w:rPr>
                <w:sz w:val="18"/>
                <w:szCs w:val="18"/>
              </w:rPr>
              <w:t>Central role of CPP.</w:t>
            </w:r>
          </w:p>
          <w:p w:rsidR="00584B95" w:rsidRPr="0056795A" w:rsidRDefault="00584B95" w:rsidP="00766B4F">
            <w:pPr>
              <w:jc w:val="left"/>
              <w:rPr>
                <w:sz w:val="18"/>
                <w:szCs w:val="18"/>
              </w:rPr>
            </w:pPr>
            <w:r w:rsidRPr="0056795A">
              <w:rPr>
                <w:sz w:val="18"/>
                <w:szCs w:val="18"/>
              </w:rPr>
              <w:t>The CPP document sets out the key specific challenges for Belgium.</w:t>
            </w:r>
          </w:p>
          <w:p w:rsidR="00584B95" w:rsidRPr="0056795A" w:rsidRDefault="00584B95" w:rsidP="00766B4F">
            <w:pPr>
              <w:jc w:val="left"/>
              <w:rPr>
                <w:sz w:val="18"/>
                <w:szCs w:val="18"/>
              </w:rPr>
            </w:pPr>
            <w:r w:rsidRPr="0056795A">
              <w:rPr>
                <w:sz w:val="18"/>
                <w:szCs w:val="18"/>
              </w:rPr>
              <w:t xml:space="preserve">Even if an explicit reference to the 2012 </w:t>
            </w:r>
            <w:r>
              <w:rPr>
                <w:sz w:val="18"/>
                <w:szCs w:val="18"/>
              </w:rPr>
              <w:t>CSR</w:t>
            </w:r>
            <w:r w:rsidRPr="0056795A">
              <w:rPr>
                <w:sz w:val="18"/>
                <w:szCs w:val="18"/>
              </w:rPr>
              <w:t xml:space="preserve"> is often not mentioned, there seems to be coherence between the recommendations adopted in July 2012 and the challenges raised in the CPP document (which was published in November 2012).</w:t>
            </w:r>
          </w:p>
        </w:tc>
        <w:tc>
          <w:tcPr>
            <w:tcW w:w="937" w:type="pct"/>
            <w:vAlign w:val="center"/>
          </w:tcPr>
          <w:p w:rsidR="00584B95" w:rsidRPr="0056795A" w:rsidRDefault="00584B95" w:rsidP="00766B4F">
            <w:pPr>
              <w:jc w:val="left"/>
              <w:rPr>
                <w:sz w:val="18"/>
                <w:szCs w:val="18"/>
              </w:rPr>
            </w:pPr>
            <w:r w:rsidRPr="0056795A">
              <w:rPr>
                <w:sz w:val="18"/>
                <w:szCs w:val="18"/>
              </w:rPr>
              <w:t>Medium alignment.</w:t>
            </w:r>
          </w:p>
          <w:p w:rsidR="00584B95" w:rsidRPr="0056795A" w:rsidRDefault="00584B95" w:rsidP="00766B4F">
            <w:pPr>
              <w:jc w:val="left"/>
              <w:rPr>
                <w:sz w:val="18"/>
                <w:szCs w:val="18"/>
              </w:rPr>
            </w:pPr>
            <w:r w:rsidRPr="0056795A">
              <w:rPr>
                <w:sz w:val="18"/>
                <w:szCs w:val="18"/>
              </w:rPr>
              <w:t xml:space="preserve">The document addresses the </w:t>
            </w:r>
            <w:r>
              <w:rPr>
                <w:sz w:val="18"/>
                <w:szCs w:val="18"/>
              </w:rPr>
              <w:t>CSR</w:t>
            </w:r>
            <w:r w:rsidRPr="0056795A">
              <w:rPr>
                <w:sz w:val="18"/>
                <w:szCs w:val="18"/>
              </w:rPr>
              <w:t xml:space="preserve"> but not all reform needs.</w:t>
            </w:r>
          </w:p>
          <w:p w:rsidR="00584B95" w:rsidRPr="0056795A" w:rsidRDefault="00584B95" w:rsidP="00766B4F">
            <w:pPr>
              <w:jc w:val="left"/>
              <w:rPr>
                <w:sz w:val="18"/>
                <w:szCs w:val="18"/>
              </w:rPr>
            </w:pPr>
          </w:p>
          <w:p w:rsidR="00584B95" w:rsidRPr="0056795A" w:rsidRDefault="00584B95" w:rsidP="00766B4F">
            <w:pPr>
              <w:jc w:val="left"/>
              <w:rPr>
                <w:sz w:val="18"/>
                <w:szCs w:val="18"/>
              </w:rPr>
            </w:pPr>
          </w:p>
        </w:tc>
      </w:tr>
      <w:tr w:rsidR="00584B95" w:rsidRPr="0056795A" w:rsidTr="00766B4F">
        <w:tc>
          <w:tcPr>
            <w:tcW w:w="228" w:type="pct"/>
            <w:vAlign w:val="center"/>
          </w:tcPr>
          <w:p w:rsidR="00584B95" w:rsidRPr="0056795A" w:rsidRDefault="00584B95" w:rsidP="00766B4F">
            <w:pPr>
              <w:jc w:val="left"/>
              <w:rPr>
                <w:sz w:val="18"/>
                <w:szCs w:val="18"/>
              </w:rPr>
            </w:pPr>
            <w:r w:rsidRPr="0056795A">
              <w:rPr>
                <w:sz w:val="18"/>
                <w:szCs w:val="18"/>
              </w:rPr>
              <w:t>BG</w:t>
            </w:r>
          </w:p>
        </w:tc>
        <w:tc>
          <w:tcPr>
            <w:tcW w:w="863" w:type="pct"/>
            <w:vAlign w:val="center"/>
          </w:tcPr>
          <w:p w:rsidR="00584B95" w:rsidRPr="0056795A" w:rsidRDefault="00584B95" w:rsidP="00766B4F">
            <w:pPr>
              <w:jc w:val="left"/>
              <w:rPr>
                <w:sz w:val="18"/>
                <w:szCs w:val="18"/>
              </w:rPr>
            </w:pPr>
            <w:r w:rsidRPr="0056795A">
              <w:rPr>
                <w:sz w:val="18"/>
                <w:szCs w:val="18"/>
              </w:rPr>
              <w:t xml:space="preserve">In general, the document makes reference to all the 2012 </w:t>
            </w:r>
            <w:r>
              <w:rPr>
                <w:sz w:val="18"/>
                <w:szCs w:val="18"/>
              </w:rPr>
              <w:t>CSR</w:t>
            </w:r>
            <w:r w:rsidRPr="0056795A">
              <w:rPr>
                <w:sz w:val="18"/>
                <w:szCs w:val="18"/>
              </w:rPr>
              <w:t xml:space="preserve">/structural challenges. The </w:t>
            </w:r>
            <w:r>
              <w:rPr>
                <w:sz w:val="18"/>
                <w:szCs w:val="18"/>
              </w:rPr>
              <w:t>CSR</w:t>
            </w:r>
            <w:r w:rsidRPr="0056795A">
              <w:rPr>
                <w:sz w:val="18"/>
                <w:szCs w:val="18"/>
              </w:rPr>
              <w:t xml:space="preserve"> are addressed implicitly even in cases where nor there is not a specific mention of them.  </w:t>
            </w:r>
          </w:p>
        </w:tc>
        <w:tc>
          <w:tcPr>
            <w:tcW w:w="767" w:type="pct"/>
            <w:vAlign w:val="center"/>
          </w:tcPr>
          <w:p w:rsidR="00584B95" w:rsidRPr="0056795A" w:rsidRDefault="00584B95" w:rsidP="00766B4F">
            <w:pPr>
              <w:jc w:val="left"/>
              <w:rPr>
                <w:sz w:val="18"/>
                <w:szCs w:val="18"/>
              </w:rPr>
            </w:pPr>
            <w:r w:rsidRPr="0056795A">
              <w:rPr>
                <w:sz w:val="18"/>
                <w:szCs w:val="18"/>
              </w:rPr>
              <w:t>Key challenges emerging from the Country Report 2012 are covered in the CPP.</w:t>
            </w:r>
          </w:p>
        </w:tc>
        <w:tc>
          <w:tcPr>
            <w:tcW w:w="1151" w:type="pct"/>
            <w:vAlign w:val="center"/>
          </w:tcPr>
          <w:p w:rsidR="00584B95" w:rsidRPr="0056795A" w:rsidRDefault="00584B95" w:rsidP="00766B4F">
            <w:pPr>
              <w:jc w:val="left"/>
              <w:rPr>
                <w:sz w:val="18"/>
                <w:szCs w:val="18"/>
              </w:rPr>
            </w:pPr>
            <w:r w:rsidRPr="0056795A">
              <w:rPr>
                <w:sz w:val="18"/>
                <w:szCs w:val="18"/>
              </w:rPr>
              <w:t xml:space="preserve">Even though the CSR on “ensuring sound implementation of public procurement legislation” is mentioned, the CPP does not comprehensively address the issue. </w:t>
            </w:r>
          </w:p>
          <w:p w:rsidR="00584B95" w:rsidRPr="0056795A" w:rsidRDefault="00584B95" w:rsidP="00766B4F">
            <w:pPr>
              <w:jc w:val="left"/>
              <w:rPr>
                <w:sz w:val="18"/>
                <w:szCs w:val="18"/>
              </w:rPr>
            </w:pPr>
            <w:r w:rsidRPr="0056795A">
              <w:rPr>
                <w:sz w:val="18"/>
                <w:szCs w:val="18"/>
              </w:rPr>
              <w:t>Effective public procurement system is essential in the case of ESIF in Bulgaria. Major challenges in the sector remain persistent, while public procurement is among the domains most vulnerable to corruption and manipulation. Irregularities in public procurement procedures were also the reason for several freezes of EU finding funding in both pre-accession and 2007-2013. Despite this fact</w:t>
            </w:r>
          </w:p>
          <w:p w:rsidR="00584B95" w:rsidRPr="0056795A" w:rsidRDefault="00584B95" w:rsidP="00766B4F">
            <w:pPr>
              <w:jc w:val="left"/>
              <w:rPr>
                <w:sz w:val="18"/>
                <w:szCs w:val="18"/>
              </w:rPr>
            </w:pPr>
            <w:r w:rsidRPr="0056795A">
              <w:rPr>
                <w:sz w:val="18"/>
                <w:szCs w:val="18"/>
              </w:rPr>
              <w:t xml:space="preserve">Public procurement was not sufficiently addressed in the 2012 </w:t>
            </w:r>
            <w:r>
              <w:rPr>
                <w:sz w:val="18"/>
                <w:szCs w:val="18"/>
              </w:rPr>
              <w:t>CSR</w:t>
            </w:r>
            <w:r w:rsidRPr="0056795A">
              <w:rPr>
                <w:sz w:val="18"/>
                <w:szCs w:val="18"/>
              </w:rPr>
              <w:t xml:space="preserve"> for Bulgaria.   </w:t>
            </w:r>
          </w:p>
        </w:tc>
        <w:tc>
          <w:tcPr>
            <w:tcW w:w="1054" w:type="pct"/>
            <w:vAlign w:val="center"/>
          </w:tcPr>
          <w:p w:rsidR="00584B95" w:rsidRPr="0056795A" w:rsidRDefault="00584B95" w:rsidP="00766B4F">
            <w:pPr>
              <w:jc w:val="left"/>
              <w:rPr>
                <w:sz w:val="18"/>
                <w:szCs w:val="18"/>
              </w:rPr>
            </w:pPr>
            <w:r w:rsidRPr="0056795A">
              <w:rPr>
                <w:sz w:val="18"/>
                <w:szCs w:val="18"/>
              </w:rPr>
              <w:t xml:space="preserve">The selected priorities are largely in line with the provided recommendations, covering major CSR issues such as growth and labour market, education and health care, research and development and innovation, public sector capacity, social exclusion and combating poverty, etc.     </w:t>
            </w:r>
          </w:p>
        </w:tc>
        <w:tc>
          <w:tcPr>
            <w:tcW w:w="937" w:type="pct"/>
            <w:vAlign w:val="center"/>
          </w:tcPr>
          <w:p w:rsidR="00584B95" w:rsidRPr="0056795A" w:rsidRDefault="00584B95" w:rsidP="00766B4F">
            <w:pPr>
              <w:jc w:val="left"/>
              <w:rPr>
                <w:sz w:val="18"/>
                <w:szCs w:val="18"/>
              </w:rPr>
            </w:pPr>
            <w:r w:rsidRPr="0056795A">
              <w:rPr>
                <w:sz w:val="18"/>
                <w:szCs w:val="18"/>
              </w:rPr>
              <w:t>Medium alignment.</w:t>
            </w:r>
          </w:p>
          <w:p w:rsidR="00584B95" w:rsidRPr="0056795A" w:rsidRDefault="00584B95" w:rsidP="00766B4F">
            <w:pPr>
              <w:jc w:val="left"/>
              <w:rPr>
                <w:sz w:val="18"/>
                <w:szCs w:val="18"/>
              </w:rPr>
            </w:pPr>
            <w:r w:rsidRPr="0056795A">
              <w:rPr>
                <w:rFonts w:cs="Arial"/>
                <w:sz w:val="18"/>
                <w:szCs w:val="18"/>
              </w:rPr>
              <w:t xml:space="preserve">Support to </w:t>
            </w:r>
            <w:r>
              <w:rPr>
                <w:rFonts w:cs="Arial"/>
                <w:sz w:val="18"/>
                <w:szCs w:val="18"/>
              </w:rPr>
              <w:t>CSR</w:t>
            </w:r>
            <w:r w:rsidRPr="0056795A">
              <w:rPr>
                <w:rFonts w:cs="Arial"/>
                <w:sz w:val="18"/>
                <w:szCs w:val="18"/>
              </w:rPr>
              <w:t xml:space="preserve"> plays a substantial role in the CPP. What is however noticeable is that according to the paper, important issues such as water and maritime management, environment, climate change, transport, etc., are not substantially addressed by the 2012 </w:t>
            </w:r>
            <w:r>
              <w:rPr>
                <w:rFonts w:cs="Arial"/>
                <w:sz w:val="18"/>
                <w:szCs w:val="18"/>
              </w:rPr>
              <w:t>CSR</w:t>
            </w:r>
            <w:r w:rsidRPr="0056795A">
              <w:rPr>
                <w:rFonts w:cs="Arial"/>
                <w:sz w:val="18"/>
                <w:szCs w:val="18"/>
              </w:rPr>
              <w:t xml:space="preserve">. Improvement is however observed in the </w:t>
            </w:r>
            <w:r>
              <w:rPr>
                <w:rFonts w:cs="Arial"/>
                <w:sz w:val="18"/>
                <w:szCs w:val="18"/>
              </w:rPr>
              <w:t>CSR</w:t>
            </w:r>
            <w:r w:rsidRPr="0056795A">
              <w:rPr>
                <w:rFonts w:cs="Arial"/>
                <w:sz w:val="18"/>
                <w:szCs w:val="18"/>
              </w:rPr>
              <w:t xml:space="preserve"> in the following years.  </w:t>
            </w:r>
          </w:p>
        </w:tc>
      </w:tr>
      <w:tr w:rsidR="00584B95" w:rsidRPr="0056795A" w:rsidTr="00766B4F">
        <w:tc>
          <w:tcPr>
            <w:tcW w:w="228" w:type="pct"/>
            <w:vAlign w:val="center"/>
          </w:tcPr>
          <w:p w:rsidR="00584B95" w:rsidRPr="0056795A" w:rsidRDefault="00584B95" w:rsidP="00766B4F">
            <w:pPr>
              <w:jc w:val="left"/>
              <w:rPr>
                <w:sz w:val="18"/>
                <w:szCs w:val="18"/>
              </w:rPr>
            </w:pPr>
            <w:r w:rsidRPr="0056795A">
              <w:rPr>
                <w:sz w:val="18"/>
                <w:szCs w:val="18"/>
              </w:rPr>
              <w:t>CZ</w:t>
            </w:r>
          </w:p>
        </w:tc>
        <w:tc>
          <w:tcPr>
            <w:tcW w:w="863" w:type="pct"/>
            <w:vAlign w:val="center"/>
          </w:tcPr>
          <w:p w:rsidR="00584B95" w:rsidRPr="0056795A" w:rsidRDefault="00584B95" w:rsidP="00766B4F">
            <w:pPr>
              <w:jc w:val="left"/>
              <w:rPr>
                <w:sz w:val="18"/>
                <w:szCs w:val="18"/>
              </w:rPr>
            </w:pPr>
            <w:r w:rsidRPr="0056795A">
              <w:rPr>
                <w:sz w:val="18"/>
                <w:szCs w:val="18"/>
              </w:rPr>
              <w:t xml:space="preserve">The CPP addresses 2012 </w:t>
            </w:r>
            <w:r>
              <w:rPr>
                <w:sz w:val="18"/>
                <w:szCs w:val="18"/>
              </w:rPr>
              <w:t>CSR</w:t>
            </w:r>
            <w:r w:rsidRPr="0056795A">
              <w:rPr>
                <w:sz w:val="18"/>
                <w:szCs w:val="18"/>
              </w:rPr>
              <w:t xml:space="preserve"> to a large extent, and in the majority of cases it mentions them explicitly. Finally, </w:t>
            </w:r>
            <w:r>
              <w:rPr>
                <w:sz w:val="18"/>
                <w:szCs w:val="18"/>
              </w:rPr>
              <w:t>CSR</w:t>
            </w:r>
            <w:r w:rsidRPr="0056795A">
              <w:rPr>
                <w:sz w:val="18"/>
                <w:szCs w:val="18"/>
              </w:rPr>
              <w:t xml:space="preserve"> are mentioned not only in the introductory part, but are recalled in relevant “thematic” sections as well. The most explicit references are included in Annex B (e.g. under the funding priority “human capital”, “modern and professional administration”). The proposed actions can be considered as relevant.</w:t>
            </w:r>
          </w:p>
        </w:tc>
        <w:tc>
          <w:tcPr>
            <w:tcW w:w="767" w:type="pct"/>
            <w:vAlign w:val="center"/>
          </w:tcPr>
          <w:p w:rsidR="00584B95" w:rsidRPr="0056795A" w:rsidRDefault="00584B95" w:rsidP="00766B4F">
            <w:pPr>
              <w:jc w:val="left"/>
              <w:rPr>
                <w:sz w:val="18"/>
                <w:szCs w:val="18"/>
              </w:rPr>
            </w:pPr>
            <w:r w:rsidRPr="0056795A">
              <w:rPr>
                <w:sz w:val="18"/>
                <w:szCs w:val="18"/>
              </w:rPr>
              <w:t>Implicit linkages to challenges identified in the 2012 Country Report are made within particular funding priority and TOs (e.g. regarding measures for better integration of disadvantage groups; the negative effect of parenthood on labour market and gender equality.)</w:t>
            </w:r>
          </w:p>
        </w:tc>
        <w:tc>
          <w:tcPr>
            <w:tcW w:w="1151" w:type="pct"/>
            <w:vAlign w:val="center"/>
          </w:tcPr>
          <w:p w:rsidR="00584B95" w:rsidRPr="0056795A" w:rsidRDefault="00584B95" w:rsidP="00766B4F">
            <w:pPr>
              <w:jc w:val="left"/>
              <w:rPr>
                <w:sz w:val="18"/>
                <w:szCs w:val="18"/>
              </w:rPr>
            </w:pPr>
            <w:r>
              <w:rPr>
                <w:sz w:val="18"/>
                <w:szCs w:val="18"/>
              </w:rPr>
              <w:t xml:space="preserve">All cohesion relevant CSR and structural challenges are addressed in the document. </w:t>
            </w:r>
          </w:p>
        </w:tc>
        <w:tc>
          <w:tcPr>
            <w:tcW w:w="1054" w:type="pct"/>
            <w:vAlign w:val="center"/>
          </w:tcPr>
          <w:p w:rsidR="00584B95" w:rsidRPr="0056795A" w:rsidRDefault="00584B95" w:rsidP="00766B4F">
            <w:pPr>
              <w:jc w:val="left"/>
              <w:rPr>
                <w:sz w:val="18"/>
                <w:szCs w:val="18"/>
              </w:rPr>
            </w:pPr>
            <w:r>
              <w:rPr>
                <w:sz w:val="18"/>
                <w:szCs w:val="18"/>
              </w:rPr>
              <w:t>CSR</w:t>
            </w:r>
            <w:r w:rsidRPr="0056795A">
              <w:rPr>
                <w:sz w:val="18"/>
                <w:szCs w:val="18"/>
              </w:rPr>
              <w:t xml:space="preserve"> are explicitly referred to be one of the bases for the selection of priorities and funding needs several times (p. 3, 5 or 10). stating for example …”five complementary and mutually reinforcing funding priorities are proposed hereunder in line with country-specific recommendations.” These priorities include Innovation friendly business environment, Infrastructure for growth and competitiveness, Human capital driven growth and improved labour market participation, Environment friendly and resource efficient economy, Modern and professional administration.</w:t>
            </w:r>
          </w:p>
          <w:p w:rsidR="00584B95" w:rsidRPr="0056795A" w:rsidRDefault="00584B95" w:rsidP="00766B4F">
            <w:pPr>
              <w:jc w:val="left"/>
              <w:rPr>
                <w:sz w:val="18"/>
                <w:szCs w:val="18"/>
              </w:rPr>
            </w:pPr>
            <w:r w:rsidRPr="0056795A">
              <w:rPr>
                <w:sz w:val="18"/>
                <w:szCs w:val="18"/>
              </w:rPr>
              <w:t xml:space="preserve">Further example states: “…Each Fund should give priority, when relevant, to policy areas addressed in the </w:t>
            </w:r>
            <w:r>
              <w:rPr>
                <w:sz w:val="18"/>
                <w:szCs w:val="18"/>
              </w:rPr>
              <w:t>CSR</w:t>
            </w:r>
            <w:r w:rsidRPr="0056795A">
              <w:rPr>
                <w:sz w:val="18"/>
                <w:szCs w:val="18"/>
              </w:rPr>
              <w:t>….”(p. 10)</w:t>
            </w:r>
          </w:p>
          <w:p w:rsidR="00584B95" w:rsidRPr="0056795A" w:rsidRDefault="00584B95" w:rsidP="00766B4F">
            <w:pPr>
              <w:jc w:val="left"/>
              <w:rPr>
                <w:sz w:val="18"/>
                <w:szCs w:val="18"/>
              </w:rPr>
            </w:pPr>
            <w:r w:rsidRPr="0056795A">
              <w:rPr>
                <w:sz w:val="18"/>
                <w:szCs w:val="18"/>
              </w:rPr>
              <w:t xml:space="preserve">All of the proposed funding priorities address some of the 2012 </w:t>
            </w:r>
            <w:r>
              <w:rPr>
                <w:sz w:val="18"/>
                <w:szCs w:val="18"/>
              </w:rPr>
              <w:t>CSR</w:t>
            </w:r>
            <w:r w:rsidRPr="0056795A">
              <w:rPr>
                <w:sz w:val="18"/>
                <w:szCs w:val="18"/>
              </w:rPr>
              <w:t xml:space="preserve">, respectively all of the 2012 </w:t>
            </w:r>
            <w:r>
              <w:rPr>
                <w:sz w:val="18"/>
                <w:szCs w:val="18"/>
              </w:rPr>
              <w:t>CSR</w:t>
            </w:r>
            <w:r w:rsidRPr="0056795A">
              <w:rPr>
                <w:sz w:val="18"/>
                <w:szCs w:val="18"/>
              </w:rPr>
              <w:t xml:space="preserve"> are addressed explicitly at least within one funding priority. As concerns explicit referring of </w:t>
            </w:r>
            <w:r>
              <w:rPr>
                <w:sz w:val="18"/>
                <w:szCs w:val="18"/>
              </w:rPr>
              <w:t>CSR</w:t>
            </w:r>
            <w:r w:rsidRPr="0056795A">
              <w:rPr>
                <w:sz w:val="18"/>
                <w:szCs w:val="18"/>
              </w:rPr>
              <w:t xml:space="preserve"> to TOs, direct elaboration is provided for the TO8 (2012 CSR 2,1 3,1; 4,1), TO10 (2012 CSR 6,1; 6,2) and TO11 (2012 CSR 5,1). </w:t>
            </w:r>
          </w:p>
        </w:tc>
        <w:tc>
          <w:tcPr>
            <w:tcW w:w="937" w:type="pct"/>
            <w:vAlign w:val="center"/>
          </w:tcPr>
          <w:p w:rsidR="00584B95" w:rsidRPr="0056795A" w:rsidRDefault="00584B95" w:rsidP="00766B4F">
            <w:pPr>
              <w:jc w:val="left"/>
              <w:rPr>
                <w:sz w:val="18"/>
                <w:szCs w:val="18"/>
              </w:rPr>
            </w:pPr>
            <w:r w:rsidRPr="0056795A">
              <w:rPr>
                <w:sz w:val="18"/>
                <w:szCs w:val="18"/>
              </w:rPr>
              <w:t>High alignment.</w:t>
            </w:r>
          </w:p>
          <w:p w:rsidR="00584B95" w:rsidRPr="0056795A" w:rsidRDefault="00584B95" w:rsidP="00766B4F">
            <w:pPr>
              <w:jc w:val="left"/>
              <w:rPr>
                <w:sz w:val="18"/>
                <w:szCs w:val="18"/>
              </w:rPr>
            </w:pPr>
            <w:r w:rsidRPr="0056795A">
              <w:rPr>
                <w:sz w:val="18"/>
                <w:szCs w:val="18"/>
              </w:rPr>
              <w:t xml:space="preserve">The roots and support of the key </w:t>
            </w:r>
            <w:r>
              <w:rPr>
                <w:sz w:val="18"/>
                <w:szCs w:val="18"/>
              </w:rPr>
              <w:t>CSR</w:t>
            </w:r>
            <w:r w:rsidRPr="0056795A">
              <w:rPr>
                <w:sz w:val="18"/>
                <w:szCs w:val="18"/>
              </w:rPr>
              <w:t xml:space="preserve"> related to bottlenecks at labour market (e.g. 2012 CSR 4,1; 2012 CR 2,1), inclusion of disadvantageous groups (e.g. 2012 CSR 4,1; 2012 CR 3,1), in the sphere of education system (e.g. 2012 CSR 6,1), public administration (esp. the Public Service Act) (e.g. 2012 CSR 5,1 and 2012 CR 5,1) are elaborated in a good detail. Some of the </w:t>
            </w:r>
            <w:r>
              <w:rPr>
                <w:sz w:val="18"/>
                <w:szCs w:val="18"/>
              </w:rPr>
              <w:t>CSR</w:t>
            </w:r>
            <w:r w:rsidRPr="0056795A">
              <w:rPr>
                <w:sz w:val="18"/>
                <w:szCs w:val="18"/>
              </w:rPr>
              <w:t xml:space="preserve"> are rather specific (e.g. regarding pre-school childcare) thus understandably not excessively expanded.</w:t>
            </w:r>
          </w:p>
          <w:p w:rsidR="00584B95" w:rsidRPr="0056795A" w:rsidRDefault="00584B95" w:rsidP="00766B4F">
            <w:pPr>
              <w:jc w:val="left"/>
              <w:rPr>
                <w:sz w:val="18"/>
                <w:szCs w:val="18"/>
              </w:rPr>
            </w:pPr>
            <w:r w:rsidRPr="0056795A">
              <w:rPr>
                <w:sz w:val="18"/>
                <w:szCs w:val="18"/>
              </w:rPr>
              <w:t xml:space="preserve">For the key </w:t>
            </w:r>
            <w:r>
              <w:rPr>
                <w:sz w:val="18"/>
                <w:szCs w:val="18"/>
              </w:rPr>
              <w:t>CSR</w:t>
            </w:r>
            <w:r w:rsidRPr="0056795A">
              <w:rPr>
                <w:sz w:val="18"/>
                <w:szCs w:val="18"/>
              </w:rPr>
              <w:t xml:space="preserve">, the document describes important steps or actions that need to be taken to realize particular structural reforms.   </w:t>
            </w:r>
          </w:p>
        </w:tc>
      </w:tr>
      <w:tr w:rsidR="00584B95" w:rsidRPr="0056795A" w:rsidTr="00766B4F">
        <w:tc>
          <w:tcPr>
            <w:tcW w:w="228" w:type="pct"/>
            <w:vAlign w:val="center"/>
          </w:tcPr>
          <w:p w:rsidR="00584B95" w:rsidRPr="0056795A" w:rsidRDefault="00584B95" w:rsidP="00766B4F">
            <w:pPr>
              <w:jc w:val="left"/>
              <w:rPr>
                <w:sz w:val="18"/>
                <w:szCs w:val="18"/>
              </w:rPr>
            </w:pPr>
            <w:r>
              <w:rPr>
                <w:sz w:val="18"/>
                <w:szCs w:val="18"/>
              </w:rPr>
              <w:t>CY</w:t>
            </w:r>
          </w:p>
        </w:tc>
        <w:tc>
          <w:tcPr>
            <w:tcW w:w="863" w:type="pct"/>
            <w:vAlign w:val="center"/>
          </w:tcPr>
          <w:p w:rsidR="00584B95" w:rsidRPr="0056795A" w:rsidRDefault="00584B95" w:rsidP="00766B4F">
            <w:pPr>
              <w:jc w:val="left"/>
              <w:rPr>
                <w:sz w:val="18"/>
                <w:szCs w:val="18"/>
              </w:rPr>
            </w:pPr>
            <w:r>
              <w:rPr>
                <w:sz w:val="18"/>
                <w:szCs w:val="18"/>
              </w:rPr>
              <w:t xml:space="preserve">2012 </w:t>
            </w:r>
            <w:r w:rsidRPr="00F35BFB">
              <w:rPr>
                <w:sz w:val="18"/>
                <w:szCs w:val="18"/>
              </w:rPr>
              <w:t>CSRs</w:t>
            </w:r>
            <w:r>
              <w:rPr>
                <w:sz w:val="18"/>
                <w:szCs w:val="18"/>
              </w:rPr>
              <w:t>/structural challenges</w:t>
            </w:r>
            <w:r w:rsidRPr="00F35BFB">
              <w:rPr>
                <w:sz w:val="18"/>
                <w:szCs w:val="18"/>
              </w:rPr>
              <w:t xml:space="preserve"> are in most cases addressed explicitly and this is especially the case for challenges related to the improvement of the skills of the workforce (2012 CSR 5.1), the shift to business innovation (2012 CSR 5.3) and the enhancement of competitiveness of the e</w:t>
            </w:r>
            <w:r>
              <w:rPr>
                <w:sz w:val="18"/>
                <w:szCs w:val="18"/>
              </w:rPr>
              <w:t>conomy (2012 CSR 7.1).</w:t>
            </w:r>
          </w:p>
        </w:tc>
        <w:tc>
          <w:tcPr>
            <w:tcW w:w="767" w:type="pct"/>
            <w:vAlign w:val="center"/>
          </w:tcPr>
          <w:p w:rsidR="00584B95" w:rsidRPr="0056795A" w:rsidRDefault="00584B95" w:rsidP="00766B4F">
            <w:pPr>
              <w:jc w:val="left"/>
              <w:rPr>
                <w:sz w:val="18"/>
                <w:szCs w:val="18"/>
              </w:rPr>
            </w:pPr>
            <w:r w:rsidRPr="0056795A">
              <w:rPr>
                <w:sz w:val="18"/>
                <w:szCs w:val="18"/>
              </w:rPr>
              <w:t>Key challenges emerging from the 20</w:t>
            </w:r>
            <w:r>
              <w:rPr>
                <w:sz w:val="18"/>
                <w:szCs w:val="18"/>
              </w:rPr>
              <w:t xml:space="preserve">12 Country Report are addressed, particularly in </w:t>
            </w:r>
            <w:r w:rsidRPr="00102542">
              <w:rPr>
                <w:sz w:val="18"/>
                <w:szCs w:val="18"/>
              </w:rPr>
              <w:t xml:space="preserve">the section on </w:t>
            </w:r>
            <w:r>
              <w:rPr>
                <w:sz w:val="18"/>
                <w:szCs w:val="18"/>
              </w:rPr>
              <w:t>s</w:t>
            </w:r>
            <w:r w:rsidRPr="00102542">
              <w:rPr>
                <w:sz w:val="18"/>
                <w:szCs w:val="18"/>
              </w:rPr>
              <w:t>uccess factors for effective delivery</w:t>
            </w:r>
            <w:r>
              <w:rPr>
                <w:sz w:val="18"/>
                <w:szCs w:val="18"/>
              </w:rPr>
              <w:t xml:space="preserve"> which</w:t>
            </w:r>
            <w:r w:rsidRPr="00102542">
              <w:rPr>
                <w:sz w:val="18"/>
                <w:szCs w:val="18"/>
              </w:rPr>
              <w:t xml:space="preserve"> covers 2012 CR 3.1, 2012 CR 4.1 and 2012 CR 5.1.</w:t>
            </w:r>
          </w:p>
        </w:tc>
        <w:tc>
          <w:tcPr>
            <w:tcW w:w="1151" w:type="pct"/>
            <w:vAlign w:val="center"/>
          </w:tcPr>
          <w:p w:rsidR="00584B95" w:rsidRPr="0056795A" w:rsidRDefault="00584B95" w:rsidP="00766B4F">
            <w:pPr>
              <w:jc w:val="left"/>
              <w:rPr>
                <w:sz w:val="18"/>
                <w:szCs w:val="18"/>
              </w:rPr>
            </w:pPr>
            <w:r w:rsidRPr="00F35BFB">
              <w:rPr>
                <w:sz w:val="18"/>
                <w:szCs w:val="18"/>
              </w:rPr>
              <w:t>The adoption of measures for the enhancement of the business environment and the acceleration of the process of enforcing contracts, which is indicated as a key challenge in the 2012 CR (2012 CR 1.1), is no</w:t>
            </w:r>
            <w:r>
              <w:rPr>
                <w:sz w:val="18"/>
                <w:szCs w:val="18"/>
              </w:rPr>
              <w:t>t mentioned anywhere in the CPP</w:t>
            </w:r>
            <w:r w:rsidRPr="00F35BFB">
              <w:rPr>
                <w:sz w:val="18"/>
                <w:szCs w:val="18"/>
              </w:rPr>
              <w:t>.</w:t>
            </w:r>
          </w:p>
        </w:tc>
        <w:tc>
          <w:tcPr>
            <w:tcW w:w="1054" w:type="pct"/>
            <w:vAlign w:val="center"/>
          </w:tcPr>
          <w:p w:rsidR="00584B95" w:rsidRPr="0056795A" w:rsidRDefault="00584B95" w:rsidP="00766B4F">
            <w:pPr>
              <w:jc w:val="left"/>
              <w:rPr>
                <w:sz w:val="18"/>
                <w:szCs w:val="18"/>
              </w:rPr>
            </w:pPr>
            <w:r w:rsidRPr="00F35BFB">
              <w:rPr>
                <w:sz w:val="18"/>
                <w:szCs w:val="18"/>
              </w:rPr>
              <w:t>The introductory section of the CPP states that “The CSF funds will provide an important source of public investment (..) to support the implementation of the C</w:t>
            </w:r>
            <w:r>
              <w:rPr>
                <w:sz w:val="18"/>
                <w:szCs w:val="18"/>
              </w:rPr>
              <w:t>SRs</w:t>
            </w:r>
            <w:r w:rsidRPr="00F35BFB">
              <w:rPr>
                <w:sz w:val="18"/>
                <w:szCs w:val="18"/>
              </w:rPr>
              <w:t xml:space="preserve">”. </w:t>
            </w:r>
            <w:r>
              <w:rPr>
                <w:sz w:val="18"/>
                <w:szCs w:val="18"/>
              </w:rPr>
              <w:t xml:space="preserve">However not all the </w:t>
            </w:r>
            <w:r w:rsidRPr="00F35BFB">
              <w:rPr>
                <w:sz w:val="18"/>
                <w:szCs w:val="18"/>
              </w:rPr>
              <w:t>CPP funding priorities</w:t>
            </w:r>
            <w:r>
              <w:rPr>
                <w:sz w:val="18"/>
                <w:szCs w:val="18"/>
              </w:rPr>
              <w:t xml:space="preserve"> are closely related to 2012 CSR/challenges (</w:t>
            </w:r>
            <w:r w:rsidRPr="00F35BFB">
              <w:rPr>
                <w:sz w:val="18"/>
                <w:szCs w:val="18"/>
              </w:rPr>
              <w:t>on  innovation-friendly business environment and on the increase of labour market participation</w:t>
            </w:r>
            <w:r>
              <w:rPr>
                <w:sz w:val="18"/>
                <w:szCs w:val="18"/>
              </w:rPr>
              <w:t xml:space="preserve">) while the third CPP priority </w:t>
            </w:r>
            <w:r w:rsidRPr="00F35BFB">
              <w:rPr>
                <w:sz w:val="18"/>
                <w:szCs w:val="18"/>
              </w:rPr>
              <w:t>(</w:t>
            </w:r>
            <w:r>
              <w:rPr>
                <w:sz w:val="18"/>
                <w:szCs w:val="18"/>
              </w:rPr>
              <w:t>p</w:t>
            </w:r>
            <w:r w:rsidRPr="00F35BFB">
              <w:rPr>
                <w:sz w:val="18"/>
                <w:szCs w:val="18"/>
              </w:rPr>
              <w:t>romoting environment-friendly and efficient use of resources, and climate change resilience for sustainable growth and jobs)</w:t>
            </w:r>
            <w:r>
              <w:rPr>
                <w:sz w:val="18"/>
                <w:szCs w:val="18"/>
              </w:rPr>
              <w:t xml:space="preserve"> was </w:t>
            </w:r>
            <w:r w:rsidRPr="00F35BFB">
              <w:rPr>
                <w:sz w:val="18"/>
                <w:szCs w:val="18"/>
              </w:rPr>
              <w:t xml:space="preserve"> </w:t>
            </w:r>
            <w:r>
              <w:rPr>
                <w:sz w:val="18"/>
                <w:szCs w:val="18"/>
              </w:rPr>
              <w:t>not among the CSR/challenges.</w:t>
            </w:r>
          </w:p>
        </w:tc>
        <w:tc>
          <w:tcPr>
            <w:tcW w:w="937" w:type="pct"/>
            <w:vAlign w:val="center"/>
          </w:tcPr>
          <w:p w:rsidR="00584B95" w:rsidRDefault="00584B95" w:rsidP="00766B4F">
            <w:pPr>
              <w:jc w:val="left"/>
              <w:rPr>
                <w:sz w:val="18"/>
                <w:szCs w:val="18"/>
              </w:rPr>
            </w:pPr>
            <w:r>
              <w:rPr>
                <w:sz w:val="18"/>
                <w:szCs w:val="18"/>
              </w:rPr>
              <w:t xml:space="preserve">Medium alignment. </w:t>
            </w:r>
          </w:p>
          <w:p w:rsidR="00584B95" w:rsidRPr="0056795A" w:rsidRDefault="00584B95" w:rsidP="00766B4F">
            <w:pPr>
              <w:jc w:val="left"/>
              <w:rPr>
                <w:sz w:val="18"/>
                <w:szCs w:val="18"/>
              </w:rPr>
            </w:pPr>
            <w:r>
              <w:rPr>
                <w:sz w:val="18"/>
                <w:szCs w:val="18"/>
              </w:rPr>
              <w:t>Th</w:t>
            </w:r>
            <w:r w:rsidRPr="00F35BFB">
              <w:rPr>
                <w:sz w:val="18"/>
                <w:szCs w:val="18"/>
              </w:rPr>
              <w:t>ere is an explicit or implicit reference</w:t>
            </w:r>
            <w:r>
              <w:rPr>
                <w:sz w:val="18"/>
                <w:szCs w:val="18"/>
              </w:rPr>
              <w:t xml:space="preserve"> to most of the relevant CSR/challenges apart from the one on </w:t>
            </w:r>
            <w:r w:rsidRPr="00F35BFB">
              <w:rPr>
                <w:sz w:val="18"/>
                <w:szCs w:val="18"/>
              </w:rPr>
              <w:t>business environment and the acceleration of the process of enforcing contracts</w:t>
            </w:r>
            <w:r>
              <w:rPr>
                <w:sz w:val="18"/>
                <w:szCs w:val="18"/>
              </w:rPr>
              <w:t>.</w:t>
            </w:r>
          </w:p>
        </w:tc>
      </w:tr>
      <w:tr w:rsidR="00584B95" w:rsidRPr="0056795A" w:rsidTr="00766B4F">
        <w:tc>
          <w:tcPr>
            <w:tcW w:w="228" w:type="pct"/>
            <w:vAlign w:val="center"/>
          </w:tcPr>
          <w:p w:rsidR="00584B95" w:rsidRPr="0056795A" w:rsidRDefault="00584B95" w:rsidP="00766B4F">
            <w:pPr>
              <w:jc w:val="left"/>
              <w:rPr>
                <w:sz w:val="18"/>
                <w:szCs w:val="18"/>
              </w:rPr>
            </w:pPr>
            <w:r w:rsidRPr="0056795A">
              <w:rPr>
                <w:sz w:val="18"/>
                <w:szCs w:val="18"/>
              </w:rPr>
              <w:t>DE</w:t>
            </w:r>
          </w:p>
        </w:tc>
        <w:tc>
          <w:tcPr>
            <w:tcW w:w="863" w:type="pct"/>
            <w:vAlign w:val="center"/>
          </w:tcPr>
          <w:p w:rsidR="00584B95" w:rsidRPr="0056795A" w:rsidRDefault="00584B95" w:rsidP="00766B4F">
            <w:pPr>
              <w:jc w:val="left"/>
              <w:rPr>
                <w:sz w:val="18"/>
                <w:szCs w:val="18"/>
              </w:rPr>
            </w:pPr>
            <w:r w:rsidRPr="0056795A">
              <w:rPr>
                <w:sz w:val="18"/>
                <w:szCs w:val="18"/>
              </w:rPr>
              <w:t xml:space="preserve">All of the 2012 CSR are covered though not always explicitly. In Annex B, it is set out for each funding priority how the </w:t>
            </w:r>
            <w:r>
              <w:rPr>
                <w:sz w:val="18"/>
                <w:szCs w:val="18"/>
              </w:rPr>
              <w:t>CSR</w:t>
            </w:r>
            <w:r w:rsidRPr="0056795A">
              <w:rPr>
                <w:sz w:val="18"/>
                <w:szCs w:val="18"/>
              </w:rPr>
              <w:t xml:space="preserve"> / other challenges are translated into thematic objectives. No reference to the CSR/ structural challenges is made in sections 3 (success factors for effective delivery), 4 (priorities for territorial cooperation) and Annex A (arrangements for effective programming and delivery).</w:t>
            </w:r>
          </w:p>
          <w:p w:rsidR="00584B95" w:rsidRPr="0056795A" w:rsidRDefault="00584B95" w:rsidP="00766B4F">
            <w:pPr>
              <w:jc w:val="left"/>
              <w:rPr>
                <w:sz w:val="18"/>
                <w:szCs w:val="18"/>
              </w:rPr>
            </w:pPr>
            <w:r w:rsidRPr="0056795A">
              <w:rPr>
                <w:sz w:val="18"/>
                <w:szCs w:val="18"/>
              </w:rPr>
              <w:t>The CSR are listed in the same table which presents Europe 2020 headline target, the current situation (2011 baseline) and the national 2020 target, for those thematic objectives referring to 2012 CSR. This is the case for 4 thematic objectives out of 9 covered in the CPP.</w:t>
            </w:r>
          </w:p>
        </w:tc>
        <w:tc>
          <w:tcPr>
            <w:tcW w:w="767" w:type="pct"/>
            <w:vAlign w:val="center"/>
          </w:tcPr>
          <w:p w:rsidR="00584B95" w:rsidRPr="0056795A" w:rsidRDefault="00584B95" w:rsidP="00766B4F">
            <w:pPr>
              <w:jc w:val="left"/>
              <w:rPr>
                <w:sz w:val="18"/>
                <w:szCs w:val="18"/>
              </w:rPr>
            </w:pPr>
            <w:r w:rsidRPr="0056795A">
              <w:rPr>
                <w:sz w:val="18"/>
                <w:szCs w:val="18"/>
              </w:rPr>
              <w:t xml:space="preserve">Key challenges emerging from the 2012 Country Report are addressed. Moreover, some additional challenges/ priorities are brought up in the CPP, mainly in the field of regional competitiveness and demographic change, poverty and climate change. </w:t>
            </w:r>
          </w:p>
        </w:tc>
        <w:tc>
          <w:tcPr>
            <w:tcW w:w="1151" w:type="pct"/>
            <w:vAlign w:val="center"/>
          </w:tcPr>
          <w:p w:rsidR="00584B95" w:rsidRPr="0056795A" w:rsidRDefault="00584B95" w:rsidP="00766B4F">
            <w:pPr>
              <w:jc w:val="left"/>
              <w:rPr>
                <w:sz w:val="18"/>
                <w:szCs w:val="18"/>
              </w:rPr>
            </w:pPr>
            <w:r w:rsidRPr="0056795A">
              <w:rPr>
                <w:sz w:val="18"/>
                <w:szCs w:val="18"/>
              </w:rPr>
              <w:t>The 2012 CSR “use available scope for increased and more efficient growth-enhancing spending on education and research at all levels of government” is not as prominent as it might be expected.</w:t>
            </w:r>
          </w:p>
        </w:tc>
        <w:tc>
          <w:tcPr>
            <w:tcW w:w="1054" w:type="pct"/>
            <w:vAlign w:val="center"/>
          </w:tcPr>
          <w:p w:rsidR="00584B95" w:rsidRPr="0056795A" w:rsidRDefault="00584B95" w:rsidP="00766B4F">
            <w:pPr>
              <w:jc w:val="left"/>
              <w:rPr>
                <w:sz w:val="18"/>
                <w:szCs w:val="18"/>
              </w:rPr>
            </w:pPr>
            <w:r w:rsidRPr="0056795A">
              <w:rPr>
                <w:sz w:val="18"/>
                <w:szCs w:val="18"/>
              </w:rPr>
              <w:t>Important role. In the introduction to Annex B it is argued that the thematic objectives were selected “according to each Member State's specific situation […] in agreement with the national authorities”. Still, 4 out of 9 chosen thematic objectives are not directly linked to CSR (TO 2, 3, 5 and 6).</w:t>
            </w:r>
          </w:p>
          <w:p w:rsidR="00584B95" w:rsidRPr="0056795A" w:rsidRDefault="00584B95" w:rsidP="00766B4F">
            <w:pPr>
              <w:jc w:val="left"/>
              <w:rPr>
                <w:sz w:val="18"/>
                <w:szCs w:val="18"/>
              </w:rPr>
            </w:pPr>
            <w:r w:rsidRPr="0056795A">
              <w:rPr>
                <w:sz w:val="18"/>
                <w:szCs w:val="18"/>
              </w:rPr>
              <w:t>Most of the priorities and funding needs are related to economic development, like “enhancing business innovation (incl. eco-innovation) and competitiveness”, which is captured in the CSR.</w:t>
            </w:r>
          </w:p>
          <w:p w:rsidR="00584B95" w:rsidRPr="0056795A" w:rsidRDefault="00584B95" w:rsidP="00766B4F">
            <w:pPr>
              <w:jc w:val="left"/>
              <w:rPr>
                <w:sz w:val="18"/>
                <w:szCs w:val="18"/>
              </w:rPr>
            </w:pPr>
          </w:p>
          <w:p w:rsidR="00584B95" w:rsidRPr="0056795A" w:rsidRDefault="00584B95" w:rsidP="00766B4F">
            <w:pPr>
              <w:jc w:val="left"/>
              <w:rPr>
                <w:sz w:val="18"/>
                <w:szCs w:val="18"/>
              </w:rPr>
            </w:pPr>
            <w:r w:rsidRPr="0056795A">
              <w:rPr>
                <w:sz w:val="18"/>
                <w:szCs w:val="18"/>
              </w:rPr>
              <w:t>Especially well covered is the field of labour market potential, social inclusion and educational achievement.</w:t>
            </w:r>
          </w:p>
          <w:p w:rsidR="00584B95" w:rsidRPr="0056795A" w:rsidRDefault="00584B95" w:rsidP="00766B4F">
            <w:pPr>
              <w:jc w:val="left"/>
              <w:rPr>
                <w:sz w:val="18"/>
                <w:szCs w:val="18"/>
              </w:rPr>
            </w:pPr>
          </w:p>
          <w:p w:rsidR="00584B95" w:rsidRPr="0056795A" w:rsidRDefault="00584B95" w:rsidP="00766B4F">
            <w:pPr>
              <w:jc w:val="left"/>
              <w:rPr>
                <w:sz w:val="18"/>
                <w:szCs w:val="18"/>
              </w:rPr>
            </w:pPr>
          </w:p>
        </w:tc>
        <w:tc>
          <w:tcPr>
            <w:tcW w:w="937" w:type="pct"/>
            <w:vAlign w:val="center"/>
          </w:tcPr>
          <w:p w:rsidR="00584B95" w:rsidRPr="0056795A" w:rsidRDefault="00584B95" w:rsidP="00766B4F">
            <w:pPr>
              <w:jc w:val="left"/>
              <w:rPr>
                <w:sz w:val="18"/>
                <w:szCs w:val="18"/>
              </w:rPr>
            </w:pPr>
            <w:r w:rsidRPr="0056795A">
              <w:rPr>
                <w:sz w:val="18"/>
                <w:szCs w:val="18"/>
              </w:rPr>
              <w:t>Medium alignment.</w:t>
            </w:r>
          </w:p>
          <w:p w:rsidR="00584B95" w:rsidRPr="0056795A" w:rsidRDefault="00584B95" w:rsidP="00766B4F">
            <w:pPr>
              <w:jc w:val="left"/>
              <w:rPr>
                <w:sz w:val="18"/>
                <w:szCs w:val="18"/>
              </w:rPr>
            </w:pPr>
            <w:r w:rsidRPr="0056795A">
              <w:rPr>
                <w:sz w:val="18"/>
                <w:szCs w:val="18"/>
              </w:rPr>
              <w:t xml:space="preserve">The support of CSR varies in the different policy fields. While CSR play a rather big role in the funding priority "Enhance labour market potential, social inclusion and raise educational achievement" (all 3 TOs linked to CSR), the role in the other 2 funding priorities (“Reducing regional disparities in competitiveness taking account of demographic change” and “Supporting transformation of the energy system and strengthening sustainable use of natural resource”) is more modest. </w:t>
            </w:r>
          </w:p>
          <w:p w:rsidR="00584B95" w:rsidRPr="0056795A" w:rsidRDefault="00584B95" w:rsidP="00766B4F">
            <w:pPr>
              <w:jc w:val="left"/>
              <w:rPr>
                <w:sz w:val="18"/>
                <w:szCs w:val="18"/>
              </w:rPr>
            </w:pPr>
          </w:p>
        </w:tc>
      </w:tr>
      <w:tr w:rsidR="00584B95" w:rsidRPr="0056795A" w:rsidTr="00766B4F">
        <w:tc>
          <w:tcPr>
            <w:tcW w:w="228" w:type="pct"/>
            <w:vAlign w:val="center"/>
          </w:tcPr>
          <w:p w:rsidR="00584B95" w:rsidRPr="0056795A" w:rsidRDefault="00584B95" w:rsidP="00766B4F">
            <w:pPr>
              <w:jc w:val="left"/>
              <w:rPr>
                <w:sz w:val="18"/>
                <w:szCs w:val="18"/>
              </w:rPr>
            </w:pPr>
            <w:r w:rsidRPr="0056795A">
              <w:rPr>
                <w:sz w:val="18"/>
                <w:szCs w:val="18"/>
              </w:rPr>
              <w:t>DK</w:t>
            </w:r>
          </w:p>
        </w:tc>
        <w:tc>
          <w:tcPr>
            <w:tcW w:w="863" w:type="pct"/>
            <w:vAlign w:val="center"/>
          </w:tcPr>
          <w:p w:rsidR="00584B95" w:rsidRPr="0056795A" w:rsidRDefault="00584B95" w:rsidP="00766B4F">
            <w:pPr>
              <w:jc w:val="left"/>
              <w:rPr>
                <w:sz w:val="18"/>
                <w:szCs w:val="18"/>
              </w:rPr>
            </w:pPr>
            <w:r w:rsidRPr="0056795A">
              <w:rPr>
                <w:sz w:val="18"/>
                <w:szCs w:val="18"/>
              </w:rPr>
              <w:t xml:space="preserve">Some 2012 </w:t>
            </w:r>
            <w:r>
              <w:rPr>
                <w:sz w:val="18"/>
                <w:szCs w:val="18"/>
              </w:rPr>
              <w:t>CSR</w:t>
            </w:r>
            <w:r w:rsidRPr="0056795A">
              <w:rPr>
                <w:sz w:val="18"/>
                <w:szCs w:val="18"/>
              </w:rPr>
              <w:t xml:space="preserve"> are mentioned throughout the document (e.g. labour supply, higher education attainment rate, lower dropout rates, apprenticeships, inclusion of marginalised groups, promote low carbon economy, productivity challenges). Other aspects are less systematically mentioned (remove obstacles to competition, stability of housing market, electrified railway lines, more effective public services, regulatory burdens, barriers to market entry, remove restrictions on retail).</w:t>
            </w:r>
          </w:p>
        </w:tc>
        <w:tc>
          <w:tcPr>
            <w:tcW w:w="767" w:type="pct"/>
            <w:vAlign w:val="center"/>
          </w:tcPr>
          <w:p w:rsidR="00584B95" w:rsidRPr="0056795A" w:rsidRDefault="00584B95" w:rsidP="00766B4F">
            <w:pPr>
              <w:jc w:val="left"/>
              <w:rPr>
                <w:sz w:val="18"/>
                <w:szCs w:val="18"/>
              </w:rPr>
            </w:pPr>
            <w:r w:rsidRPr="0056795A">
              <w:rPr>
                <w:sz w:val="18"/>
                <w:szCs w:val="18"/>
              </w:rPr>
              <w:t xml:space="preserve">Key challenges emerging from the 2012 Country Report are also considered. </w:t>
            </w:r>
          </w:p>
        </w:tc>
        <w:tc>
          <w:tcPr>
            <w:tcW w:w="1151" w:type="pct"/>
            <w:vAlign w:val="center"/>
          </w:tcPr>
          <w:p w:rsidR="00584B95" w:rsidRPr="0056795A" w:rsidRDefault="00584B95" w:rsidP="00766B4F">
            <w:pPr>
              <w:jc w:val="left"/>
              <w:rPr>
                <w:sz w:val="18"/>
                <w:szCs w:val="18"/>
              </w:rPr>
            </w:pPr>
            <w:r w:rsidRPr="0056795A">
              <w:rPr>
                <w:sz w:val="18"/>
                <w:szCs w:val="18"/>
              </w:rPr>
              <w:t>Apart from budgetary strategy and the reduction of regulatory burdens, a 2012 CSR which is not covered is to “Consider further preventive measures to strengthen the stability of the housing market and financial system in the medium term”, including by taking account of the results of the ongoing study by the Ministry of Business and Growth.</w:t>
            </w:r>
          </w:p>
        </w:tc>
        <w:tc>
          <w:tcPr>
            <w:tcW w:w="1054" w:type="pct"/>
            <w:vAlign w:val="center"/>
          </w:tcPr>
          <w:p w:rsidR="00584B95" w:rsidRPr="0056795A" w:rsidRDefault="00584B95" w:rsidP="00766B4F">
            <w:pPr>
              <w:jc w:val="left"/>
              <w:rPr>
                <w:sz w:val="18"/>
                <w:szCs w:val="18"/>
              </w:rPr>
            </w:pPr>
            <w:r w:rsidRPr="0056795A">
              <w:rPr>
                <w:sz w:val="18"/>
                <w:szCs w:val="18"/>
              </w:rPr>
              <w:t xml:space="preserve">The role is significant in some areas but not in all. The CPP has a considerable focus on SME/entrepreneurship support  which has fairly high priority in Denmark but is much less prominent in the </w:t>
            </w:r>
            <w:r>
              <w:rPr>
                <w:sz w:val="18"/>
                <w:szCs w:val="18"/>
              </w:rPr>
              <w:t>CSR</w:t>
            </w:r>
            <w:r w:rsidRPr="0056795A">
              <w:rPr>
                <w:sz w:val="18"/>
                <w:szCs w:val="18"/>
              </w:rPr>
              <w:t>.</w:t>
            </w:r>
          </w:p>
        </w:tc>
        <w:tc>
          <w:tcPr>
            <w:tcW w:w="937" w:type="pct"/>
            <w:vAlign w:val="center"/>
          </w:tcPr>
          <w:p w:rsidR="00584B95" w:rsidRPr="0056795A" w:rsidRDefault="00584B95" w:rsidP="00766B4F">
            <w:pPr>
              <w:jc w:val="left"/>
              <w:rPr>
                <w:sz w:val="18"/>
                <w:szCs w:val="18"/>
              </w:rPr>
            </w:pPr>
            <w:r w:rsidRPr="0056795A">
              <w:rPr>
                <w:sz w:val="18"/>
                <w:szCs w:val="18"/>
              </w:rPr>
              <w:t xml:space="preserve">Medium-low alignment. </w:t>
            </w:r>
          </w:p>
          <w:p w:rsidR="00584B95" w:rsidRPr="0056795A" w:rsidRDefault="00584B95" w:rsidP="00766B4F">
            <w:pPr>
              <w:jc w:val="left"/>
              <w:rPr>
                <w:sz w:val="18"/>
                <w:szCs w:val="18"/>
              </w:rPr>
            </w:pPr>
            <w:r w:rsidRPr="0056795A">
              <w:rPr>
                <w:sz w:val="18"/>
                <w:szCs w:val="18"/>
              </w:rPr>
              <w:t xml:space="preserve">The document addresses certain elements of the </w:t>
            </w:r>
            <w:r>
              <w:rPr>
                <w:sz w:val="18"/>
                <w:szCs w:val="18"/>
              </w:rPr>
              <w:t>CSR</w:t>
            </w:r>
            <w:r w:rsidRPr="0056795A">
              <w:rPr>
                <w:sz w:val="18"/>
                <w:szCs w:val="18"/>
              </w:rPr>
              <w:t xml:space="preserve"> / reform needs. </w:t>
            </w:r>
          </w:p>
          <w:p w:rsidR="00584B95" w:rsidRPr="0056795A" w:rsidRDefault="00584B95" w:rsidP="00766B4F">
            <w:pPr>
              <w:jc w:val="left"/>
              <w:rPr>
                <w:sz w:val="18"/>
                <w:szCs w:val="18"/>
              </w:rPr>
            </w:pPr>
          </w:p>
        </w:tc>
      </w:tr>
      <w:tr w:rsidR="00584B95" w:rsidRPr="0056795A" w:rsidTr="00766B4F">
        <w:tc>
          <w:tcPr>
            <w:tcW w:w="228" w:type="pct"/>
            <w:vAlign w:val="center"/>
          </w:tcPr>
          <w:p w:rsidR="00584B95" w:rsidRPr="0056795A" w:rsidRDefault="00584B95" w:rsidP="00766B4F">
            <w:pPr>
              <w:jc w:val="left"/>
              <w:rPr>
                <w:sz w:val="18"/>
                <w:szCs w:val="18"/>
              </w:rPr>
            </w:pPr>
            <w:r w:rsidRPr="0056795A">
              <w:rPr>
                <w:sz w:val="18"/>
                <w:szCs w:val="18"/>
              </w:rPr>
              <w:t>EE</w:t>
            </w:r>
          </w:p>
        </w:tc>
        <w:tc>
          <w:tcPr>
            <w:tcW w:w="863" w:type="pct"/>
            <w:vAlign w:val="center"/>
          </w:tcPr>
          <w:p w:rsidR="00584B95" w:rsidRPr="0056795A" w:rsidRDefault="00584B95" w:rsidP="00766B4F">
            <w:pPr>
              <w:jc w:val="left"/>
              <w:rPr>
                <w:sz w:val="18"/>
                <w:szCs w:val="18"/>
              </w:rPr>
            </w:pPr>
            <w:r w:rsidRPr="0056795A">
              <w:rPr>
                <w:sz w:val="18"/>
                <w:szCs w:val="18"/>
              </w:rPr>
              <w:t xml:space="preserve">Overall, cohesion relevant </w:t>
            </w:r>
            <w:r>
              <w:rPr>
                <w:sz w:val="18"/>
                <w:szCs w:val="18"/>
              </w:rPr>
              <w:t>CSR</w:t>
            </w:r>
            <w:r w:rsidRPr="0056795A">
              <w:rPr>
                <w:sz w:val="18"/>
                <w:szCs w:val="18"/>
              </w:rPr>
              <w:t xml:space="preserve"> are referred to systematically throughout the report, especially in parts 1 and 2. </w:t>
            </w:r>
          </w:p>
          <w:p w:rsidR="00584B95" w:rsidRPr="0056795A" w:rsidRDefault="00584B95" w:rsidP="00766B4F">
            <w:pPr>
              <w:jc w:val="left"/>
              <w:rPr>
                <w:sz w:val="18"/>
                <w:szCs w:val="18"/>
              </w:rPr>
            </w:pPr>
            <w:r w:rsidRPr="0056795A">
              <w:rPr>
                <w:sz w:val="18"/>
                <w:szCs w:val="18"/>
              </w:rPr>
              <w:t>In the first two sections of the CPP as well as in Annex B “assessment of funding needs”, the challenges raised in the 2012 CSR are generally addressed in an explicit way.</w:t>
            </w:r>
          </w:p>
        </w:tc>
        <w:tc>
          <w:tcPr>
            <w:tcW w:w="767" w:type="pct"/>
            <w:vAlign w:val="center"/>
          </w:tcPr>
          <w:p w:rsidR="00584B95" w:rsidRPr="0056795A" w:rsidRDefault="00584B95" w:rsidP="00766B4F">
            <w:pPr>
              <w:jc w:val="left"/>
              <w:rPr>
                <w:sz w:val="18"/>
                <w:szCs w:val="18"/>
              </w:rPr>
            </w:pPr>
            <w:r w:rsidRPr="0056795A">
              <w:rPr>
                <w:sz w:val="18"/>
                <w:szCs w:val="18"/>
              </w:rPr>
              <w:t>Other challenges identified in the Country Report, concerning the waste management infrastructure and the interoperability of transport systems, are also addressed.</w:t>
            </w:r>
          </w:p>
        </w:tc>
        <w:tc>
          <w:tcPr>
            <w:tcW w:w="1151" w:type="pct"/>
            <w:vAlign w:val="center"/>
          </w:tcPr>
          <w:p w:rsidR="00584B95" w:rsidRPr="0056795A" w:rsidRDefault="00584B95" w:rsidP="00766B4F">
            <w:pPr>
              <w:jc w:val="left"/>
              <w:rPr>
                <w:sz w:val="18"/>
                <w:szCs w:val="18"/>
              </w:rPr>
            </w:pPr>
            <w:r w:rsidRPr="0056795A">
              <w:rPr>
                <w:sz w:val="18"/>
                <w:szCs w:val="18"/>
              </w:rPr>
              <w:t xml:space="preserve">The report is weaker on two 2012 </w:t>
            </w:r>
            <w:r>
              <w:rPr>
                <w:sz w:val="18"/>
                <w:szCs w:val="18"/>
              </w:rPr>
              <w:t>CSR</w:t>
            </w:r>
            <w:r w:rsidRPr="0056795A">
              <w:rPr>
                <w:sz w:val="18"/>
                <w:szCs w:val="18"/>
              </w:rPr>
              <w:t xml:space="preserve">: CSR 2.2 on delivery of social services and CSR 5.1. on efficiency of local governments.  </w:t>
            </w:r>
          </w:p>
          <w:p w:rsidR="00584B95" w:rsidRPr="0056795A" w:rsidRDefault="00584B95" w:rsidP="00766B4F">
            <w:pPr>
              <w:jc w:val="left"/>
              <w:rPr>
                <w:sz w:val="18"/>
                <w:szCs w:val="18"/>
              </w:rPr>
            </w:pPr>
            <w:r w:rsidRPr="0056795A">
              <w:rPr>
                <w:sz w:val="18"/>
                <w:szCs w:val="18"/>
              </w:rPr>
              <w:t>Improvement of social services generally is addressed but the focus on families, parents and children is weaker.</w:t>
            </w:r>
          </w:p>
          <w:p w:rsidR="00584B95" w:rsidRPr="0056795A" w:rsidRDefault="00584B95" w:rsidP="00766B4F">
            <w:pPr>
              <w:jc w:val="left"/>
              <w:rPr>
                <w:sz w:val="18"/>
                <w:szCs w:val="18"/>
              </w:rPr>
            </w:pPr>
            <w:r w:rsidRPr="0056795A">
              <w:rPr>
                <w:sz w:val="18"/>
                <w:szCs w:val="18"/>
              </w:rPr>
              <w:t>CSR5.1. gets introduced in Annex B, and mostly in relation to upgrading of infrastructure and energy efficiency related activities, while less attention is put on fiscal sustainability and on incentives for the merger of or increased cooperation between municipalities.</w:t>
            </w:r>
          </w:p>
        </w:tc>
        <w:tc>
          <w:tcPr>
            <w:tcW w:w="1054" w:type="pct"/>
            <w:vAlign w:val="center"/>
          </w:tcPr>
          <w:p w:rsidR="00584B95" w:rsidRPr="0056795A" w:rsidRDefault="00584B95" w:rsidP="00766B4F">
            <w:pPr>
              <w:jc w:val="left"/>
              <w:rPr>
                <w:sz w:val="18"/>
                <w:szCs w:val="18"/>
              </w:rPr>
            </w:pPr>
            <w:r w:rsidRPr="0056795A">
              <w:rPr>
                <w:sz w:val="18"/>
                <w:szCs w:val="18"/>
              </w:rPr>
              <w:t xml:space="preserve">The selection of priorities is generally in line with funding needs and main challenges. </w:t>
            </w:r>
          </w:p>
          <w:p w:rsidR="00584B95" w:rsidRPr="0056795A" w:rsidRDefault="00584B95" w:rsidP="00766B4F">
            <w:pPr>
              <w:jc w:val="left"/>
              <w:rPr>
                <w:sz w:val="18"/>
                <w:szCs w:val="18"/>
              </w:rPr>
            </w:pPr>
            <w:r>
              <w:rPr>
                <w:sz w:val="18"/>
                <w:szCs w:val="18"/>
              </w:rPr>
              <w:t>CSR</w:t>
            </w:r>
            <w:r w:rsidRPr="0056795A">
              <w:rPr>
                <w:sz w:val="18"/>
                <w:szCs w:val="18"/>
              </w:rPr>
              <w:t xml:space="preserve"> are generally related to resources efficiency, employment and employability of workers, transport, gender equality and LM market integration of young people, education, RTDI, energy and institutional capacity. Most of these areas are also discussed in the selection of priorities and funding needs.</w:t>
            </w:r>
          </w:p>
        </w:tc>
        <w:tc>
          <w:tcPr>
            <w:tcW w:w="937" w:type="pct"/>
            <w:vAlign w:val="center"/>
          </w:tcPr>
          <w:p w:rsidR="00584B95" w:rsidRPr="0056795A" w:rsidRDefault="00584B95" w:rsidP="00766B4F">
            <w:pPr>
              <w:jc w:val="left"/>
              <w:rPr>
                <w:sz w:val="18"/>
                <w:szCs w:val="18"/>
              </w:rPr>
            </w:pPr>
            <w:r w:rsidRPr="0056795A">
              <w:rPr>
                <w:sz w:val="18"/>
                <w:szCs w:val="18"/>
              </w:rPr>
              <w:t>High alignment.</w:t>
            </w:r>
          </w:p>
          <w:p w:rsidR="00584B95" w:rsidRPr="0056795A" w:rsidRDefault="00584B95" w:rsidP="00766B4F">
            <w:pPr>
              <w:jc w:val="left"/>
              <w:rPr>
                <w:sz w:val="18"/>
                <w:szCs w:val="18"/>
              </w:rPr>
            </w:pPr>
            <w:r w:rsidRPr="0056795A">
              <w:rPr>
                <w:sz w:val="18"/>
                <w:szCs w:val="18"/>
              </w:rPr>
              <w:t xml:space="preserve">The CPP sets out the key specific challenges for Estonia and the whole strategy of the CPP reflects </w:t>
            </w:r>
            <w:r>
              <w:rPr>
                <w:sz w:val="18"/>
                <w:szCs w:val="18"/>
              </w:rPr>
              <w:t>CSR</w:t>
            </w:r>
            <w:r w:rsidRPr="0056795A">
              <w:rPr>
                <w:sz w:val="18"/>
                <w:szCs w:val="18"/>
              </w:rPr>
              <w:t xml:space="preserve">. Mostly there are explicit references to </w:t>
            </w:r>
            <w:r>
              <w:rPr>
                <w:sz w:val="18"/>
                <w:szCs w:val="18"/>
              </w:rPr>
              <w:t>CSR</w:t>
            </w:r>
            <w:r w:rsidRPr="0056795A">
              <w:rPr>
                <w:sz w:val="18"/>
                <w:szCs w:val="18"/>
              </w:rPr>
              <w:t xml:space="preserve"> and linkages do exist between different parts of the document. </w:t>
            </w:r>
          </w:p>
          <w:p w:rsidR="00584B95" w:rsidRPr="0056795A" w:rsidRDefault="00584B95" w:rsidP="00766B4F">
            <w:pPr>
              <w:jc w:val="left"/>
              <w:rPr>
                <w:sz w:val="18"/>
                <w:szCs w:val="18"/>
              </w:rPr>
            </w:pPr>
            <w:r w:rsidRPr="0056795A">
              <w:rPr>
                <w:sz w:val="18"/>
                <w:szCs w:val="18"/>
              </w:rPr>
              <w:t xml:space="preserve">In sum, overall the support to </w:t>
            </w:r>
            <w:r>
              <w:rPr>
                <w:sz w:val="18"/>
                <w:szCs w:val="18"/>
              </w:rPr>
              <w:t>CSR</w:t>
            </w:r>
            <w:r w:rsidRPr="0056795A">
              <w:rPr>
                <w:sz w:val="18"/>
                <w:szCs w:val="18"/>
              </w:rPr>
              <w:t xml:space="preserve"> plays a central role in the document.</w:t>
            </w:r>
          </w:p>
        </w:tc>
      </w:tr>
      <w:tr w:rsidR="00584B95" w:rsidRPr="0056795A" w:rsidTr="00766B4F">
        <w:tc>
          <w:tcPr>
            <w:tcW w:w="228" w:type="pct"/>
            <w:vAlign w:val="center"/>
          </w:tcPr>
          <w:p w:rsidR="00584B95" w:rsidRPr="0056795A" w:rsidRDefault="00584B95" w:rsidP="00766B4F">
            <w:pPr>
              <w:jc w:val="left"/>
              <w:rPr>
                <w:sz w:val="18"/>
                <w:szCs w:val="18"/>
              </w:rPr>
            </w:pPr>
            <w:r w:rsidRPr="0056795A">
              <w:rPr>
                <w:sz w:val="18"/>
                <w:szCs w:val="18"/>
              </w:rPr>
              <w:t>ES</w:t>
            </w:r>
          </w:p>
        </w:tc>
        <w:tc>
          <w:tcPr>
            <w:tcW w:w="863" w:type="pct"/>
            <w:vAlign w:val="center"/>
          </w:tcPr>
          <w:p w:rsidR="00584B95" w:rsidRPr="0056795A" w:rsidRDefault="00584B95" w:rsidP="00766B4F">
            <w:pPr>
              <w:jc w:val="left"/>
              <w:rPr>
                <w:sz w:val="18"/>
                <w:szCs w:val="18"/>
              </w:rPr>
            </w:pPr>
            <w:r w:rsidRPr="0056795A">
              <w:rPr>
                <w:sz w:val="18"/>
                <w:szCs w:val="18"/>
              </w:rPr>
              <w:t xml:space="preserve">The document refers explicitly or indirectly to all 2012 </w:t>
            </w:r>
            <w:r>
              <w:rPr>
                <w:sz w:val="18"/>
                <w:szCs w:val="18"/>
              </w:rPr>
              <w:t>CSR</w:t>
            </w:r>
            <w:r w:rsidRPr="0056795A">
              <w:rPr>
                <w:sz w:val="18"/>
                <w:szCs w:val="18"/>
              </w:rPr>
              <w:t xml:space="preserve">. The CSR most mentioned are those referring to the labour market and employability and support to SMEs. The </w:t>
            </w:r>
            <w:r>
              <w:rPr>
                <w:sz w:val="18"/>
                <w:szCs w:val="18"/>
              </w:rPr>
              <w:t>CSR</w:t>
            </w:r>
            <w:r w:rsidRPr="0056795A">
              <w:rPr>
                <w:sz w:val="18"/>
                <w:szCs w:val="18"/>
              </w:rPr>
              <w:t>/structural challenges are more thoroughly covered in the Main Challenges Section and in the Priorities for Funding Section, more sporadically in the others sections of the CPP.</w:t>
            </w:r>
          </w:p>
        </w:tc>
        <w:tc>
          <w:tcPr>
            <w:tcW w:w="767" w:type="pct"/>
            <w:vAlign w:val="center"/>
          </w:tcPr>
          <w:p w:rsidR="00584B95" w:rsidRPr="0056795A" w:rsidRDefault="00584B95" w:rsidP="00766B4F">
            <w:pPr>
              <w:jc w:val="left"/>
              <w:rPr>
                <w:sz w:val="18"/>
                <w:szCs w:val="18"/>
              </w:rPr>
            </w:pPr>
            <w:r w:rsidRPr="0056795A">
              <w:rPr>
                <w:sz w:val="18"/>
                <w:szCs w:val="18"/>
              </w:rPr>
              <w:t>Other key challenges emerging from the 2012 Country Report are also covered. For instance the challenges in the area of water and waste management and air pollution such as insufficient incentives for using water efficiently which results in unsustainable use.</w:t>
            </w:r>
          </w:p>
        </w:tc>
        <w:tc>
          <w:tcPr>
            <w:tcW w:w="1151" w:type="pct"/>
            <w:vAlign w:val="center"/>
          </w:tcPr>
          <w:p w:rsidR="00584B95" w:rsidRPr="0056795A" w:rsidRDefault="00584B95" w:rsidP="00766B4F">
            <w:pPr>
              <w:jc w:val="left"/>
              <w:rPr>
                <w:sz w:val="18"/>
                <w:szCs w:val="18"/>
              </w:rPr>
            </w:pPr>
            <w:r>
              <w:rPr>
                <w:sz w:val="18"/>
                <w:szCs w:val="18"/>
              </w:rPr>
              <w:t xml:space="preserve">All key challenges relevant to the ESI Funds are covered in the document. The missing CSR/structural challenges are those concerning public finance and taxation as well as those characterised exclusively by a regulatory nature. </w:t>
            </w:r>
          </w:p>
        </w:tc>
        <w:tc>
          <w:tcPr>
            <w:tcW w:w="1054" w:type="pct"/>
            <w:vAlign w:val="center"/>
          </w:tcPr>
          <w:p w:rsidR="00584B95" w:rsidRPr="0056795A" w:rsidRDefault="00584B95" w:rsidP="00766B4F">
            <w:pPr>
              <w:jc w:val="left"/>
              <w:rPr>
                <w:sz w:val="18"/>
                <w:szCs w:val="18"/>
              </w:rPr>
            </w:pPr>
            <w:r w:rsidRPr="0056795A">
              <w:rPr>
                <w:sz w:val="18"/>
                <w:szCs w:val="18"/>
              </w:rPr>
              <w:t xml:space="preserve">Central role. </w:t>
            </w:r>
          </w:p>
          <w:p w:rsidR="00584B95" w:rsidRPr="0056795A" w:rsidRDefault="00584B95" w:rsidP="00766B4F">
            <w:pPr>
              <w:jc w:val="left"/>
              <w:rPr>
                <w:sz w:val="18"/>
                <w:szCs w:val="18"/>
              </w:rPr>
            </w:pPr>
            <w:r w:rsidRPr="0056795A">
              <w:rPr>
                <w:sz w:val="18"/>
                <w:szCs w:val="18"/>
              </w:rPr>
              <w:t>Funding priorities are proposed in line with country-specific challenges, referring in the document to the priorities identified by the Commission to co-finance in Spain.</w:t>
            </w:r>
          </w:p>
        </w:tc>
        <w:tc>
          <w:tcPr>
            <w:tcW w:w="937" w:type="pct"/>
            <w:vAlign w:val="center"/>
          </w:tcPr>
          <w:p w:rsidR="00584B95" w:rsidRPr="0056795A" w:rsidRDefault="00584B95" w:rsidP="00766B4F">
            <w:pPr>
              <w:jc w:val="left"/>
              <w:rPr>
                <w:sz w:val="18"/>
                <w:szCs w:val="18"/>
              </w:rPr>
            </w:pPr>
            <w:r w:rsidRPr="0056795A">
              <w:rPr>
                <w:sz w:val="18"/>
                <w:szCs w:val="18"/>
              </w:rPr>
              <w:t>High alignment.</w:t>
            </w:r>
          </w:p>
          <w:p w:rsidR="00584B95" w:rsidRPr="0056795A" w:rsidRDefault="00584B95" w:rsidP="00766B4F">
            <w:pPr>
              <w:jc w:val="left"/>
              <w:rPr>
                <w:sz w:val="18"/>
                <w:szCs w:val="18"/>
              </w:rPr>
            </w:pPr>
            <w:r w:rsidRPr="0056795A">
              <w:rPr>
                <w:sz w:val="18"/>
                <w:szCs w:val="18"/>
              </w:rPr>
              <w:t xml:space="preserve">The Semester plays a central role in the document, which highlights the importance of Common Strategic Framework (CSF) funds to support the implementation of the CSR. In most cases the document clearly defines how it is intended to support </w:t>
            </w:r>
            <w:r>
              <w:rPr>
                <w:sz w:val="18"/>
                <w:szCs w:val="18"/>
              </w:rPr>
              <w:t>CSR</w:t>
            </w:r>
            <w:r w:rsidRPr="0056795A">
              <w:rPr>
                <w:sz w:val="18"/>
                <w:szCs w:val="18"/>
              </w:rPr>
              <w:t xml:space="preserve"> and structural reforms, for example, with the fully implementation of the Water Framework Directive, with a National Social Report, with specific plans such as the National renewable Energy Action Plan, with coordination of institutions, policies and instruments, etc. to improve employability, with implementation of specific legislation for SMEs such as the Small Business Act.</w:t>
            </w:r>
          </w:p>
        </w:tc>
      </w:tr>
      <w:tr w:rsidR="00584B95" w:rsidRPr="0056795A" w:rsidTr="00766B4F">
        <w:tc>
          <w:tcPr>
            <w:tcW w:w="228" w:type="pct"/>
            <w:vAlign w:val="center"/>
          </w:tcPr>
          <w:p w:rsidR="00584B95" w:rsidRPr="0056795A" w:rsidRDefault="00584B95" w:rsidP="00766B4F">
            <w:pPr>
              <w:jc w:val="left"/>
              <w:rPr>
                <w:sz w:val="18"/>
                <w:szCs w:val="18"/>
              </w:rPr>
            </w:pPr>
            <w:r w:rsidRPr="0056795A">
              <w:rPr>
                <w:sz w:val="18"/>
                <w:szCs w:val="18"/>
              </w:rPr>
              <w:t>FI</w:t>
            </w:r>
          </w:p>
        </w:tc>
        <w:tc>
          <w:tcPr>
            <w:tcW w:w="863" w:type="pct"/>
            <w:vAlign w:val="center"/>
          </w:tcPr>
          <w:p w:rsidR="00584B95" w:rsidRPr="0056795A" w:rsidRDefault="00584B95" w:rsidP="00766B4F">
            <w:pPr>
              <w:jc w:val="left"/>
              <w:rPr>
                <w:sz w:val="18"/>
                <w:szCs w:val="18"/>
              </w:rPr>
            </w:pPr>
            <w:r w:rsidRPr="0056795A">
              <w:rPr>
                <w:sz w:val="18"/>
                <w:szCs w:val="18"/>
              </w:rPr>
              <w:t>The CPP is focused on the CSR’s connected with the main objectives of the CFS funds. These CSR are addressed explicitly or implicitly throughout the document. This is the case especially for the recommendations concerning LM access of vulnerable groups, and improving the diversification of the business structure.</w:t>
            </w:r>
          </w:p>
        </w:tc>
        <w:tc>
          <w:tcPr>
            <w:tcW w:w="767" w:type="pct"/>
            <w:vAlign w:val="center"/>
          </w:tcPr>
          <w:p w:rsidR="00584B95" w:rsidRPr="0056795A" w:rsidRDefault="00584B95" w:rsidP="00766B4F">
            <w:pPr>
              <w:jc w:val="left"/>
              <w:rPr>
                <w:sz w:val="18"/>
                <w:szCs w:val="18"/>
              </w:rPr>
            </w:pPr>
            <w:r w:rsidRPr="0056795A">
              <w:rPr>
                <w:sz w:val="18"/>
                <w:szCs w:val="18"/>
              </w:rPr>
              <w:t xml:space="preserve">Additional challenges identified in the 2012 Country Report, such as early school leavers, especially migrants and </w:t>
            </w:r>
          </w:p>
          <w:p w:rsidR="00584B95" w:rsidRPr="0056795A" w:rsidRDefault="00584B95" w:rsidP="00766B4F">
            <w:pPr>
              <w:jc w:val="left"/>
              <w:rPr>
                <w:sz w:val="18"/>
                <w:szCs w:val="18"/>
              </w:rPr>
            </w:pPr>
            <w:r w:rsidRPr="0056795A">
              <w:rPr>
                <w:sz w:val="18"/>
                <w:szCs w:val="18"/>
              </w:rPr>
              <w:t xml:space="preserve">coordination in the implementation of ESIF are  referred systematically in the CPP.        </w:t>
            </w:r>
          </w:p>
          <w:p w:rsidR="00584B95" w:rsidRPr="0056795A" w:rsidRDefault="00584B95" w:rsidP="00766B4F">
            <w:pPr>
              <w:jc w:val="left"/>
              <w:rPr>
                <w:sz w:val="18"/>
                <w:szCs w:val="18"/>
              </w:rPr>
            </w:pPr>
          </w:p>
        </w:tc>
        <w:tc>
          <w:tcPr>
            <w:tcW w:w="1151" w:type="pct"/>
            <w:vAlign w:val="center"/>
          </w:tcPr>
          <w:p w:rsidR="00584B95" w:rsidRPr="0056795A" w:rsidRDefault="00584B95" w:rsidP="00766B4F">
            <w:pPr>
              <w:jc w:val="left"/>
              <w:rPr>
                <w:sz w:val="18"/>
                <w:szCs w:val="18"/>
              </w:rPr>
            </w:pPr>
            <w:r w:rsidRPr="0056795A">
              <w:rPr>
                <w:sz w:val="18"/>
                <w:szCs w:val="18"/>
              </w:rPr>
              <w:t xml:space="preserve">The </w:t>
            </w:r>
            <w:r>
              <w:rPr>
                <w:sz w:val="18"/>
                <w:szCs w:val="18"/>
              </w:rPr>
              <w:t>CSR</w:t>
            </w:r>
            <w:r w:rsidRPr="0056795A">
              <w:rPr>
                <w:sz w:val="18"/>
                <w:szCs w:val="18"/>
              </w:rPr>
              <w:t xml:space="preserve"> concerning public service provision (2012 CSR 2.1) and wage setting (2012 CSR 5.2) have only an indirect role in the CPP.   </w:t>
            </w:r>
          </w:p>
        </w:tc>
        <w:tc>
          <w:tcPr>
            <w:tcW w:w="1054" w:type="pct"/>
            <w:vAlign w:val="center"/>
          </w:tcPr>
          <w:p w:rsidR="00584B95" w:rsidRPr="0056795A" w:rsidRDefault="00584B95" w:rsidP="00766B4F">
            <w:pPr>
              <w:jc w:val="left"/>
              <w:rPr>
                <w:rFonts w:eastAsia="Calibri"/>
                <w:sz w:val="18"/>
                <w:szCs w:val="18"/>
              </w:rPr>
            </w:pPr>
            <w:r w:rsidRPr="0056795A">
              <w:rPr>
                <w:rFonts w:eastAsia="Calibri"/>
                <w:sz w:val="18"/>
                <w:szCs w:val="18"/>
              </w:rPr>
              <w:t xml:space="preserve">The selection of priorities and measures within them are well in line with the </w:t>
            </w:r>
            <w:r>
              <w:rPr>
                <w:rFonts w:eastAsia="Calibri"/>
                <w:sz w:val="18"/>
                <w:szCs w:val="18"/>
              </w:rPr>
              <w:t>CSR</w:t>
            </w:r>
            <w:r w:rsidRPr="0056795A">
              <w:rPr>
                <w:rFonts w:eastAsia="Calibri"/>
                <w:sz w:val="18"/>
                <w:szCs w:val="18"/>
              </w:rPr>
              <w:t xml:space="preserve">, especially concerning labour market issues. In relation to competitiveness, innovation and sustainable use of resources there is also a link but the connection is weaker, partly because the </w:t>
            </w:r>
            <w:r>
              <w:rPr>
                <w:rFonts w:eastAsia="Calibri"/>
                <w:sz w:val="18"/>
                <w:szCs w:val="18"/>
              </w:rPr>
              <w:t>CSR</w:t>
            </w:r>
            <w:r w:rsidRPr="0056795A">
              <w:rPr>
                <w:rFonts w:eastAsia="Calibri"/>
                <w:sz w:val="18"/>
                <w:szCs w:val="18"/>
              </w:rPr>
              <w:t xml:space="preserve"> are quite general.</w:t>
            </w:r>
          </w:p>
        </w:tc>
        <w:tc>
          <w:tcPr>
            <w:tcW w:w="937" w:type="pct"/>
            <w:vAlign w:val="center"/>
          </w:tcPr>
          <w:p w:rsidR="00584B95" w:rsidRPr="0056795A" w:rsidRDefault="00584B95" w:rsidP="00766B4F">
            <w:pPr>
              <w:jc w:val="left"/>
              <w:rPr>
                <w:sz w:val="18"/>
                <w:szCs w:val="18"/>
              </w:rPr>
            </w:pPr>
            <w:r w:rsidRPr="0056795A">
              <w:rPr>
                <w:sz w:val="18"/>
                <w:szCs w:val="18"/>
              </w:rPr>
              <w:t>High alignment.</w:t>
            </w:r>
          </w:p>
          <w:p w:rsidR="00584B95" w:rsidRPr="0056795A" w:rsidRDefault="00584B95" w:rsidP="00766B4F">
            <w:pPr>
              <w:jc w:val="left"/>
              <w:rPr>
                <w:sz w:val="18"/>
                <w:szCs w:val="18"/>
              </w:rPr>
            </w:pPr>
            <w:r>
              <w:rPr>
                <w:sz w:val="18"/>
                <w:szCs w:val="18"/>
              </w:rPr>
              <w:t>CSR</w:t>
            </w:r>
            <w:r w:rsidRPr="0056795A">
              <w:rPr>
                <w:sz w:val="18"/>
                <w:szCs w:val="18"/>
              </w:rPr>
              <w:t xml:space="preserve"> have evidently supported the national analysis of actual challenges and the formulation of the priorities.</w:t>
            </w:r>
          </w:p>
          <w:p w:rsidR="00584B95" w:rsidRPr="0056795A" w:rsidRDefault="00584B95" w:rsidP="00766B4F">
            <w:pPr>
              <w:jc w:val="left"/>
              <w:rPr>
                <w:sz w:val="18"/>
                <w:szCs w:val="18"/>
              </w:rPr>
            </w:pPr>
            <w:r w:rsidRPr="0056795A">
              <w:rPr>
                <w:sz w:val="18"/>
                <w:szCs w:val="18"/>
              </w:rPr>
              <w:t>The connection is most clear in labour market issues (youth and long-term unemployment and ageing population).</w:t>
            </w:r>
          </w:p>
        </w:tc>
      </w:tr>
      <w:tr w:rsidR="00584B95" w:rsidRPr="0056795A" w:rsidTr="00766B4F">
        <w:tc>
          <w:tcPr>
            <w:tcW w:w="228" w:type="pct"/>
            <w:vAlign w:val="center"/>
          </w:tcPr>
          <w:p w:rsidR="00584B95" w:rsidRPr="0056795A" w:rsidRDefault="00584B95" w:rsidP="00766B4F">
            <w:pPr>
              <w:jc w:val="left"/>
              <w:rPr>
                <w:sz w:val="18"/>
                <w:szCs w:val="18"/>
              </w:rPr>
            </w:pPr>
            <w:r w:rsidRPr="0056795A">
              <w:rPr>
                <w:sz w:val="18"/>
                <w:szCs w:val="18"/>
              </w:rPr>
              <w:t>FR</w:t>
            </w:r>
          </w:p>
        </w:tc>
        <w:tc>
          <w:tcPr>
            <w:tcW w:w="863" w:type="pct"/>
            <w:vAlign w:val="center"/>
          </w:tcPr>
          <w:p w:rsidR="00584B95" w:rsidRPr="0056795A" w:rsidRDefault="00584B95" w:rsidP="00766B4F">
            <w:pPr>
              <w:jc w:val="left"/>
              <w:rPr>
                <w:sz w:val="18"/>
                <w:szCs w:val="18"/>
              </w:rPr>
            </w:pPr>
            <w:r w:rsidRPr="0056795A">
              <w:rPr>
                <w:sz w:val="18"/>
                <w:szCs w:val="18"/>
              </w:rPr>
              <w:t>The CPP does not refer systematically to the 2012 CSR challenges and expands on many issues untreated in CSR, particularly the specific problem of development of the outermost regions, and the issues of ICT, renewable energy, modernization of the Public employment service, the maritime economy, integrated urban development. The CSR cited in the CPP concern mainly the situation on the labour market (young difficulties, seniors, immigrants) and lifelong learning, which is very disappointing in France.</w:t>
            </w:r>
          </w:p>
        </w:tc>
        <w:tc>
          <w:tcPr>
            <w:tcW w:w="767" w:type="pct"/>
            <w:vAlign w:val="center"/>
          </w:tcPr>
          <w:p w:rsidR="00584B95" w:rsidRPr="0056795A" w:rsidRDefault="00584B95" w:rsidP="00766B4F">
            <w:pPr>
              <w:jc w:val="left"/>
              <w:rPr>
                <w:sz w:val="18"/>
                <w:szCs w:val="18"/>
              </w:rPr>
            </w:pPr>
            <w:r w:rsidRPr="0056795A">
              <w:rPr>
                <w:sz w:val="18"/>
                <w:szCs w:val="18"/>
              </w:rPr>
              <w:t>In part: the CPP addresses the challenge identified in the 2012 Country Report on reducing the poverty rate among particularly vulnerable segments, including non-EU nationals, people living in urban deprived areas or young people between 18 and 25 years old.</w:t>
            </w:r>
          </w:p>
        </w:tc>
        <w:tc>
          <w:tcPr>
            <w:tcW w:w="1151" w:type="pct"/>
            <w:vAlign w:val="center"/>
          </w:tcPr>
          <w:p w:rsidR="00584B95" w:rsidRPr="0056795A" w:rsidRDefault="00584B95" w:rsidP="00766B4F">
            <w:pPr>
              <w:jc w:val="left"/>
              <w:rPr>
                <w:sz w:val="18"/>
                <w:szCs w:val="18"/>
              </w:rPr>
            </w:pPr>
            <w:r w:rsidRPr="0056795A">
              <w:rPr>
                <w:sz w:val="18"/>
                <w:szCs w:val="18"/>
              </w:rPr>
              <w:t xml:space="preserve">Two 2012 CSR on electricity and gas (liberalisation of network industries) and on the impact of the cost of labour on competitiveness are not treated. Also a challenge emerging from the 2012 Country Report on improving the performance of the French ports, which are lagging behind in terms of performance, reliability and connections with the hinterland, is not covered. </w:t>
            </w:r>
          </w:p>
        </w:tc>
        <w:tc>
          <w:tcPr>
            <w:tcW w:w="1054" w:type="pct"/>
            <w:vAlign w:val="center"/>
          </w:tcPr>
          <w:p w:rsidR="00584B95" w:rsidRPr="0056795A" w:rsidRDefault="00584B95" w:rsidP="00766B4F">
            <w:pPr>
              <w:jc w:val="left"/>
              <w:rPr>
                <w:sz w:val="18"/>
                <w:szCs w:val="18"/>
              </w:rPr>
            </w:pPr>
            <w:r w:rsidRPr="0056795A">
              <w:rPr>
                <w:sz w:val="18"/>
                <w:szCs w:val="18"/>
              </w:rPr>
              <w:t xml:space="preserve">The selection of priorities and funding needs is somehow related to the recommendations made, in relation to the market of labour (position of young people, seniors, migrants), the fight against poverty and lifelong learning. However the link between </w:t>
            </w:r>
            <w:r>
              <w:rPr>
                <w:sz w:val="18"/>
                <w:szCs w:val="18"/>
              </w:rPr>
              <w:t>CSR</w:t>
            </w:r>
            <w:r w:rsidRPr="0056795A">
              <w:rPr>
                <w:sz w:val="18"/>
                <w:szCs w:val="18"/>
              </w:rPr>
              <w:t xml:space="preserve"> and CPP is not so clear concerning the factors able to enhance the competitiveness of the economy. The CPP is much more oriented on the needs to develop research and economic innovation.</w:t>
            </w:r>
          </w:p>
        </w:tc>
        <w:tc>
          <w:tcPr>
            <w:tcW w:w="937" w:type="pct"/>
            <w:vAlign w:val="center"/>
          </w:tcPr>
          <w:p w:rsidR="00584B95" w:rsidRPr="0056795A" w:rsidRDefault="00584B95" w:rsidP="00766B4F">
            <w:pPr>
              <w:jc w:val="left"/>
              <w:rPr>
                <w:sz w:val="18"/>
                <w:szCs w:val="18"/>
              </w:rPr>
            </w:pPr>
            <w:r w:rsidRPr="0056795A">
              <w:rPr>
                <w:sz w:val="18"/>
                <w:szCs w:val="18"/>
              </w:rPr>
              <w:t>Medium alignment.</w:t>
            </w:r>
          </w:p>
          <w:p w:rsidR="00584B95" w:rsidRPr="0056795A" w:rsidRDefault="00584B95" w:rsidP="00766B4F">
            <w:pPr>
              <w:jc w:val="left"/>
              <w:rPr>
                <w:sz w:val="18"/>
                <w:szCs w:val="18"/>
              </w:rPr>
            </w:pPr>
            <w:r w:rsidRPr="0056795A">
              <w:rPr>
                <w:sz w:val="18"/>
                <w:szCs w:val="18"/>
              </w:rPr>
              <w:t xml:space="preserve">The </w:t>
            </w:r>
            <w:r>
              <w:rPr>
                <w:sz w:val="18"/>
                <w:szCs w:val="18"/>
              </w:rPr>
              <w:t>CSR</w:t>
            </w:r>
            <w:r w:rsidRPr="0056795A">
              <w:rPr>
                <w:sz w:val="18"/>
                <w:szCs w:val="18"/>
              </w:rPr>
              <w:t xml:space="preserve"> play a central role about the situation of the market of labour (segmentation, difficulties for young people and seniors), about reduction of the poverty rate and about lifelong learning), </w:t>
            </w:r>
          </w:p>
          <w:p w:rsidR="00584B95" w:rsidRPr="0056795A" w:rsidRDefault="00584B95" w:rsidP="00766B4F">
            <w:pPr>
              <w:jc w:val="left"/>
              <w:rPr>
                <w:sz w:val="18"/>
                <w:szCs w:val="18"/>
              </w:rPr>
            </w:pPr>
            <w:r w:rsidRPr="0056795A">
              <w:rPr>
                <w:sz w:val="18"/>
                <w:szCs w:val="18"/>
              </w:rPr>
              <w:t xml:space="preserve">However, a wide range of structural reforms as it is proposed in the CPP are not captured by CSR. </w:t>
            </w:r>
          </w:p>
        </w:tc>
      </w:tr>
      <w:tr w:rsidR="00584B95" w:rsidRPr="0056795A" w:rsidTr="00766B4F">
        <w:tc>
          <w:tcPr>
            <w:tcW w:w="228" w:type="pct"/>
            <w:vAlign w:val="center"/>
          </w:tcPr>
          <w:p w:rsidR="00584B95" w:rsidRPr="0056795A" w:rsidRDefault="00584B95" w:rsidP="00766B4F">
            <w:pPr>
              <w:jc w:val="left"/>
              <w:rPr>
                <w:sz w:val="18"/>
                <w:szCs w:val="18"/>
              </w:rPr>
            </w:pPr>
            <w:r>
              <w:rPr>
                <w:sz w:val="18"/>
                <w:szCs w:val="18"/>
              </w:rPr>
              <w:t>GR</w:t>
            </w:r>
          </w:p>
        </w:tc>
        <w:tc>
          <w:tcPr>
            <w:tcW w:w="863" w:type="pct"/>
            <w:vAlign w:val="center"/>
          </w:tcPr>
          <w:p w:rsidR="00584B95" w:rsidRPr="00E00E73" w:rsidRDefault="00584B95" w:rsidP="00766B4F">
            <w:pPr>
              <w:jc w:val="left"/>
              <w:rPr>
                <w:sz w:val="18"/>
                <w:szCs w:val="18"/>
              </w:rPr>
            </w:pPr>
            <w:r w:rsidRPr="007207FB">
              <w:rPr>
                <w:sz w:val="18"/>
                <w:szCs w:val="18"/>
              </w:rPr>
              <w:t>The CPP was published in November 2012, therefore th</w:t>
            </w:r>
            <w:r>
              <w:rPr>
                <w:sz w:val="18"/>
                <w:szCs w:val="18"/>
              </w:rPr>
              <w:t>e</w:t>
            </w:r>
            <w:r w:rsidRPr="007207FB">
              <w:rPr>
                <w:sz w:val="18"/>
                <w:szCs w:val="18"/>
              </w:rPr>
              <w:t xml:space="preserve"> analysis focused on 2012 structural challenges identified in the MOU and in the C</w:t>
            </w:r>
            <w:r>
              <w:rPr>
                <w:sz w:val="18"/>
                <w:szCs w:val="18"/>
              </w:rPr>
              <w:t xml:space="preserve">ountry </w:t>
            </w:r>
            <w:r w:rsidRPr="007207FB">
              <w:rPr>
                <w:sz w:val="18"/>
                <w:szCs w:val="18"/>
              </w:rPr>
              <w:t>R</w:t>
            </w:r>
            <w:r>
              <w:rPr>
                <w:sz w:val="18"/>
                <w:szCs w:val="18"/>
              </w:rPr>
              <w:t>eport.</w:t>
            </w:r>
            <w:r w:rsidRPr="007207FB">
              <w:rPr>
                <w:sz w:val="18"/>
                <w:szCs w:val="18"/>
              </w:rPr>
              <w:t xml:space="preserve"> </w:t>
            </w:r>
          </w:p>
        </w:tc>
        <w:tc>
          <w:tcPr>
            <w:tcW w:w="767" w:type="pct"/>
            <w:vAlign w:val="center"/>
          </w:tcPr>
          <w:p w:rsidR="00584B95" w:rsidRDefault="00584B95" w:rsidP="00766B4F">
            <w:pPr>
              <w:jc w:val="left"/>
              <w:rPr>
                <w:sz w:val="18"/>
                <w:szCs w:val="18"/>
              </w:rPr>
            </w:pPr>
            <w:r w:rsidRPr="007207FB">
              <w:rPr>
                <w:sz w:val="18"/>
                <w:szCs w:val="18"/>
              </w:rPr>
              <w:t>A thorough coverage of the challenges, also with explicit references, appears in Section 2 (“Priorities of funding”)</w:t>
            </w:r>
            <w:r>
              <w:rPr>
                <w:sz w:val="18"/>
                <w:szCs w:val="18"/>
              </w:rPr>
              <w:t>.</w:t>
            </w:r>
            <w:r w:rsidRPr="007207FB">
              <w:rPr>
                <w:sz w:val="18"/>
                <w:szCs w:val="18"/>
              </w:rPr>
              <w:t xml:space="preserve"> Challenges are in most cases addressed explicitly in the document, with the exception of 2012 MOU 6.1, 9.1, 10.1 and 2012 CR 1.1, which are referenced both implicitly and explicitly.</w:t>
            </w:r>
          </w:p>
        </w:tc>
        <w:tc>
          <w:tcPr>
            <w:tcW w:w="1151" w:type="pct"/>
            <w:vAlign w:val="center"/>
          </w:tcPr>
          <w:p w:rsidR="00584B95" w:rsidRDefault="00584B95" w:rsidP="00766B4F">
            <w:pPr>
              <w:jc w:val="left"/>
              <w:rPr>
                <w:sz w:val="18"/>
                <w:szCs w:val="18"/>
              </w:rPr>
            </w:pPr>
            <w:r>
              <w:rPr>
                <w:sz w:val="18"/>
                <w:szCs w:val="18"/>
              </w:rPr>
              <w:t>Only t</w:t>
            </w:r>
            <w:r w:rsidRPr="007207FB">
              <w:rPr>
                <w:sz w:val="18"/>
                <w:szCs w:val="18"/>
              </w:rPr>
              <w:t xml:space="preserve">he challenge related to wage setting (wage in line with productivity; minimum wage) is not mentioned </w:t>
            </w:r>
            <w:r>
              <w:rPr>
                <w:sz w:val="18"/>
                <w:szCs w:val="18"/>
              </w:rPr>
              <w:t>(2012 Mo</w:t>
            </w:r>
            <w:r w:rsidRPr="007207FB">
              <w:rPr>
                <w:sz w:val="18"/>
                <w:szCs w:val="18"/>
              </w:rPr>
              <w:t>U 8.1).</w:t>
            </w:r>
          </w:p>
        </w:tc>
        <w:tc>
          <w:tcPr>
            <w:tcW w:w="1054" w:type="pct"/>
            <w:vAlign w:val="center"/>
          </w:tcPr>
          <w:p w:rsidR="00584B95" w:rsidRDefault="00584B95" w:rsidP="00766B4F">
            <w:pPr>
              <w:jc w:val="left"/>
              <w:rPr>
                <w:sz w:val="18"/>
                <w:szCs w:val="18"/>
              </w:rPr>
            </w:pPr>
            <w:r>
              <w:rPr>
                <w:sz w:val="18"/>
                <w:szCs w:val="18"/>
              </w:rPr>
              <w:t>T</w:t>
            </w:r>
            <w:r w:rsidRPr="007207FB">
              <w:rPr>
                <w:sz w:val="18"/>
                <w:szCs w:val="18"/>
              </w:rPr>
              <w:t>he CPP states that “</w:t>
            </w:r>
            <w:r>
              <w:rPr>
                <w:sz w:val="18"/>
                <w:szCs w:val="18"/>
              </w:rPr>
              <w:t>e</w:t>
            </w:r>
            <w:r w:rsidRPr="007207FB">
              <w:rPr>
                <w:sz w:val="18"/>
                <w:szCs w:val="18"/>
              </w:rPr>
              <w:t>ach fund should give priority, when relevant, to policy areas as identified in the C</w:t>
            </w:r>
            <w:r>
              <w:rPr>
                <w:sz w:val="18"/>
                <w:szCs w:val="18"/>
              </w:rPr>
              <w:t>SR</w:t>
            </w:r>
            <w:r w:rsidRPr="007207FB">
              <w:rPr>
                <w:sz w:val="18"/>
                <w:szCs w:val="18"/>
              </w:rPr>
              <w:t xml:space="preserve">/MoU, the Europe 2020 commitments and the </w:t>
            </w:r>
            <w:r>
              <w:rPr>
                <w:sz w:val="18"/>
                <w:szCs w:val="18"/>
              </w:rPr>
              <w:t>NRP</w:t>
            </w:r>
            <w:r w:rsidRPr="007207FB">
              <w:rPr>
                <w:sz w:val="18"/>
                <w:szCs w:val="18"/>
              </w:rPr>
              <w:t>”.</w:t>
            </w:r>
            <w:r>
              <w:rPr>
                <w:sz w:val="18"/>
                <w:szCs w:val="18"/>
              </w:rPr>
              <w:t xml:space="preserve"> </w:t>
            </w:r>
            <w:r w:rsidRPr="007207FB">
              <w:rPr>
                <w:sz w:val="18"/>
                <w:szCs w:val="18"/>
              </w:rPr>
              <w:t xml:space="preserve">The CPP </w:t>
            </w:r>
            <w:r>
              <w:rPr>
                <w:sz w:val="18"/>
                <w:szCs w:val="18"/>
              </w:rPr>
              <w:t>is more comprehensive than the MoU as the latter does not highlight include</w:t>
            </w:r>
            <w:r w:rsidRPr="007207FB">
              <w:rPr>
                <w:sz w:val="18"/>
                <w:szCs w:val="18"/>
              </w:rPr>
              <w:t xml:space="preserve"> challenges </w:t>
            </w:r>
            <w:r>
              <w:rPr>
                <w:sz w:val="18"/>
                <w:szCs w:val="18"/>
              </w:rPr>
              <w:t xml:space="preserve">related to </w:t>
            </w:r>
            <w:r w:rsidRPr="007207FB">
              <w:rPr>
                <w:sz w:val="18"/>
                <w:szCs w:val="18"/>
              </w:rPr>
              <w:t>issues that are expected to play a pivotal role in the revival of Greek economy and for which fundi</w:t>
            </w:r>
            <w:r>
              <w:rPr>
                <w:sz w:val="18"/>
                <w:szCs w:val="18"/>
              </w:rPr>
              <w:t xml:space="preserve">ng will be needed (e.g. </w:t>
            </w:r>
            <w:r w:rsidRPr="007207FB">
              <w:rPr>
                <w:sz w:val="18"/>
                <w:szCs w:val="18"/>
              </w:rPr>
              <w:t>creation of new financial instruments</w:t>
            </w:r>
            <w:r>
              <w:rPr>
                <w:sz w:val="18"/>
                <w:szCs w:val="18"/>
              </w:rPr>
              <w:t xml:space="preserve">, </w:t>
            </w:r>
            <w:r w:rsidRPr="007207FB">
              <w:rPr>
                <w:sz w:val="18"/>
                <w:szCs w:val="18"/>
              </w:rPr>
              <w:t>promotion of collaboration between universities and the business sector</w:t>
            </w:r>
            <w:r>
              <w:rPr>
                <w:sz w:val="18"/>
                <w:szCs w:val="18"/>
              </w:rPr>
              <w:t xml:space="preserve">, </w:t>
            </w:r>
            <w:r w:rsidRPr="007207FB">
              <w:rPr>
                <w:sz w:val="18"/>
                <w:szCs w:val="18"/>
              </w:rPr>
              <w:t>innovation</w:t>
            </w:r>
            <w:r>
              <w:rPr>
                <w:sz w:val="18"/>
                <w:szCs w:val="18"/>
              </w:rPr>
              <w:t xml:space="preserve"> and </w:t>
            </w:r>
            <w:r w:rsidRPr="007207FB">
              <w:rPr>
                <w:sz w:val="18"/>
                <w:szCs w:val="18"/>
              </w:rPr>
              <w:t>ICT infrastructure</w:t>
            </w:r>
            <w:r>
              <w:rPr>
                <w:sz w:val="18"/>
                <w:szCs w:val="18"/>
              </w:rPr>
              <w:t xml:space="preserve">, </w:t>
            </w:r>
            <w:r w:rsidRPr="007207FB">
              <w:rPr>
                <w:sz w:val="18"/>
                <w:szCs w:val="18"/>
              </w:rPr>
              <w:t>measures to combat youth unemployment</w:t>
            </w:r>
            <w:r>
              <w:rPr>
                <w:sz w:val="18"/>
                <w:szCs w:val="18"/>
              </w:rPr>
              <w:t xml:space="preserve">, </w:t>
            </w:r>
            <w:r w:rsidRPr="007207FB">
              <w:rPr>
                <w:sz w:val="18"/>
                <w:szCs w:val="18"/>
              </w:rPr>
              <w:t>water/waste efficiency</w:t>
            </w:r>
            <w:r>
              <w:rPr>
                <w:sz w:val="18"/>
                <w:szCs w:val="18"/>
              </w:rPr>
              <w:t>)</w:t>
            </w:r>
            <w:r w:rsidRPr="007207FB">
              <w:rPr>
                <w:sz w:val="18"/>
                <w:szCs w:val="18"/>
              </w:rPr>
              <w:t>.</w:t>
            </w:r>
          </w:p>
        </w:tc>
        <w:tc>
          <w:tcPr>
            <w:tcW w:w="937" w:type="pct"/>
            <w:vAlign w:val="center"/>
          </w:tcPr>
          <w:p w:rsidR="00584B95" w:rsidRDefault="00584B95" w:rsidP="00766B4F">
            <w:pPr>
              <w:jc w:val="left"/>
              <w:rPr>
                <w:sz w:val="18"/>
                <w:szCs w:val="18"/>
              </w:rPr>
            </w:pPr>
            <w:r>
              <w:rPr>
                <w:sz w:val="18"/>
                <w:szCs w:val="18"/>
              </w:rPr>
              <w:t>Medium alignment.</w:t>
            </w:r>
          </w:p>
          <w:p w:rsidR="00584B95" w:rsidRDefault="00584B95" w:rsidP="00766B4F">
            <w:pPr>
              <w:jc w:val="left"/>
              <w:rPr>
                <w:sz w:val="18"/>
                <w:szCs w:val="18"/>
              </w:rPr>
            </w:pPr>
            <w:r w:rsidRPr="007207FB">
              <w:rPr>
                <w:sz w:val="18"/>
                <w:szCs w:val="18"/>
              </w:rPr>
              <w:t>The CPP sets out the key specific challenges for Greece and there is an explicit or implicit reference to the majority of challenges.</w:t>
            </w:r>
          </w:p>
        </w:tc>
      </w:tr>
      <w:tr w:rsidR="00584B95" w:rsidRPr="0056795A" w:rsidTr="00766B4F">
        <w:tc>
          <w:tcPr>
            <w:tcW w:w="228" w:type="pct"/>
            <w:vAlign w:val="center"/>
          </w:tcPr>
          <w:p w:rsidR="00584B95" w:rsidRPr="0056795A" w:rsidRDefault="00584B95" w:rsidP="00766B4F">
            <w:pPr>
              <w:jc w:val="left"/>
              <w:rPr>
                <w:sz w:val="18"/>
                <w:szCs w:val="18"/>
              </w:rPr>
            </w:pPr>
            <w:r w:rsidRPr="0056795A">
              <w:rPr>
                <w:sz w:val="18"/>
                <w:szCs w:val="18"/>
              </w:rPr>
              <w:t>HR</w:t>
            </w:r>
          </w:p>
        </w:tc>
        <w:tc>
          <w:tcPr>
            <w:tcW w:w="863" w:type="pct"/>
            <w:vAlign w:val="center"/>
          </w:tcPr>
          <w:p w:rsidR="00584B95" w:rsidRPr="0056795A" w:rsidRDefault="00584B95" w:rsidP="00766B4F">
            <w:pPr>
              <w:jc w:val="left"/>
              <w:rPr>
                <w:sz w:val="18"/>
                <w:szCs w:val="18"/>
              </w:rPr>
            </w:pPr>
            <w:r w:rsidRPr="00E00E73">
              <w:rPr>
                <w:sz w:val="18"/>
                <w:szCs w:val="18"/>
              </w:rPr>
              <w:t>Croatia has become a full Member of the European Union on 1st July 2013. It took part in the 2013 European Semester on a voluntary and informal basis. The CPP was published in December 2013</w:t>
            </w:r>
            <w:r>
              <w:rPr>
                <w:sz w:val="18"/>
                <w:szCs w:val="18"/>
              </w:rPr>
              <w:t xml:space="preserve"> and this </w:t>
            </w:r>
            <w:r w:rsidRPr="00E00E73">
              <w:rPr>
                <w:sz w:val="18"/>
                <w:szCs w:val="18"/>
              </w:rPr>
              <w:t xml:space="preserve">analysis is focused on 2013 </w:t>
            </w:r>
            <w:r>
              <w:rPr>
                <w:sz w:val="18"/>
                <w:szCs w:val="18"/>
              </w:rPr>
              <w:t>S</w:t>
            </w:r>
            <w:r w:rsidRPr="00E00E73">
              <w:rPr>
                <w:sz w:val="18"/>
                <w:szCs w:val="18"/>
              </w:rPr>
              <w:t xml:space="preserve">tructural </w:t>
            </w:r>
            <w:r>
              <w:rPr>
                <w:sz w:val="18"/>
                <w:szCs w:val="18"/>
              </w:rPr>
              <w:t>C</w:t>
            </w:r>
            <w:r w:rsidRPr="00E00E73">
              <w:rPr>
                <w:sz w:val="18"/>
                <w:szCs w:val="18"/>
              </w:rPr>
              <w:t>hallenges</w:t>
            </w:r>
            <w:r>
              <w:rPr>
                <w:sz w:val="18"/>
                <w:szCs w:val="18"/>
              </w:rPr>
              <w:t xml:space="preserve"> identified in the Country Report.</w:t>
            </w:r>
          </w:p>
        </w:tc>
        <w:tc>
          <w:tcPr>
            <w:tcW w:w="767" w:type="pct"/>
            <w:vAlign w:val="center"/>
          </w:tcPr>
          <w:p w:rsidR="00584B95" w:rsidRPr="0056795A" w:rsidRDefault="00584B95" w:rsidP="00766B4F">
            <w:pPr>
              <w:jc w:val="left"/>
              <w:rPr>
                <w:sz w:val="18"/>
                <w:szCs w:val="18"/>
              </w:rPr>
            </w:pPr>
            <w:r>
              <w:rPr>
                <w:sz w:val="18"/>
                <w:szCs w:val="18"/>
              </w:rPr>
              <w:t>S</w:t>
            </w:r>
            <w:r w:rsidRPr="00E00E73">
              <w:rPr>
                <w:sz w:val="18"/>
                <w:szCs w:val="18"/>
              </w:rPr>
              <w:t>tructural challenges</w:t>
            </w:r>
            <w:r>
              <w:rPr>
                <w:sz w:val="18"/>
                <w:szCs w:val="18"/>
              </w:rPr>
              <w:t xml:space="preserve"> identified in the 2013 Country Report</w:t>
            </w:r>
            <w:r w:rsidRPr="00E00E73">
              <w:rPr>
                <w:sz w:val="18"/>
                <w:szCs w:val="18"/>
              </w:rPr>
              <w:t xml:space="preserve"> are recalled in all sections throughout the document. Section 1 (Main challenges) and Section 2 (Funding priorities) cover all </w:t>
            </w:r>
            <w:r>
              <w:rPr>
                <w:sz w:val="18"/>
                <w:szCs w:val="18"/>
              </w:rPr>
              <w:t>challenges, except one,</w:t>
            </w:r>
            <w:r w:rsidRPr="00E00E73">
              <w:rPr>
                <w:sz w:val="18"/>
                <w:szCs w:val="18"/>
              </w:rPr>
              <w:t xml:space="preserve"> implicitly</w:t>
            </w:r>
            <w:r>
              <w:rPr>
                <w:sz w:val="18"/>
                <w:szCs w:val="18"/>
              </w:rPr>
              <w:t xml:space="preserve"> (i.e. without quoting the report directly)</w:t>
            </w:r>
            <w:r w:rsidRPr="00E00E73">
              <w:rPr>
                <w:sz w:val="18"/>
                <w:szCs w:val="18"/>
              </w:rPr>
              <w:t>. The only exception being wage setting 17.1 Country report 2013 which was not mentioned in the CPP document at all.</w:t>
            </w:r>
          </w:p>
        </w:tc>
        <w:tc>
          <w:tcPr>
            <w:tcW w:w="1151" w:type="pct"/>
            <w:vAlign w:val="center"/>
          </w:tcPr>
          <w:p w:rsidR="00584B95" w:rsidRPr="0056795A" w:rsidRDefault="00584B95" w:rsidP="00766B4F">
            <w:pPr>
              <w:jc w:val="left"/>
              <w:rPr>
                <w:sz w:val="18"/>
                <w:szCs w:val="18"/>
              </w:rPr>
            </w:pPr>
            <w:r>
              <w:rPr>
                <w:sz w:val="18"/>
                <w:szCs w:val="18"/>
              </w:rPr>
              <w:t xml:space="preserve">A </w:t>
            </w:r>
            <w:r w:rsidRPr="00E00E73">
              <w:rPr>
                <w:sz w:val="18"/>
                <w:szCs w:val="18"/>
              </w:rPr>
              <w:t>201</w:t>
            </w:r>
            <w:r>
              <w:rPr>
                <w:sz w:val="18"/>
                <w:szCs w:val="18"/>
              </w:rPr>
              <w:t xml:space="preserve">2challenge concerning the alignment of wage with productivity is not addressed. </w:t>
            </w:r>
          </w:p>
        </w:tc>
        <w:tc>
          <w:tcPr>
            <w:tcW w:w="1054" w:type="pct"/>
            <w:vAlign w:val="center"/>
          </w:tcPr>
          <w:p w:rsidR="00584B95" w:rsidRPr="0056795A" w:rsidRDefault="00584B95" w:rsidP="00766B4F">
            <w:pPr>
              <w:jc w:val="left"/>
              <w:rPr>
                <w:sz w:val="18"/>
                <w:szCs w:val="18"/>
              </w:rPr>
            </w:pPr>
            <w:r>
              <w:rPr>
                <w:sz w:val="18"/>
                <w:szCs w:val="18"/>
              </w:rPr>
              <w:t xml:space="preserve">Significant role of the Semester. </w:t>
            </w:r>
            <w:r w:rsidRPr="00E00E73">
              <w:rPr>
                <w:sz w:val="18"/>
                <w:szCs w:val="18"/>
              </w:rPr>
              <w:t xml:space="preserve">In the introductory chapter it is stated that the ESI funds will serve as an effective means  to support the implementation of the Country Specific Recommendations </w:t>
            </w:r>
            <w:r>
              <w:rPr>
                <w:sz w:val="18"/>
                <w:szCs w:val="18"/>
              </w:rPr>
              <w:t>(</w:t>
            </w:r>
            <w:r w:rsidRPr="00E00E73">
              <w:rPr>
                <w:sz w:val="18"/>
                <w:szCs w:val="18"/>
              </w:rPr>
              <w:t xml:space="preserve">issued </w:t>
            </w:r>
            <w:r>
              <w:rPr>
                <w:sz w:val="18"/>
                <w:szCs w:val="18"/>
              </w:rPr>
              <w:t>since 2014 in the case of Croatia)</w:t>
            </w:r>
            <w:r w:rsidRPr="00E00E73">
              <w:rPr>
                <w:sz w:val="18"/>
                <w:szCs w:val="18"/>
              </w:rPr>
              <w:t>.</w:t>
            </w:r>
          </w:p>
        </w:tc>
        <w:tc>
          <w:tcPr>
            <w:tcW w:w="937" w:type="pct"/>
            <w:vAlign w:val="center"/>
          </w:tcPr>
          <w:p w:rsidR="00584B95" w:rsidRDefault="00584B95" w:rsidP="00766B4F">
            <w:pPr>
              <w:jc w:val="left"/>
              <w:rPr>
                <w:sz w:val="18"/>
                <w:szCs w:val="18"/>
              </w:rPr>
            </w:pPr>
            <w:r>
              <w:rPr>
                <w:sz w:val="18"/>
                <w:szCs w:val="18"/>
              </w:rPr>
              <w:t xml:space="preserve">High alignment. </w:t>
            </w:r>
          </w:p>
          <w:p w:rsidR="00584B95" w:rsidRPr="00E00E73" w:rsidRDefault="00584B95" w:rsidP="00766B4F">
            <w:pPr>
              <w:jc w:val="left"/>
              <w:rPr>
                <w:sz w:val="18"/>
                <w:szCs w:val="18"/>
              </w:rPr>
            </w:pPr>
            <w:r w:rsidRPr="00E00E73">
              <w:rPr>
                <w:sz w:val="18"/>
                <w:szCs w:val="18"/>
              </w:rPr>
              <w:t xml:space="preserve">The CPP document outlines the key challenges Croatia is facing. </w:t>
            </w:r>
          </w:p>
          <w:p w:rsidR="00584B95" w:rsidRPr="0056795A" w:rsidRDefault="00584B95" w:rsidP="00766B4F">
            <w:pPr>
              <w:jc w:val="left"/>
              <w:rPr>
                <w:sz w:val="18"/>
                <w:szCs w:val="18"/>
              </w:rPr>
            </w:pPr>
            <w:r w:rsidRPr="00E00E73">
              <w:rPr>
                <w:sz w:val="18"/>
                <w:szCs w:val="18"/>
              </w:rPr>
              <w:t>Although the 2013 Country Report is not mentioned in the CPP there is a clear coherence between the recommendations there and t</w:t>
            </w:r>
            <w:r>
              <w:rPr>
                <w:sz w:val="18"/>
                <w:szCs w:val="18"/>
              </w:rPr>
              <w:t>he challenges raised in the CPP.</w:t>
            </w:r>
            <w:r w:rsidRPr="00E00E73">
              <w:rPr>
                <w:sz w:val="18"/>
                <w:szCs w:val="18"/>
              </w:rPr>
              <w:t xml:space="preserve"> </w:t>
            </w:r>
          </w:p>
        </w:tc>
      </w:tr>
      <w:tr w:rsidR="00584B95" w:rsidRPr="0056795A" w:rsidTr="00766B4F">
        <w:tc>
          <w:tcPr>
            <w:tcW w:w="228" w:type="pct"/>
            <w:vAlign w:val="center"/>
          </w:tcPr>
          <w:p w:rsidR="00584B95" w:rsidRPr="0056795A" w:rsidRDefault="00584B95" w:rsidP="00766B4F">
            <w:pPr>
              <w:jc w:val="left"/>
              <w:rPr>
                <w:sz w:val="18"/>
                <w:szCs w:val="18"/>
              </w:rPr>
            </w:pPr>
            <w:r w:rsidRPr="0056795A">
              <w:rPr>
                <w:sz w:val="18"/>
                <w:szCs w:val="18"/>
              </w:rPr>
              <w:t>HU</w:t>
            </w:r>
          </w:p>
        </w:tc>
        <w:tc>
          <w:tcPr>
            <w:tcW w:w="863" w:type="pct"/>
            <w:vAlign w:val="center"/>
          </w:tcPr>
          <w:p w:rsidR="00584B95" w:rsidRPr="0056795A" w:rsidRDefault="00584B95" w:rsidP="00766B4F">
            <w:pPr>
              <w:jc w:val="left"/>
              <w:rPr>
                <w:sz w:val="18"/>
                <w:szCs w:val="18"/>
              </w:rPr>
            </w:pPr>
            <w:r w:rsidRPr="0056795A">
              <w:rPr>
                <w:sz w:val="18"/>
                <w:szCs w:val="18"/>
              </w:rPr>
              <w:t xml:space="preserve">In the first four sections of the CPP, the challenges raised in 2012 CSR are all addressed in an implicit way. In Annex B of the document the 11 TOs are paired with the relevant </w:t>
            </w:r>
            <w:r>
              <w:rPr>
                <w:sz w:val="18"/>
                <w:szCs w:val="18"/>
              </w:rPr>
              <w:t>CSR</w:t>
            </w:r>
            <w:r w:rsidRPr="0056795A">
              <w:rPr>
                <w:sz w:val="18"/>
                <w:szCs w:val="18"/>
              </w:rPr>
              <w:t xml:space="preserve"> which are quoted explicitly.</w:t>
            </w:r>
          </w:p>
          <w:p w:rsidR="00584B95" w:rsidRPr="0056795A" w:rsidRDefault="00584B95" w:rsidP="00766B4F">
            <w:pPr>
              <w:jc w:val="left"/>
              <w:rPr>
                <w:sz w:val="18"/>
                <w:szCs w:val="18"/>
              </w:rPr>
            </w:pPr>
          </w:p>
          <w:p w:rsidR="00584B95" w:rsidRPr="0056795A" w:rsidRDefault="00584B95" w:rsidP="00766B4F">
            <w:pPr>
              <w:jc w:val="left"/>
              <w:rPr>
                <w:sz w:val="18"/>
                <w:szCs w:val="18"/>
              </w:rPr>
            </w:pPr>
          </w:p>
        </w:tc>
        <w:tc>
          <w:tcPr>
            <w:tcW w:w="767" w:type="pct"/>
            <w:vAlign w:val="center"/>
          </w:tcPr>
          <w:p w:rsidR="00584B95" w:rsidRPr="0056795A" w:rsidRDefault="00584B95" w:rsidP="00766B4F">
            <w:pPr>
              <w:jc w:val="left"/>
              <w:rPr>
                <w:sz w:val="18"/>
                <w:szCs w:val="18"/>
              </w:rPr>
            </w:pPr>
            <w:r w:rsidRPr="0056795A">
              <w:rPr>
                <w:sz w:val="18"/>
                <w:szCs w:val="18"/>
              </w:rPr>
              <w:t xml:space="preserve">In addition to the challenges captured by the CSR, the 2012 Country Report highlights a challenge on resource efficiency, waste management, which is addressed in the CPP. </w:t>
            </w:r>
          </w:p>
        </w:tc>
        <w:tc>
          <w:tcPr>
            <w:tcW w:w="1151" w:type="pct"/>
            <w:vAlign w:val="center"/>
          </w:tcPr>
          <w:p w:rsidR="00584B95" w:rsidRPr="0056795A" w:rsidRDefault="00584B95" w:rsidP="00766B4F">
            <w:pPr>
              <w:jc w:val="left"/>
              <w:rPr>
                <w:sz w:val="18"/>
                <w:szCs w:val="18"/>
              </w:rPr>
            </w:pPr>
            <w:r w:rsidRPr="0056795A">
              <w:rPr>
                <w:sz w:val="18"/>
                <w:szCs w:val="18"/>
              </w:rPr>
              <w:t xml:space="preserve">All cohesion relevant 2012 </w:t>
            </w:r>
            <w:r>
              <w:rPr>
                <w:sz w:val="18"/>
                <w:szCs w:val="18"/>
              </w:rPr>
              <w:t>CSR</w:t>
            </w:r>
            <w:r w:rsidRPr="0056795A">
              <w:rPr>
                <w:sz w:val="18"/>
                <w:szCs w:val="18"/>
              </w:rPr>
              <w:t xml:space="preserve"> are addressed. Moreover, the documents reads “The </w:t>
            </w:r>
            <w:r>
              <w:rPr>
                <w:sz w:val="18"/>
                <w:szCs w:val="18"/>
              </w:rPr>
              <w:t>CSR</w:t>
            </w:r>
            <w:r w:rsidRPr="0056795A">
              <w:rPr>
                <w:sz w:val="18"/>
                <w:szCs w:val="18"/>
              </w:rPr>
              <w:t xml:space="preserve"> addressing fiscal and budgetary policy are of relevance as all projects carried out in the context of CSF funds have a secondary fiscal effect. The other five </w:t>
            </w:r>
            <w:r>
              <w:rPr>
                <w:sz w:val="18"/>
                <w:szCs w:val="18"/>
              </w:rPr>
              <w:t>CSR</w:t>
            </w:r>
            <w:r w:rsidRPr="0056795A">
              <w:rPr>
                <w:sz w:val="18"/>
                <w:szCs w:val="18"/>
              </w:rPr>
              <w:t xml:space="preserve"> have a more direct link with the CSF funds as these include participation of women and disadvantaged groups, strengthening the capacity of the Public Employment Service and inclusion of vulnerable groups. They also focus on the quality of availability of child-care facilities, as well as the need for innovation-friendly business environment, cost-efficiency in public transport, and energy-related measures.”</w:t>
            </w:r>
          </w:p>
        </w:tc>
        <w:tc>
          <w:tcPr>
            <w:tcW w:w="1054" w:type="pct"/>
            <w:vAlign w:val="center"/>
          </w:tcPr>
          <w:p w:rsidR="00584B95" w:rsidRPr="0056795A" w:rsidRDefault="00584B95" w:rsidP="00766B4F">
            <w:pPr>
              <w:jc w:val="left"/>
              <w:rPr>
                <w:sz w:val="18"/>
                <w:szCs w:val="18"/>
              </w:rPr>
            </w:pPr>
            <w:r w:rsidRPr="0056795A">
              <w:rPr>
                <w:sz w:val="18"/>
                <w:szCs w:val="18"/>
              </w:rPr>
              <w:t xml:space="preserve">Central role. </w:t>
            </w:r>
          </w:p>
          <w:p w:rsidR="00584B95" w:rsidRPr="0056795A" w:rsidRDefault="00584B95" w:rsidP="00766B4F">
            <w:pPr>
              <w:jc w:val="left"/>
              <w:rPr>
                <w:sz w:val="18"/>
                <w:szCs w:val="18"/>
              </w:rPr>
            </w:pPr>
            <w:r w:rsidRPr="0056795A">
              <w:rPr>
                <w:sz w:val="18"/>
                <w:szCs w:val="18"/>
              </w:rPr>
              <w:t>The CPP highlights that the CSF serve as an effective means to support the implementation of the CSR issued in the context of the European Semester.</w:t>
            </w:r>
          </w:p>
          <w:p w:rsidR="00584B95" w:rsidRPr="0056795A" w:rsidRDefault="00584B95" w:rsidP="00766B4F">
            <w:pPr>
              <w:jc w:val="left"/>
              <w:rPr>
                <w:sz w:val="18"/>
                <w:szCs w:val="18"/>
              </w:rPr>
            </w:pPr>
            <w:r w:rsidRPr="0056795A">
              <w:rPr>
                <w:sz w:val="18"/>
                <w:szCs w:val="18"/>
              </w:rPr>
              <w:t>In the funding priorities section the document mentions four complementary and mutually reinforcing funding priorities, which were proposed in line with the CSR. This section refers to Annex B, where the TOs are linked directly to the specific funding areas, and indirectly to the CSR.</w:t>
            </w:r>
          </w:p>
        </w:tc>
        <w:tc>
          <w:tcPr>
            <w:tcW w:w="937" w:type="pct"/>
            <w:vAlign w:val="center"/>
          </w:tcPr>
          <w:p w:rsidR="00584B95" w:rsidRPr="0056795A" w:rsidRDefault="00584B95" w:rsidP="00766B4F">
            <w:pPr>
              <w:jc w:val="left"/>
              <w:rPr>
                <w:sz w:val="18"/>
                <w:szCs w:val="18"/>
              </w:rPr>
            </w:pPr>
            <w:r w:rsidRPr="0056795A">
              <w:rPr>
                <w:sz w:val="18"/>
                <w:szCs w:val="18"/>
              </w:rPr>
              <w:t xml:space="preserve">High alignment. </w:t>
            </w:r>
          </w:p>
          <w:p w:rsidR="00584B95" w:rsidRPr="0056795A" w:rsidRDefault="00584B95" w:rsidP="00766B4F">
            <w:pPr>
              <w:jc w:val="left"/>
              <w:rPr>
                <w:sz w:val="18"/>
                <w:szCs w:val="18"/>
              </w:rPr>
            </w:pPr>
            <w:r w:rsidRPr="0056795A">
              <w:rPr>
                <w:sz w:val="18"/>
                <w:szCs w:val="18"/>
              </w:rPr>
              <w:t xml:space="preserve">The Semester played a central role in the document, as the funding priorities strongly overlap with the CSR and other structural challenges from the Country Report. </w:t>
            </w:r>
          </w:p>
        </w:tc>
      </w:tr>
      <w:tr w:rsidR="00584B95" w:rsidRPr="0056795A" w:rsidTr="00766B4F">
        <w:tc>
          <w:tcPr>
            <w:tcW w:w="228" w:type="pct"/>
            <w:vAlign w:val="center"/>
          </w:tcPr>
          <w:p w:rsidR="00584B95" w:rsidRPr="0056795A" w:rsidRDefault="00584B95" w:rsidP="00766B4F">
            <w:pPr>
              <w:jc w:val="left"/>
              <w:rPr>
                <w:sz w:val="18"/>
                <w:szCs w:val="18"/>
              </w:rPr>
            </w:pPr>
            <w:r w:rsidRPr="0056795A">
              <w:rPr>
                <w:sz w:val="18"/>
                <w:szCs w:val="18"/>
              </w:rPr>
              <w:t>IE</w:t>
            </w:r>
          </w:p>
        </w:tc>
        <w:tc>
          <w:tcPr>
            <w:tcW w:w="863" w:type="pct"/>
            <w:vAlign w:val="center"/>
          </w:tcPr>
          <w:p w:rsidR="00584B95" w:rsidRPr="0056795A" w:rsidRDefault="00584B95" w:rsidP="00766B4F">
            <w:pPr>
              <w:jc w:val="left"/>
              <w:rPr>
                <w:sz w:val="18"/>
                <w:szCs w:val="18"/>
              </w:rPr>
            </w:pPr>
            <w:r w:rsidRPr="0056795A">
              <w:rPr>
                <w:sz w:val="18"/>
                <w:szCs w:val="18"/>
              </w:rPr>
              <w:t>There was no CSR before the CPP was published. The CPP addresses challenges highlighted in the MoU.</w:t>
            </w:r>
          </w:p>
        </w:tc>
        <w:tc>
          <w:tcPr>
            <w:tcW w:w="767" w:type="pct"/>
            <w:vAlign w:val="center"/>
          </w:tcPr>
          <w:p w:rsidR="00584B95" w:rsidRPr="0056795A" w:rsidRDefault="00584B95" w:rsidP="00766B4F">
            <w:pPr>
              <w:jc w:val="left"/>
              <w:rPr>
                <w:sz w:val="18"/>
                <w:szCs w:val="18"/>
              </w:rPr>
            </w:pPr>
            <w:r w:rsidRPr="0056795A">
              <w:rPr>
                <w:sz w:val="18"/>
                <w:szCs w:val="18"/>
              </w:rPr>
              <w:t xml:space="preserve">The CPP is focused on key structural challenges that relate to: In the labour market, favouring reform and inclusion; </w:t>
            </w:r>
            <w:r>
              <w:rPr>
                <w:sz w:val="18"/>
                <w:szCs w:val="18"/>
              </w:rPr>
              <w:t>RTDI</w:t>
            </w:r>
            <w:r w:rsidRPr="0056795A">
              <w:rPr>
                <w:sz w:val="18"/>
                <w:szCs w:val="18"/>
              </w:rPr>
              <w:t>; Product market reform as it relates to access to finance for SMEs and inadequate commercialisation of research; On network industries-correction of market failures. In doing so, the CPP addresses the challenges highlighted in the MoU.</w:t>
            </w:r>
          </w:p>
        </w:tc>
        <w:tc>
          <w:tcPr>
            <w:tcW w:w="1151" w:type="pct"/>
            <w:vAlign w:val="center"/>
          </w:tcPr>
          <w:p w:rsidR="00584B95" w:rsidRPr="0056795A" w:rsidRDefault="00584B95" w:rsidP="00766B4F">
            <w:pPr>
              <w:jc w:val="left"/>
              <w:rPr>
                <w:sz w:val="18"/>
                <w:szCs w:val="18"/>
              </w:rPr>
            </w:pPr>
            <w:r w:rsidRPr="0056795A">
              <w:rPr>
                <w:sz w:val="18"/>
                <w:szCs w:val="18"/>
              </w:rPr>
              <w:t>Apart from the challenges not directly relevant to cohesion (e.g. Pension Reform, Banking Reform, competition in services), the CPP addresses MoU challenges concerning LM and wage setting. However there is no reference on housing issues. This seems rather odd given the main challenges section begins by referring to the considerable problems in recent years to the Irish economy from the ‘implosion of the real estate boom’.</w:t>
            </w:r>
          </w:p>
        </w:tc>
        <w:tc>
          <w:tcPr>
            <w:tcW w:w="1054" w:type="pct"/>
            <w:vAlign w:val="center"/>
          </w:tcPr>
          <w:p w:rsidR="00584B95" w:rsidRPr="0056795A" w:rsidRDefault="00584B95" w:rsidP="00766B4F">
            <w:pPr>
              <w:jc w:val="left"/>
              <w:rPr>
                <w:sz w:val="18"/>
                <w:szCs w:val="18"/>
              </w:rPr>
            </w:pPr>
            <w:r w:rsidRPr="0056795A">
              <w:rPr>
                <w:sz w:val="18"/>
                <w:szCs w:val="18"/>
              </w:rPr>
              <w:t xml:space="preserve">Marginal role. </w:t>
            </w:r>
          </w:p>
          <w:p w:rsidR="00584B95" w:rsidRPr="0056795A" w:rsidRDefault="00584B95" w:rsidP="00766B4F">
            <w:pPr>
              <w:jc w:val="left"/>
              <w:rPr>
                <w:sz w:val="18"/>
                <w:szCs w:val="18"/>
              </w:rPr>
            </w:pPr>
            <w:r w:rsidRPr="0056795A">
              <w:rPr>
                <w:sz w:val="18"/>
                <w:szCs w:val="18"/>
              </w:rPr>
              <w:t xml:space="preserve">There are some indications that the selection of priorities is related to MoU challenges, only as far as LM reform and wage setting are concerned. </w:t>
            </w:r>
          </w:p>
          <w:p w:rsidR="00584B95" w:rsidRPr="0056795A" w:rsidRDefault="00584B95" w:rsidP="00766B4F">
            <w:pPr>
              <w:jc w:val="left"/>
              <w:rPr>
                <w:sz w:val="18"/>
                <w:szCs w:val="18"/>
              </w:rPr>
            </w:pPr>
          </w:p>
        </w:tc>
        <w:tc>
          <w:tcPr>
            <w:tcW w:w="937" w:type="pct"/>
            <w:vAlign w:val="center"/>
          </w:tcPr>
          <w:p w:rsidR="00584B95" w:rsidRPr="0056795A" w:rsidRDefault="00584B95" w:rsidP="00766B4F">
            <w:pPr>
              <w:jc w:val="left"/>
              <w:rPr>
                <w:sz w:val="18"/>
                <w:szCs w:val="18"/>
              </w:rPr>
            </w:pPr>
            <w:r w:rsidRPr="0056795A">
              <w:rPr>
                <w:sz w:val="18"/>
                <w:szCs w:val="18"/>
              </w:rPr>
              <w:t>Medium alignment.</w:t>
            </w:r>
          </w:p>
          <w:p w:rsidR="00584B95" w:rsidRPr="0056795A" w:rsidRDefault="00584B95" w:rsidP="00766B4F">
            <w:pPr>
              <w:jc w:val="left"/>
              <w:rPr>
                <w:sz w:val="18"/>
                <w:szCs w:val="18"/>
              </w:rPr>
            </w:pPr>
            <w:r w:rsidRPr="0056795A">
              <w:rPr>
                <w:sz w:val="18"/>
                <w:szCs w:val="18"/>
              </w:rPr>
              <w:t>Alignment is relatively indirect as MoU challenges are defined at a relatively high level of abstraction.</w:t>
            </w:r>
          </w:p>
        </w:tc>
      </w:tr>
      <w:tr w:rsidR="00584B95" w:rsidRPr="0056795A" w:rsidTr="00766B4F">
        <w:tc>
          <w:tcPr>
            <w:tcW w:w="228" w:type="pct"/>
            <w:vAlign w:val="center"/>
          </w:tcPr>
          <w:p w:rsidR="00584B95" w:rsidRPr="0056795A" w:rsidRDefault="00584B95" w:rsidP="00766B4F">
            <w:pPr>
              <w:jc w:val="left"/>
              <w:rPr>
                <w:sz w:val="18"/>
                <w:szCs w:val="18"/>
              </w:rPr>
            </w:pPr>
            <w:r w:rsidRPr="0056795A">
              <w:rPr>
                <w:sz w:val="18"/>
                <w:szCs w:val="18"/>
              </w:rPr>
              <w:t>IT</w:t>
            </w:r>
          </w:p>
        </w:tc>
        <w:tc>
          <w:tcPr>
            <w:tcW w:w="863" w:type="pct"/>
            <w:vAlign w:val="center"/>
          </w:tcPr>
          <w:p w:rsidR="00584B95" w:rsidRPr="0056795A" w:rsidRDefault="00584B95" w:rsidP="00766B4F">
            <w:pPr>
              <w:jc w:val="left"/>
              <w:rPr>
                <w:sz w:val="18"/>
                <w:szCs w:val="18"/>
              </w:rPr>
            </w:pPr>
            <w:r w:rsidRPr="0056795A">
              <w:rPr>
                <w:sz w:val="18"/>
                <w:szCs w:val="18"/>
              </w:rPr>
              <w:t>The document refer</w:t>
            </w:r>
            <w:r>
              <w:rPr>
                <w:sz w:val="18"/>
                <w:szCs w:val="18"/>
              </w:rPr>
              <w:t>s</w:t>
            </w:r>
            <w:r w:rsidRPr="0056795A">
              <w:rPr>
                <w:sz w:val="18"/>
                <w:szCs w:val="18"/>
              </w:rPr>
              <w:t xml:space="preserve"> to </w:t>
            </w:r>
            <w:r>
              <w:rPr>
                <w:sz w:val="18"/>
                <w:szCs w:val="18"/>
              </w:rPr>
              <w:t>CSR</w:t>
            </w:r>
            <w:r w:rsidRPr="0056795A">
              <w:rPr>
                <w:sz w:val="18"/>
                <w:szCs w:val="18"/>
              </w:rPr>
              <w:t xml:space="preserve">/structural challenges systematically. All but three cohesion relevant </w:t>
            </w:r>
            <w:r>
              <w:rPr>
                <w:sz w:val="18"/>
                <w:szCs w:val="18"/>
              </w:rPr>
              <w:t>CSR</w:t>
            </w:r>
            <w:r w:rsidRPr="0056795A">
              <w:rPr>
                <w:sz w:val="18"/>
                <w:szCs w:val="18"/>
              </w:rPr>
              <w:t xml:space="preserve"> / structural challenges have been considered in the position paper, mostly implicitly in the Sections 1-4 and explicitly in Annex B – Assessment of funding needs. </w:t>
            </w:r>
          </w:p>
        </w:tc>
        <w:tc>
          <w:tcPr>
            <w:tcW w:w="767" w:type="pct"/>
            <w:vAlign w:val="center"/>
          </w:tcPr>
          <w:p w:rsidR="00584B95" w:rsidRPr="0056795A" w:rsidRDefault="00584B95" w:rsidP="00766B4F">
            <w:pPr>
              <w:jc w:val="left"/>
              <w:rPr>
                <w:sz w:val="18"/>
                <w:szCs w:val="18"/>
              </w:rPr>
            </w:pPr>
            <w:r w:rsidRPr="0056795A">
              <w:rPr>
                <w:sz w:val="18"/>
                <w:szCs w:val="18"/>
              </w:rPr>
              <w:t xml:space="preserve">All the additional challenges identified in the 2012 Country Report are addressed in the CPP, either implicitly or explicitly in Annex B.   </w:t>
            </w:r>
          </w:p>
        </w:tc>
        <w:tc>
          <w:tcPr>
            <w:tcW w:w="1151" w:type="pct"/>
            <w:vAlign w:val="center"/>
          </w:tcPr>
          <w:p w:rsidR="00584B95" w:rsidRPr="0056795A" w:rsidRDefault="00584B95" w:rsidP="00766B4F">
            <w:pPr>
              <w:jc w:val="left"/>
              <w:rPr>
                <w:sz w:val="18"/>
                <w:szCs w:val="18"/>
              </w:rPr>
            </w:pPr>
            <w:r w:rsidRPr="0056795A">
              <w:rPr>
                <w:sz w:val="18"/>
                <w:szCs w:val="18"/>
              </w:rPr>
              <w:t>2012 CSR 5.3 “Take further action to shift the tax burden away from capital and labour to property and consumption as well as environment” and 2012 CSR 4.3 “Monitor and if needed reinforce the implementation of the new wage setting framework” are not mentioned (explicitly or implicitly) in the CPP. Nonetheless these CSR mostly require regulatory change.</w:t>
            </w:r>
          </w:p>
        </w:tc>
        <w:tc>
          <w:tcPr>
            <w:tcW w:w="1054" w:type="pct"/>
            <w:vAlign w:val="center"/>
          </w:tcPr>
          <w:p w:rsidR="00584B95" w:rsidRPr="0056795A" w:rsidRDefault="00584B95" w:rsidP="00766B4F">
            <w:pPr>
              <w:jc w:val="left"/>
              <w:rPr>
                <w:sz w:val="18"/>
                <w:szCs w:val="18"/>
              </w:rPr>
            </w:pPr>
            <w:r w:rsidRPr="0056795A">
              <w:rPr>
                <w:sz w:val="18"/>
                <w:szCs w:val="18"/>
              </w:rPr>
              <w:t xml:space="preserve">The 2012 </w:t>
            </w:r>
            <w:r>
              <w:rPr>
                <w:sz w:val="18"/>
                <w:szCs w:val="18"/>
              </w:rPr>
              <w:t>CSR</w:t>
            </w:r>
            <w:r w:rsidRPr="0056795A">
              <w:rPr>
                <w:sz w:val="18"/>
                <w:szCs w:val="18"/>
              </w:rPr>
              <w:t xml:space="preserve"> are indicated (along with other references) as background justification for the selection of the main challenges identified in the CPP. Furthermore, Section 1 on the ”main challenges” states that “consistently with the Council recommendations and taking account of Italy's persistent regional disparities, the most pressing challenges for Italy are to re-launch its path to sustainable growth and competitiveness overall, to promote employment and to reduce its regional disparities”. </w:t>
            </w:r>
          </w:p>
        </w:tc>
        <w:tc>
          <w:tcPr>
            <w:tcW w:w="937" w:type="pct"/>
            <w:vAlign w:val="center"/>
          </w:tcPr>
          <w:p w:rsidR="00584B95" w:rsidRPr="0056795A" w:rsidRDefault="00584B95" w:rsidP="00766B4F">
            <w:pPr>
              <w:jc w:val="left"/>
              <w:rPr>
                <w:sz w:val="18"/>
                <w:szCs w:val="18"/>
              </w:rPr>
            </w:pPr>
            <w:r w:rsidRPr="0056795A">
              <w:rPr>
                <w:sz w:val="18"/>
                <w:szCs w:val="18"/>
              </w:rPr>
              <w:t>High alignment.</w:t>
            </w:r>
          </w:p>
          <w:p w:rsidR="00584B95" w:rsidRPr="0056795A" w:rsidRDefault="00584B95" w:rsidP="00766B4F">
            <w:pPr>
              <w:jc w:val="left"/>
              <w:rPr>
                <w:sz w:val="18"/>
                <w:szCs w:val="18"/>
              </w:rPr>
            </w:pPr>
            <w:r w:rsidRPr="0056795A">
              <w:rPr>
                <w:sz w:val="18"/>
                <w:szCs w:val="18"/>
              </w:rPr>
              <w:t xml:space="preserve">There is a strong coherence between the </w:t>
            </w:r>
            <w:r>
              <w:rPr>
                <w:sz w:val="18"/>
                <w:szCs w:val="18"/>
              </w:rPr>
              <w:t>CSR</w:t>
            </w:r>
            <w:r w:rsidRPr="0056795A">
              <w:rPr>
                <w:sz w:val="18"/>
                <w:szCs w:val="18"/>
              </w:rPr>
              <w:t xml:space="preserve">/challenges and the CPP; most notably in the field of simplifying businesses development and access to finance and in relation to a more efficient absorption of EU funds. All sections of the CPP provide at least implicit references to the 2012 </w:t>
            </w:r>
            <w:r>
              <w:rPr>
                <w:sz w:val="18"/>
                <w:szCs w:val="18"/>
              </w:rPr>
              <w:t>CSR</w:t>
            </w:r>
            <w:r w:rsidRPr="0056795A">
              <w:rPr>
                <w:sz w:val="18"/>
                <w:szCs w:val="18"/>
              </w:rPr>
              <w:t xml:space="preserve"> and Annex B clearly shows direct connections between them and the issues addressed under the relevant Thematic Objectives. </w:t>
            </w:r>
          </w:p>
        </w:tc>
      </w:tr>
      <w:tr w:rsidR="00584B95" w:rsidRPr="0056795A" w:rsidTr="00766B4F">
        <w:tc>
          <w:tcPr>
            <w:tcW w:w="228" w:type="pct"/>
            <w:vAlign w:val="center"/>
          </w:tcPr>
          <w:p w:rsidR="00584B95" w:rsidRPr="0056795A" w:rsidRDefault="00584B95" w:rsidP="00766B4F">
            <w:pPr>
              <w:jc w:val="left"/>
              <w:rPr>
                <w:sz w:val="18"/>
                <w:szCs w:val="18"/>
              </w:rPr>
            </w:pPr>
            <w:r w:rsidRPr="0056795A">
              <w:rPr>
                <w:sz w:val="18"/>
                <w:szCs w:val="18"/>
              </w:rPr>
              <w:t>LT</w:t>
            </w:r>
          </w:p>
        </w:tc>
        <w:tc>
          <w:tcPr>
            <w:tcW w:w="863" w:type="pct"/>
            <w:vAlign w:val="center"/>
          </w:tcPr>
          <w:p w:rsidR="00584B95" w:rsidRPr="0056795A" w:rsidRDefault="00584B95" w:rsidP="00766B4F">
            <w:pPr>
              <w:jc w:val="left"/>
              <w:rPr>
                <w:sz w:val="18"/>
                <w:szCs w:val="18"/>
              </w:rPr>
            </w:pPr>
            <w:r w:rsidRPr="0056795A">
              <w:rPr>
                <w:sz w:val="18"/>
                <w:szCs w:val="18"/>
              </w:rPr>
              <w:t xml:space="preserve">CPP refers to </w:t>
            </w:r>
            <w:r>
              <w:rPr>
                <w:sz w:val="18"/>
                <w:szCs w:val="18"/>
              </w:rPr>
              <w:t>CSR</w:t>
            </w:r>
            <w:r w:rsidRPr="0056795A">
              <w:rPr>
                <w:sz w:val="18"/>
                <w:szCs w:val="18"/>
              </w:rPr>
              <w:t xml:space="preserve"> and structural challenges in a systematic way. All </w:t>
            </w:r>
            <w:r>
              <w:rPr>
                <w:sz w:val="18"/>
                <w:szCs w:val="18"/>
              </w:rPr>
              <w:t>CSR</w:t>
            </w:r>
            <w:r w:rsidRPr="0056795A">
              <w:rPr>
                <w:sz w:val="18"/>
                <w:szCs w:val="18"/>
              </w:rPr>
              <w:t xml:space="preserve"> of 2012 that are relevant for ESI funds are covered in the document either explicitly or implicitly throughout the document. There is only one section that makes no references to </w:t>
            </w:r>
            <w:r>
              <w:rPr>
                <w:sz w:val="18"/>
                <w:szCs w:val="18"/>
              </w:rPr>
              <w:t>CSR</w:t>
            </w:r>
            <w:r w:rsidRPr="0056795A">
              <w:rPr>
                <w:sz w:val="18"/>
                <w:szCs w:val="18"/>
              </w:rPr>
              <w:t xml:space="preserve"> (Annex A – arrangements for effective programming and delivery). </w:t>
            </w:r>
          </w:p>
        </w:tc>
        <w:tc>
          <w:tcPr>
            <w:tcW w:w="767" w:type="pct"/>
            <w:vAlign w:val="center"/>
          </w:tcPr>
          <w:p w:rsidR="00584B95" w:rsidRPr="0056795A" w:rsidRDefault="00584B95" w:rsidP="00766B4F">
            <w:pPr>
              <w:jc w:val="left"/>
              <w:rPr>
                <w:sz w:val="18"/>
                <w:szCs w:val="18"/>
              </w:rPr>
            </w:pPr>
            <w:r w:rsidRPr="0056795A">
              <w:rPr>
                <w:sz w:val="18"/>
                <w:szCs w:val="18"/>
              </w:rPr>
              <w:t xml:space="preserve">Additional challenges identified in the 2012 Country Report are implicitly addressed (e.g. to improve the transport infrastructure, particularly rail and connections with Poland and Western Europe; to achieve the target on GHG emissions reduction; to improve the waste management system). </w:t>
            </w:r>
          </w:p>
        </w:tc>
        <w:tc>
          <w:tcPr>
            <w:tcW w:w="1151" w:type="pct"/>
            <w:vAlign w:val="center"/>
          </w:tcPr>
          <w:p w:rsidR="00584B95" w:rsidRPr="0056795A" w:rsidRDefault="00584B95" w:rsidP="00766B4F">
            <w:pPr>
              <w:jc w:val="left"/>
              <w:rPr>
                <w:sz w:val="18"/>
                <w:szCs w:val="18"/>
              </w:rPr>
            </w:pPr>
            <w:r w:rsidRPr="0056795A">
              <w:rPr>
                <w:sz w:val="18"/>
                <w:szCs w:val="18"/>
              </w:rPr>
              <w:t xml:space="preserve">All cohesion relevant </w:t>
            </w:r>
            <w:r>
              <w:rPr>
                <w:sz w:val="18"/>
                <w:szCs w:val="18"/>
              </w:rPr>
              <w:t>CSR</w:t>
            </w:r>
            <w:r w:rsidRPr="0056795A">
              <w:rPr>
                <w:sz w:val="18"/>
                <w:szCs w:val="18"/>
              </w:rPr>
              <w:t xml:space="preserve"> are addressed in CPP. The missing CSR are those concerning the reduction of excessive deficit and the reform of state–owned enterprises. For these, national policy instruments are best suited for carrying out the necessary reforms.</w:t>
            </w:r>
          </w:p>
        </w:tc>
        <w:tc>
          <w:tcPr>
            <w:tcW w:w="1054" w:type="pct"/>
            <w:vAlign w:val="center"/>
          </w:tcPr>
          <w:p w:rsidR="00584B95" w:rsidRPr="0056795A" w:rsidRDefault="00584B95" w:rsidP="00766B4F">
            <w:pPr>
              <w:jc w:val="left"/>
              <w:rPr>
                <w:sz w:val="18"/>
                <w:szCs w:val="18"/>
              </w:rPr>
            </w:pPr>
            <w:r w:rsidRPr="0056795A">
              <w:rPr>
                <w:sz w:val="18"/>
                <w:szCs w:val="18"/>
              </w:rPr>
              <w:t xml:space="preserve">Although specific </w:t>
            </w:r>
            <w:r>
              <w:rPr>
                <w:sz w:val="18"/>
                <w:szCs w:val="18"/>
              </w:rPr>
              <w:t>CSR</w:t>
            </w:r>
            <w:r w:rsidRPr="0056795A">
              <w:rPr>
                <w:sz w:val="18"/>
                <w:szCs w:val="18"/>
              </w:rPr>
              <w:t xml:space="preserve"> are not explicitly linked to funding priorities described in CPP, the document remarks that “funding priorities are proposed in line with country-specific challenges”. As highlighted, explicit references to specific </w:t>
            </w:r>
            <w:r>
              <w:rPr>
                <w:sz w:val="18"/>
                <w:szCs w:val="18"/>
              </w:rPr>
              <w:t>CSR</w:t>
            </w:r>
            <w:r w:rsidRPr="0056795A">
              <w:rPr>
                <w:sz w:val="18"/>
                <w:szCs w:val="18"/>
              </w:rPr>
              <w:t xml:space="preserve"> are made in the descriptions of funding needs in relation to TO4, TO8, TO9 and TO10.</w:t>
            </w:r>
          </w:p>
        </w:tc>
        <w:tc>
          <w:tcPr>
            <w:tcW w:w="937" w:type="pct"/>
            <w:vAlign w:val="center"/>
          </w:tcPr>
          <w:p w:rsidR="00584B95" w:rsidRPr="0056795A" w:rsidRDefault="00584B95" w:rsidP="00766B4F">
            <w:pPr>
              <w:jc w:val="left"/>
              <w:rPr>
                <w:sz w:val="18"/>
                <w:szCs w:val="18"/>
              </w:rPr>
            </w:pPr>
            <w:r w:rsidRPr="0056795A">
              <w:rPr>
                <w:sz w:val="18"/>
                <w:szCs w:val="18"/>
              </w:rPr>
              <w:t>High alignment.</w:t>
            </w:r>
          </w:p>
          <w:p w:rsidR="00584B95" w:rsidRPr="0056795A" w:rsidRDefault="00584B95" w:rsidP="00766B4F">
            <w:pPr>
              <w:jc w:val="left"/>
              <w:rPr>
                <w:sz w:val="18"/>
                <w:szCs w:val="18"/>
              </w:rPr>
            </w:pPr>
            <w:r w:rsidRPr="0056795A">
              <w:rPr>
                <w:sz w:val="18"/>
                <w:szCs w:val="18"/>
              </w:rPr>
              <w:t xml:space="preserve">Overall, the support to </w:t>
            </w:r>
            <w:r>
              <w:rPr>
                <w:sz w:val="18"/>
                <w:szCs w:val="18"/>
              </w:rPr>
              <w:t>CSR</w:t>
            </w:r>
            <w:r w:rsidRPr="0056795A">
              <w:rPr>
                <w:sz w:val="18"/>
                <w:szCs w:val="18"/>
              </w:rPr>
              <w:t xml:space="preserve"> plays an important role in the CPP. The document provides clear indications on how the implementation of TOs will address specific </w:t>
            </w:r>
            <w:r>
              <w:rPr>
                <w:sz w:val="18"/>
                <w:szCs w:val="18"/>
              </w:rPr>
              <w:t>CSR</w:t>
            </w:r>
            <w:r w:rsidRPr="0056795A">
              <w:rPr>
                <w:sz w:val="18"/>
                <w:szCs w:val="18"/>
              </w:rPr>
              <w:t>.</w:t>
            </w:r>
          </w:p>
        </w:tc>
      </w:tr>
      <w:tr w:rsidR="00584B95" w:rsidRPr="0056795A" w:rsidTr="00766B4F">
        <w:tc>
          <w:tcPr>
            <w:tcW w:w="228" w:type="pct"/>
            <w:vAlign w:val="center"/>
          </w:tcPr>
          <w:p w:rsidR="00584B95" w:rsidRPr="0056795A" w:rsidRDefault="00584B95" w:rsidP="00766B4F">
            <w:pPr>
              <w:jc w:val="left"/>
              <w:rPr>
                <w:sz w:val="18"/>
                <w:szCs w:val="18"/>
              </w:rPr>
            </w:pPr>
            <w:r w:rsidRPr="0056795A">
              <w:rPr>
                <w:sz w:val="18"/>
                <w:szCs w:val="18"/>
              </w:rPr>
              <w:t>LU</w:t>
            </w:r>
          </w:p>
        </w:tc>
        <w:tc>
          <w:tcPr>
            <w:tcW w:w="863" w:type="pct"/>
            <w:vAlign w:val="center"/>
          </w:tcPr>
          <w:p w:rsidR="00584B95" w:rsidRPr="0056795A" w:rsidRDefault="00584B95" w:rsidP="00766B4F">
            <w:pPr>
              <w:jc w:val="left"/>
              <w:rPr>
                <w:sz w:val="18"/>
                <w:szCs w:val="18"/>
              </w:rPr>
            </w:pPr>
            <w:r w:rsidRPr="0056795A">
              <w:rPr>
                <w:sz w:val="18"/>
                <w:szCs w:val="18"/>
              </w:rPr>
              <w:t xml:space="preserve">The CCP addresses a large range of ESF issues captured by 2012 CSR (Lifelong learning, increase of the rate of employment for youth and older people). Moreover, the CPP expands by addressing the challenge of fighting against poverty (not covered by CSR) and on other untreated challenges, particularly the issues of agriculture development, renewable resources (water, forest) and land management. </w:t>
            </w:r>
          </w:p>
        </w:tc>
        <w:tc>
          <w:tcPr>
            <w:tcW w:w="767" w:type="pct"/>
            <w:vAlign w:val="center"/>
          </w:tcPr>
          <w:p w:rsidR="00584B95" w:rsidRPr="0056795A" w:rsidRDefault="00584B95" w:rsidP="00766B4F">
            <w:pPr>
              <w:jc w:val="left"/>
              <w:rPr>
                <w:sz w:val="18"/>
                <w:szCs w:val="18"/>
              </w:rPr>
            </w:pPr>
          </w:p>
          <w:p w:rsidR="00584B95" w:rsidRPr="0056795A" w:rsidRDefault="00584B95" w:rsidP="00766B4F">
            <w:pPr>
              <w:jc w:val="left"/>
              <w:rPr>
                <w:sz w:val="18"/>
                <w:szCs w:val="18"/>
              </w:rPr>
            </w:pPr>
            <w:r w:rsidRPr="0056795A">
              <w:rPr>
                <w:sz w:val="18"/>
                <w:szCs w:val="18"/>
              </w:rPr>
              <w:t>Additional challenges identified in the 2012 Country Report are also addresses (e.g. low R&amp;D intensity and collaboration between research and industry; insufficient progress towards the 2020 employment target ; low adult participation in lifelong learning.</w:t>
            </w:r>
          </w:p>
        </w:tc>
        <w:tc>
          <w:tcPr>
            <w:tcW w:w="1151" w:type="pct"/>
            <w:vAlign w:val="center"/>
          </w:tcPr>
          <w:p w:rsidR="00584B95" w:rsidRPr="0056795A" w:rsidRDefault="00584B95" w:rsidP="00766B4F">
            <w:pPr>
              <w:jc w:val="left"/>
              <w:rPr>
                <w:sz w:val="18"/>
                <w:szCs w:val="18"/>
              </w:rPr>
            </w:pPr>
            <w:r w:rsidRPr="0056795A">
              <w:rPr>
                <w:sz w:val="18"/>
                <w:szCs w:val="18"/>
              </w:rPr>
              <w:t>Only the policy recommendation on reducing GHG emission by increasing taxation on energy products (sub-part of CSR 5 of 2012) is not covered.</w:t>
            </w:r>
          </w:p>
        </w:tc>
        <w:tc>
          <w:tcPr>
            <w:tcW w:w="1054" w:type="pct"/>
            <w:vAlign w:val="center"/>
          </w:tcPr>
          <w:p w:rsidR="00584B95" w:rsidRPr="0056795A" w:rsidRDefault="00584B95" w:rsidP="00766B4F">
            <w:pPr>
              <w:jc w:val="left"/>
              <w:rPr>
                <w:sz w:val="18"/>
                <w:szCs w:val="18"/>
              </w:rPr>
            </w:pPr>
            <w:r w:rsidRPr="0056795A">
              <w:rPr>
                <w:sz w:val="18"/>
                <w:szCs w:val="18"/>
              </w:rPr>
              <w:t xml:space="preserve">Central role. </w:t>
            </w:r>
          </w:p>
          <w:p w:rsidR="00584B95" w:rsidRPr="0056795A" w:rsidRDefault="00584B95" w:rsidP="00766B4F">
            <w:pPr>
              <w:jc w:val="left"/>
              <w:rPr>
                <w:sz w:val="18"/>
                <w:szCs w:val="18"/>
              </w:rPr>
            </w:pPr>
            <w:r w:rsidRPr="0056795A">
              <w:rPr>
                <w:sz w:val="18"/>
                <w:szCs w:val="18"/>
              </w:rPr>
              <w:t xml:space="preserve">The selection of priorities refer to the 2012 </w:t>
            </w:r>
            <w:r>
              <w:rPr>
                <w:sz w:val="18"/>
                <w:szCs w:val="18"/>
              </w:rPr>
              <w:t>CSR</w:t>
            </w:r>
            <w:r w:rsidRPr="0056795A">
              <w:rPr>
                <w:sz w:val="18"/>
                <w:szCs w:val="18"/>
              </w:rPr>
              <w:t xml:space="preserve"> in different cases (e.g. as regards youth and older people employment, education, research and development, SMEs and entrepreneurship).</w:t>
            </w:r>
          </w:p>
        </w:tc>
        <w:tc>
          <w:tcPr>
            <w:tcW w:w="937" w:type="pct"/>
            <w:vAlign w:val="center"/>
          </w:tcPr>
          <w:p w:rsidR="00584B95" w:rsidRPr="0056795A" w:rsidRDefault="00584B95" w:rsidP="00766B4F">
            <w:pPr>
              <w:jc w:val="left"/>
              <w:rPr>
                <w:sz w:val="18"/>
                <w:szCs w:val="18"/>
              </w:rPr>
            </w:pPr>
            <w:r w:rsidRPr="0056795A">
              <w:rPr>
                <w:sz w:val="18"/>
                <w:szCs w:val="18"/>
              </w:rPr>
              <w:t xml:space="preserve">High alignment. </w:t>
            </w:r>
          </w:p>
          <w:p w:rsidR="00584B95" w:rsidRPr="0056795A" w:rsidRDefault="00584B95" w:rsidP="00766B4F">
            <w:pPr>
              <w:jc w:val="left"/>
              <w:rPr>
                <w:sz w:val="18"/>
                <w:szCs w:val="18"/>
              </w:rPr>
            </w:pPr>
            <w:r w:rsidRPr="0056795A">
              <w:rPr>
                <w:sz w:val="18"/>
                <w:szCs w:val="18"/>
              </w:rPr>
              <w:t xml:space="preserve">The support to </w:t>
            </w:r>
            <w:r>
              <w:rPr>
                <w:sz w:val="18"/>
                <w:szCs w:val="18"/>
              </w:rPr>
              <w:t>CSR</w:t>
            </w:r>
            <w:r w:rsidRPr="0056795A">
              <w:rPr>
                <w:sz w:val="18"/>
                <w:szCs w:val="18"/>
              </w:rPr>
              <w:t xml:space="preserve"> is particularly important in relation to: reduction of CO2 emissions, increase of competitiveness by enhancing the R&amp;D development and applications and diversifying the sectors of the economy; reduction of unemployment for youth (by education) and older people (by lifelong learning and contrasting early retirement).</w:t>
            </w:r>
          </w:p>
        </w:tc>
      </w:tr>
      <w:tr w:rsidR="00584B95" w:rsidRPr="0056795A" w:rsidTr="00766B4F">
        <w:tc>
          <w:tcPr>
            <w:tcW w:w="228" w:type="pct"/>
            <w:vAlign w:val="center"/>
          </w:tcPr>
          <w:p w:rsidR="00584B95" w:rsidRPr="0056795A" w:rsidRDefault="00584B95" w:rsidP="00766B4F">
            <w:pPr>
              <w:jc w:val="left"/>
              <w:rPr>
                <w:sz w:val="18"/>
                <w:szCs w:val="18"/>
              </w:rPr>
            </w:pPr>
            <w:r w:rsidRPr="0056795A">
              <w:rPr>
                <w:sz w:val="18"/>
                <w:szCs w:val="18"/>
              </w:rPr>
              <w:t>LV</w:t>
            </w:r>
          </w:p>
        </w:tc>
        <w:tc>
          <w:tcPr>
            <w:tcW w:w="863" w:type="pct"/>
            <w:vAlign w:val="center"/>
          </w:tcPr>
          <w:p w:rsidR="00584B95" w:rsidRPr="0056795A" w:rsidRDefault="00584B95" w:rsidP="00766B4F">
            <w:pPr>
              <w:jc w:val="left"/>
              <w:rPr>
                <w:sz w:val="18"/>
                <w:szCs w:val="18"/>
              </w:rPr>
            </w:pPr>
            <w:r w:rsidRPr="0056795A">
              <w:rPr>
                <w:sz w:val="18"/>
                <w:szCs w:val="18"/>
              </w:rPr>
              <w:t xml:space="preserve">Overall the CPP makes reference to 2012 CSR throughout its sections. The reference to CSR and other challenges is explicit in Annex B of the document. </w:t>
            </w:r>
          </w:p>
        </w:tc>
        <w:tc>
          <w:tcPr>
            <w:tcW w:w="767" w:type="pct"/>
            <w:vAlign w:val="center"/>
          </w:tcPr>
          <w:p w:rsidR="00584B95" w:rsidRPr="0056795A" w:rsidRDefault="00584B95" w:rsidP="00766B4F">
            <w:pPr>
              <w:jc w:val="left"/>
              <w:rPr>
                <w:sz w:val="18"/>
                <w:szCs w:val="18"/>
              </w:rPr>
            </w:pPr>
            <w:r w:rsidRPr="0056795A">
              <w:rPr>
                <w:sz w:val="18"/>
                <w:szCs w:val="18"/>
              </w:rPr>
              <w:t>Additional challenges evidenced in the 2012 Country Report are addressed by the CPP.</w:t>
            </w:r>
          </w:p>
        </w:tc>
        <w:tc>
          <w:tcPr>
            <w:tcW w:w="1151" w:type="pct"/>
            <w:vAlign w:val="center"/>
          </w:tcPr>
          <w:p w:rsidR="00584B95" w:rsidRPr="0056795A" w:rsidRDefault="00584B95" w:rsidP="00766B4F">
            <w:pPr>
              <w:jc w:val="left"/>
              <w:rPr>
                <w:sz w:val="18"/>
                <w:szCs w:val="18"/>
              </w:rPr>
            </w:pPr>
            <w:r w:rsidRPr="0056795A">
              <w:rPr>
                <w:sz w:val="18"/>
                <w:szCs w:val="18"/>
              </w:rPr>
              <w:t xml:space="preserve">All CSR / structural challenges are covered except for those concerning public finance and taxation, banking and liberalisation of services which are not cohesion relevant. </w:t>
            </w:r>
          </w:p>
        </w:tc>
        <w:tc>
          <w:tcPr>
            <w:tcW w:w="1054" w:type="pct"/>
            <w:vAlign w:val="center"/>
          </w:tcPr>
          <w:p w:rsidR="00584B95" w:rsidRPr="0056795A" w:rsidRDefault="00584B95" w:rsidP="00766B4F">
            <w:pPr>
              <w:jc w:val="left"/>
              <w:rPr>
                <w:sz w:val="18"/>
                <w:szCs w:val="18"/>
              </w:rPr>
            </w:pPr>
            <w:r w:rsidRPr="0056795A">
              <w:rPr>
                <w:sz w:val="18"/>
                <w:szCs w:val="18"/>
              </w:rPr>
              <w:t xml:space="preserve">The ‘Priorities for funding’ section highlights that: ‘The CSF funds are one of the most important instruments to tackle the main development challenges for Latvia and to implement the Europe 2020 strategy.’ Further on, each of the subsections of Priorities for funding refers to a major structural issue (i.e., innovative and competitive business and research environment, modern infrastructure for growth and jobs, high unemployment, skilled people and inclusive society, energy efficiency and sustainable management of natural resources), and the </w:t>
            </w:r>
            <w:r>
              <w:rPr>
                <w:sz w:val="18"/>
                <w:szCs w:val="18"/>
              </w:rPr>
              <w:t>CSR</w:t>
            </w:r>
            <w:r w:rsidRPr="0056795A">
              <w:rPr>
                <w:sz w:val="18"/>
                <w:szCs w:val="18"/>
              </w:rPr>
              <w:t xml:space="preserve"> are linked to the major structural issues covered by the funding priorities.</w:t>
            </w:r>
          </w:p>
        </w:tc>
        <w:tc>
          <w:tcPr>
            <w:tcW w:w="937" w:type="pct"/>
            <w:vAlign w:val="center"/>
          </w:tcPr>
          <w:p w:rsidR="00584B95" w:rsidRPr="0056795A" w:rsidRDefault="00584B95" w:rsidP="00766B4F">
            <w:pPr>
              <w:jc w:val="left"/>
              <w:rPr>
                <w:sz w:val="18"/>
                <w:szCs w:val="18"/>
              </w:rPr>
            </w:pPr>
            <w:r w:rsidRPr="0056795A">
              <w:rPr>
                <w:sz w:val="18"/>
                <w:szCs w:val="18"/>
              </w:rPr>
              <w:t xml:space="preserve">High alignment. </w:t>
            </w:r>
          </w:p>
          <w:p w:rsidR="00584B95" w:rsidRPr="0056795A" w:rsidRDefault="00584B95" w:rsidP="00766B4F">
            <w:pPr>
              <w:jc w:val="left"/>
              <w:rPr>
                <w:sz w:val="18"/>
                <w:szCs w:val="18"/>
              </w:rPr>
            </w:pPr>
            <w:r w:rsidRPr="0056795A">
              <w:rPr>
                <w:sz w:val="18"/>
                <w:szCs w:val="18"/>
              </w:rPr>
              <w:t xml:space="preserve">The document is built around the CSR and addresses them clearly. The document covers all ESIF policy areas and, while in some places the extent to which it relates to the </w:t>
            </w:r>
            <w:r>
              <w:rPr>
                <w:sz w:val="18"/>
                <w:szCs w:val="18"/>
              </w:rPr>
              <w:t>CSR</w:t>
            </w:r>
            <w:r w:rsidRPr="0056795A">
              <w:rPr>
                <w:sz w:val="18"/>
                <w:szCs w:val="18"/>
              </w:rPr>
              <w:t xml:space="preserve"> is rather indirect, overall, the </w:t>
            </w:r>
            <w:r>
              <w:rPr>
                <w:sz w:val="18"/>
                <w:szCs w:val="18"/>
              </w:rPr>
              <w:t>CSR</w:t>
            </w:r>
            <w:r w:rsidRPr="0056795A">
              <w:rPr>
                <w:sz w:val="18"/>
                <w:szCs w:val="18"/>
              </w:rPr>
              <w:t xml:space="preserve"> are fully covered. The Main Challenges section describes the important structural issues needed to be addressed in Latvia; the Priorities of Funding section clearly outlines the ways in which the funding would be relevant for tackling the </w:t>
            </w:r>
            <w:r>
              <w:rPr>
                <w:sz w:val="18"/>
                <w:szCs w:val="18"/>
              </w:rPr>
              <w:t>CSR</w:t>
            </w:r>
            <w:r w:rsidRPr="0056795A">
              <w:rPr>
                <w:sz w:val="18"/>
                <w:szCs w:val="18"/>
              </w:rPr>
              <w:t xml:space="preserve">; and Annex B covers all the TOs (except TO5) with </w:t>
            </w:r>
            <w:r>
              <w:rPr>
                <w:sz w:val="18"/>
                <w:szCs w:val="18"/>
              </w:rPr>
              <w:t>CSR</w:t>
            </w:r>
            <w:r w:rsidRPr="0056795A">
              <w:rPr>
                <w:sz w:val="18"/>
                <w:szCs w:val="18"/>
              </w:rPr>
              <w:t>/Country Report challenges and explains how these goals are to be achieved.</w:t>
            </w:r>
          </w:p>
        </w:tc>
      </w:tr>
      <w:tr w:rsidR="00584B95" w:rsidRPr="0056795A" w:rsidTr="00766B4F">
        <w:tc>
          <w:tcPr>
            <w:tcW w:w="228" w:type="pct"/>
            <w:vAlign w:val="center"/>
          </w:tcPr>
          <w:p w:rsidR="00584B95" w:rsidRPr="0056795A" w:rsidRDefault="00584B95" w:rsidP="00766B4F">
            <w:pPr>
              <w:jc w:val="left"/>
              <w:rPr>
                <w:sz w:val="18"/>
                <w:szCs w:val="18"/>
              </w:rPr>
            </w:pPr>
            <w:r w:rsidRPr="0056795A">
              <w:rPr>
                <w:sz w:val="18"/>
                <w:szCs w:val="18"/>
              </w:rPr>
              <w:t>MT</w:t>
            </w:r>
          </w:p>
        </w:tc>
        <w:tc>
          <w:tcPr>
            <w:tcW w:w="863" w:type="pct"/>
            <w:vAlign w:val="center"/>
          </w:tcPr>
          <w:p w:rsidR="00584B95" w:rsidRPr="0056795A" w:rsidRDefault="00584B95" w:rsidP="00766B4F">
            <w:pPr>
              <w:jc w:val="left"/>
              <w:rPr>
                <w:sz w:val="18"/>
                <w:szCs w:val="18"/>
              </w:rPr>
            </w:pPr>
            <w:r w:rsidRPr="0056795A">
              <w:rPr>
                <w:sz w:val="18"/>
                <w:szCs w:val="18"/>
              </w:rPr>
              <w:t xml:space="preserve">All cohesion relevant CSR of 2012 are covered in the document, especially in section 1 “main challenges”, in section 2 “priorities for funding” and explicitly in Annex B “Assessment of funding needs”. </w:t>
            </w:r>
          </w:p>
        </w:tc>
        <w:tc>
          <w:tcPr>
            <w:tcW w:w="767" w:type="pct"/>
            <w:vAlign w:val="center"/>
          </w:tcPr>
          <w:p w:rsidR="00584B95" w:rsidRPr="0056795A" w:rsidRDefault="00584B95" w:rsidP="00766B4F">
            <w:pPr>
              <w:jc w:val="left"/>
              <w:rPr>
                <w:sz w:val="18"/>
                <w:szCs w:val="18"/>
                <w:lang w:val="en-US"/>
              </w:rPr>
            </w:pPr>
            <w:r w:rsidRPr="0056795A">
              <w:rPr>
                <w:sz w:val="18"/>
                <w:szCs w:val="18"/>
                <w:lang w:val="en-US"/>
              </w:rPr>
              <w:t xml:space="preserve">Most of the challenges identified in the 2012 Country Report such as </w:t>
            </w:r>
          </w:p>
          <w:p w:rsidR="00584B95" w:rsidRPr="0056795A" w:rsidRDefault="00584B95" w:rsidP="00766B4F">
            <w:pPr>
              <w:jc w:val="left"/>
              <w:rPr>
                <w:sz w:val="18"/>
                <w:szCs w:val="18"/>
                <w:lang w:val="en-US"/>
              </w:rPr>
            </w:pPr>
            <w:r w:rsidRPr="0056795A">
              <w:rPr>
                <w:sz w:val="18"/>
                <w:szCs w:val="18"/>
                <w:lang w:val="en-US"/>
              </w:rPr>
              <w:t>the 2020 recycling target , the inadequacy of the climate policy framework, particularly in relation to sustainable transport,</w:t>
            </w:r>
          </w:p>
          <w:p w:rsidR="00584B95" w:rsidRPr="0056795A" w:rsidRDefault="00584B95" w:rsidP="00766B4F">
            <w:pPr>
              <w:jc w:val="left"/>
              <w:rPr>
                <w:sz w:val="18"/>
                <w:szCs w:val="18"/>
                <w:lang w:val="en-US"/>
              </w:rPr>
            </w:pPr>
            <w:r w:rsidRPr="0056795A">
              <w:rPr>
                <w:sz w:val="18"/>
                <w:szCs w:val="18"/>
                <w:lang w:val="en-US"/>
              </w:rPr>
              <w:t>the GHG emissions for the sectors not falling under the Emissions Trading Scheme, are addressed in the document.</w:t>
            </w:r>
          </w:p>
        </w:tc>
        <w:tc>
          <w:tcPr>
            <w:tcW w:w="1151" w:type="pct"/>
            <w:vAlign w:val="center"/>
          </w:tcPr>
          <w:p w:rsidR="00584B95" w:rsidRPr="0056795A" w:rsidRDefault="00584B95" w:rsidP="00766B4F">
            <w:pPr>
              <w:jc w:val="left"/>
              <w:rPr>
                <w:sz w:val="18"/>
                <w:szCs w:val="18"/>
              </w:rPr>
            </w:pPr>
            <w:r w:rsidRPr="0056795A">
              <w:rPr>
                <w:sz w:val="18"/>
                <w:szCs w:val="18"/>
              </w:rPr>
              <w:t xml:space="preserve">The </w:t>
            </w:r>
            <w:r>
              <w:rPr>
                <w:sz w:val="18"/>
                <w:szCs w:val="18"/>
              </w:rPr>
              <w:t xml:space="preserve">only missing challenge is the </w:t>
            </w:r>
            <w:r w:rsidRPr="0056795A">
              <w:rPr>
                <w:sz w:val="18"/>
                <w:szCs w:val="18"/>
              </w:rPr>
              <w:t>2012 CSR 4.1 concerning the reform of the system of wage bargaining and wage indexation in consultation with social partners, which is indicated as a key challenge in the Country Report</w:t>
            </w:r>
            <w:r>
              <w:rPr>
                <w:sz w:val="18"/>
                <w:szCs w:val="18"/>
              </w:rPr>
              <w:t xml:space="preserve"> and</w:t>
            </w:r>
            <w:r w:rsidRPr="0056795A">
              <w:rPr>
                <w:sz w:val="18"/>
                <w:szCs w:val="18"/>
              </w:rPr>
              <w:t xml:space="preserve"> is not mentioned anywhere in the document.</w:t>
            </w:r>
            <w:r>
              <w:rPr>
                <w:sz w:val="18"/>
                <w:szCs w:val="18"/>
              </w:rPr>
              <w:t xml:space="preserve"> However it must be noted that the ESIF can only address this issue very indirectly, e.g. by supporting consultations.   </w:t>
            </w:r>
          </w:p>
        </w:tc>
        <w:tc>
          <w:tcPr>
            <w:tcW w:w="1054" w:type="pct"/>
            <w:vAlign w:val="center"/>
          </w:tcPr>
          <w:p w:rsidR="00584B95" w:rsidRPr="0056795A" w:rsidRDefault="00584B95" w:rsidP="00766B4F">
            <w:pPr>
              <w:jc w:val="left"/>
              <w:rPr>
                <w:sz w:val="18"/>
                <w:szCs w:val="18"/>
              </w:rPr>
            </w:pPr>
            <w:r w:rsidRPr="0056795A">
              <w:rPr>
                <w:sz w:val="18"/>
                <w:szCs w:val="18"/>
              </w:rPr>
              <w:t xml:space="preserve">The introductory section of the CPP states that “The CSF Funds [...] serve as an effective means to support the implementation of the Country Specific Recommendations issued in the context of the European Semester”. </w:t>
            </w:r>
          </w:p>
          <w:p w:rsidR="00584B95" w:rsidRPr="0056795A" w:rsidRDefault="00584B95" w:rsidP="00766B4F">
            <w:pPr>
              <w:jc w:val="left"/>
              <w:rPr>
                <w:sz w:val="18"/>
                <w:szCs w:val="18"/>
              </w:rPr>
            </w:pPr>
            <w:r w:rsidRPr="0056795A">
              <w:rPr>
                <w:sz w:val="18"/>
                <w:szCs w:val="18"/>
              </w:rPr>
              <w:t xml:space="preserve">Section 2 indicates that “each fund should give priority, when relevant, to policy areas addressed in the Country-Specific Recommendations”, and in Annex B there is an explicit connection between </w:t>
            </w:r>
            <w:r>
              <w:rPr>
                <w:sz w:val="18"/>
                <w:szCs w:val="18"/>
              </w:rPr>
              <w:t>CSR</w:t>
            </w:r>
            <w:r w:rsidRPr="0056795A">
              <w:rPr>
                <w:sz w:val="18"/>
                <w:szCs w:val="18"/>
              </w:rPr>
              <w:t>/Country Reports, selection of priorities and funding needs in relation to low carbon economy, resource efficiency, sustainable transport, LM  and employment, education and training.</w:t>
            </w:r>
          </w:p>
        </w:tc>
        <w:tc>
          <w:tcPr>
            <w:tcW w:w="937" w:type="pct"/>
            <w:vAlign w:val="center"/>
          </w:tcPr>
          <w:p w:rsidR="00584B95" w:rsidRPr="0056795A" w:rsidRDefault="00584B95" w:rsidP="00766B4F">
            <w:pPr>
              <w:jc w:val="left"/>
              <w:rPr>
                <w:sz w:val="18"/>
                <w:szCs w:val="18"/>
              </w:rPr>
            </w:pPr>
            <w:r w:rsidRPr="0056795A">
              <w:rPr>
                <w:sz w:val="18"/>
                <w:szCs w:val="18"/>
              </w:rPr>
              <w:t>High alignment</w:t>
            </w:r>
          </w:p>
          <w:p w:rsidR="00584B95" w:rsidRPr="0056795A" w:rsidRDefault="00584B95" w:rsidP="00766B4F">
            <w:pPr>
              <w:jc w:val="left"/>
              <w:rPr>
                <w:sz w:val="18"/>
                <w:szCs w:val="18"/>
              </w:rPr>
            </w:pPr>
            <w:r w:rsidRPr="0056795A">
              <w:rPr>
                <w:sz w:val="18"/>
                <w:szCs w:val="18"/>
              </w:rPr>
              <w:t>The document sets out the key specific challenges for Malta.</w:t>
            </w:r>
          </w:p>
          <w:p w:rsidR="00584B95" w:rsidRPr="0056795A" w:rsidRDefault="00584B95" w:rsidP="00766B4F">
            <w:pPr>
              <w:jc w:val="left"/>
              <w:rPr>
                <w:sz w:val="18"/>
                <w:szCs w:val="18"/>
              </w:rPr>
            </w:pPr>
            <w:r w:rsidRPr="0056795A">
              <w:rPr>
                <w:sz w:val="18"/>
                <w:szCs w:val="18"/>
              </w:rPr>
              <w:t xml:space="preserve">Reference to the 2012 </w:t>
            </w:r>
            <w:r>
              <w:rPr>
                <w:sz w:val="18"/>
                <w:szCs w:val="18"/>
              </w:rPr>
              <w:t>CSR</w:t>
            </w:r>
            <w:r w:rsidRPr="0056795A">
              <w:rPr>
                <w:sz w:val="18"/>
                <w:szCs w:val="18"/>
              </w:rPr>
              <w:t>/Country Report is often explicit and the coherence between the recommendations adopted in July 2012 and the challenges raised in the CPP (which was published in November 2012) is high.</w:t>
            </w:r>
          </w:p>
        </w:tc>
      </w:tr>
      <w:tr w:rsidR="00584B95" w:rsidRPr="0056795A" w:rsidTr="00766B4F">
        <w:tc>
          <w:tcPr>
            <w:tcW w:w="228" w:type="pct"/>
            <w:vAlign w:val="center"/>
          </w:tcPr>
          <w:p w:rsidR="00584B95" w:rsidRPr="0056795A" w:rsidRDefault="00584B95" w:rsidP="00766B4F">
            <w:pPr>
              <w:jc w:val="left"/>
              <w:rPr>
                <w:sz w:val="18"/>
                <w:szCs w:val="18"/>
              </w:rPr>
            </w:pPr>
            <w:r w:rsidRPr="0056795A">
              <w:rPr>
                <w:sz w:val="18"/>
                <w:szCs w:val="18"/>
              </w:rPr>
              <w:t>NL</w:t>
            </w:r>
          </w:p>
        </w:tc>
        <w:tc>
          <w:tcPr>
            <w:tcW w:w="863" w:type="pct"/>
            <w:vAlign w:val="center"/>
          </w:tcPr>
          <w:p w:rsidR="00584B95" w:rsidRPr="0056795A" w:rsidRDefault="00584B95" w:rsidP="00766B4F">
            <w:pPr>
              <w:jc w:val="left"/>
              <w:rPr>
                <w:sz w:val="18"/>
                <w:szCs w:val="18"/>
              </w:rPr>
            </w:pPr>
            <w:r w:rsidRPr="0056795A">
              <w:rPr>
                <w:sz w:val="18"/>
                <w:szCs w:val="18"/>
              </w:rPr>
              <w:t xml:space="preserve">Overall, the CPP refers systematically to all 2012 CSR throughout the document. In particular in Sections 1, 2, 4 and Annex B of the document. </w:t>
            </w:r>
          </w:p>
        </w:tc>
        <w:tc>
          <w:tcPr>
            <w:tcW w:w="767" w:type="pct"/>
            <w:vAlign w:val="center"/>
          </w:tcPr>
          <w:p w:rsidR="00584B95" w:rsidRPr="0056795A" w:rsidRDefault="00584B95" w:rsidP="00766B4F">
            <w:pPr>
              <w:jc w:val="left"/>
              <w:rPr>
                <w:sz w:val="18"/>
                <w:szCs w:val="18"/>
                <w:lang w:val="en-US"/>
              </w:rPr>
            </w:pPr>
            <w:r w:rsidRPr="0056795A">
              <w:rPr>
                <w:sz w:val="18"/>
                <w:szCs w:val="18"/>
                <w:lang w:val="en-US"/>
              </w:rPr>
              <w:t xml:space="preserve">Other challenges identified in the 2012 Country Report are also covered. These concern: Safeguard continued access to credit for SMEs; </w:t>
            </w:r>
          </w:p>
          <w:p w:rsidR="00584B95" w:rsidRPr="0056795A" w:rsidRDefault="00584B95" w:rsidP="00766B4F">
            <w:pPr>
              <w:jc w:val="left"/>
              <w:rPr>
                <w:sz w:val="18"/>
                <w:szCs w:val="18"/>
                <w:lang w:val="en-US"/>
              </w:rPr>
            </w:pPr>
            <w:r w:rsidRPr="0056795A">
              <w:rPr>
                <w:sz w:val="18"/>
                <w:szCs w:val="18"/>
                <w:lang w:val="en-US"/>
              </w:rPr>
              <w:t xml:space="preserve">the low share of renewable energy in total energy used, also due to some energy- or emissions-intensive sectors and activities being currently </w:t>
            </w:r>
            <w:r w:rsidRPr="0056795A">
              <w:rPr>
                <w:sz w:val="18"/>
                <w:szCs w:val="18"/>
              </w:rPr>
              <w:t>subsidised</w:t>
            </w:r>
            <w:r w:rsidRPr="0056795A">
              <w:rPr>
                <w:sz w:val="18"/>
                <w:szCs w:val="18"/>
                <w:lang w:val="en-US"/>
              </w:rPr>
              <w:t>.</w:t>
            </w:r>
          </w:p>
        </w:tc>
        <w:tc>
          <w:tcPr>
            <w:tcW w:w="1151" w:type="pct"/>
            <w:vAlign w:val="center"/>
          </w:tcPr>
          <w:p w:rsidR="00584B95" w:rsidRPr="0056795A" w:rsidRDefault="00584B95" w:rsidP="00766B4F">
            <w:pPr>
              <w:jc w:val="left"/>
              <w:rPr>
                <w:sz w:val="18"/>
                <w:szCs w:val="18"/>
              </w:rPr>
            </w:pPr>
            <w:r w:rsidRPr="0056795A">
              <w:rPr>
                <w:sz w:val="18"/>
                <w:szCs w:val="18"/>
              </w:rPr>
              <w:t>The lack of a central State Aid Registry, a challenge mentioned in the 2012 Country Report, is not mentioned anywhere in the CPP.</w:t>
            </w:r>
          </w:p>
        </w:tc>
        <w:tc>
          <w:tcPr>
            <w:tcW w:w="1054" w:type="pct"/>
            <w:vAlign w:val="center"/>
          </w:tcPr>
          <w:p w:rsidR="00584B95" w:rsidRPr="0056795A" w:rsidRDefault="00584B95" w:rsidP="00766B4F">
            <w:pPr>
              <w:jc w:val="left"/>
              <w:rPr>
                <w:sz w:val="18"/>
                <w:szCs w:val="18"/>
                <w:lang w:val="en-US"/>
              </w:rPr>
            </w:pPr>
            <w:r w:rsidRPr="0056795A">
              <w:rPr>
                <w:sz w:val="18"/>
                <w:szCs w:val="18"/>
                <w:lang w:val="en-US"/>
              </w:rPr>
              <w:t xml:space="preserve">The introductory section of the CPP states that the “CSF funds […] serve as an effective means to support the implementation of the CSR”. </w:t>
            </w:r>
          </w:p>
          <w:p w:rsidR="00584B95" w:rsidRPr="0056795A" w:rsidRDefault="00584B95" w:rsidP="00766B4F">
            <w:pPr>
              <w:jc w:val="left"/>
              <w:rPr>
                <w:sz w:val="18"/>
                <w:szCs w:val="18"/>
                <w:lang w:val="en-US"/>
              </w:rPr>
            </w:pPr>
            <w:r w:rsidRPr="0056795A">
              <w:rPr>
                <w:sz w:val="18"/>
                <w:szCs w:val="18"/>
                <w:lang w:val="en-US"/>
              </w:rPr>
              <w:t>The CPP indicates that “three complementary and mutually reinforcing funding priorities are proposed hereunder in line with CSR challenges”: (</w:t>
            </w:r>
            <w:proofErr w:type="spellStart"/>
            <w:r w:rsidRPr="0056795A">
              <w:rPr>
                <w:sz w:val="18"/>
                <w:szCs w:val="18"/>
                <w:lang w:val="en-US"/>
              </w:rPr>
              <w:t>i</w:t>
            </w:r>
            <w:proofErr w:type="spellEnd"/>
            <w:r w:rsidRPr="0056795A">
              <w:rPr>
                <w:sz w:val="18"/>
                <w:szCs w:val="18"/>
                <w:lang w:val="en-US"/>
              </w:rPr>
              <w:t xml:space="preserve">) innovation-friendly business environment, (ii) increasing </w:t>
            </w:r>
            <w:proofErr w:type="spellStart"/>
            <w:r w:rsidRPr="0056795A">
              <w:rPr>
                <w:sz w:val="18"/>
                <w:szCs w:val="18"/>
                <w:lang w:val="en-US"/>
              </w:rPr>
              <w:t>labour</w:t>
            </w:r>
            <w:proofErr w:type="spellEnd"/>
            <w:r w:rsidRPr="0056795A">
              <w:rPr>
                <w:sz w:val="18"/>
                <w:szCs w:val="18"/>
                <w:lang w:val="en-US"/>
              </w:rPr>
              <w:t xml:space="preserve"> market participation through improved employment and social inclusion, and (iii) environment-friendly and resource-efficient economy.</w:t>
            </w:r>
          </w:p>
          <w:p w:rsidR="00584B95" w:rsidRPr="0056795A" w:rsidRDefault="00584B95" w:rsidP="00766B4F">
            <w:pPr>
              <w:jc w:val="left"/>
              <w:rPr>
                <w:sz w:val="18"/>
                <w:szCs w:val="18"/>
                <w:lang w:val="en-US"/>
              </w:rPr>
            </w:pPr>
            <w:r w:rsidRPr="0056795A">
              <w:rPr>
                <w:sz w:val="18"/>
                <w:szCs w:val="18"/>
                <w:lang w:val="en-US"/>
              </w:rPr>
              <w:t>These priorities are all related to specific CSR.</w:t>
            </w:r>
          </w:p>
        </w:tc>
        <w:tc>
          <w:tcPr>
            <w:tcW w:w="937" w:type="pct"/>
            <w:vAlign w:val="center"/>
          </w:tcPr>
          <w:p w:rsidR="00584B95" w:rsidRPr="0056795A" w:rsidRDefault="00584B95" w:rsidP="00766B4F">
            <w:pPr>
              <w:jc w:val="left"/>
              <w:rPr>
                <w:sz w:val="18"/>
                <w:szCs w:val="18"/>
              </w:rPr>
            </w:pPr>
            <w:r w:rsidRPr="0056795A">
              <w:rPr>
                <w:sz w:val="18"/>
                <w:szCs w:val="18"/>
              </w:rPr>
              <w:t xml:space="preserve">High alignment. </w:t>
            </w:r>
          </w:p>
          <w:p w:rsidR="00584B95" w:rsidRPr="0056795A" w:rsidRDefault="00584B95" w:rsidP="00766B4F">
            <w:pPr>
              <w:jc w:val="left"/>
              <w:rPr>
                <w:sz w:val="18"/>
                <w:szCs w:val="18"/>
              </w:rPr>
            </w:pPr>
            <w:r w:rsidRPr="0056795A">
              <w:rPr>
                <w:sz w:val="18"/>
                <w:szCs w:val="18"/>
              </w:rPr>
              <w:t xml:space="preserve">The CPP sets out the key specific challenges for the Netherlands. The 2012 </w:t>
            </w:r>
            <w:r>
              <w:rPr>
                <w:sz w:val="18"/>
                <w:szCs w:val="18"/>
              </w:rPr>
              <w:t>CSR</w:t>
            </w:r>
            <w:r w:rsidRPr="0056795A">
              <w:rPr>
                <w:sz w:val="18"/>
                <w:szCs w:val="18"/>
              </w:rPr>
              <w:t xml:space="preserve"> play a central role in the CPP and most recommendations are mentioned in an explicit way. The CPP defines clearly how it is intended to support </w:t>
            </w:r>
            <w:r>
              <w:rPr>
                <w:sz w:val="18"/>
                <w:szCs w:val="18"/>
              </w:rPr>
              <w:t>CSR</w:t>
            </w:r>
            <w:r w:rsidRPr="0056795A">
              <w:rPr>
                <w:sz w:val="18"/>
                <w:szCs w:val="18"/>
              </w:rPr>
              <w:t xml:space="preserve"> and structural reform.</w:t>
            </w:r>
          </w:p>
        </w:tc>
      </w:tr>
      <w:tr w:rsidR="00584B95" w:rsidRPr="0056795A" w:rsidTr="00766B4F">
        <w:tc>
          <w:tcPr>
            <w:tcW w:w="228" w:type="pct"/>
            <w:vAlign w:val="center"/>
          </w:tcPr>
          <w:p w:rsidR="00584B95" w:rsidRPr="0056795A" w:rsidRDefault="00584B95" w:rsidP="00766B4F">
            <w:pPr>
              <w:jc w:val="left"/>
              <w:rPr>
                <w:sz w:val="18"/>
                <w:szCs w:val="18"/>
              </w:rPr>
            </w:pPr>
            <w:r w:rsidRPr="0056795A">
              <w:rPr>
                <w:sz w:val="18"/>
                <w:szCs w:val="18"/>
              </w:rPr>
              <w:t>PL</w:t>
            </w:r>
          </w:p>
        </w:tc>
        <w:tc>
          <w:tcPr>
            <w:tcW w:w="863" w:type="pct"/>
            <w:vAlign w:val="center"/>
          </w:tcPr>
          <w:p w:rsidR="00584B95" w:rsidRPr="0056795A" w:rsidRDefault="00584B95" w:rsidP="00766B4F">
            <w:pPr>
              <w:jc w:val="left"/>
              <w:rPr>
                <w:sz w:val="18"/>
                <w:szCs w:val="18"/>
              </w:rPr>
            </w:pPr>
            <w:r w:rsidRPr="0056795A">
              <w:rPr>
                <w:sz w:val="18"/>
                <w:szCs w:val="18"/>
              </w:rPr>
              <w:t xml:space="preserve">The CPP refers to 2012 </w:t>
            </w:r>
            <w:r>
              <w:rPr>
                <w:sz w:val="18"/>
                <w:szCs w:val="18"/>
              </w:rPr>
              <w:t>CSR</w:t>
            </w:r>
            <w:r w:rsidRPr="0056795A">
              <w:rPr>
                <w:sz w:val="18"/>
                <w:szCs w:val="18"/>
              </w:rPr>
              <w:t xml:space="preserve"> and structural challenges in a systematic way.</w:t>
            </w:r>
          </w:p>
          <w:p w:rsidR="00584B95" w:rsidRPr="0056795A" w:rsidRDefault="00584B95" w:rsidP="00766B4F">
            <w:pPr>
              <w:jc w:val="left"/>
              <w:rPr>
                <w:sz w:val="18"/>
                <w:szCs w:val="18"/>
              </w:rPr>
            </w:pPr>
            <w:r w:rsidRPr="0056795A">
              <w:rPr>
                <w:sz w:val="18"/>
                <w:szCs w:val="18"/>
              </w:rPr>
              <w:t xml:space="preserve">Under Annex B explicit reference to all </w:t>
            </w:r>
            <w:r>
              <w:rPr>
                <w:sz w:val="18"/>
                <w:szCs w:val="18"/>
              </w:rPr>
              <w:t>CSR</w:t>
            </w:r>
            <w:r w:rsidRPr="0056795A">
              <w:rPr>
                <w:sz w:val="18"/>
                <w:szCs w:val="18"/>
              </w:rPr>
              <w:t xml:space="preserve"> can be found, as well as implicit reference to all the structural challenges included in the Country Report. Almost all Thematic Objectives are linked to the </w:t>
            </w:r>
            <w:r>
              <w:rPr>
                <w:sz w:val="18"/>
                <w:szCs w:val="18"/>
              </w:rPr>
              <w:t>CSR</w:t>
            </w:r>
            <w:r w:rsidRPr="0056795A">
              <w:rPr>
                <w:sz w:val="18"/>
                <w:szCs w:val="18"/>
              </w:rPr>
              <w:t>/structural challenges. Only one exception is Thematic Objectives 5 (Climate change adaptation and risk management) where there is no explicit nor implicit reference.</w:t>
            </w:r>
          </w:p>
        </w:tc>
        <w:tc>
          <w:tcPr>
            <w:tcW w:w="767" w:type="pct"/>
            <w:vAlign w:val="center"/>
          </w:tcPr>
          <w:p w:rsidR="00584B95" w:rsidRPr="0056795A" w:rsidRDefault="00584B95" w:rsidP="00766B4F">
            <w:pPr>
              <w:jc w:val="left"/>
              <w:rPr>
                <w:sz w:val="18"/>
                <w:szCs w:val="18"/>
              </w:rPr>
            </w:pPr>
            <w:r w:rsidRPr="0056795A">
              <w:rPr>
                <w:sz w:val="18"/>
                <w:szCs w:val="18"/>
              </w:rPr>
              <w:t xml:space="preserve">Challenges identified in the 2012 Country Report are also addressed. These include: pre-school education; development of the information society; the fact that too much municipal waste is still landfilled and more could be done to use cohesion funds to support infrastructure development; atmospheric emissions; underinvestment in urban transport; PA efficiency. </w:t>
            </w:r>
          </w:p>
        </w:tc>
        <w:tc>
          <w:tcPr>
            <w:tcW w:w="1151" w:type="pct"/>
            <w:vAlign w:val="center"/>
          </w:tcPr>
          <w:p w:rsidR="00584B95" w:rsidRPr="0056795A" w:rsidRDefault="00584B95" w:rsidP="00766B4F">
            <w:pPr>
              <w:jc w:val="left"/>
              <w:rPr>
                <w:sz w:val="18"/>
                <w:szCs w:val="18"/>
              </w:rPr>
            </w:pPr>
            <w:r w:rsidRPr="0056795A">
              <w:rPr>
                <w:sz w:val="18"/>
                <w:szCs w:val="18"/>
              </w:rPr>
              <w:t>All CSR / relevant structural challenges are addressed by the CPP.</w:t>
            </w:r>
          </w:p>
        </w:tc>
        <w:tc>
          <w:tcPr>
            <w:tcW w:w="1054" w:type="pct"/>
            <w:vAlign w:val="center"/>
          </w:tcPr>
          <w:p w:rsidR="00584B95" w:rsidRPr="0056795A" w:rsidRDefault="00584B95" w:rsidP="00766B4F">
            <w:pPr>
              <w:jc w:val="left"/>
              <w:rPr>
                <w:sz w:val="18"/>
                <w:szCs w:val="18"/>
              </w:rPr>
            </w:pPr>
            <w:r w:rsidRPr="0056795A">
              <w:rPr>
                <w:sz w:val="18"/>
                <w:szCs w:val="18"/>
              </w:rPr>
              <w:t xml:space="preserve">The CPP indicates that “Each fund should give priority, when relevant, to policy areas addressed in the CSR and in the national reform programmes”. The link between </w:t>
            </w:r>
            <w:r>
              <w:rPr>
                <w:sz w:val="18"/>
                <w:szCs w:val="18"/>
              </w:rPr>
              <w:t>CSR</w:t>
            </w:r>
            <w:r w:rsidRPr="0056795A">
              <w:rPr>
                <w:sz w:val="18"/>
                <w:szCs w:val="18"/>
              </w:rPr>
              <w:t>/structural challenges and priorities is clearly seen in the document.</w:t>
            </w:r>
          </w:p>
        </w:tc>
        <w:tc>
          <w:tcPr>
            <w:tcW w:w="937" w:type="pct"/>
            <w:vAlign w:val="center"/>
          </w:tcPr>
          <w:p w:rsidR="00584B95" w:rsidRPr="0056795A" w:rsidRDefault="00584B95" w:rsidP="00766B4F">
            <w:pPr>
              <w:jc w:val="left"/>
              <w:rPr>
                <w:sz w:val="18"/>
                <w:szCs w:val="18"/>
              </w:rPr>
            </w:pPr>
            <w:r w:rsidRPr="0056795A">
              <w:rPr>
                <w:sz w:val="18"/>
                <w:szCs w:val="18"/>
              </w:rPr>
              <w:t xml:space="preserve">High alignment. </w:t>
            </w:r>
          </w:p>
          <w:p w:rsidR="00584B95" w:rsidRPr="0056795A" w:rsidRDefault="00584B95" w:rsidP="00766B4F">
            <w:pPr>
              <w:jc w:val="left"/>
              <w:rPr>
                <w:sz w:val="18"/>
                <w:szCs w:val="18"/>
              </w:rPr>
            </w:pPr>
            <w:r w:rsidRPr="0056795A">
              <w:rPr>
                <w:sz w:val="18"/>
                <w:szCs w:val="18"/>
              </w:rPr>
              <w:t xml:space="preserve">The CPP addresses the key specific challenges for Poland. The reference to </w:t>
            </w:r>
            <w:r>
              <w:rPr>
                <w:sz w:val="18"/>
                <w:szCs w:val="18"/>
              </w:rPr>
              <w:t>CSR</w:t>
            </w:r>
            <w:r w:rsidRPr="0056795A">
              <w:rPr>
                <w:sz w:val="18"/>
                <w:szCs w:val="18"/>
              </w:rPr>
              <w:t xml:space="preserve"> is very often explicit. When there is no explicit reference the needs raised in the CPP are very coherent with the CSR/structural challenges.</w:t>
            </w:r>
          </w:p>
        </w:tc>
      </w:tr>
      <w:tr w:rsidR="00584B95" w:rsidRPr="0056795A" w:rsidTr="00766B4F">
        <w:tc>
          <w:tcPr>
            <w:tcW w:w="228" w:type="pct"/>
            <w:vAlign w:val="center"/>
          </w:tcPr>
          <w:p w:rsidR="00584B95" w:rsidRPr="0056795A" w:rsidRDefault="00584B95" w:rsidP="00766B4F">
            <w:pPr>
              <w:jc w:val="left"/>
              <w:rPr>
                <w:sz w:val="18"/>
                <w:szCs w:val="18"/>
              </w:rPr>
            </w:pPr>
            <w:r w:rsidRPr="0056795A">
              <w:rPr>
                <w:sz w:val="18"/>
                <w:szCs w:val="18"/>
              </w:rPr>
              <w:t>PT</w:t>
            </w:r>
          </w:p>
        </w:tc>
        <w:tc>
          <w:tcPr>
            <w:tcW w:w="863" w:type="pct"/>
            <w:vAlign w:val="center"/>
          </w:tcPr>
          <w:p w:rsidR="00584B95" w:rsidRPr="0056795A" w:rsidRDefault="00584B95" w:rsidP="00766B4F">
            <w:pPr>
              <w:jc w:val="left"/>
              <w:rPr>
                <w:sz w:val="18"/>
                <w:szCs w:val="18"/>
              </w:rPr>
            </w:pPr>
            <w:r w:rsidRPr="0056795A">
              <w:rPr>
                <w:sz w:val="18"/>
                <w:szCs w:val="18"/>
              </w:rPr>
              <w:t xml:space="preserve">There was no CSR in 2012; the CPP refers to the MoU and the challenges highlighted in the related EU Decision.  </w:t>
            </w:r>
          </w:p>
        </w:tc>
        <w:tc>
          <w:tcPr>
            <w:tcW w:w="767" w:type="pct"/>
            <w:vAlign w:val="center"/>
          </w:tcPr>
          <w:p w:rsidR="00584B95" w:rsidRPr="0056795A" w:rsidRDefault="00584B95" w:rsidP="00766B4F">
            <w:pPr>
              <w:jc w:val="left"/>
              <w:rPr>
                <w:sz w:val="18"/>
                <w:szCs w:val="18"/>
              </w:rPr>
            </w:pPr>
            <w:r w:rsidRPr="0056795A">
              <w:rPr>
                <w:sz w:val="18"/>
                <w:szCs w:val="18"/>
              </w:rPr>
              <w:t>The CPP makes implicit reference to all the cohesion relevant challenges of the 2012 MoU, in several sections of the document.</w:t>
            </w:r>
          </w:p>
        </w:tc>
        <w:tc>
          <w:tcPr>
            <w:tcW w:w="1151" w:type="pct"/>
            <w:vAlign w:val="center"/>
          </w:tcPr>
          <w:p w:rsidR="00584B95" w:rsidRPr="0056795A" w:rsidRDefault="00584B95" w:rsidP="00766B4F">
            <w:pPr>
              <w:jc w:val="left"/>
              <w:rPr>
                <w:sz w:val="18"/>
                <w:szCs w:val="18"/>
              </w:rPr>
            </w:pPr>
            <w:r w:rsidRPr="0056795A">
              <w:rPr>
                <w:sz w:val="18"/>
                <w:szCs w:val="18"/>
              </w:rPr>
              <w:t>Only the MoU challenges concerning</w:t>
            </w:r>
          </w:p>
          <w:p w:rsidR="00584B95" w:rsidRPr="0056795A" w:rsidRDefault="00584B95" w:rsidP="00766B4F">
            <w:pPr>
              <w:jc w:val="left"/>
              <w:rPr>
                <w:sz w:val="18"/>
                <w:szCs w:val="18"/>
              </w:rPr>
            </w:pPr>
            <w:r w:rsidRPr="0056795A">
              <w:rPr>
                <w:sz w:val="18"/>
                <w:szCs w:val="18"/>
              </w:rPr>
              <w:t xml:space="preserve">budget and taxation, the creation and the functioning of SOEs, and the liberalisation of services are not covered in the CPP. </w:t>
            </w:r>
          </w:p>
        </w:tc>
        <w:tc>
          <w:tcPr>
            <w:tcW w:w="1054" w:type="pct"/>
            <w:vAlign w:val="center"/>
          </w:tcPr>
          <w:p w:rsidR="00584B95" w:rsidRPr="0056795A" w:rsidRDefault="00584B95" w:rsidP="00766B4F">
            <w:pPr>
              <w:jc w:val="left"/>
              <w:rPr>
                <w:sz w:val="18"/>
                <w:szCs w:val="18"/>
              </w:rPr>
            </w:pPr>
            <w:r w:rsidRPr="0056795A">
              <w:rPr>
                <w:sz w:val="18"/>
                <w:szCs w:val="18"/>
              </w:rPr>
              <w:t xml:space="preserve">In the “Introduction” of the CPP it is highlighted that the  CSF funds serve as an effective means to support the implementation of the recommendations issued in the context of the European Semester and that “The starting point of the Commission's considerations are the Memorandum of Understanding signed between the Portuguese Authorities, the European Commission, ECB and IMF in 2011, the Commission Staff Working Document "Assessment of the 2012 national reform programme and stability programme for Portugal", </w:t>
            </w:r>
          </w:p>
          <w:p w:rsidR="00584B95" w:rsidRPr="0056795A" w:rsidRDefault="00584B95" w:rsidP="00766B4F">
            <w:pPr>
              <w:jc w:val="left"/>
              <w:rPr>
                <w:sz w:val="18"/>
                <w:szCs w:val="18"/>
              </w:rPr>
            </w:pPr>
            <w:r w:rsidRPr="0056795A">
              <w:rPr>
                <w:sz w:val="18"/>
                <w:szCs w:val="18"/>
              </w:rPr>
              <w:t>the national reform programmes and the economic adjustment programme.</w:t>
            </w:r>
          </w:p>
          <w:p w:rsidR="00584B95" w:rsidRPr="0056795A" w:rsidRDefault="00584B95" w:rsidP="00766B4F">
            <w:pPr>
              <w:jc w:val="left"/>
              <w:rPr>
                <w:sz w:val="18"/>
                <w:szCs w:val="18"/>
              </w:rPr>
            </w:pPr>
            <w:r w:rsidRPr="0056795A">
              <w:rPr>
                <w:sz w:val="18"/>
                <w:szCs w:val="18"/>
              </w:rPr>
              <w:t xml:space="preserve">In chapter “2. Priorities for funding”, it is stated that “The CSF Funds are one of the most important instruments to tackle the main development challenges for Portugal and to implement the Europe 2020 strategy. </w:t>
            </w:r>
          </w:p>
        </w:tc>
        <w:tc>
          <w:tcPr>
            <w:tcW w:w="937" w:type="pct"/>
            <w:vAlign w:val="center"/>
          </w:tcPr>
          <w:p w:rsidR="00584B95" w:rsidRDefault="00584B95" w:rsidP="00766B4F">
            <w:pPr>
              <w:jc w:val="left"/>
              <w:rPr>
                <w:sz w:val="18"/>
                <w:szCs w:val="18"/>
              </w:rPr>
            </w:pPr>
            <w:r>
              <w:rPr>
                <w:sz w:val="18"/>
                <w:szCs w:val="18"/>
              </w:rPr>
              <w:t>Medium</w:t>
            </w:r>
            <w:r w:rsidRPr="0056795A">
              <w:rPr>
                <w:sz w:val="18"/>
                <w:szCs w:val="18"/>
              </w:rPr>
              <w:t xml:space="preserve"> alignment. </w:t>
            </w:r>
          </w:p>
          <w:p w:rsidR="00584B95" w:rsidRPr="0056795A" w:rsidRDefault="00584B95" w:rsidP="00766B4F">
            <w:pPr>
              <w:jc w:val="left"/>
              <w:rPr>
                <w:sz w:val="18"/>
                <w:szCs w:val="18"/>
              </w:rPr>
            </w:pPr>
            <w:r w:rsidRPr="00E00E73">
              <w:rPr>
                <w:sz w:val="18"/>
                <w:szCs w:val="18"/>
              </w:rPr>
              <w:t>The 2011 Council implementing decision on granting Union financial assistance to Portugal recommended very specific policy measures, that were as politically sensitive as also difficult to implement (elimination of excessive rents in the energy sector, reduction of unemployment benefits, suspended increase of minimum wage, reduction of the number of municipalities and parishes, territorial reorganization and rationalization of the judicial system and the f</w:t>
            </w:r>
            <w:r>
              <w:rPr>
                <w:sz w:val="18"/>
                <w:szCs w:val="18"/>
              </w:rPr>
              <w:t xml:space="preserve">iscal administration services). </w:t>
            </w:r>
            <w:r w:rsidRPr="00E00E73">
              <w:rPr>
                <w:sz w:val="18"/>
                <w:szCs w:val="18"/>
              </w:rPr>
              <w:t>All these recommendations are implicitly referred to in the CPP, and therefore play a central role in this document.</w:t>
            </w:r>
          </w:p>
        </w:tc>
      </w:tr>
      <w:tr w:rsidR="00584B95" w:rsidRPr="0056795A" w:rsidTr="00766B4F">
        <w:tc>
          <w:tcPr>
            <w:tcW w:w="228" w:type="pct"/>
            <w:vAlign w:val="center"/>
          </w:tcPr>
          <w:p w:rsidR="00584B95" w:rsidRPr="0056795A" w:rsidRDefault="00584B95" w:rsidP="00766B4F">
            <w:pPr>
              <w:jc w:val="left"/>
              <w:rPr>
                <w:sz w:val="18"/>
                <w:szCs w:val="18"/>
              </w:rPr>
            </w:pPr>
            <w:r w:rsidRPr="0056795A">
              <w:rPr>
                <w:sz w:val="18"/>
                <w:szCs w:val="18"/>
              </w:rPr>
              <w:t>RO</w:t>
            </w:r>
          </w:p>
        </w:tc>
        <w:tc>
          <w:tcPr>
            <w:tcW w:w="863" w:type="pct"/>
            <w:vAlign w:val="center"/>
          </w:tcPr>
          <w:p w:rsidR="00584B95" w:rsidRPr="0056795A" w:rsidRDefault="00584B95" w:rsidP="00766B4F">
            <w:pPr>
              <w:jc w:val="left"/>
              <w:rPr>
                <w:sz w:val="18"/>
                <w:szCs w:val="18"/>
              </w:rPr>
            </w:pPr>
            <w:r w:rsidRPr="0056795A">
              <w:rPr>
                <w:sz w:val="18"/>
                <w:szCs w:val="18"/>
              </w:rPr>
              <w:t xml:space="preserve">There was no CSR in 2012; the CPP refers to the MoU and the challenges highlighted in the related EU Decision. However, when looking at CSR/structural challenges of the following years and considering the wide scope of the Romanian CPP, it is evident that most reform needs are considered and that CPP plays a central role in addressing CSR. </w:t>
            </w:r>
          </w:p>
          <w:p w:rsidR="00584B95" w:rsidRPr="0056795A" w:rsidRDefault="00584B95" w:rsidP="00766B4F">
            <w:pPr>
              <w:jc w:val="left"/>
              <w:rPr>
                <w:sz w:val="18"/>
                <w:szCs w:val="18"/>
              </w:rPr>
            </w:pPr>
            <w:r w:rsidRPr="0056795A">
              <w:rPr>
                <w:sz w:val="18"/>
                <w:szCs w:val="18"/>
              </w:rPr>
              <w:tab/>
            </w:r>
          </w:p>
        </w:tc>
        <w:tc>
          <w:tcPr>
            <w:tcW w:w="767" w:type="pct"/>
            <w:vAlign w:val="center"/>
          </w:tcPr>
          <w:p w:rsidR="00584B95" w:rsidRPr="0056795A" w:rsidRDefault="00584B95" w:rsidP="00766B4F">
            <w:pPr>
              <w:jc w:val="left"/>
              <w:rPr>
                <w:sz w:val="18"/>
                <w:szCs w:val="18"/>
              </w:rPr>
            </w:pPr>
            <w:r w:rsidRPr="0056795A">
              <w:rPr>
                <w:sz w:val="18"/>
                <w:szCs w:val="18"/>
              </w:rPr>
              <w:t xml:space="preserve">The structural challenges are found throughout the CPP. </w:t>
            </w:r>
          </w:p>
          <w:p w:rsidR="00584B95" w:rsidRPr="0056795A" w:rsidRDefault="00584B95" w:rsidP="00766B4F">
            <w:pPr>
              <w:jc w:val="left"/>
              <w:rPr>
                <w:sz w:val="18"/>
                <w:szCs w:val="18"/>
              </w:rPr>
            </w:pPr>
            <w:r w:rsidRPr="0056795A">
              <w:rPr>
                <w:sz w:val="18"/>
                <w:szCs w:val="18"/>
              </w:rPr>
              <w:t>Section 1 “Main challenges” mentions directly almost all recommendations referring to investments challenges. The Priorities for funding (Section 2) refer in a more clear manner to More clear links with the funding needs are found in Annex B Assessment of funding needs in relation to thematic objectives.</w:t>
            </w:r>
          </w:p>
        </w:tc>
        <w:tc>
          <w:tcPr>
            <w:tcW w:w="1151" w:type="pct"/>
            <w:vAlign w:val="center"/>
          </w:tcPr>
          <w:p w:rsidR="00584B95" w:rsidRPr="0056795A" w:rsidRDefault="00584B95" w:rsidP="00766B4F">
            <w:pPr>
              <w:jc w:val="left"/>
              <w:rPr>
                <w:sz w:val="18"/>
                <w:szCs w:val="18"/>
              </w:rPr>
            </w:pPr>
            <w:r w:rsidRPr="0056795A">
              <w:rPr>
                <w:sz w:val="18"/>
                <w:szCs w:val="18"/>
              </w:rPr>
              <w:t>The analysis revealed that CPP does not address the CSR/structural challenges referring to regulatory interventions, such as:</w:t>
            </w:r>
          </w:p>
          <w:p w:rsidR="00584B95" w:rsidRPr="0056795A" w:rsidRDefault="00584B95" w:rsidP="00766B4F">
            <w:pPr>
              <w:jc w:val="left"/>
              <w:rPr>
                <w:sz w:val="18"/>
                <w:szCs w:val="18"/>
              </w:rPr>
            </w:pPr>
            <w:r w:rsidRPr="0056795A">
              <w:rPr>
                <w:sz w:val="18"/>
                <w:szCs w:val="18"/>
              </w:rPr>
              <w:t xml:space="preserve">reforms of the wage setting system allowing wages to better reflect productivity developments, widen the set of cases for use of fixed-term labour contracts, improve the adequacy of the employment protection legislation and adapt to the </w:t>
            </w:r>
            <w:proofErr w:type="spellStart"/>
            <w:r w:rsidRPr="0056795A">
              <w:rPr>
                <w:sz w:val="18"/>
                <w:szCs w:val="18"/>
              </w:rPr>
              <w:t>flexicurity</w:t>
            </w:r>
            <w:proofErr w:type="spellEnd"/>
            <w:r w:rsidRPr="0056795A">
              <w:rPr>
                <w:sz w:val="18"/>
                <w:szCs w:val="18"/>
              </w:rPr>
              <w:t xml:space="preserve"> principles.</w:t>
            </w:r>
          </w:p>
          <w:p w:rsidR="00584B95" w:rsidRPr="0056795A" w:rsidRDefault="00584B95" w:rsidP="00766B4F">
            <w:pPr>
              <w:jc w:val="left"/>
              <w:rPr>
                <w:sz w:val="18"/>
                <w:szCs w:val="18"/>
              </w:rPr>
            </w:pPr>
            <w:r w:rsidRPr="0056795A">
              <w:rPr>
                <w:sz w:val="18"/>
                <w:szCs w:val="18"/>
              </w:rPr>
              <w:t>Recommendations regarding the increase of the EU funds absorption is not specifically mentioned in CPP.</w:t>
            </w:r>
          </w:p>
        </w:tc>
        <w:tc>
          <w:tcPr>
            <w:tcW w:w="1054" w:type="pct"/>
            <w:vAlign w:val="center"/>
          </w:tcPr>
          <w:p w:rsidR="00584B95" w:rsidRPr="0056795A" w:rsidRDefault="00584B95" w:rsidP="00766B4F">
            <w:pPr>
              <w:jc w:val="left"/>
              <w:rPr>
                <w:sz w:val="18"/>
                <w:szCs w:val="18"/>
              </w:rPr>
            </w:pPr>
            <w:r w:rsidRPr="0056795A">
              <w:rPr>
                <w:sz w:val="18"/>
                <w:szCs w:val="18"/>
              </w:rPr>
              <w:t xml:space="preserve">The priorities for funding are to a large extent addressing directly the structural challenges, except for the needs for regulatory change. </w:t>
            </w:r>
          </w:p>
        </w:tc>
        <w:tc>
          <w:tcPr>
            <w:tcW w:w="937" w:type="pct"/>
            <w:vAlign w:val="center"/>
          </w:tcPr>
          <w:p w:rsidR="00584B95" w:rsidRPr="0056795A" w:rsidRDefault="00584B95" w:rsidP="00766B4F">
            <w:pPr>
              <w:jc w:val="left"/>
              <w:rPr>
                <w:sz w:val="18"/>
                <w:szCs w:val="18"/>
              </w:rPr>
            </w:pPr>
            <w:r w:rsidRPr="0056795A">
              <w:rPr>
                <w:sz w:val="18"/>
                <w:szCs w:val="18"/>
              </w:rPr>
              <w:t xml:space="preserve">High alignment. </w:t>
            </w:r>
          </w:p>
          <w:p w:rsidR="00584B95" w:rsidRPr="0056795A" w:rsidRDefault="00584B95" w:rsidP="00766B4F">
            <w:pPr>
              <w:jc w:val="left"/>
              <w:rPr>
                <w:sz w:val="18"/>
                <w:szCs w:val="18"/>
              </w:rPr>
            </w:pPr>
            <w:r w:rsidRPr="0056795A">
              <w:rPr>
                <w:sz w:val="18"/>
                <w:szCs w:val="18"/>
              </w:rPr>
              <w:t xml:space="preserve">The CPP for Romania has a wide coverage in terms of TOs and needs addressed. </w:t>
            </w:r>
          </w:p>
          <w:p w:rsidR="00584B95" w:rsidRPr="0056795A" w:rsidRDefault="00584B95" w:rsidP="00766B4F">
            <w:pPr>
              <w:jc w:val="left"/>
              <w:rPr>
                <w:sz w:val="18"/>
                <w:szCs w:val="18"/>
              </w:rPr>
            </w:pPr>
            <w:r w:rsidRPr="0056795A">
              <w:rPr>
                <w:sz w:val="18"/>
                <w:szCs w:val="18"/>
              </w:rPr>
              <w:t>All thematic objectives except TO 5 Promoting climate change adaptation, risk prevention and management, include funding needs and priorities addressing directly or indirectly structural challenges and post 2012 CSR.</w:t>
            </w:r>
          </w:p>
        </w:tc>
      </w:tr>
      <w:tr w:rsidR="00584B95" w:rsidRPr="0056795A" w:rsidTr="00766B4F">
        <w:tc>
          <w:tcPr>
            <w:tcW w:w="228" w:type="pct"/>
            <w:vAlign w:val="center"/>
          </w:tcPr>
          <w:p w:rsidR="00584B95" w:rsidRPr="0056795A" w:rsidRDefault="00584B95" w:rsidP="00766B4F">
            <w:pPr>
              <w:jc w:val="left"/>
              <w:rPr>
                <w:sz w:val="18"/>
                <w:szCs w:val="18"/>
              </w:rPr>
            </w:pPr>
            <w:r w:rsidRPr="0056795A">
              <w:rPr>
                <w:sz w:val="18"/>
                <w:szCs w:val="18"/>
              </w:rPr>
              <w:t>SE</w:t>
            </w:r>
          </w:p>
        </w:tc>
        <w:tc>
          <w:tcPr>
            <w:tcW w:w="863" w:type="pct"/>
            <w:vAlign w:val="center"/>
          </w:tcPr>
          <w:p w:rsidR="00584B95" w:rsidRPr="0056795A" w:rsidRDefault="00584B95" w:rsidP="00766B4F">
            <w:pPr>
              <w:jc w:val="left"/>
              <w:rPr>
                <w:sz w:val="18"/>
                <w:szCs w:val="18"/>
              </w:rPr>
            </w:pPr>
            <w:r w:rsidRPr="0056795A">
              <w:rPr>
                <w:sz w:val="18"/>
                <w:szCs w:val="18"/>
              </w:rPr>
              <w:t xml:space="preserve">The CPP addresses 2012 CSR systematically, especially those concerning labour market participation of youth and vulnerable groups, improving commercialisation of innovative products etc. </w:t>
            </w:r>
          </w:p>
        </w:tc>
        <w:tc>
          <w:tcPr>
            <w:tcW w:w="767" w:type="pct"/>
            <w:vAlign w:val="center"/>
          </w:tcPr>
          <w:p w:rsidR="00584B95" w:rsidRPr="0056795A" w:rsidRDefault="00584B95" w:rsidP="00766B4F">
            <w:pPr>
              <w:jc w:val="left"/>
              <w:rPr>
                <w:sz w:val="18"/>
                <w:szCs w:val="18"/>
              </w:rPr>
            </w:pPr>
            <w:r w:rsidRPr="0056795A">
              <w:rPr>
                <w:sz w:val="18"/>
                <w:szCs w:val="18"/>
              </w:rPr>
              <w:t>Additional challenges highlighted in the 2012 Country Report are also covered. These include: foster the creation of fast-growing innovative enterprises, reduce the overall poverty and social exclusion risks particularly concerning the elderly, women and children, shift the focus from incineration to recycling, aiming at reducing GHG emissions.</w:t>
            </w:r>
          </w:p>
        </w:tc>
        <w:tc>
          <w:tcPr>
            <w:tcW w:w="1151" w:type="pct"/>
            <w:vAlign w:val="center"/>
          </w:tcPr>
          <w:p w:rsidR="00584B95" w:rsidRPr="0056795A" w:rsidRDefault="00584B95" w:rsidP="00766B4F">
            <w:pPr>
              <w:jc w:val="left"/>
              <w:rPr>
                <w:sz w:val="18"/>
                <w:szCs w:val="18"/>
              </w:rPr>
            </w:pPr>
            <w:r w:rsidRPr="0056795A">
              <w:rPr>
                <w:sz w:val="18"/>
                <w:szCs w:val="18"/>
              </w:rPr>
              <w:t>All relevant challenges are covered either by explicitly mentioning CSR or implicitly by addressing the key issues underlying the challenges.</w:t>
            </w:r>
          </w:p>
        </w:tc>
        <w:tc>
          <w:tcPr>
            <w:tcW w:w="1054" w:type="pct"/>
            <w:vAlign w:val="center"/>
          </w:tcPr>
          <w:p w:rsidR="00584B95" w:rsidRPr="0056795A" w:rsidRDefault="00584B95" w:rsidP="00766B4F">
            <w:pPr>
              <w:jc w:val="left"/>
              <w:rPr>
                <w:sz w:val="18"/>
                <w:szCs w:val="18"/>
              </w:rPr>
            </w:pPr>
            <w:r>
              <w:rPr>
                <w:sz w:val="18"/>
                <w:szCs w:val="18"/>
              </w:rPr>
              <w:t>CSR</w:t>
            </w:r>
            <w:r w:rsidRPr="0056795A">
              <w:rPr>
                <w:sz w:val="18"/>
                <w:szCs w:val="18"/>
              </w:rPr>
              <w:t xml:space="preserve"> seem to have supported the formulation of the priority of labour market (youth and vulnerable groups) but these topics had been in the focus in any case.</w:t>
            </w:r>
          </w:p>
          <w:p w:rsidR="00584B95" w:rsidRPr="0056795A" w:rsidRDefault="00584B95" w:rsidP="00766B4F">
            <w:pPr>
              <w:jc w:val="left"/>
              <w:rPr>
                <w:sz w:val="18"/>
                <w:szCs w:val="18"/>
              </w:rPr>
            </w:pPr>
            <w:r w:rsidRPr="0056795A">
              <w:rPr>
                <w:sz w:val="18"/>
                <w:szCs w:val="18"/>
              </w:rPr>
              <w:t xml:space="preserve">In relation to competitiveness and innovation environment </w:t>
            </w:r>
            <w:r>
              <w:rPr>
                <w:sz w:val="18"/>
                <w:szCs w:val="18"/>
              </w:rPr>
              <w:t>CSR</w:t>
            </w:r>
            <w:r w:rsidRPr="0056795A">
              <w:rPr>
                <w:sz w:val="18"/>
                <w:szCs w:val="18"/>
              </w:rPr>
              <w:t xml:space="preserve"> may have had some role. The role was more limited in relation to sustainability and resource efficiency.</w:t>
            </w:r>
          </w:p>
        </w:tc>
        <w:tc>
          <w:tcPr>
            <w:tcW w:w="937" w:type="pct"/>
            <w:vAlign w:val="center"/>
          </w:tcPr>
          <w:p w:rsidR="00584B95" w:rsidRPr="0056795A" w:rsidRDefault="00584B95" w:rsidP="00766B4F">
            <w:pPr>
              <w:jc w:val="left"/>
              <w:rPr>
                <w:sz w:val="18"/>
                <w:szCs w:val="18"/>
              </w:rPr>
            </w:pPr>
            <w:r w:rsidRPr="0056795A">
              <w:rPr>
                <w:sz w:val="18"/>
                <w:szCs w:val="18"/>
              </w:rPr>
              <w:t xml:space="preserve">High alignment. </w:t>
            </w:r>
          </w:p>
          <w:p w:rsidR="00584B95" w:rsidRPr="0056795A" w:rsidRDefault="00584B95" w:rsidP="00766B4F">
            <w:pPr>
              <w:jc w:val="left"/>
              <w:rPr>
                <w:sz w:val="18"/>
                <w:szCs w:val="18"/>
              </w:rPr>
            </w:pPr>
            <w:r w:rsidRPr="0056795A">
              <w:rPr>
                <w:sz w:val="18"/>
                <w:szCs w:val="18"/>
              </w:rPr>
              <w:t xml:space="preserve">The document addresses key areas of </w:t>
            </w:r>
            <w:r>
              <w:rPr>
                <w:sz w:val="18"/>
                <w:szCs w:val="18"/>
              </w:rPr>
              <w:t>CSR</w:t>
            </w:r>
            <w:r w:rsidRPr="0056795A">
              <w:rPr>
                <w:sz w:val="18"/>
                <w:szCs w:val="18"/>
              </w:rPr>
              <w:t xml:space="preserve"> / reform needs. The investment priorities identified contribute to tackle the respective challenges.</w:t>
            </w:r>
          </w:p>
          <w:p w:rsidR="00584B95" w:rsidRPr="0056795A" w:rsidRDefault="00584B95" w:rsidP="00766B4F">
            <w:pPr>
              <w:jc w:val="left"/>
              <w:rPr>
                <w:sz w:val="18"/>
                <w:szCs w:val="18"/>
              </w:rPr>
            </w:pPr>
          </w:p>
        </w:tc>
      </w:tr>
      <w:tr w:rsidR="00584B95" w:rsidRPr="0056795A" w:rsidTr="00766B4F">
        <w:tc>
          <w:tcPr>
            <w:tcW w:w="228" w:type="pct"/>
            <w:vAlign w:val="center"/>
          </w:tcPr>
          <w:p w:rsidR="00584B95" w:rsidRPr="0056795A" w:rsidRDefault="00584B95" w:rsidP="00766B4F">
            <w:pPr>
              <w:jc w:val="left"/>
              <w:rPr>
                <w:sz w:val="18"/>
                <w:szCs w:val="18"/>
              </w:rPr>
            </w:pPr>
            <w:r w:rsidRPr="0056795A">
              <w:rPr>
                <w:sz w:val="18"/>
                <w:szCs w:val="18"/>
              </w:rPr>
              <w:t>SI</w:t>
            </w:r>
          </w:p>
        </w:tc>
        <w:tc>
          <w:tcPr>
            <w:tcW w:w="863" w:type="pct"/>
            <w:vAlign w:val="center"/>
          </w:tcPr>
          <w:p w:rsidR="00584B95" w:rsidRPr="0056795A" w:rsidRDefault="00584B95" w:rsidP="00766B4F">
            <w:pPr>
              <w:jc w:val="left"/>
              <w:rPr>
                <w:sz w:val="18"/>
                <w:szCs w:val="18"/>
              </w:rPr>
            </w:pPr>
            <w:r w:rsidRPr="0056795A">
              <w:rPr>
                <w:sz w:val="18"/>
                <w:szCs w:val="18"/>
              </w:rPr>
              <w:t>The CPP addresses all cohesion relevant 2</w:t>
            </w:r>
            <w:r>
              <w:rPr>
                <w:sz w:val="18"/>
                <w:szCs w:val="18"/>
              </w:rPr>
              <w:t>0</w:t>
            </w:r>
            <w:r w:rsidRPr="0056795A">
              <w:rPr>
                <w:sz w:val="18"/>
                <w:szCs w:val="18"/>
              </w:rPr>
              <w:t>12 CSR challenges in Section 1 ‘Main challenges’, Section 2 on ‘Priorities for funding’ and Annex B ‘Assessment of funding needs’.</w:t>
            </w:r>
          </w:p>
        </w:tc>
        <w:tc>
          <w:tcPr>
            <w:tcW w:w="767" w:type="pct"/>
            <w:vAlign w:val="center"/>
          </w:tcPr>
          <w:p w:rsidR="00584B95" w:rsidRPr="0056795A" w:rsidRDefault="00584B95" w:rsidP="00766B4F">
            <w:pPr>
              <w:jc w:val="left"/>
              <w:rPr>
                <w:sz w:val="18"/>
                <w:szCs w:val="18"/>
              </w:rPr>
            </w:pPr>
            <w:r w:rsidRPr="0056795A">
              <w:rPr>
                <w:sz w:val="18"/>
                <w:szCs w:val="18"/>
              </w:rPr>
              <w:t>Additional challenges highlighted in the 2012 Country Report and not captured by the CSR are also covered. These concern: upgrading the gas infrastructure, which would help Slovenia shift to relatively less carbon-intensive sources, reducing GHG emissions especially, those generated from transport, addressing the gaps in railway infrastructure (linked to delays in Cohesion Policy investments and insufficient administrative capacity), build waste recycling infrastructure.</w:t>
            </w:r>
          </w:p>
        </w:tc>
        <w:tc>
          <w:tcPr>
            <w:tcW w:w="1151" w:type="pct"/>
            <w:vAlign w:val="center"/>
          </w:tcPr>
          <w:p w:rsidR="00584B95" w:rsidRPr="0056795A" w:rsidRDefault="00584B95" w:rsidP="00766B4F">
            <w:pPr>
              <w:jc w:val="left"/>
              <w:rPr>
                <w:sz w:val="18"/>
                <w:szCs w:val="18"/>
              </w:rPr>
            </w:pPr>
            <w:r w:rsidRPr="0056795A">
              <w:rPr>
                <w:sz w:val="18"/>
                <w:szCs w:val="18"/>
              </w:rPr>
              <w:t xml:space="preserve">All cohesion relevant </w:t>
            </w:r>
            <w:r>
              <w:rPr>
                <w:sz w:val="18"/>
                <w:szCs w:val="18"/>
              </w:rPr>
              <w:t>CSR</w:t>
            </w:r>
            <w:r w:rsidRPr="0056795A">
              <w:rPr>
                <w:sz w:val="18"/>
                <w:szCs w:val="18"/>
              </w:rPr>
              <w:t>/structural challenges are explicitly or implicitly covered in the CPP.</w:t>
            </w:r>
          </w:p>
        </w:tc>
        <w:tc>
          <w:tcPr>
            <w:tcW w:w="1054" w:type="pct"/>
            <w:vAlign w:val="center"/>
          </w:tcPr>
          <w:p w:rsidR="00584B95" w:rsidRPr="0056795A" w:rsidRDefault="00584B95" w:rsidP="00766B4F">
            <w:pPr>
              <w:jc w:val="left"/>
              <w:rPr>
                <w:sz w:val="18"/>
                <w:szCs w:val="18"/>
              </w:rPr>
            </w:pPr>
            <w:r w:rsidRPr="0056795A">
              <w:rPr>
                <w:sz w:val="18"/>
                <w:szCs w:val="18"/>
              </w:rPr>
              <w:t xml:space="preserve">The introductory section of the CPP states that the CSF funds serve as an effective means to support the CSR. </w:t>
            </w:r>
          </w:p>
          <w:p w:rsidR="00584B95" w:rsidRPr="0056795A" w:rsidRDefault="00584B95" w:rsidP="00766B4F">
            <w:pPr>
              <w:jc w:val="left"/>
              <w:rPr>
                <w:sz w:val="18"/>
                <w:szCs w:val="18"/>
              </w:rPr>
            </w:pPr>
            <w:r w:rsidRPr="0056795A">
              <w:rPr>
                <w:sz w:val="18"/>
                <w:szCs w:val="18"/>
              </w:rPr>
              <w:t>The CPP document also indicates that the three funding priorities (Increased labour market participation through employment, education and social inclusion; Competitive economy for growth and jobs in a business-friendly environment and Environment-friendly and resource efficient economy) are proposed in line with the country-specific challenges.</w:t>
            </w:r>
          </w:p>
          <w:p w:rsidR="00584B95" w:rsidRPr="0056795A" w:rsidRDefault="00584B95" w:rsidP="00766B4F">
            <w:pPr>
              <w:jc w:val="left"/>
              <w:rPr>
                <w:sz w:val="18"/>
                <w:szCs w:val="18"/>
              </w:rPr>
            </w:pPr>
            <w:r w:rsidRPr="0056795A">
              <w:rPr>
                <w:sz w:val="18"/>
                <w:szCs w:val="18"/>
              </w:rPr>
              <w:t xml:space="preserve">The selection of the first funding priority (employment/skills) is closely related to the 2012 </w:t>
            </w:r>
            <w:r>
              <w:rPr>
                <w:sz w:val="18"/>
                <w:szCs w:val="18"/>
              </w:rPr>
              <w:t>CSR</w:t>
            </w:r>
            <w:r w:rsidRPr="0056795A">
              <w:rPr>
                <w:sz w:val="18"/>
                <w:szCs w:val="18"/>
              </w:rPr>
              <w:t>. Surprisingly the CSR on “Increase the employment rate of older workers also by further developing active labour market policies and lifelong learning measures” is not explicitly linked to the TO 8 in the Annex B.</w:t>
            </w:r>
          </w:p>
        </w:tc>
        <w:tc>
          <w:tcPr>
            <w:tcW w:w="937" w:type="pct"/>
            <w:vAlign w:val="center"/>
          </w:tcPr>
          <w:p w:rsidR="00584B95" w:rsidRPr="0056795A" w:rsidRDefault="00584B95" w:rsidP="00766B4F">
            <w:pPr>
              <w:jc w:val="left"/>
              <w:rPr>
                <w:sz w:val="18"/>
                <w:szCs w:val="18"/>
              </w:rPr>
            </w:pPr>
            <w:r>
              <w:rPr>
                <w:sz w:val="18"/>
                <w:szCs w:val="18"/>
              </w:rPr>
              <w:t>H</w:t>
            </w:r>
            <w:r w:rsidRPr="0056795A">
              <w:rPr>
                <w:sz w:val="18"/>
                <w:szCs w:val="18"/>
              </w:rPr>
              <w:t>igh alignment.</w:t>
            </w:r>
          </w:p>
          <w:p w:rsidR="00584B95" w:rsidRPr="0056795A" w:rsidRDefault="00584B95" w:rsidP="00766B4F">
            <w:pPr>
              <w:jc w:val="left"/>
              <w:rPr>
                <w:sz w:val="18"/>
                <w:szCs w:val="18"/>
              </w:rPr>
            </w:pPr>
            <w:r w:rsidRPr="0056795A">
              <w:rPr>
                <w:sz w:val="18"/>
                <w:szCs w:val="18"/>
              </w:rPr>
              <w:t>The CPP document sets out the key specific challenges for Slovenia.</w:t>
            </w:r>
          </w:p>
          <w:p w:rsidR="00584B95" w:rsidRPr="0056795A" w:rsidRDefault="00584B95" w:rsidP="00766B4F">
            <w:pPr>
              <w:rPr>
                <w:sz w:val="18"/>
                <w:szCs w:val="18"/>
              </w:rPr>
            </w:pPr>
            <w:r w:rsidRPr="0056795A">
              <w:rPr>
                <w:sz w:val="18"/>
                <w:szCs w:val="18"/>
              </w:rPr>
              <w:t>There seems to be coherence between the 2012 CSR / Structural Challenges and the initiatives envisaged.</w:t>
            </w:r>
          </w:p>
        </w:tc>
      </w:tr>
      <w:tr w:rsidR="00584B95" w:rsidRPr="0056795A" w:rsidTr="00766B4F">
        <w:tc>
          <w:tcPr>
            <w:tcW w:w="228" w:type="pct"/>
            <w:vAlign w:val="center"/>
          </w:tcPr>
          <w:p w:rsidR="00584B95" w:rsidRPr="0056795A" w:rsidRDefault="00584B95" w:rsidP="00766B4F">
            <w:pPr>
              <w:jc w:val="left"/>
              <w:rPr>
                <w:sz w:val="18"/>
                <w:szCs w:val="18"/>
              </w:rPr>
            </w:pPr>
            <w:r w:rsidRPr="0056795A">
              <w:rPr>
                <w:sz w:val="18"/>
                <w:szCs w:val="18"/>
              </w:rPr>
              <w:t>SK</w:t>
            </w:r>
          </w:p>
        </w:tc>
        <w:tc>
          <w:tcPr>
            <w:tcW w:w="863" w:type="pct"/>
            <w:vAlign w:val="center"/>
          </w:tcPr>
          <w:p w:rsidR="00584B95" w:rsidRPr="0056795A" w:rsidRDefault="00584B95" w:rsidP="00766B4F">
            <w:pPr>
              <w:jc w:val="left"/>
              <w:rPr>
                <w:sz w:val="18"/>
                <w:szCs w:val="18"/>
              </w:rPr>
            </w:pPr>
            <w:r w:rsidRPr="0056795A">
              <w:rPr>
                <w:sz w:val="18"/>
                <w:szCs w:val="18"/>
              </w:rPr>
              <w:t>The CPP refers to the structural challenges in all relevant chapters, subchapters and annexes, both in form of direct citations or indirectly.</w:t>
            </w:r>
          </w:p>
          <w:p w:rsidR="00584B95" w:rsidRPr="0056795A" w:rsidRDefault="00584B95" w:rsidP="00766B4F">
            <w:pPr>
              <w:jc w:val="left"/>
              <w:rPr>
                <w:sz w:val="18"/>
                <w:szCs w:val="18"/>
              </w:rPr>
            </w:pPr>
            <w:r w:rsidRPr="0056795A">
              <w:rPr>
                <w:sz w:val="18"/>
                <w:szCs w:val="18"/>
              </w:rPr>
              <w:t>For example, in Annex C focused on administrative arrangements the document implicitly refers to reforms related to institutional capacity, public administration.</w:t>
            </w:r>
          </w:p>
        </w:tc>
        <w:tc>
          <w:tcPr>
            <w:tcW w:w="767" w:type="pct"/>
            <w:vAlign w:val="center"/>
          </w:tcPr>
          <w:p w:rsidR="00584B95" w:rsidRPr="0056795A" w:rsidRDefault="00584B95" w:rsidP="00766B4F">
            <w:pPr>
              <w:jc w:val="left"/>
              <w:rPr>
                <w:sz w:val="18"/>
                <w:szCs w:val="18"/>
              </w:rPr>
            </w:pPr>
            <w:r w:rsidRPr="0056795A">
              <w:rPr>
                <w:sz w:val="18"/>
                <w:szCs w:val="18"/>
              </w:rPr>
              <w:t>Key challenges identified in the 2012 Country Report are addressed by the CPP. These include:  the exclusion of marginalised communities, the low quality of the general and tertiary education system, the impact of parenthood on female employment, the low R&amp;D intensity, the lack of adequate transport infrastructure (in Eastern SK), the need for improving the business environment and promoting entrepreneurship, the above average energy intensity, limited waste recycling, weaknesses of PA capacity.</w:t>
            </w:r>
          </w:p>
        </w:tc>
        <w:tc>
          <w:tcPr>
            <w:tcW w:w="1151" w:type="pct"/>
            <w:vAlign w:val="center"/>
          </w:tcPr>
          <w:p w:rsidR="00584B95" w:rsidRPr="0056795A" w:rsidRDefault="00584B95" w:rsidP="00766B4F">
            <w:pPr>
              <w:jc w:val="left"/>
              <w:rPr>
                <w:sz w:val="18"/>
                <w:szCs w:val="18"/>
              </w:rPr>
            </w:pPr>
            <w:r w:rsidRPr="0056795A">
              <w:rPr>
                <w:sz w:val="18"/>
                <w:szCs w:val="18"/>
              </w:rPr>
              <w:t>The document is covering the majority of structural challenges in Slovakia. The structural challenges which are not covered are not relevant to ESIF, mainly recommendation related to sustainability of public finances.</w:t>
            </w:r>
          </w:p>
        </w:tc>
        <w:tc>
          <w:tcPr>
            <w:tcW w:w="1054" w:type="pct"/>
            <w:vAlign w:val="center"/>
          </w:tcPr>
          <w:p w:rsidR="00584B95" w:rsidRPr="0056795A" w:rsidRDefault="00584B95" w:rsidP="00766B4F">
            <w:pPr>
              <w:jc w:val="left"/>
              <w:rPr>
                <w:sz w:val="18"/>
                <w:szCs w:val="18"/>
              </w:rPr>
            </w:pPr>
            <w:r w:rsidRPr="0056795A">
              <w:rPr>
                <w:sz w:val="18"/>
                <w:szCs w:val="18"/>
              </w:rPr>
              <w:t xml:space="preserve">The selection of priorities and funding needs is clearly related to </w:t>
            </w:r>
            <w:r>
              <w:rPr>
                <w:sz w:val="18"/>
                <w:szCs w:val="18"/>
              </w:rPr>
              <w:t>CSR</w:t>
            </w:r>
            <w:r w:rsidRPr="0056795A">
              <w:rPr>
                <w:sz w:val="18"/>
                <w:szCs w:val="18"/>
              </w:rPr>
              <w:t xml:space="preserve"> which cover most of the TOs. The CPP states that the starting point is the assessment of Slovakia’s progress towards its Europe 2020 targets in its Staff Working Document on the 2012 National Reform Programme and Stability Programme, underpinned by the CSR and country-specific development challenges.”</w:t>
            </w:r>
          </w:p>
        </w:tc>
        <w:tc>
          <w:tcPr>
            <w:tcW w:w="937" w:type="pct"/>
            <w:vAlign w:val="center"/>
          </w:tcPr>
          <w:p w:rsidR="00584B95" w:rsidRPr="0056795A" w:rsidRDefault="00584B95" w:rsidP="00766B4F">
            <w:pPr>
              <w:jc w:val="left"/>
              <w:rPr>
                <w:sz w:val="18"/>
                <w:szCs w:val="18"/>
              </w:rPr>
            </w:pPr>
            <w:r w:rsidRPr="0056795A">
              <w:rPr>
                <w:sz w:val="18"/>
                <w:szCs w:val="18"/>
              </w:rPr>
              <w:t xml:space="preserve">High alignment. </w:t>
            </w:r>
          </w:p>
          <w:p w:rsidR="00584B95" w:rsidRPr="0056795A" w:rsidRDefault="00584B95" w:rsidP="00766B4F">
            <w:pPr>
              <w:jc w:val="left"/>
              <w:rPr>
                <w:sz w:val="18"/>
                <w:szCs w:val="18"/>
              </w:rPr>
            </w:pPr>
            <w:r w:rsidRPr="0056795A">
              <w:rPr>
                <w:sz w:val="18"/>
                <w:szCs w:val="18"/>
              </w:rPr>
              <w:t>The support to CSR plays an important role in the document. The main influence of the Semester is clearly visible in number of new strategic documents which are have been/ are being adopted by the Government (e.g. RIS 3, Transport master plan etc.)</w:t>
            </w:r>
          </w:p>
        </w:tc>
      </w:tr>
      <w:tr w:rsidR="00584B95" w:rsidRPr="0056795A" w:rsidTr="00766B4F">
        <w:tc>
          <w:tcPr>
            <w:tcW w:w="228" w:type="pct"/>
            <w:vAlign w:val="center"/>
          </w:tcPr>
          <w:p w:rsidR="00584B95" w:rsidRPr="0056795A" w:rsidRDefault="00584B95" w:rsidP="00766B4F">
            <w:pPr>
              <w:jc w:val="left"/>
              <w:rPr>
                <w:sz w:val="18"/>
                <w:szCs w:val="18"/>
              </w:rPr>
            </w:pPr>
            <w:r w:rsidRPr="0056795A">
              <w:rPr>
                <w:sz w:val="18"/>
                <w:szCs w:val="18"/>
              </w:rPr>
              <w:t>UK</w:t>
            </w:r>
          </w:p>
        </w:tc>
        <w:tc>
          <w:tcPr>
            <w:tcW w:w="863" w:type="pct"/>
            <w:vAlign w:val="center"/>
          </w:tcPr>
          <w:p w:rsidR="00584B95" w:rsidRPr="0056795A" w:rsidRDefault="00584B95" w:rsidP="00766B4F">
            <w:pPr>
              <w:jc w:val="left"/>
              <w:rPr>
                <w:sz w:val="18"/>
                <w:szCs w:val="18"/>
              </w:rPr>
            </w:pPr>
            <w:r w:rsidRPr="0056795A">
              <w:rPr>
                <w:sz w:val="18"/>
                <w:szCs w:val="18"/>
              </w:rPr>
              <w:t>The CPP refers to CSR especially in section 1 (challenges) and section 2 (priorities). While the coverage is more sporadic in the other sections.</w:t>
            </w:r>
          </w:p>
        </w:tc>
        <w:tc>
          <w:tcPr>
            <w:tcW w:w="767" w:type="pct"/>
            <w:vAlign w:val="center"/>
          </w:tcPr>
          <w:p w:rsidR="00584B95" w:rsidRPr="0056795A" w:rsidRDefault="00584B95" w:rsidP="00766B4F">
            <w:pPr>
              <w:jc w:val="left"/>
              <w:rPr>
                <w:sz w:val="18"/>
                <w:szCs w:val="18"/>
              </w:rPr>
            </w:pPr>
            <w:r w:rsidRPr="0056795A">
              <w:rPr>
                <w:sz w:val="18"/>
                <w:szCs w:val="18"/>
              </w:rPr>
              <w:t xml:space="preserve">In most cases with the exception of housing market reform (2012 CSR 2.1 (16)).  The challenges and priority sections cover the main </w:t>
            </w:r>
            <w:r>
              <w:rPr>
                <w:sz w:val="18"/>
                <w:szCs w:val="18"/>
              </w:rPr>
              <w:t>CSR</w:t>
            </w:r>
            <w:r w:rsidRPr="0056795A">
              <w:rPr>
                <w:sz w:val="18"/>
                <w:szCs w:val="18"/>
              </w:rPr>
              <w:t>/ Structural reforms the most extensively. The success factors for effective delivery is relatively limited.</w:t>
            </w:r>
          </w:p>
        </w:tc>
        <w:tc>
          <w:tcPr>
            <w:tcW w:w="1151" w:type="pct"/>
            <w:vAlign w:val="center"/>
          </w:tcPr>
          <w:p w:rsidR="00584B95" w:rsidRPr="0056795A" w:rsidRDefault="00584B95" w:rsidP="00766B4F">
            <w:pPr>
              <w:jc w:val="left"/>
              <w:rPr>
                <w:sz w:val="18"/>
                <w:szCs w:val="18"/>
              </w:rPr>
            </w:pPr>
            <w:r w:rsidRPr="0056795A">
              <w:rPr>
                <w:sz w:val="18"/>
                <w:szCs w:val="18"/>
              </w:rPr>
              <w:t>There is no direct mention to measures to encourage housing reform.</w:t>
            </w:r>
          </w:p>
        </w:tc>
        <w:tc>
          <w:tcPr>
            <w:tcW w:w="1054" w:type="pct"/>
            <w:vAlign w:val="center"/>
          </w:tcPr>
          <w:p w:rsidR="00584B95" w:rsidRPr="0056795A" w:rsidRDefault="00584B95" w:rsidP="00766B4F">
            <w:pPr>
              <w:jc w:val="left"/>
              <w:rPr>
                <w:sz w:val="18"/>
                <w:szCs w:val="18"/>
              </w:rPr>
            </w:pPr>
            <w:r w:rsidRPr="0056795A">
              <w:rPr>
                <w:sz w:val="18"/>
                <w:szCs w:val="18"/>
              </w:rPr>
              <w:t xml:space="preserve">The priorities tend to reflect the main thrust of the </w:t>
            </w:r>
            <w:r>
              <w:rPr>
                <w:sz w:val="18"/>
                <w:szCs w:val="18"/>
              </w:rPr>
              <w:t>CSR</w:t>
            </w:r>
            <w:r w:rsidRPr="0056795A">
              <w:rPr>
                <w:sz w:val="18"/>
                <w:szCs w:val="18"/>
              </w:rPr>
              <w:t xml:space="preserve"> with a small number of exception.</w:t>
            </w:r>
          </w:p>
        </w:tc>
        <w:tc>
          <w:tcPr>
            <w:tcW w:w="937" w:type="pct"/>
            <w:vAlign w:val="center"/>
          </w:tcPr>
          <w:p w:rsidR="00584B95" w:rsidRPr="0056795A" w:rsidRDefault="00584B95" w:rsidP="00766B4F">
            <w:pPr>
              <w:jc w:val="left"/>
              <w:rPr>
                <w:sz w:val="18"/>
                <w:szCs w:val="18"/>
              </w:rPr>
            </w:pPr>
            <w:r w:rsidRPr="0056795A">
              <w:rPr>
                <w:sz w:val="18"/>
                <w:szCs w:val="18"/>
              </w:rPr>
              <w:t xml:space="preserve">Medium alignment. </w:t>
            </w:r>
          </w:p>
          <w:p w:rsidR="00584B95" w:rsidRPr="0056795A" w:rsidRDefault="00584B95" w:rsidP="00766B4F">
            <w:pPr>
              <w:jc w:val="left"/>
              <w:rPr>
                <w:sz w:val="18"/>
                <w:szCs w:val="18"/>
              </w:rPr>
            </w:pPr>
            <w:r w:rsidRPr="0056795A">
              <w:rPr>
                <w:sz w:val="18"/>
                <w:szCs w:val="18"/>
              </w:rPr>
              <w:t xml:space="preserve">Most </w:t>
            </w:r>
            <w:r>
              <w:rPr>
                <w:sz w:val="18"/>
                <w:szCs w:val="18"/>
              </w:rPr>
              <w:t>CSR</w:t>
            </w:r>
            <w:r w:rsidRPr="0056795A">
              <w:rPr>
                <w:sz w:val="18"/>
                <w:szCs w:val="18"/>
              </w:rPr>
              <w:t xml:space="preserve"> are referred to explicitly and there is the objective of formally incorporating them as relevant. However, the coverage in this respect could be more systematic. Document is relatively weaker in delivery aspects.</w:t>
            </w:r>
          </w:p>
          <w:p w:rsidR="00584B95" w:rsidRPr="0056795A" w:rsidRDefault="00584B95" w:rsidP="00766B4F">
            <w:pPr>
              <w:jc w:val="left"/>
              <w:rPr>
                <w:sz w:val="18"/>
                <w:szCs w:val="18"/>
              </w:rPr>
            </w:pPr>
            <w:r w:rsidRPr="0056795A">
              <w:rPr>
                <w:sz w:val="18"/>
                <w:szCs w:val="18"/>
              </w:rPr>
              <w:t xml:space="preserve">The </w:t>
            </w:r>
            <w:r>
              <w:rPr>
                <w:sz w:val="18"/>
                <w:szCs w:val="18"/>
              </w:rPr>
              <w:t>CSR</w:t>
            </w:r>
            <w:r w:rsidRPr="0056795A">
              <w:rPr>
                <w:sz w:val="18"/>
                <w:szCs w:val="18"/>
              </w:rPr>
              <w:t xml:space="preserve"> are recognised in most cases explicitly but coverage varies throughout the sections of the document and the approach could be more systematic. The </w:t>
            </w:r>
            <w:r>
              <w:rPr>
                <w:sz w:val="18"/>
                <w:szCs w:val="18"/>
              </w:rPr>
              <w:t>CSR</w:t>
            </w:r>
            <w:r w:rsidRPr="0056795A">
              <w:rPr>
                <w:sz w:val="18"/>
                <w:szCs w:val="18"/>
              </w:rPr>
              <w:t xml:space="preserve"> themselves are relatively limited in some respects and thus there is no CSR specifically focused on technological development, research and innovation although structural reforms in this area are mentioned in the document. The challenges and priorities sections are the strongest and the success factors for effective delivery the weakest.</w:t>
            </w:r>
          </w:p>
        </w:tc>
      </w:tr>
    </w:tbl>
    <w:p w:rsidR="00584B95" w:rsidRDefault="00584B95" w:rsidP="00584B95">
      <w:pPr>
        <w:jc w:val="left"/>
      </w:pPr>
      <w:r>
        <w:br w:type="page"/>
      </w:r>
    </w:p>
    <w:p w:rsidR="00584B95" w:rsidRPr="00584B95" w:rsidRDefault="00584B95" w:rsidP="00807960">
      <w:pPr>
        <w:pStyle w:val="Heading1"/>
      </w:pPr>
      <w:bookmarkStart w:id="44" w:name="_Toc466826811"/>
      <w:r>
        <w:t>Annex 4 – Summary of the analysis of Partnership Agreements</w:t>
      </w:r>
      <w:bookmarkEnd w:id="44"/>
    </w:p>
    <w:p w:rsidR="00584B95" w:rsidRPr="0048639D" w:rsidRDefault="00584B95" w:rsidP="00584B95">
      <w:pPr>
        <w:pStyle w:val="Caption"/>
      </w:pPr>
      <w:r>
        <w:t xml:space="preserve">Table </w:t>
      </w:r>
      <w:fldSimple w:instr=" SEQ Table \* ARABIC ">
        <w:r>
          <w:rPr>
            <w:noProof/>
          </w:rPr>
          <w:t>14</w:t>
        </w:r>
      </w:fldSimple>
      <w:r>
        <w:t xml:space="preserve"> - </w:t>
      </w:r>
      <w:r w:rsidRPr="00862363">
        <w:t>Synthesis of the analysis of Partnership Agreements</w:t>
      </w:r>
    </w:p>
    <w:tbl>
      <w:tblPr>
        <w:tblStyle w:val="TableGrid"/>
        <w:tblW w:w="5000" w:type="pct"/>
        <w:tblLayout w:type="fixed"/>
        <w:tblLook w:val="04A0" w:firstRow="1" w:lastRow="0" w:firstColumn="1" w:lastColumn="0" w:noHBand="0" w:noVBand="1"/>
      </w:tblPr>
      <w:tblGrid>
        <w:gridCol w:w="666"/>
        <w:gridCol w:w="2295"/>
        <w:gridCol w:w="3220"/>
        <w:gridCol w:w="3179"/>
        <w:gridCol w:w="2747"/>
        <w:gridCol w:w="2679"/>
      </w:tblGrid>
      <w:tr w:rsidR="00584B95" w:rsidRPr="003F1D05" w:rsidTr="00766B4F">
        <w:trPr>
          <w:tblHeader/>
        </w:trPr>
        <w:tc>
          <w:tcPr>
            <w:tcW w:w="225" w:type="pct"/>
            <w:shd w:val="clear" w:color="auto" w:fill="D9D9D9" w:themeFill="background1" w:themeFillShade="D9"/>
            <w:vAlign w:val="center"/>
          </w:tcPr>
          <w:p w:rsidR="00584B95" w:rsidRPr="003F1D05" w:rsidRDefault="00584B95" w:rsidP="00766B4F">
            <w:pPr>
              <w:jc w:val="left"/>
              <w:rPr>
                <w:b/>
                <w:sz w:val="18"/>
                <w:szCs w:val="18"/>
              </w:rPr>
            </w:pPr>
            <w:r w:rsidRPr="003F1D05">
              <w:rPr>
                <w:b/>
                <w:sz w:val="18"/>
                <w:szCs w:val="18"/>
              </w:rPr>
              <w:t>MS</w:t>
            </w:r>
          </w:p>
        </w:tc>
        <w:tc>
          <w:tcPr>
            <w:tcW w:w="776" w:type="pct"/>
            <w:shd w:val="clear" w:color="auto" w:fill="D9D9D9" w:themeFill="background1" w:themeFillShade="D9"/>
            <w:vAlign w:val="center"/>
          </w:tcPr>
          <w:p w:rsidR="00584B95" w:rsidRPr="003F1D05" w:rsidRDefault="00584B95" w:rsidP="00766B4F">
            <w:pPr>
              <w:jc w:val="left"/>
              <w:rPr>
                <w:b/>
                <w:sz w:val="18"/>
                <w:szCs w:val="18"/>
              </w:rPr>
            </w:pPr>
            <w:r w:rsidRPr="003F1D05">
              <w:rPr>
                <w:b/>
                <w:sz w:val="18"/>
                <w:szCs w:val="18"/>
              </w:rPr>
              <w:t>Coherence with CPP</w:t>
            </w:r>
          </w:p>
        </w:tc>
        <w:tc>
          <w:tcPr>
            <w:tcW w:w="1089" w:type="pct"/>
            <w:shd w:val="clear" w:color="auto" w:fill="D9D9D9" w:themeFill="background1" w:themeFillShade="D9"/>
            <w:vAlign w:val="center"/>
          </w:tcPr>
          <w:p w:rsidR="00584B95" w:rsidRPr="003F1D05" w:rsidRDefault="00584B95" w:rsidP="00766B4F">
            <w:pPr>
              <w:jc w:val="left"/>
              <w:rPr>
                <w:b/>
                <w:sz w:val="18"/>
                <w:szCs w:val="18"/>
              </w:rPr>
            </w:pPr>
            <w:r w:rsidRPr="003F1D05">
              <w:rPr>
                <w:b/>
                <w:sz w:val="18"/>
                <w:szCs w:val="18"/>
              </w:rPr>
              <w:t>Systematic reference to CSR and other key challenges</w:t>
            </w:r>
          </w:p>
        </w:tc>
        <w:tc>
          <w:tcPr>
            <w:tcW w:w="1075" w:type="pct"/>
            <w:shd w:val="clear" w:color="auto" w:fill="D9D9D9" w:themeFill="background1" w:themeFillShade="D9"/>
            <w:vAlign w:val="center"/>
          </w:tcPr>
          <w:p w:rsidR="00584B95" w:rsidRPr="003F1D05" w:rsidRDefault="00584B95" w:rsidP="00766B4F">
            <w:pPr>
              <w:jc w:val="left"/>
              <w:rPr>
                <w:b/>
                <w:sz w:val="18"/>
                <w:szCs w:val="18"/>
              </w:rPr>
            </w:pPr>
            <w:r w:rsidRPr="003F1D05">
              <w:rPr>
                <w:b/>
                <w:sz w:val="18"/>
                <w:szCs w:val="18"/>
              </w:rPr>
              <w:t>Cohesion relevant CSR/structural challenges not covered</w:t>
            </w:r>
          </w:p>
        </w:tc>
        <w:tc>
          <w:tcPr>
            <w:tcW w:w="929" w:type="pct"/>
            <w:shd w:val="clear" w:color="auto" w:fill="D9D9D9" w:themeFill="background1" w:themeFillShade="D9"/>
            <w:vAlign w:val="center"/>
          </w:tcPr>
          <w:p w:rsidR="00584B95" w:rsidRPr="003F1D05" w:rsidRDefault="00584B95" w:rsidP="00766B4F">
            <w:pPr>
              <w:jc w:val="left"/>
              <w:rPr>
                <w:b/>
                <w:sz w:val="18"/>
                <w:szCs w:val="18"/>
              </w:rPr>
            </w:pPr>
            <w:r w:rsidRPr="003F1D05">
              <w:rPr>
                <w:b/>
                <w:sz w:val="18"/>
                <w:szCs w:val="18"/>
              </w:rPr>
              <w:t xml:space="preserve">Role played by CSR in selection of priorities </w:t>
            </w:r>
          </w:p>
        </w:tc>
        <w:tc>
          <w:tcPr>
            <w:tcW w:w="906" w:type="pct"/>
            <w:shd w:val="clear" w:color="auto" w:fill="D9D9D9" w:themeFill="background1" w:themeFillShade="D9"/>
            <w:vAlign w:val="center"/>
          </w:tcPr>
          <w:p w:rsidR="00584B95" w:rsidRPr="003F1D05" w:rsidRDefault="00584B95" w:rsidP="00766B4F">
            <w:pPr>
              <w:jc w:val="left"/>
              <w:rPr>
                <w:b/>
                <w:sz w:val="18"/>
                <w:szCs w:val="18"/>
              </w:rPr>
            </w:pPr>
            <w:r w:rsidRPr="003F1D05">
              <w:rPr>
                <w:b/>
                <w:sz w:val="18"/>
                <w:szCs w:val="18"/>
              </w:rPr>
              <w:t>Overall alignment between PA and CSR</w:t>
            </w:r>
          </w:p>
        </w:tc>
      </w:tr>
      <w:tr w:rsidR="00584B95" w:rsidRPr="003F1D05" w:rsidTr="00766B4F">
        <w:tc>
          <w:tcPr>
            <w:tcW w:w="225" w:type="pct"/>
            <w:vAlign w:val="center"/>
          </w:tcPr>
          <w:p w:rsidR="00584B95" w:rsidRPr="003F1D05" w:rsidRDefault="00584B95" w:rsidP="00766B4F">
            <w:pPr>
              <w:jc w:val="left"/>
              <w:rPr>
                <w:sz w:val="18"/>
                <w:szCs w:val="18"/>
              </w:rPr>
            </w:pPr>
            <w:r w:rsidRPr="003F1D05">
              <w:rPr>
                <w:sz w:val="18"/>
                <w:szCs w:val="18"/>
              </w:rPr>
              <w:t>AT</w:t>
            </w:r>
          </w:p>
        </w:tc>
        <w:tc>
          <w:tcPr>
            <w:tcW w:w="776" w:type="pct"/>
            <w:vAlign w:val="center"/>
          </w:tcPr>
          <w:p w:rsidR="00584B95" w:rsidRPr="003F1D05" w:rsidRDefault="00584B95" w:rsidP="00766B4F">
            <w:pPr>
              <w:jc w:val="left"/>
              <w:rPr>
                <w:sz w:val="18"/>
                <w:szCs w:val="18"/>
              </w:rPr>
            </w:pPr>
            <w:r w:rsidRPr="003F1D05">
              <w:rPr>
                <w:sz w:val="18"/>
                <w:szCs w:val="18"/>
              </w:rPr>
              <w:t xml:space="preserve">There is a strong overlap between the PA and the CPP. Basically, the PA covers all requests of the CPP, i.e. those not related to the </w:t>
            </w:r>
            <w:r>
              <w:rPr>
                <w:sz w:val="18"/>
                <w:szCs w:val="18"/>
              </w:rPr>
              <w:t>CSR</w:t>
            </w:r>
            <w:r w:rsidRPr="003F1D05">
              <w:rPr>
                <w:sz w:val="18"/>
                <w:szCs w:val="18"/>
              </w:rPr>
              <w:t xml:space="preserve"> such as innovation, the reduction of CO2 emissions and resource efficiency, as well as those related to the </w:t>
            </w:r>
            <w:r>
              <w:rPr>
                <w:sz w:val="18"/>
                <w:szCs w:val="18"/>
              </w:rPr>
              <w:t>CSR</w:t>
            </w:r>
            <w:r w:rsidRPr="003F1D05">
              <w:rPr>
                <w:sz w:val="18"/>
                <w:szCs w:val="18"/>
              </w:rPr>
              <w:t>. The PA goes beyond the CPP, by covering also other themes such as SME support (in general as well as in agriculture and fisheries) as well as adaptation to climate change and risk prevention.</w:t>
            </w:r>
          </w:p>
        </w:tc>
        <w:tc>
          <w:tcPr>
            <w:tcW w:w="1089" w:type="pct"/>
            <w:vAlign w:val="center"/>
          </w:tcPr>
          <w:p w:rsidR="00584B95" w:rsidRPr="003F1D05" w:rsidRDefault="00584B95" w:rsidP="00766B4F">
            <w:pPr>
              <w:jc w:val="left"/>
              <w:rPr>
                <w:sz w:val="18"/>
                <w:szCs w:val="18"/>
              </w:rPr>
            </w:pPr>
            <w:r w:rsidRPr="003F1D05">
              <w:rPr>
                <w:sz w:val="18"/>
                <w:szCs w:val="18"/>
              </w:rPr>
              <w:t xml:space="preserve">The cohesion relevant </w:t>
            </w:r>
            <w:r>
              <w:rPr>
                <w:sz w:val="18"/>
                <w:szCs w:val="18"/>
              </w:rPr>
              <w:t>CSR</w:t>
            </w:r>
            <w:r w:rsidRPr="003F1D05">
              <w:rPr>
                <w:sz w:val="18"/>
                <w:szCs w:val="18"/>
              </w:rPr>
              <w:t xml:space="preserve"> are covered systematically in Sections 1.1 “analysis of disparities, dev. needs…” and 1.3 “selected TOs” of the PA and mostly cited explicitly.</w:t>
            </w:r>
          </w:p>
          <w:p w:rsidR="00584B95" w:rsidRPr="003F1D05" w:rsidRDefault="00584B95" w:rsidP="00766B4F">
            <w:pPr>
              <w:jc w:val="left"/>
              <w:rPr>
                <w:sz w:val="18"/>
                <w:szCs w:val="18"/>
              </w:rPr>
            </w:pPr>
            <w:r w:rsidRPr="003F1D05">
              <w:rPr>
                <w:sz w:val="18"/>
                <w:szCs w:val="18"/>
              </w:rPr>
              <w:t>Section 2.5 “administrative capacity” makes implicit references to the challenge in the 2013 Country Report (2.1) regarding the fragmentation of Austrian public administration.</w:t>
            </w:r>
          </w:p>
        </w:tc>
        <w:tc>
          <w:tcPr>
            <w:tcW w:w="1075" w:type="pct"/>
            <w:vAlign w:val="center"/>
          </w:tcPr>
          <w:p w:rsidR="00584B95" w:rsidRPr="003F1D05" w:rsidRDefault="00584B95" w:rsidP="00766B4F">
            <w:pPr>
              <w:jc w:val="left"/>
              <w:rPr>
                <w:sz w:val="18"/>
                <w:szCs w:val="18"/>
              </w:rPr>
            </w:pPr>
            <w:r w:rsidRPr="003F1D05">
              <w:rPr>
                <w:sz w:val="18"/>
                <w:szCs w:val="18"/>
              </w:rPr>
              <w:t>Only a challenge mentioned in the 2013 Country Report (1.1 – ‘Reduce the administrative procedures, minimum capital and time required to set up a limited liability company’) is not covered. The question though is to what extent ESIF can directly contribute to address this issue.</w:t>
            </w:r>
          </w:p>
        </w:tc>
        <w:tc>
          <w:tcPr>
            <w:tcW w:w="929" w:type="pct"/>
            <w:vAlign w:val="center"/>
          </w:tcPr>
          <w:p w:rsidR="00584B95" w:rsidRPr="003F1D05" w:rsidRDefault="00584B95" w:rsidP="00766B4F">
            <w:pPr>
              <w:jc w:val="left"/>
              <w:rPr>
                <w:sz w:val="18"/>
                <w:szCs w:val="18"/>
              </w:rPr>
            </w:pPr>
            <w:r w:rsidRPr="003F1D05">
              <w:rPr>
                <w:sz w:val="18"/>
                <w:szCs w:val="18"/>
              </w:rPr>
              <w:t xml:space="preserve">CSR and structural challenges play a central role as they are referred to either explicitly or indirectly. </w:t>
            </w:r>
          </w:p>
        </w:tc>
        <w:tc>
          <w:tcPr>
            <w:tcW w:w="906" w:type="pct"/>
            <w:vAlign w:val="center"/>
          </w:tcPr>
          <w:p w:rsidR="00584B95" w:rsidRPr="003F1D05" w:rsidRDefault="00584B95" w:rsidP="00766B4F">
            <w:pPr>
              <w:jc w:val="left"/>
              <w:rPr>
                <w:sz w:val="18"/>
                <w:szCs w:val="18"/>
              </w:rPr>
            </w:pPr>
            <w:r w:rsidRPr="003F1D05">
              <w:rPr>
                <w:sz w:val="18"/>
                <w:szCs w:val="18"/>
              </w:rPr>
              <w:t>High alignment.</w:t>
            </w:r>
          </w:p>
          <w:p w:rsidR="00584B95" w:rsidRPr="003F1D05" w:rsidRDefault="00584B95" w:rsidP="00766B4F">
            <w:pPr>
              <w:jc w:val="left"/>
              <w:rPr>
                <w:sz w:val="18"/>
                <w:szCs w:val="18"/>
              </w:rPr>
            </w:pPr>
            <w:r w:rsidRPr="003F1D05">
              <w:rPr>
                <w:sz w:val="18"/>
                <w:szCs w:val="18"/>
              </w:rPr>
              <w:t>The PA addresses key structural challenges and provides an overview of support measures, yet no details.</w:t>
            </w:r>
          </w:p>
        </w:tc>
      </w:tr>
      <w:tr w:rsidR="00584B95" w:rsidRPr="003F1D05" w:rsidTr="00766B4F">
        <w:tc>
          <w:tcPr>
            <w:tcW w:w="225" w:type="pct"/>
            <w:vAlign w:val="center"/>
          </w:tcPr>
          <w:p w:rsidR="00584B95" w:rsidRPr="003F1D05" w:rsidRDefault="00584B95" w:rsidP="00766B4F">
            <w:pPr>
              <w:jc w:val="left"/>
              <w:rPr>
                <w:sz w:val="18"/>
                <w:szCs w:val="18"/>
              </w:rPr>
            </w:pPr>
            <w:r w:rsidRPr="003F1D05">
              <w:rPr>
                <w:sz w:val="18"/>
                <w:szCs w:val="18"/>
              </w:rPr>
              <w:t>BE</w:t>
            </w:r>
          </w:p>
        </w:tc>
        <w:tc>
          <w:tcPr>
            <w:tcW w:w="776" w:type="pct"/>
            <w:vAlign w:val="center"/>
          </w:tcPr>
          <w:p w:rsidR="00584B95" w:rsidRPr="003F1D05" w:rsidRDefault="00584B95" w:rsidP="00766B4F">
            <w:pPr>
              <w:jc w:val="left"/>
              <w:rPr>
                <w:sz w:val="18"/>
                <w:szCs w:val="18"/>
              </w:rPr>
            </w:pPr>
            <w:r w:rsidRPr="003F1D05">
              <w:rPr>
                <w:sz w:val="18"/>
                <w:szCs w:val="18"/>
              </w:rPr>
              <w:t>The CPP identified three most pressing challenges (loss of competitiveness and low productivity, low employment levels and disparities in educational attainment as well as lack of progress towards reduction targets for GHG emissions) which are all addressed in the PA.</w:t>
            </w:r>
          </w:p>
        </w:tc>
        <w:tc>
          <w:tcPr>
            <w:tcW w:w="1089" w:type="pct"/>
            <w:vAlign w:val="center"/>
          </w:tcPr>
          <w:p w:rsidR="00584B95" w:rsidRPr="003F1D05" w:rsidRDefault="00584B95" w:rsidP="00766B4F">
            <w:pPr>
              <w:jc w:val="left"/>
              <w:rPr>
                <w:sz w:val="18"/>
                <w:szCs w:val="18"/>
              </w:rPr>
            </w:pPr>
            <w:r w:rsidRPr="003F1D05">
              <w:rPr>
                <w:sz w:val="18"/>
                <w:szCs w:val="18"/>
              </w:rPr>
              <w:t xml:space="preserve">The relevant CSR/structural challenges are clearly set out (mostly with an explicit reference to 2014 </w:t>
            </w:r>
            <w:r>
              <w:rPr>
                <w:sz w:val="18"/>
                <w:szCs w:val="18"/>
              </w:rPr>
              <w:t>CSR</w:t>
            </w:r>
            <w:r w:rsidRPr="003F1D05">
              <w:rPr>
                <w:sz w:val="18"/>
                <w:szCs w:val="18"/>
              </w:rPr>
              <w:t>) in Sections 1.1 and 1.3 of the PA. These 2014 CSR mostly repeat recommendations made in previous years (2012-2013). Section 2.5 on administrative capacity does not include a direct reference to CSR but highlights that one of the actions to be carried out concerns the effective coordination between various authorities and the necessary synergy between the European funds, which is in line with one of the issues raised in the 2013 Country Report.</w:t>
            </w:r>
          </w:p>
        </w:tc>
        <w:tc>
          <w:tcPr>
            <w:tcW w:w="1075" w:type="pct"/>
            <w:vAlign w:val="center"/>
          </w:tcPr>
          <w:p w:rsidR="00584B95" w:rsidRPr="003F1D05" w:rsidRDefault="00584B95" w:rsidP="00766B4F">
            <w:pPr>
              <w:jc w:val="left"/>
              <w:rPr>
                <w:sz w:val="18"/>
                <w:szCs w:val="18"/>
              </w:rPr>
            </w:pPr>
            <w:r w:rsidRPr="003F1D05">
              <w:rPr>
                <w:sz w:val="18"/>
                <w:szCs w:val="18"/>
              </w:rPr>
              <w:t>The CSR/challenges which are not covered at all in the PA deal with the following issues:</w:t>
            </w:r>
          </w:p>
          <w:p w:rsidR="00584B95" w:rsidRPr="003F1D05" w:rsidRDefault="00584B95" w:rsidP="00766B4F">
            <w:pPr>
              <w:jc w:val="left"/>
              <w:rPr>
                <w:sz w:val="18"/>
                <w:szCs w:val="18"/>
              </w:rPr>
            </w:pPr>
            <w:r w:rsidRPr="003F1D05">
              <w:rPr>
                <w:sz w:val="18"/>
                <w:szCs w:val="18"/>
              </w:rPr>
              <w:t>Long-term care (2013 CSR 2.3 and 2014 CSR 3.3);</w:t>
            </w:r>
          </w:p>
          <w:p w:rsidR="00584B95" w:rsidRPr="003F1D05" w:rsidRDefault="00584B95" w:rsidP="00766B4F">
            <w:pPr>
              <w:jc w:val="left"/>
              <w:rPr>
                <w:sz w:val="18"/>
                <w:szCs w:val="18"/>
              </w:rPr>
            </w:pPr>
            <w:r w:rsidRPr="003F1D05">
              <w:rPr>
                <w:sz w:val="18"/>
                <w:szCs w:val="18"/>
              </w:rPr>
              <w:t>Inefficient government bureaucracy (2012 CR 1.1);</w:t>
            </w:r>
          </w:p>
          <w:p w:rsidR="00584B95" w:rsidRPr="003F1D05" w:rsidRDefault="00584B95" w:rsidP="00766B4F">
            <w:pPr>
              <w:jc w:val="left"/>
              <w:rPr>
                <w:sz w:val="18"/>
                <w:szCs w:val="18"/>
              </w:rPr>
            </w:pPr>
            <w:r w:rsidRPr="003F1D05">
              <w:rPr>
                <w:sz w:val="18"/>
                <w:szCs w:val="18"/>
              </w:rPr>
              <w:t xml:space="preserve">Mobile broadband (2013 CSR 4.2); </w:t>
            </w:r>
          </w:p>
          <w:p w:rsidR="00584B95" w:rsidRPr="003F1D05" w:rsidRDefault="00584B95" w:rsidP="00766B4F">
            <w:pPr>
              <w:jc w:val="left"/>
              <w:rPr>
                <w:sz w:val="18"/>
                <w:szCs w:val="18"/>
              </w:rPr>
            </w:pPr>
            <w:r w:rsidRPr="003F1D05">
              <w:rPr>
                <w:sz w:val="18"/>
                <w:szCs w:val="18"/>
              </w:rPr>
              <w:t>Independent regulators in the transport sector (2013 CSR 4.4).</w:t>
            </w:r>
          </w:p>
        </w:tc>
        <w:tc>
          <w:tcPr>
            <w:tcW w:w="929" w:type="pct"/>
            <w:vAlign w:val="center"/>
          </w:tcPr>
          <w:p w:rsidR="00584B95" w:rsidRPr="003F1D05" w:rsidRDefault="00584B95" w:rsidP="00766B4F">
            <w:pPr>
              <w:jc w:val="left"/>
              <w:rPr>
                <w:sz w:val="18"/>
                <w:szCs w:val="18"/>
              </w:rPr>
            </w:pPr>
            <w:r w:rsidRPr="003F1D05">
              <w:rPr>
                <w:sz w:val="18"/>
                <w:szCs w:val="18"/>
              </w:rPr>
              <w:t>The PA indicates that the priorities are closely related to the objectives of the Europe 2020 Strategy, the CSR and the needs identified in Section 1.1.</w:t>
            </w:r>
          </w:p>
        </w:tc>
        <w:tc>
          <w:tcPr>
            <w:tcW w:w="906" w:type="pct"/>
            <w:vAlign w:val="center"/>
          </w:tcPr>
          <w:p w:rsidR="00584B95" w:rsidRPr="003F1D05" w:rsidRDefault="00584B95" w:rsidP="00766B4F">
            <w:pPr>
              <w:jc w:val="left"/>
              <w:rPr>
                <w:sz w:val="18"/>
                <w:szCs w:val="18"/>
              </w:rPr>
            </w:pPr>
            <w:r w:rsidRPr="003F1D05">
              <w:rPr>
                <w:sz w:val="18"/>
                <w:szCs w:val="18"/>
              </w:rPr>
              <w:t xml:space="preserve">Medium-high alignment. </w:t>
            </w:r>
          </w:p>
          <w:p w:rsidR="00584B95" w:rsidRPr="003F1D05" w:rsidRDefault="00584B95" w:rsidP="00766B4F">
            <w:pPr>
              <w:jc w:val="left"/>
              <w:rPr>
                <w:sz w:val="18"/>
                <w:szCs w:val="18"/>
              </w:rPr>
            </w:pPr>
            <w:r w:rsidRPr="003F1D05">
              <w:rPr>
                <w:sz w:val="18"/>
                <w:szCs w:val="18"/>
              </w:rPr>
              <w:t xml:space="preserve">Apart from a few recommendations/challenges which do not seem to be reflected in the PA, the document largely addresses the key </w:t>
            </w:r>
            <w:r>
              <w:rPr>
                <w:sz w:val="18"/>
                <w:szCs w:val="18"/>
              </w:rPr>
              <w:t>CSR</w:t>
            </w:r>
            <w:r w:rsidRPr="003F1D05">
              <w:rPr>
                <w:sz w:val="18"/>
                <w:szCs w:val="18"/>
              </w:rPr>
              <w:t>/structural challenges identified.</w:t>
            </w:r>
          </w:p>
        </w:tc>
      </w:tr>
      <w:tr w:rsidR="00584B95" w:rsidRPr="003F1D05" w:rsidTr="00766B4F">
        <w:tc>
          <w:tcPr>
            <w:tcW w:w="225" w:type="pct"/>
            <w:vAlign w:val="center"/>
          </w:tcPr>
          <w:p w:rsidR="00584B95" w:rsidRPr="003F1D05" w:rsidRDefault="00584B95" w:rsidP="00766B4F">
            <w:pPr>
              <w:jc w:val="left"/>
              <w:rPr>
                <w:sz w:val="18"/>
                <w:szCs w:val="18"/>
              </w:rPr>
            </w:pPr>
            <w:r w:rsidRPr="003F1D05">
              <w:rPr>
                <w:sz w:val="18"/>
                <w:szCs w:val="18"/>
              </w:rPr>
              <w:t>BG</w:t>
            </w:r>
          </w:p>
        </w:tc>
        <w:tc>
          <w:tcPr>
            <w:tcW w:w="776" w:type="pct"/>
            <w:vAlign w:val="center"/>
          </w:tcPr>
          <w:p w:rsidR="00584B95" w:rsidRPr="003F1D05" w:rsidRDefault="00584B95" w:rsidP="00766B4F">
            <w:pPr>
              <w:jc w:val="left"/>
              <w:rPr>
                <w:sz w:val="18"/>
                <w:szCs w:val="18"/>
              </w:rPr>
            </w:pPr>
            <w:r w:rsidRPr="003F1D05">
              <w:rPr>
                <w:sz w:val="18"/>
                <w:szCs w:val="18"/>
              </w:rPr>
              <w:t>The PA builds upon the CPP and further develops the analysis of the Bulgarian context. The PA discusses in detail the existing challenges, providing statistics and, in some cases, practical recommendation.</w:t>
            </w:r>
          </w:p>
        </w:tc>
        <w:tc>
          <w:tcPr>
            <w:tcW w:w="1089" w:type="pct"/>
            <w:vAlign w:val="center"/>
          </w:tcPr>
          <w:p w:rsidR="00584B95" w:rsidRPr="003F1D05" w:rsidRDefault="00584B95" w:rsidP="00766B4F">
            <w:pPr>
              <w:jc w:val="left"/>
              <w:rPr>
                <w:sz w:val="18"/>
                <w:szCs w:val="18"/>
              </w:rPr>
            </w:pPr>
            <w:r w:rsidRPr="003F1D05">
              <w:rPr>
                <w:sz w:val="18"/>
                <w:szCs w:val="18"/>
              </w:rPr>
              <w:t xml:space="preserve">The PA covers the majority of </w:t>
            </w:r>
            <w:r>
              <w:rPr>
                <w:sz w:val="18"/>
                <w:szCs w:val="18"/>
              </w:rPr>
              <w:t>CSR</w:t>
            </w:r>
            <w:r w:rsidRPr="003F1D05">
              <w:rPr>
                <w:sz w:val="18"/>
                <w:szCs w:val="18"/>
              </w:rPr>
              <w:t xml:space="preserve"> extensively and includes a comprehensive overall assessment of the socio-economic environment.</w:t>
            </w:r>
          </w:p>
          <w:p w:rsidR="00584B95" w:rsidRPr="003F1D05" w:rsidRDefault="00584B95" w:rsidP="00766B4F">
            <w:pPr>
              <w:jc w:val="left"/>
              <w:rPr>
                <w:sz w:val="18"/>
                <w:szCs w:val="18"/>
              </w:rPr>
            </w:pPr>
            <w:r w:rsidRPr="003F1D05">
              <w:rPr>
                <w:sz w:val="18"/>
                <w:szCs w:val="18"/>
              </w:rPr>
              <w:t xml:space="preserve">On many instances, the </w:t>
            </w:r>
            <w:r>
              <w:rPr>
                <w:sz w:val="18"/>
                <w:szCs w:val="18"/>
              </w:rPr>
              <w:t>CSR</w:t>
            </w:r>
            <w:r w:rsidRPr="003F1D05">
              <w:rPr>
                <w:sz w:val="18"/>
                <w:szCs w:val="18"/>
              </w:rPr>
              <w:t xml:space="preserve"> are quoted directly, mainly for justifying the choice of Thematic Objectives.  </w:t>
            </w:r>
          </w:p>
        </w:tc>
        <w:tc>
          <w:tcPr>
            <w:tcW w:w="1075" w:type="pct"/>
            <w:vAlign w:val="center"/>
          </w:tcPr>
          <w:p w:rsidR="00584B95" w:rsidRPr="003F1D05" w:rsidRDefault="00584B95" w:rsidP="00766B4F">
            <w:pPr>
              <w:jc w:val="left"/>
              <w:rPr>
                <w:sz w:val="18"/>
                <w:szCs w:val="18"/>
              </w:rPr>
            </w:pPr>
            <w:r w:rsidRPr="003F1D05">
              <w:rPr>
                <w:sz w:val="18"/>
                <w:szCs w:val="18"/>
              </w:rPr>
              <w:t xml:space="preserve">While the PA does mention public procurement, its importance is not highlighted enough. At the same time the Bulgarian public administration continues to demonstrate inability to reform the system, as evidenced by the country`s continuing incapacity to meet the specific ex-ante conditionality on public procurement.  </w:t>
            </w:r>
          </w:p>
        </w:tc>
        <w:tc>
          <w:tcPr>
            <w:tcW w:w="929" w:type="pct"/>
            <w:vAlign w:val="center"/>
          </w:tcPr>
          <w:p w:rsidR="00584B95" w:rsidRPr="003F1D05" w:rsidRDefault="00584B95" w:rsidP="00766B4F">
            <w:pPr>
              <w:jc w:val="left"/>
              <w:rPr>
                <w:sz w:val="18"/>
                <w:szCs w:val="18"/>
              </w:rPr>
            </w:pPr>
            <w:r w:rsidRPr="003F1D05">
              <w:rPr>
                <w:sz w:val="18"/>
                <w:szCs w:val="18"/>
              </w:rPr>
              <w:t xml:space="preserve">The TOs and the strategic funding priorities address the relevant </w:t>
            </w:r>
            <w:r>
              <w:rPr>
                <w:sz w:val="18"/>
                <w:szCs w:val="18"/>
              </w:rPr>
              <w:t>CSR</w:t>
            </w:r>
            <w:r w:rsidRPr="003F1D05">
              <w:rPr>
                <w:sz w:val="18"/>
                <w:szCs w:val="18"/>
              </w:rPr>
              <w:t xml:space="preserve"> with different intensity. For instance </w:t>
            </w:r>
            <w:r>
              <w:rPr>
                <w:sz w:val="18"/>
                <w:szCs w:val="18"/>
              </w:rPr>
              <w:t>CSR</w:t>
            </w:r>
            <w:r w:rsidRPr="003F1D05">
              <w:rPr>
                <w:sz w:val="18"/>
                <w:szCs w:val="18"/>
              </w:rPr>
              <w:t xml:space="preserve"> are explicitly mentioned in the TO1 and TO2 but are largely unrelated to TO4 and TO6. No reference to </w:t>
            </w:r>
            <w:r>
              <w:rPr>
                <w:sz w:val="18"/>
                <w:szCs w:val="18"/>
              </w:rPr>
              <w:t>CSR</w:t>
            </w:r>
            <w:r w:rsidRPr="003F1D05">
              <w:rPr>
                <w:sz w:val="18"/>
                <w:szCs w:val="18"/>
              </w:rPr>
              <w:t xml:space="preserve"> was found in TO5.</w:t>
            </w:r>
          </w:p>
        </w:tc>
        <w:tc>
          <w:tcPr>
            <w:tcW w:w="906" w:type="pct"/>
            <w:vAlign w:val="center"/>
          </w:tcPr>
          <w:p w:rsidR="00584B95" w:rsidRPr="003F1D05" w:rsidRDefault="00584B95" w:rsidP="00766B4F">
            <w:pPr>
              <w:jc w:val="left"/>
              <w:rPr>
                <w:sz w:val="18"/>
                <w:szCs w:val="18"/>
              </w:rPr>
            </w:pPr>
            <w:r w:rsidRPr="003F1D05">
              <w:rPr>
                <w:sz w:val="18"/>
                <w:szCs w:val="18"/>
              </w:rPr>
              <w:t xml:space="preserve">Medium alignment. </w:t>
            </w:r>
          </w:p>
          <w:p w:rsidR="00584B95" w:rsidRPr="003F1D05" w:rsidRDefault="00584B95" w:rsidP="00766B4F">
            <w:pPr>
              <w:jc w:val="left"/>
              <w:rPr>
                <w:sz w:val="18"/>
                <w:szCs w:val="18"/>
              </w:rPr>
            </w:pPr>
            <w:r w:rsidRPr="003F1D05">
              <w:rPr>
                <w:sz w:val="18"/>
                <w:szCs w:val="18"/>
              </w:rPr>
              <w:t xml:space="preserve">Explicitly or not, the </w:t>
            </w:r>
            <w:r>
              <w:rPr>
                <w:sz w:val="18"/>
                <w:szCs w:val="18"/>
              </w:rPr>
              <w:t>CSR</w:t>
            </w:r>
            <w:r w:rsidRPr="003F1D05">
              <w:rPr>
                <w:sz w:val="18"/>
                <w:szCs w:val="18"/>
              </w:rPr>
              <w:t xml:space="preserve"> play a relatively central role in the PA, especially when it comes to adopting and tailoring Thematic Objectives and funding priorities. According to the expert, the </w:t>
            </w:r>
            <w:r>
              <w:rPr>
                <w:sz w:val="18"/>
                <w:szCs w:val="18"/>
              </w:rPr>
              <w:t>CSR</w:t>
            </w:r>
            <w:r w:rsidRPr="003F1D05">
              <w:rPr>
                <w:sz w:val="18"/>
                <w:szCs w:val="18"/>
              </w:rPr>
              <w:t xml:space="preserve"> were rather used as a supporting (or evidence of) instrument rather than a basis for producing the PA.</w:t>
            </w:r>
          </w:p>
        </w:tc>
      </w:tr>
      <w:tr w:rsidR="00584B95" w:rsidRPr="003F1D05" w:rsidTr="00766B4F">
        <w:tc>
          <w:tcPr>
            <w:tcW w:w="225" w:type="pct"/>
            <w:vAlign w:val="center"/>
          </w:tcPr>
          <w:p w:rsidR="00584B95" w:rsidRPr="003F1D05" w:rsidRDefault="00584B95" w:rsidP="00766B4F">
            <w:pPr>
              <w:jc w:val="left"/>
              <w:rPr>
                <w:sz w:val="18"/>
                <w:szCs w:val="18"/>
              </w:rPr>
            </w:pPr>
            <w:r w:rsidRPr="003F1D05">
              <w:rPr>
                <w:sz w:val="18"/>
                <w:szCs w:val="18"/>
              </w:rPr>
              <w:t>CZ</w:t>
            </w:r>
          </w:p>
        </w:tc>
        <w:tc>
          <w:tcPr>
            <w:tcW w:w="776" w:type="pct"/>
            <w:vAlign w:val="center"/>
          </w:tcPr>
          <w:p w:rsidR="00584B95" w:rsidRPr="003F1D05" w:rsidRDefault="00584B95" w:rsidP="00766B4F">
            <w:pPr>
              <w:jc w:val="left"/>
              <w:rPr>
                <w:sz w:val="18"/>
                <w:szCs w:val="18"/>
              </w:rPr>
            </w:pPr>
            <w:r w:rsidRPr="003F1D05">
              <w:rPr>
                <w:sz w:val="18"/>
                <w:szCs w:val="18"/>
              </w:rPr>
              <w:t xml:space="preserve">To a large extent the treatment of </w:t>
            </w:r>
            <w:r>
              <w:rPr>
                <w:sz w:val="18"/>
                <w:szCs w:val="18"/>
              </w:rPr>
              <w:t>CSR</w:t>
            </w:r>
            <w:r w:rsidRPr="003F1D05">
              <w:rPr>
                <w:sz w:val="18"/>
                <w:szCs w:val="18"/>
              </w:rPr>
              <w:t xml:space="preserve"> in the PA is coherent with the requests of the CPP. This applies especially for the </w:t>
            </w:r>
            <w:r>
              <w:rPr>
                <w:sz w:val="18"/>
                <w:szCs w:val="18"/>
              </w:rPr>
              <w:t>CSR</w:t>
            </w:r>
            <w:r w:rsidRPr="003F1D05">
              <w:rPr>
                <w:sz w:val="18"/>
                <w:szCs w:val="18"/>
              </w:rPr>
              <w:t xml:space="preserve"> related to labour market, social affairs, education, or the systems of monitoring and assessment of education and research results. Nevertheless, the CPP puts far more emphasis than the PA on (</w:t>
            </w:r>
            <w:proofErr w:type="spellStart"/>
            <w:r w:rsidRPr="003F1D05">
              <w:rPr>
                <w:sz w:val="18"/>
                <w:szCs w:val="18"/>
              </w:rPr>
              <w:t>i</w:t>
            </w:r>
            <w:proofErr w:type="spellEnd"/>
            <w:r w:rsidRPr="003F1D05">
              <w:rPr>
                <w:sz w:val="18"/>
                <w:szCs w:val="18"/>
              </w:rPr>
              <w:t>) the necessary political steps crucial for improvement of quality in the public administration and its management and (ii) on the issue of missing Public Servant Act.</w:t>
            </w:r>
          </w:p>
        </w:tc>
        <w:tc>
          <w:tcPr>
            <w:tcW w:w="1089" w:type="pct"/>
            <w:vAlign w:val="center"/>
          </w:tcPr>
          <w:p w:rsidR="00584B95" w:rsidRPr="003F1D05" w:rsidRDefault="00584B95" w:rsidP="00766B4F">
            <w:pPr>
              <w:jc w:val="left"/>
              <w:rPr>
                <w:sz w:val="18"/>
                <w:szCs w:val="18"/>
              </w:rPr>
            </w:pPr>
            <w:r w:rsidRPr="003F1D05">
              <w:rPr>
                <w:sz w:val="18"/>
                <w:szCs w:val="18"/>
              </w:rPr>
              <w:t xml:space="preserve">The PA refers very explicitly to all </w:t>
            </w:r>
            <w:r>
              <w:rPr>
                <w:sz w:val="18"/>
                <w:szCs w:val="18"/>
              </w:rPr>
              <w:t>CSR</w:t>
            </w:r>
            <w:r w:rsidRPr="003F1D05">
              <w:rPr>
                <w:sz w:val="18"/>
                <w:szCs w:val="18"/>
              </w:rPr>
              <w:t xml:space="preserve"> of 2014 and the majority of challenges is covered systematically. Moreover, the key challenges identified in </w:t>
            </w:r>
            <w:r>
              <w:rPr>
                <w:sz w:val="18"/>
                <w:szCs w:val="18"/>
              </w:rPr>
              <w:t>CSR</w:t>
            </w:r>
            <w:r w:rsidRPr="003F1D05">
              <w:rPr>
                <w:sz w:val="18"/>
                <w:szCs w:val="18"/>
              </w:rPr>
              <w:t xml:space="preserve"> from the previous years (i.e. 2012 and 2013) are covered as well due to the fact that major challenges remained unsolved. </w:t>
            </w:r>
          </w:p>
        </w:tc>
        <w:tc>
          <w:tcPr>
            <w:tcW w:w="1075" w:type="pct"/>
            <w:vAlign w:val="center"/>
          </w:tcPr>
          <w:p w:rsidR="00584B95" w:rsidRPr="003F1D05" w:rsidRDefault="00584B95" w:rsidP="00766B4F">
            <w:pPr>
              <w:jc w:val="left"/>
              <w:rPr>
                <w:sz w:val="18"/>
                <w:szCs w:val="18"/>
              </w:rPr>
            </w:pPr>
            <w:r w:rsidRPr="003F1D05">
              <w:rPr>
                <w:sz w:val="18"/>
                <w:szCs w:val="18"/>
              </w:rPr>
              <w:t xml:space="preserve">The only CSR sub-part which is not covered is 2013 CSR 3.2 - Accompany the increase in retirement age with measures promoting employability of older workers and reduction of early exit pathways. In particular, the suggested removal of the public subsidy for the pre-retirement scheme has remained unaddressed. Other CSR are mentioned but addressed marginally: the </w:t>
            </w:r>
            <w:r>
              <w:rPr>
                <w:sz w:val="18"/>
                <w:szCs w:val="18"/>
              </w:rPr>
              <w:t>CSR</w:t>
            </w:r>
            <w:r w:rsidRPr="003F1D05">
              <w:rPr>
                <w:sz w:val="18"/>
                <w:szCs w:val="18"/>
              </w:rPr>
              <w:t xml:space="preserve"> related to the cost-effectiveness and governance healthcare sector; the </w:t>
            </w:r>
            <w:r>
              <w:rPr>
                <w:sz w:val="18"/>
                <w:szCs w:val="18"/>
              </w:rPr>
              <w:t>CSR</w:t>
            </w:r>
            <w:r w:rsidRPr="003F1D05">
              <w:rPr>
                <w:sz w:val="18"/>
                <w:szCs w:val="18"/>
              </w:rPr>
              <w:t xml:space="preserve"> related to energy efficiency of the economy (i.e. 2014 CSR 6.2 and 2013 CSR 7.2) which are addressed fragmentally.  </w:t>
            </w:r>
          </w:p>
        </w:tc>
        <w:tc>
          <w:tcPr>
            <w:tcW w:w="929" w:type="pct"/>
            <w:vAlign w:val="center"/>
          </w:tcPr>
          <w:p w:rsidR="00584B95" w:rsidRPr="003F1D05" w:rsidRDefault="00584B95" w:rsidP="00766B4F">
            <w:pPr>
              <w:jc w:val="left"/>
              <w:rPr>
                <w:sz w:val="18"/>
                <w:szCs w:val="18"/>
              </w:rPr>
            </w:pPr>
            <w:r w:rsidRPr="003F1D05">
              <w:rPr>
                <w:sz w:val="18"/>
                <w:szCs w:val="18"/>
              </w:rPr>
              <w:t xml:space="preserve">The selection of priorities (and hence of funding needs) explicitly refers to relevant </w:t>
            </w:r>
            <w:r>
              <w:rPr>
                <w:sz w:val="18"/>
                <w:szCs w:val="18"/>
              </w:rPr>
              <w:t>CSR</w:t>
            </w:r>
            <w:r w:rsidRPr="003F1D05">
              <w:rPr>
                <w:sz w:val="18"/>
                <w:szCs w:val="18"/>
              </w:rPr>
              <w:t xml:space="preserve"> (for example, funding priority Development of low-carbon integrated system of public transport linked to the 2014 CSR 6.2; Accessible and high-quality standard services provided by Employment office linked to the 2014 CSR 4.1; Increase in availability of high-quality pre-school childcare facilities, linked to the 2014 CSR 4.3). In other words, all </w:t>
            </w:r>
            <w:r>
              <w:rPr>
                <w:sz w:val="18"/>
                <w:szCs w:val="18"/>
              </w:rPr>
              <w:t>CSR</w:t>
            </w:r>
            <w:r w:rsidRPr="003F1D05">
              <w:rPr>
                <w:sz w:val="18"/>
                <w:szCs w:val="18"/>
              </w:rPr>
              <w:t>/Country Reports challenges of 2012-2014 are more or less addressed by the PA.</w:t>
            </w:r>
          </w:p>
        </w:tc>
        <w:tc>
          <w:tcPr>
            <w:tcW w:w="906" w:type="pct"/>
            <w:vAlign w:val="center"/>
          </w:tcPr>
          <w:p w:rsidR="00584B95" w:rsidRPr="003F1D05" w:rsidRDefault="00584B95" w:rsidP="00766B4F">
            <w:pPr>
              <w:jc w:val="left"/>
              <w:rPr>
                <w:sz w:val="18"/>
                <w:szCs w:val="18"/>
              </w:rPr>
            </w:pPr>
            <w:r w:rsidRPr="003F1D05">
              <w:rPr>
                <w:sz w:val="18"/>
                <w:szCs w:val="18"/>
              </w:rPr>
              <w:t xml:space="preserve">Medium-high alignment. The support of challenges underlined in the </w:t>
            </w:r>
            <w:r>
              <w:rPr>
                <w:sz w:val="18"/>
                <w:szCs w:val="18"/>
              </w:rPr>
              <w:t>CSR</w:t>
            </w:r>
            <w:r w:rsidRPr="003F1D05">
              <w:rPr>
                <w:sz w:val="18"/>
                <w:szCs w:val="18"/>
              </w:rPr>
              <w:t xml:space="preserve"> is clearly endorsed in the document. Undoubtedly, </w:t>
            </w:r>
            <w:r>
              <w:rPr>
                <w:sz w:val="18"/>
                <w:szCs w:val="18"/>
              </w:rPr>
              <w:t>CSR</w:t>
            </w:r>
            <w:r w:rsidRPr="003F1D05">
              <w:rPr>
                <w:sz w:val="18"/>
                <w:szCs w:val="18"/>
              </w:rPr>
              <w:t xml:space="preserve"> have been one of the paradigms driving the definition of priorities and of funding needs. Moreover, for the majority of </w:t>
            </w:r>
            <w:r>
              <w:rPr>
                <w:sz w:val="18"/>
                <w:szCs w:val="18"/>
              </w:rPr>
              <w:t>CSR</w:t>
            </w:r>
            <w:r w:rsidRPr="003F1D05">
              <w:rPr>
                <w:sz w:val="18"/>
                <w:szCs w:val="18"/>
              </w:rPr>
              <w:t xml:space="preserve"> there are strong linkages with the proposed set of funding needs. In addition, the majority of needs covered by the </w:t>
            </w:r>
            <w:r>
              <w:rPr>
                <w:sz w:val="18"/>
                <w:szCs w:val="18"/>
              </w:rPr>
              <w:t>CSR</w:t>
            </w:r>
            <w:r w:rsidRPr="003F1D05">
              <w:rPr>
                <w:sz w:val="18"/>
                <w:szCs w:val="18"/>
              </w:rPr>
              <w:t xml:space="preserve"> are in line with Europe 2020 Strategy, Common Strategic Framework, the National Reform Programme, the National Strategy of International Competitiveness 2012-2020, the Strategy of Regional Development of the Czech Republic 2014-2020. There is no doubt that ESIF funding can significantly contribute to address </w:t>
            </w:r>
            <w:r>
              <w:rPr>
                <w:sz w:val="18"/>
                <w:szCs w:val="18"/>
              </w:rPr>
              <w:t>CSR</w:t>
            </w:r>
            <w:r w:rsidRPr="003F1D05">
              <w:rPr>
                <w:sz w:val="18"/>
                <w:szCs w:val="18"/>
              </w:rPr>
              <w:t xml:space="preserve">/challenges. In most cases, the steps necessary to tackle the identified structural challenges are clearly specified.    </w:t>
            </w:r>
          </w:p>
        </w:tc>
      </w:tr>
      <w:tr w:rsidR="00584B95" w:rsidRPr="003F1D05" w:rsidTr="00766B4F">
        <w:tc>
          <w:tcPr>
            <w:tcW w:w="225" w:type="pct"/>
            <w:vAlign w:val="center"/>
          </w:tcPr>
          <w:p w:rsidR="00584B95" w:rsidRPr="003F1D05" w:rsidRDefault="00584B95" w:rsidP="00766B4F">
            <w:pPr>
              <w:jc w:val="left"/>
              <w:rPr>
                <w:sz w:val="18"/>
                <w:szCs w:val="18"/>
              </w:rPr>
            </w:pPr>
            <w:r>
              <w:rPr>
                <w:sz w:val="18"/>
                <w:szCs w:val="18"/>
              </w:rPr>
              <w:t>CY</w:t>
            </w:r>
          </w:p>
        </w:tc>
        <w:tc>
          <w:tcPr>
            <w:tcW w:w="776" w:type="pct"/>
            <w:vAlign w:val="center"/>
          </w:tcPr>
          <w:p w:rsidR="00584B95" w:rsidRPr="003F1D05" w:rsidRDefault="00584B95" w:rsidP="00766B4F">
            <w:pPr>
              <w:jc w:val="left"/>
              <w:rPr>
                <w:sz w:val="18"/>
                <w:szCs w:val="18"/>
              </w:rPr>
            </w:pPr>
            <w:r w:rsidRPr="007D2E7E">
              <w:rPr>
                <w:sz w:val="18"/>
                <w:szCs w:val="18"/>
              </w:rPr>
              <w:t>The PA goes beyond the requests of the CPP and addresses also challenges raised by the MOU which was signed in 2013 between Cyprus and the EU. More specific</w:t>
            </w:r>
            <w:r>
              <w:rPr>
                <w:sz w:val="18"/>
                <w:szCs w:val="18"/>
              </w:rPr>
              <w:t>ally</w:t>
            </w:r>
            <w:r w:rsidRPr="007D2E7E">
              <w:rPr>
                <w:sz w:val="18"/>
                <w:szCs w:val="18"/>
              </w:rPr>
              <w:t xml:space="preserve">, </w:t>
            </w:r>
            <w:r>
              <w:rPr>
                <w:sz w:val="18"/>
                <w:szCs w:val="18"/>
              </w:rPr>
              <w:t xml:space="preserve">the </w:t>
            </w:r>
            <w:r w:rsidRPr="007D2E7E">
              <w:rPr>
                <w:sz w:val="18"/>
                <w:szCs w:val="18"/>
              </w:rPr>
              <w:t>CPP does not address the institutional capacity of public authorities</w:t>
            </w:r>
            <w:r>
              <w:rPr>
                <w:sz w:val="18"/>
                <w:szCs w:val="18"/>
              </w:rPr>
              <w:t xml:space="preserve"> which is on the contrary targeted by the</w:t>
            </w:r>
            <w:r w:rsidRPr="007D2E7E">
              <w:rPr>
                <w:sz w:val="18"/>
                <w:szCs w:val="18"/>
              </w:rPr>
              <w:t xml:space="preserve"> PA</w:t>
            </w:r>
            <w:r>
              <w:rPr>
                <w:sz w:val="18"/>
                <w:szCs w:val="18"/>
              </w:rPr>
              <w:t xml:space="preserve"> together with</w:t>
            </w:r>
            <w:r w:rsidRPr="007D2E7E">
              <w:rPr>
                <w:sz w:val="18"/>
                <w:szCs w:val="18"/>
              </w:rPr>
              <w:t xml:space="preserve"> other challenges </w:t>
            </w:r>
            <w:r>
              <w:rPr>
                <w:sz w:val="18"/>
                <w:szCs w:val="18"/>
              </w:rPr>
              <w:t>from the 2013 and 2014</w:t>
            </w:r>
            <w:r w:rsidRPr="007D2E7E">
              <w:rPr>
                <w:sz w:val="18"/>
                <w:szCs w:val="18"/>
              </w:rPr>
              <w:t xml:space="preserve"> MOUs </w:t>
            </w:r>
            <w:r>
              <w:rPr>
                <w:sz w:val="18"/>
                <w:szCs w:val="18"/>
              </w:rPr>
              <w:t>and</w:t>
            </w:r>
            <w:r w:rsidRPr="007D2E7E">
              <w:rPr>
                <w:sz w:val="18"/>
                <w:szCs w:val="18"/>
              </w:rPr>
              <w:t xml:space="preserve"> </w:t>
            </w:r>
            <w:r>
              <w:rPr>
                <w:sz w:val="18"/>
                <w:szCs w:val="18"/>
              </w:rPr>
              <w:t xml:space="preserve">the </w:t>
            </w:r>
            <w:r w:rsidRPr="007D2E7E">
              <w:rPr>
                <w:sz w:val="18"/>
                <w:szCs w:val="18"/>
              </w:rPr>
              <w:t>2013 CR</w:t>
            </w:r>
            <w:r>
              <w:rPr>
                <w:sz w:val="18"/>
                <w:szCs w:val="18"/>
              </w:rPr>
              <w:t xml:space="preserve"> (gender issues, </w:t>
            </w:r>
            <w:r w:rsidRPr="007D2E7E">
              <w:rPr>
                <w:sz w:val="18"/>
                <w:szCs w:val="18"/>
              </w:rPr>
              <w:t>public employment services, expansion of energy networks).</w:t>
            </w:r>
          </w:p>
        </w:tc>
        <w:tc>
          <w:tcPr>
            <w:tcW w:w="1089" w:type="pct"/>
            <w:vAlign w:val="center"/>
          </w:tcPr>
          <w:p w:rsidR="00584B95" w:rsidRPr="007D2E7E" w:rsidRDefault="00584B95" w:rsidP="00766B4F">
            <w:pPr>
              <w:jc w:val="left"/>
              <w:rPr>
                <w:sz w:val="18"/>
                <w:szCs w:val="18"/>
              </w:rPr>
            </w:pPr>
            <w:r w:rsidRPr="007D2E7E">
              <w:rPr>
                <w:sz w:val="18"/>
                <w:szCs w:val="18"/>
              </w:rPr>
              <w:t>The relevant structural challenges are clearly set out and in most cases with explicit references in Sections 1.1 and 1.3 of the PA.</w:t>
            </w:r>
          </w:p>
          <w:p w:rsidR="00584B95" w:rsidRPr="003F1D05" w:rsidRDefault="00584B95" w:rsidP="00766B4F">
            <w:pPr>
              <w:jc w:val="left"/>
              <w:rPr>
                <w:sz w:val="18"/>
                <w:szCs w:val="18"/>
              </w:rPr>
            </w:pPr>
            <w:r w:rsidRPr="007D2E7E">
              <w:rPr>
                <w:sz w:val="18"/>
                <w:szCs w:val="18"/>
              </w:rPr>
              <w:t xml:space="preserve">Section 2.5 on the assessment of the needs in terms of administrative capacity, includes reference to a challenge raised in the 2013 MOU and also recurring in 2014, regarding the capacity of the competent authorities to manage </w:t>
            </w:r>
            <w:r>
              <w:rPr>
                <w:sz w:val="18"/>
                <w:szCs w:val="18"/>
              </w:rPr>
              <w:t>programmes.</w:t>
            </w:r>
          </w:p>
        </w:tc>
        <w:tc>
          <w:tcPr>
            <w:tcW w:w="1075" w:type="pct"/>
            <w:vAlign w:val="center"/>
          </w:tcPr>
          <w:p w:rsidR="00584B95" w:rsidRPr="007D2E7E" w:rsidRDefault="00584B95" w:rsidP="00766B4F">
            <w:pPr>
              <w:jc w:val="left"/>
              <w:rPr>
                <w:sz w:val="18"/>
                <w:szCs w:val="18"/>
              </w:rPr>
            </w:pPr>
            <w:r w:rsidRPr="007D2E7E">
              <w:rPr>
                <w:sz w:val="18"/>
                <w:szCs w:val="18"/>
              </w:rPr>
              <w:t>Enhancement of business environment (2012 CSR 1.1)</w:t>
            </w:r>
          </w:p>
          <w:p w:rsidR="00584B95" w:rsidRPr="003F1D05" w:rsidRDefault="00584B95" w:rsidP="00766B4F">
            <w:pPr>
              <w:jc w:val="left"/>
              <w:rPr>
                <w:sz w:val="18"/>
                <w:szCs w:val="18"/>
              </w:rPr>
            </w:pPr>
            <w:r w:rsidRPr="007D2E7E">
              <w:rPr>
                <w:sz w:val="18"/>
                <w:szCs w:val="18"/>
              </w:rPr>
              <w:t>Reform of the wage-setting framework (2013 MOU 6.1)</w:t>
            </w:r>
          </w:p>
        </w:tc>
        <w:tc>
          <w:tcPr>
            <w:tcW w:w="929" w:type="pct"/>
            <w:vAlign w:val="center"/>
          </w:tcPr>
          <w:p w:rsidR="00584B95" w:rsidRDefault="00584B95" w:rsidP="00766B4F">
            <w:pPr>
              <w:jc w:val="left"/>
              <w:rPr>
                <w:sz w:val="18"/>
                <w:szCs w:val="18"/>
              </w:rPr>
            </w:pPr>
            <w:r>
              <w:rPr>
                <w:sz w:val="18"/>
                <w:szCs w:val="18"/>
              </w:rPr>
              <w:t>T</w:t>
            </w:r>
            <w:r w:rsidRPr="007D2E7E">
              <w:rPr>
                <w:sz w:val="18"/>
                <w:szCs w:val="18"/>
              </w:rPr>
              <w:t xml:space="preserve">he </w:t>
            </w:r>
            <w:r>
              <w:rPr>
                <w:sz w:val="18"/>
                <w:szCs w:val="18"/>
              </w:rPr>
              <w:t xml:space="preserve">selected </w:t>
            </w:r>
            <w:r w:rsidRPr="007D2E7E">
              <w:rPr>
                <w:sz w:val="18"/>
                <w:szCs w:val="18"/>
              </w:rPr>
              <w:t>priorities are closely related to the objectives of the Europe 2020 Strategy, the CSR, the MOU and the needs identified in Section 1.1.</w:t>
            </w:r>
          </w:p>
        </w:tc>
        <w:tc>
          <w:tcPr>
            <w:tcW w:w="906" w:type="pct"/>
            <w:vAlign w:val="center"/>
          </w:tcPr>
          <w:p w:rsidR="00584B95" w:rsidRDefault="00584B95" w:rsidP="00766B4F">
            <w:pPr>
              <w:jc w:val="left"/>
              <w:rPr>
                <w:sz w:val="18"/>
                <w:szCs w:val="18"/>
              </w:rPr>
            </w:pPr>
            <w:r>
              <w:rPr>
                <w:sz w:val="18"/>
                <w:szCs w:val="18"/>
              </w:rPr>
              <w:t>High alignment.</w:t>
            </w:r>
          </w:p>
          <w:p w:rsidR="00584B95" w:rsidRPr="003F1D05" w:rsidRDefault="00584B95" w:rsidP="00766B4F">
            <w:pPr>
              <w:jc w:val="left"/>
              <w:rPr>
                <w:sz w:val="18"/>
                <w:szCs w:val="18"/>
              </w:rPr>
            </w:pPr>
            <w:r w:rsidRPr="007D2E7E">
              <w:rPr>
                <w:sz w:val="18"/>
                <w:szCs w:val="18"/>
              </w:rPr>
              <w:t xml:space="preserve">Apart from a few challenges which </w:t>
            </w:r>
            <w:r>
              <w:rPr>
                <w:sz w:val="18"/>
                <w:szCs w:val="18"/>
              </w:rPr>
              <w:t xml:space="preserve">are not </w:t>
            </w:r>
            <w:r w:rsidRPr="007D2E7E">
              <w:rPr>
                <w:sz w:val="18"/>
                <w:szCs w:val="18"/>
              </w:rPr>
              <w:t xml:space="preserve">reflected in the PA, the key CSRs/structural challenges identified </w:t>
            </w:r>
            <w:r>
              <w:rPr>
                <w:sz w:val="18"/>
                <w:szCs w:val="18"/>
              </w:rPr>
              <w:t>are covered</w:t>
            </w:r>
            <w:r w:rsidRPr="007D2E7E">
              <w:rPr>
                <w:sz w:val="18"/>
                <w:szCs w:val="18"/>
              </w:rPr>
              <w:t>.</w:t>
            </w:r>
          </w:p>
        </w:tc>
      </w:tr>
      <w:tr w:rsidR="00584B95" w:rsidRPr="003F1D05" w:rsidTr="00766B4F">
        <w:tc>
          <w:tcPr>
            <w:tcW w:w="225" w:type="pct"/>
            <w:vAlign w:val="center"/>
          </w:tcPr>
          <w:p w:rsidR="00584B95" w:rsidRPr="003F1D05" w:rsidRDefault="00584B95" w:rsidP="00766B4F">
            <w:pPr>
              <w:jc w:val="left"/>
              <w:rPr>
                <w:sz w:val="18"/>
                <w:szCs w:val="18"/>
              </w:rPr>
            </w:pPr>
            <w:r w:rsidRPr="003F1D05">
              <w:rPr>
                <w:sz w:val="18"/>
                <w:szCs w:val="18"/>
              </w:rPr>
              <w:t>DE</w:t>
            </w:r>
          </w:p>
        </w:tc>
        <w:tc>
          <w:tcPr>
            <w:tcW w:w="776" w:type="pct"/>
            <w:vAlign w:val="center"/>
          </w:tcPr>
          <w:p w:rsidR="00584B95" w:rsidRPr="003F1D05" w:rsidRDefault="00584B95" w:rsidP="00766B4F">
            <w:pPr>
              <w:jc w:val="left"/>
              <w:rPr>
                <w:sz w:val="18"/>
                <w:szCs w:val="18"/>
              </w:rPr>
            </w:pPr>
            <w:r w:rsidRPr="003F1D05">
              <w:rPr>
                <w:sz w:val="18"/>
                <w:szCs w:val="18"/>
              </w:rPr>
              <w:t>The PA is coherent with the CPP in the sense that it refers more directly to CSR in the field of labour market potential, social inclusion and educational achievement than in regional competitiveness and environmental issues. Also the absence of the CSR concerning public procurement, promoting domestic demand and tax reductions is common among the two documents.</w:t>
            </w:r>
          </w:p>
        </w:tc>
        <w:tc>
          <w:tcPr>
            <w:tcW w:w="1089" w:type="pct"/>
            <w:vAlign w:val="center"/>
          </w:tcPr>
          <w:p w:rsidR="00584B95" w:rsidRPr="003F1D05" w:rsidRDefault="00584B95" w:rsidP="00766B4F">
            <w:pPr>
              <w:jc w:val="left"/>
              <w:rPr>
                <w:sz w:val="18"/>
                <w:szCs w:val="18"/>
              </w:rPr>
            </w:pPr>
            <w:r w:rsidRPr="003F1D05">
              <w:rPr>
                <w:sz w:val="18"/>
                <w:szCs w:val="18"/>
              </w:rPr>
              <w:t xml:space="preserve">The PA explicitly refers to the CSR in the introductory paragraphs of sections 1.1 and 1.3. </w:t>
            </w:r>
          </w:p>
          <w:p w:rsidR="00584B95" w:rsidRPr="003F1D05" w:rsidRDefault="00584B95" w:rsidP="00766B4F">
            <w:pPr>
              <w:jc w:val="left"/>
              <w:rPr>
                <w:sz w:val="18"/>
                <w:szCs w:val="18"/>
              </w:rPr>
            </w:pPr>
            <w:r w:rsidRPr="003F1D05">
              <w:rPr>
                <w:sz w:val="18"/>
                <w:szCs w:val="18"/>
              </w:rPr>
              <w:t xml:space="preserve">Some cohesion relevant </w:t>
            </w:r>
            <w:r>
              <w:rPr>
                <w:sz w:val="18"/>
                <w:szCs w:val="18"/>
              </w:rPr>
              <w:t>CSR</w:t>
            </w:r>
            <w:r w:rsidRPr="003F1D05">
              <w:rPr>
                <w:sz w:val="18"/>
                <w:szCs w:val="18"/>
              </w:rPr>
              <w:t xml:space="preserve"> (e.g. education and research, educational achievement of disadvantaged groups, activation and integration of long-term unemployed, energy networks, and public investment) are implicitly addressed. This means that very often the structural reforms of challenges raised in the CSR can be linked to the selected thematic objectives and the main results expected.</w:t>
            </w:r>
          </w:p>
        </w:tc>
        <w:tc>
          <w:tcPr>
            <w:tcW w:w="1075" w:type="pct"/>
            <w:vAlign w:val="center"/>
          </w:tcPr>
          <w:p w:rsidR="00584B95" w:rsidRPr="003F1D05" w:rsidRDefault="00584B95" w:rsidP="00766B4F">
            <w:pPr>
              <w:jc w:val="left"/>
              <w:rPr>
                <w:sz w:val="18"/>
                <w:szCs w:val="18"/>
              </w:rPr>
            </w:pPr>
            <w:r w:rsidRPr="003F1D05">
              <w:rPr>
                <w:sz w:val="18"/>
                <w:szCs w:val="18"/>
              </w:rPr>
              <w:t>One challenge is not covered: 2013 CSR 4.2 and 2014 CSR 4.2 on public procurement</w:t>
            </w:r>
          </w:p>
        </w:tc>
        <w:tc>
          <w:tcPr>
            <w:tcW w:w="929" w:type="pct"/>
            <w:vAlign w:val="center"/>
          </w:tcPr>
          <w:p w:rsidR="00584B95" w:rsidRPr="003F1D05" w:rsidRDefault="00584B95" w:rsidP="00766B4F">
            <w:pPr>
              <w:jc w:val="left"/>
              <w:rPr>
                <w:sz w:val="18"/>
                <w:szCs w:val="18"/>
              </w:rPr>
            </w:pPr>
            <w:r>
              <w:rPr>
                <w:sz w:val="18"/>
                <w:szCs w:val="18"/>
              </w:rPr>
              <w:t>I</w:t>
            </w:r>
            <w:r w:rsidRPr="003F1D05">
              <w:rPr>
                <w:sz w:val="18"/>
                <w:szCs w:val="18"/>
              </w:rPr>
              <w:t xml:space="preserve">n Germany </w:t>
            </w:r>
            <w:r>
              <w:rPr>
                <w:sz w:val="18"/>
                <w:szCs w:val="18"/>
              </w:rPr>
              <w:t>most of CSR are not ESIF relevant</w:t>
            </w:r>
            <w:r w:rsidRPr="003F1D05">
              <w:rPr>
                <w:sz w:val="18"/>
                <w:szCs w:val="18"/>
              </w:rPr>
              <w:t xml:space="preserve">. Only some </w:t>
            </w:r>
            <w:r>
              <w:rPr>
                <w:sz w:val="18"/>
                <w:szCs w:val="18"/>
              </w:rPr>
              <w:t>challenges</w:t>
            </w:r>
            <w:r w:rsidRPr="003F1D05">
              <w:rPr>
                <w:sz w:val="18"/>
                <w:szCs w:val="18"/>
              </w:rPr>
              <w:t xml:space="preserve"> can be directly </w:t>
            </w:r>
            <w:r>
              <w:rPr>
                <w:sz w:val="18"/>
                <w:szCs w:val="18"/>
              </w:rPr>
              <w:t xml:space="preserve">targeted </w:t>
            </w:r>
            <w:r w:rsidRPr="003F1D05">
              <w:rPr>
                <w:sz w:val="18"/>
                <w:szCs w:val="18"/>
              </w:rPr>
              <w:t>(</w:t>
            </w:r>
            <w:r>
              <w:rPr>
                <w:sz w:val="18"/>
                <w:szCs w:val="18"/>
              </w:rPr>
              <w:t xml:space="preserve">e.g. </w:t>
            </w:r>
            <w:r w:rsidRPr="003F1D05">
              <w:rPr>
                <w:sz w:val="18"/>
                <w:szCs w:val="18"/>
              </w:rPr>
              <w:t>education and research, educational achievement of disadvantaged groups, activation and integration of long-term unemployed).</w:t>
            </w:r>
            <w:r>
              <w:rPr>
                <w:sz w:val="18"/>
                <w:szCs w:val="18"/>
              </w:rPr>
              <w:t xml:space="preserve"> In the selection of priorities related to those challenges, CSR had a role.  </w:t>
            </w:r>
          </w:p>
        </w:tc>
        <w:tc>
          <w:tcPr>
            <w:tcW w:w="906" w:type="pct"/>
            <w:vAlign w:val="center"/>
          </w:tcPr>
          <w:p w:rsidR="00584B95" w:rsidRPr="003F1D05" w:rsidRDefault="00584B95" w:rsidP="00766B4F">
            <w:pPr>
              <w:jc w:val="left"/>
              <w:rPr>
                <w:sz w:val="18"/>
                <w:szCs w:val="18"/>
              </w:rPr>
            </w:pPr>
            <w:r w:rsidRPr="003F1D05">
              <w:rPr>
                <w:sz w:val="18"/>
                <w:szCs w:val="18"/>
              </w:rPr>
              <w:t xml:space="preserve">Medium alignment. </w:t>
            </w:r>
          </w:p>
          <w:p w:rsidR="00584B95" w:rsidRPr="003F1D05" w:rsidRDefault="00584B95" w:rsidP="00766B4F">
            <w:pPr>
              <w:jc w:val="left"/>
              <w:rPr>
                <w:sz w:val="18"/>
                <w:szCs w:val="18"/>
              </w:rPr>
            </w:pPr>
            <w:r w:rsidRPr="003F1D05">
              <w:rPr>
                <w:sz w:val="18"/>
                <w:szCs w:val="18"/>
              </w:rPr>
              <w:t>The overall strategy of the PA covers issues captured by the CSR</w:t>
            </w:r>
            <w:r>
              <w:rPr>
                <w:sz w:val="18"/>
                <w:szCs w:val="18"/>
              </w:rPr>
              <w:t xml:space="preserve"> but the CSR/structural challenges were only one of the elements considered in developing the strategy</w:t>
            </w:r>
            <w:r w:rsidRPr="003F1D05">
              <w:rPr>
                <w:sz w:val="18"/>
                <w:szCs w:val="18"/>
              </w:rPr>
              <w:t xml:space="preserve">. An overlap with the </w:t>
            </w:r>
            <w:r>
              <w:rPr>
                <w:sz w:val="18"/>
                <w:szCs w:val="18"/>
              </w:rPr>
              <w:t>CSR</w:t>
            </w:r>
            <w:r w:rsidRPr="003F1D05">
              <w:rPr>
                <w:sz w:val="18"/>
                <w:szCs w:val="18"/>
              </w:rPr>
              <w:t xml:space="preserve"> is inevitable as they cover important issues like R&amp;D or labour market integration which certainly are also reflected in the national policies.</w:t>
            </w:r>
          </w:p>
          <w:p w:rsidR="00584B95" w:rsidRPr="003F1D05" w:rsidRDefault="00584B95" w:rsidP="00766B4F">
            <w:pPr>
              <w:jc w:val="left"/>
              <w:rPr>
                <w:sz w:val="18"/>
                <w:szCs w:val="18"/>
              </w:rPr>
            </w:pPr>
            <w:r w:rsidRPr="003F1D05">
              <w:rPr>
                <w:sz w:val="18"/>
                <w:szCs w:val="18"/>
              </w:rPr>
              <w:t xml:space="preserve">The fact that ESIF are mostly delivered by programmes at </w:t>
            </w:r>
            <w:proofErr w:type="spellStart"/>
            <w:r w:rsidRPr="003F1D05">
              <w:rPr>
                <w:sz w:val="18"/>
                <w:szCs w:val="18"/>
              </w:rPr>
              <w:t>Länder</w:t>
            </w:r>
            <w:proofErr w:type="spellEnd"/>
            <w:r w:rsidRPr="003F1D05">
              <w:rPr>
                <w:sz w:val="18"/>
                <w:szCs w:val="18"/>
              </w:rPr>
              <w:t xml:space="preserve"> level, </w:t>
            </w:r>
            <w:r>
              <w:rPr>
                <w:sz w:val="18"/>
                <w:szCs w:val="18"/>
              </w:rPr>
              <w:t>each one with a different set of priorities, may have</w:t>
            </w:r>
            <w:r w:rsidRPr="003F1D05">
              <w:rPr>
                <w:sz w:val="18"/>
                <w:szCs w:val="18"/>
              </w:rPr>
              <w:t xml:space="preserve"> an impact on the extent CSR are targeted.</w:t>
            </w:r>
          </w:p>
        </w:tc>
      </w:tr>
      <w:tr w:rsidR="00584B95" w:rsidRPr="003F1D05" w:rsidTr="00766B4F">
        <w:tc>
          <w:tcPr>
            <w:tcW w:w="225" w:type="pct"/>
            <w:vAlign w:val="center"/>
          </w:tcPr>
          <w:p w:rsidR="00584B95" w:rsidRPr="003F1D05" w:rsidRDefault="00584B95" w:rsidP="00766B4F">
            <w:pPr>
              <w:jc w:val="left"/>
              <w:rPr>
                <w:sz w:val="18"/>
                <w:szCs w:val="18"/>
              </w:rPr>
            </w:pPr>
            <w:r w:rsidRPr="003F1D05">
              <w:rPr>
                <w:sz w:val="18"/>
                <w:szCs w:val="18"/>
              </w:rPr>
              <w:t>DK</w:t>
            </w:r>
          </w:p>
        </w:tc>
        <w:tc>
          <w:tcPr>
            <w:tcW w:w="776" w:type="pct"/>
            <w:vAlign w:val="center"/>
          </w:tcPr>
          <w:p w:rsidR="00584B95" w:rsidRPr="003F1D05" w:rsidRDefault="00584B95" w:rsidP="00766B4F">
            <w:pPr>
              <w:jc w:val="left"/>
              <w:rPr>
                <w:sz w:val="18"/>
                <w:szCs w:val="18"/>
              </w:rPr>
            </w:pPr>
            <w:r w:rsidRPr="003F1D05">
              <w:rPr>
                <w:sz w:val="18"/>
                <w:szCs w:val="18"/>
              </w:rPr>
              <w:t xml:space="preserve">To a large degree, the recommendations in the CPP are mentioned in the PA but not all </w:t>
            </w:r>
            <w:r>
              <w:rPr>
                <w:sz w:val="18"/>
                <w:szCs w:val="18"/>
              </w:rPr>
              <w:t>CSR</w:t>
            </w:r>
            <w:r w:rsidRPr="003F1D05">
              <w:rPr>
                <w:sz w:val="18"/>
                <w:szCs w:val="18"/>
              </w:rPr>
              <w:t xml:space="preserve"> play a central role in the PA.</w:t>
            </w:r>
          </w:p>
        </w:tc>
        <w:tc>
          <w:tcPr>
            <w:tcW w:w="1089" w:type="pct"/>
            <w:vAlign w:val="center"/>
          </w:tcPr>
          <w:p w:rsidR="00584B95" w:rsidRPr="003F1D05" w:rsidRDefault="00584B95" w:rsidP="00766B4F">
            <w:pPr>
              <w:jc w:val="left"/>
              <w:rPr>
                <w:sz w:val="18"/>
                <w:szCs w:val="18"/>
              </w:rPr>
            </w:pPr>
            <w:r w:rsidRPr="003F1D05">
              <w:rPr>
                <w:sz w:val="18"/>
                <w:szCs w:val="18"/>
              </w:rPr>
              <w:t>Most of the CSR are covered systematically in the PA and mentioned in several subsections. Most of these issues have been on the agenda in Denmark for a while.</w:t>
            </w:r>
          </w:p>
        </w:tc>
        <w:tc>
          <w:tcPr>
            <w:tcW w:w="1075" w:type="pct"/>
            <w:vAlign w:val="center"/>
          </w:tcPr>
          <w:p w:rsidR="00584B95" w:rsidRPr="003F1D05" w:rsidRDefault="00584B95" w:rsidP="00766B4F">
            <w:pPr>
              <w:jc w:val="left"/>
              <w:rPr>
                <w:sz w:val="18"/>
                <w:szCs w:val="18"/>
              </w:rPr>
            </w:pPr>
            <w:r w:rsidRPr="003F1D05">
              <w:rPr>
                <w:sz w:val="18"/>
                <w:szCs w:val="18"/>
              </w:rPr>
              <w:t>All challenges are covered but some of them (stability of housing market, electrified railway lines, more effective public services, regulatory burdens, barriers to market entry, remove restrictions on retail) have in general been regarded as less important issues compared to e.g. productivity improvements, education, employment, and environmental concerns and potential for growth.</w:t>
            </w:r>
          </w:p>
        </w:tc>
        <w:tc>
          <w:tcPr>
            <w:tcW w:w="929" w:type="pct"/>
            <w:vAlign w:val="center"/>
          </w:tcPr>
          <w:p w:rsidR="00584B95" w:rsidRPr="003F1D05" w:rsidRDefault="00584B95" w:rsidP="00766B4F">
            <w:pPr>
              <w:jc w:val="left"/>
              <w:rPr>
                <w:sz w:val="18"/>
                <w:szCs w:val="18"/>
              </w:rPr>
            </w:pPr>
            <w:r w:rsidRPr="003F1D05">
              <w:rPr>
                <w:sz w:val="18"/>
                <w:szCs w:val="18"/>
              </w:rPr>
              <w:t>CSR seem to play a central role but most of the recommendations mentioned were already  high on the agenda and hence we can argue that the would have been addressed anyway.</w:t>
            </w:r>
          </w:p>
        </w:tc>
        <w:tc>
          <w:tcPr>
            <w:tcW w:w="906" w:type="pct"/>
            <w:vAlign w:val="center"/>
          </w:tcPr>
          <w:p w:rsidR="00584B95" w:rsidRPr="003F1D05" w:rsidRDefault="00584B95" w:rsidP="00766B4F">
            <w:pPr>
              <w:jc w:val="left"/>
              <w:rPr>
                <w:sz w:val="18"/>
                <w:szCs w:val="18"/>
              </w:rPr>
            </w:pPr>
            <w:r>
              <w:rPr>
                <w:sz w:val="18"/>
                <w:szCs w:val="18"/>
              </w:rPr>
              <w:t>Medium</w:t>
            </w:r>
            <w:r w:rsidRPr="003F1D05">
              <w:rPr>
                <w:sz w:val="18"/>
                <w:szCs w:val="18"/>
              </w:rPr>
              <w:t xml:space="preserve"> alignment. </w:t>
            </w:r>
          </w:p>
          <w:p w:rsidR="00584B95" w:rsidRPr="003F1D05" w:rsidRDefault="00584B95" w:rsidP="00766B4F">
            <w:pPr>
              <w:jc w:val="left"/>
              <w:rPr>
                <w:sz w:val="18"/>
                <w:szCs w:val="18"/>
              </w:rPr>
            </w:pPr>
            <w:r w:rsidRPr="003F1D05">
              <w:rPr>
                <w:sz w:val="18"/>
                <w:szCs w:val="18"/>
              </w:rPr>
              <w:t xml:space="preserve">The document does generally clearly define how it is intended to support </w:t>
            </w:r>
            <w:r>
              <w:rPr>
                <w:sz w:val="18"/>
                <w:szCs w:val="18"/>
              </w:rPr>
              <w:t>CSR</w:t>
            </w:r>
            <w:r w:rsidRPr="003F1D05">
              <w:rPr>
                <w:sz w:val="18"/>
                <w:szCs w:val="18"/>
              </w:rPr>
              <w:t xml:space="preserve"> and structural reform and it plays a fairly significant role. However, most of the issues would most likely have been included anyway.</w:t>
            </w:r>
          </w:p>
        </w:tc>
      </w:tr>
      <w:tr w:rsidR="00584B95" w:rsidRPr="003F1D05" w:rsidTr="00766B4F">
        <w:tc>
          <w:tcPr>
            <w:tcW w:w="225" w:type="pct"/>
            <w:vAlign w:val="center"/>
          </w:tcPr>
          <w:p w:rsidR="00584B95" w:rsidRPr="009043CA" w:rsidRDefault="00584B95" w:rsidP="00766B4F">
            <w:pPr>
              <w:jc w:val="left"/>
              <w:rPr>
                <w:sz w:val="18"/>
                <w:szCs w:val="18"/>
              </w:rPr>
            </w:pPr>
            <w:r w:rsidRPr="009043CA">
              <w:rPr>
                <w:sz w:val="18"/>
                <w:szCs w:val="18"/>
              </w:rPr>
              <w:t>EE</w:t>
            </w:r>
          </w:p>
        </w:tc>
        <w:tc>
          <w:tcPr>
            <w:tcW w:w="776" w:type="pct"/>
            <w:vAlign w:val="center"/>
          </w:tcPr>
          <w:p w:rsidR="00584B95" w:rsidRPr="009043CA" w:rsidRDefault="00584B95" w:rsidP="00766B4F">
            <w:pPr>
              <w:jc w:val="left"/>
              <w:rPr>
                <w:sz w:val="18"/>
                <w:szCs w:val="18"/>
              </w:rPr>
            </w:pPr>
            <w:r w:rsidRPr="009043CA">
              <w:rPr>
                <w:sz w:val="18"/>
                <w:szCs w:val="18"/>
              </w:rPr>
              <w:t xml:space="preserve">The Position Paper sets out the key specific challenges for Estonia and it does reflect </w:t>
            </w:r>
            <w:r>
              <w:rPr>
                <w:sz w:val="18"/>
                <w:szCs w:val="18"/>
              </w:rPr>
              <w:t>CSR</w:t>
            </w:r>
            <w:r w:rsidRPr="009043CA">
              <w:rPr>
                <w:sz w:val="18"/>
                <w:szCs w:val="18"/>
              </w:rPr>
              <w:t>. The focus is on resource efficiency, employment and employability of workers, transport, gender equality and labour market integration of young people, education, RTDI, energy and institutional capacity. This focus remains the same in the PA.</w:t>
            </w:r>
          </w:p>
        </w:tc>
        <w:tc>
          <w:tcPr>
            <w:tcW w:w="1089" w:type="pct"/>
            <w:vAlign w:val="center"/>
          </w:tcPr>
          <w:p w:rsidR="00584B95" w:rsidRPr="00AA1F34" w:rsidRDefault="00584B95" w:rsidP="00766B4F">
            <w:pPr>
              <w:jc w:val="left"/>
              <w:rPr>
                <w:sz w:val="18"/>
                <w:szCs w:val="18"/>
              </w:rPr>
            </w:pPr>
            <w:r w:rsidRPr="00AA1F34">
              <w:rPr>
                <w:sz w:val="18"/>
                <w:szCs w:val="18"/>
              </w:rPr>
              <w:t xml:space="preserve">Overall, 2012-2013 cohesion relevant </w:t>
            </w:r>
            <w:r>
              <w:rPr>
                <w:sz w:val="18"/>
                <w:szCs w:val="18"/>
              </w:rPr>
              <w:t>CSR</w:t>
            </w:r>
            <w:r w:rsidRPr="00AA1F34">
              <w:rPr>
                <w:sz w:val="18"/>
                <w:szCs w:val="18"/>
              </w:rPr>
              <w:t xml:space="preserve">/structural challenges are referred to systematically throughout the document, especially in section 1.1 and 1.3, and mostly with explicit references (the Estonian PA was approved in June 2014). </w:t>
            </w:r>
          </w:p>
          <w:p w:rsidR="00584B95" w:rsidRPr="00AA1F34" w:rsidRDefault="00584B95" w:rsidP="00766B4F">
            <w:pPr>
              <w:jc w:val="left"/>
              <w:rPr>
                <w:sz w:val="18"/>
                <w:szCs w:val="18"/>
              </w:rPr>
            </w:pPr>
            <w:r w:rsidRPr="00AA1F34">
              <w:rPr>
                <w:sz w:val="18"/>
                <w:szCs w:val="18"/>
              </w:rPr>
              <w:t>In section 1.1 there are also implicit references to the 2012 Country Report (1.1 on waste management, 2.1 on transport infrastructure) and to several CSR (2012 and 2013 3.1 on LM relevance of education and training, 2012 and 2013 3.2 on lifelong learning, 2012 and 2013 3.3 on internationalisation of the RTDI system)</w:t>
            </w:r>
          </w:p>
        </w:tc>
        <w:tc>
          <w:tcPr>
            <w:tcW w:w="1075" w:type="pct"/>
            <w:vAlign w:val="center"/>
          </w:tcPr>
          <w:p w:rsidR="00584B95" w:rsidRPr="00E33386" w:rsidRDefault="00584B95" w:rsidP="00766B4F">
            <w:pPr>
              <w:jc w:val="left"/>
              <w:rPr>
                <w:sz w:val="18"/>
                <w:szCs w:val="18"/>
              </w:rPr>
            </w:pPr>
            <w:r w:rsidRPr="00E33386">
              <w:rPr>
                <w:sz w:val="18"/>
                <w:szCs w:val="18"/>
              </w:rPr>
              <w:t xml:space="preserve">Even though the 2012 Country Report is implicitly mentioned, in relation to the infrastructure required for waste management in order to achieve the 2020 recycling targets, very limited discussion on this can be found in the PA. </w:t>
            </w:r>
          </w:p>
          <w:p w:rsidR="00584B95" w:rsidRPr="00E33386" w:rsidRDefault="00584B95" w:rsidP="00766B4F">
            <w:pPr>
              <w:jc w:val="left"/>
              <w:rPr>
                <w:sz w:val="18"/>
                <w:szCs w:val="18"/>
              </w:rPr>
            </w:pPr>
            <w:r w:rsidRPr="00E33386">
              <w:rPr>
                <w:sz w:val="18"/>
                <w:szCs w:val="18"/>
              </w:rPr>
              <w:t xml:space="preserve">The 2012 and 2013 CSR (5.1) on fiscal sustainability of municipalities, improvement of efficiency of local governments and effective service provision, and cooperation between municipalities is addressed in a limited and fragmented way. </w:t>
            </w:r>
          </w:p>
        </w:tc>
        <w:tc>
          <w:tcPr>
            <w:tcW w:w="929" w:type="pct"/>
            <w:vAlign w:val="center"/>
          </w:tcPr>
          <w:p w:rsidR="00584B95" w:rsidRPr="009043CA" w:rsidRDefault="00584B95" w:rsidP="00766B4F">
            <w:pPr>
              <w:jc w:val="left"/>
              <w:rPr>
                <w:sz w:val="18"/>
                <w:szCs w:val="18"/>
              </w:rPr>
            </w:pPr>
            <w:r w:rsidRPr="009043CA">
              <w:rPr>
                <w:sz w:val="18"/>
                <w:szCs w:val="18"/>
              </w:rPr>
              <w:t>The PA is focused on resource efficiency, employment and employability of workers, transport, labour market integration of all people, education, RTDI, energy and institutional capacity.</w:t>
            </w:r>
          </w:p>
          <w:p w:rsidR="00584B95" w:rsidRPr="009043CA" w:rsidRDefault="00584B95" w:rsidP="00766B4F">
            <w:pPr>
              <w:jc w:val="left"/>
              <w:rPr>
                <w:sz w:val="18"/>
                <w:szCs w:val="18"/>
              </w:rPr>
            </w:pPr>
            <w:r w:rsidRPr="009043CA">
              <w:rPr>
                <w:sz w:val="18"/>
                <w:szCs w:val="18"/>
              </w:rPr>
              <w:t>The analysis of development needs in PA is closely linked to those identified in CPP as is the selection of Thematic Objectives and results expected.</w:t>
            </w:r>
          </w:p>
        </w:tc>
        <w:tc>
          <w:tcPr>
            <w:tcW w:w="906" w:type="pct"/>
            <w:vAlign w:val="center"/>
          </w:tcPr>
          <w:p w:rsidR="00584B95" w:rsidRPr="009043CA" w:rsidRDefault="00584B95" w:rsidP="00766B4F">
            <w:pPr>
              <w:jc w:val="left"/>
              <w:rPr>
                <w:sz w:val="18"/>
                <w:szCs w:val="18"/>
              </w:rPr>
            </w:pPr>
            <w:r w:rsidRPr="009043CA">
              <w:rPr>
                <w:sz w:val="18"/>
                <w:szCs w:val="18"/>
              </w:rPr>
              <w:t>High alignment.</w:t>
            </w:r>
          </w:p>
          <w:p w:rsidR="00584B95" w:rsidRPr="009043CA" w:rsidRDefault="00584B95" w:rsidP="00766B4F">
            <w:pPr>
              <w:jc w:val="left"/>
              <w:rPr>
                <w:sz w:val="18"/>
                <w:szCs w:val="18"/>
              </w:rPr>
            </w:pPr>
            <w:r w:rsidRPr="009043CA">
              <w:rPr>
                <w:sz w:val="18"/>
                <w:szCs w:val="18"/>
              </w:rPr>
              <w:t xml:space="preserve">The PA document sets out the key specific challenges for Estonia and as a whole reflects </w:t>
            </w:r>
            <w:r>
              <w:rPr>
                <w:sz w:val="18"/>
                <w:szCs w:val="18"/>
              </w:rPr>
              <w:t>CSR</w:t>
            </w:r>
            <w:r w:rsidRPr="009043CA">
              <w:rPr>
                <w:sz w:val="18"/>
                <w:szCs w:val="18"/>
              </w:rPr>
              <w:t xml:space="preserve">. Mostly there are explicit references to </w:t>
            </w:r>
            <w:r>
              <w:rPr>
                <w:sz w:val="18"/>
                <w:szCs w:val="18"/>
              </w:rPr>
              <w:t>CSR</w:t>
            </w:r>
            <w:r w:rsidRPr="009043CA">
              <w:rPr>
                <w:sz w:val="18"/>
                <w:szCs w:val="18"/>
              </w:rPr>
              <w:t xml:space="preserve"> and linkages do exist between different parts of the document. </w:t>
            </w:r>
          </w:p>
          <w:p w:rsidR="00584B95" w:rsidRPr="009043CA" w:rsidRDefault="00584B95" w:rsidP="00766B4F">
            <w:pPr>
              <w:jc w:val="left"/>
              <w:rPr>
                <w:sz w:val="18"/>
                <w:szCs w:val="18"/>
              </w:rPr>
            </w:pPr>
            <w:r w:rsidRPr="009043CA">
              <w:rPr>
                <w:sz w:val="18"/>
                <w:szCs w:val="18"/>
              </w:rPr>
              <w:t xml:space="preserve">Thus, overall the support to </w:t>
            </w:r>
            <w:r>
              <w:rPr>
                <w:sz w:val="18"/>
                <w:szCs w:val="18"/>
              </w:rPr>
              <w:t>CSR</w:t>
            </w:r>
            <w:r w:rsidRPr="009043CA">
              <w:rPr>
                <w:sz w:val="18"/>
                <w:szCs w:val="18"/>
              </w:rPr>
              <w:t xml:space="preserve"> plays a central role in the document and shows how it is intended to support </w:t>
            </w:r>
            <w:r>
              <w:rPr>
                <w:sz w:val="18"/>
                <w:szCs w:val="18"/>
              </w:rPr>
              <w:t>CSR</w:t>
            </w:r>
            <w:r w:rsidRPr="009043CA">
              <w:rPr>
                <w:sz w:val="18"/>
                <w:szCs w:val="18"/>
              </w:rPr>
              <w:t xml:space="preserve"> and structural reforms.</w:t>
            </w:r>
          </w:p>
        </w:tc>
      </w:tr>
      <w:tr w:rsidR="00584B95" w:rsidRPr="003F1D05" w:rsidTr="00766B4F">
        <w:tc>
          <w:tcPr>
            <w:tcW w:w="225" w:type="pct"/>
            <w:vAlign w:val="center"/>
          </w:tcPr>
          <w:p w:rsidR="00584B95" w:rsidRPr="003F1D05" w:rsidRDefault="00584B95" w:rsidP="00766B4F">
            <w:pPr>
              <w:jc w:val="left"/>
              <w:rPr>
                <w:sz w:val="18"/>
                <w:szCs w:val="18"/>
              </w:rPr>
            </w:pPr>
            <w:r w:rsidRPr="003F1D05">
              <w:rPr>
                <w:sz w:val="18"/>
                <w:szCs w:val="18"/>
              </w:rPr>
              <w:t>ES</w:t>
            </w:r>
          </w:p>
        </w:tc>
        <w:tc>
          <w:tcPr>
            <w:tcW w:w="776" w:type="pct"/>
            <w:vAlign w:val="center"/>
          </w:tcPr>
          <w:p w:rsidR="00584B95" w:rsidRPr="003F1D05" w:rsidRDefault="00584B95" w:rsidP="00766B4F">
            <w:pPr>
              <w:jc w:val="left"/>
              <w:rPr>
                <w:sz w:val="18"/>
                <w:szCs w:val="18"/>
              </w:rPr>
            </w:pPr>
            <w:r w:rsidRPr="003F1D05">
              <w:rPr>
                <w:sz w:val="18"/>
                <w:szCs w:val="18"/>
              </w:rPr>
              <w:t>The PA is coherent with the request of the Position Paper, referring to most CSR of 2012 or of following years.</w:t>
            </w:r>
          </w:p>
        </w:tc>
        <w:tc>
          <w:tcPr>
            <w:tcW w:w="1089" w:type="pct"/>
            <w:vAlign w:val="center"/>
          </w:tcPr>
          <w:p w:rsidR="00584B95" w:rsidRPr="003F1D05" w:rsidRDefault="00584B95" w:rsidP="00766B4F">
            <w:pPr>
              <w:jc w:val="left"/>
              <w:rPr>
                <w:sz w:val="18"/>
                <w:szCs w:val="18"/>
              </w:rPr>
            </w:pPr>
            <w:r w:rsidRPr="003F1D05">
              <w:rPr>
                <w:sz w:val="18"/>
                <w:szCs w:val="18"/>
              </w:rPr>
              <w:t xml:space="preserve">The document refers to most of </w:t>
            </w:r>
            <w:r>
              <w:rPr>
                <w:sz w:val="18"/>
                <w:szCs w:val="18"/>
              </w:rPr>
              <w:t>CSR</w:t>
            </w:r>
            <w:r w:rsidRPr="003F1D05">
              <w:rPr>
                <w:sz w:val="18"/>
                <w:szCs w:val="18"/>
              </w:rPr>
              <w:t xml:space="preserve">/Structural challenges explicitly or implicitly. </w:t>
            </w:r>
          </w:p>
          <w:p w:rsidR="00584B95" w:rsidRPr="003F1D05" w:rsidRDefault="00584B95" w:rsidP="00766B4F">
            <w:pPr>
              <w:jc w:val="left"/>
              <w:rPr>
                <w:sz w:val="18"/>
                <w:szCs w:val="18"/>
              </w:rPr>
            </w:pPr>
            <w:r w:rsidRPr="003F1D05">
              <w:rPr>
                <w:sz w:val="18"/>
                <w:szCs w:val="18"/>
              </w:rPr>
              <w:t xml:space="preserve">The </w:t>
            </w:r>
            <w:r>
              <w:rPr>
                <w:sz w:val="18"/>
                <w:szCs w:val="18"/>
              </w:rPr>
              <w:t>CSR</w:t>
            </w:r>
            <w:r w:rsidRPr="003F1D05">
              <w:rPr>
                <w:sz w:val="18"/>
                <w:szCs w:val="18"/>
              </w:rPr>
              <w:t>/structural challenges are thoroughly covered in Section 1.1 “Analysis of disparities” and in Section 1.3 on “Selected thematic objectives”.</w:t>
            </w:r>
          </w:p>
        </w:tc>
        <w:tc>
          <w:tcPr>
            <w:tcW w:w="1075" w:type="pct"/>
            <w:vAlign w:val="center"/>
          </w:tcPr>
          <w:p w:rsidR="00584B95" w:rsidRPr="003F1D05" w:rsidRDefault="00584B95" w:rsidP="00766B4F">
            <w:pPr>
              <w:jc w:val="left"/>
              <w:rPr>
                <w:sz w:val="18"/>
                <w:szCs w:val="18"/>
              </w:rPr>
            </w:pPr>
            <w:r>
              <w:rPr>
                <w:sz w:val="18"/>
                <w:szCs w:val="18"/>
              </w:rPr>
              <w:t xml:space="preserve">The only CSR/structural challenges which are not addressed by the PA are those not cohesion relevant, either because they cannot be linked to TOs or because they require legislative/regulatory changes. </w:t>
            </w:r>
          </w:p>
        </w:tc>
        <w:tc>
          <w:tcPr>
            <w:tcW w:w="929" w:type="pct"/>
            <w:vAlign w:val="center"/>
          </w:tcPr>
          <w:p w:rsidR="00584B95" w:rsidRPr="003F1D05" w:rsidRDefault="00584B95" w:rsidP="00766B4F">
            <w:pPr>
              <w:jc w:val="left"/>
              <w:rPr>
                <w:sz w:val="18"/>
                <w:szCs w:val="18"/>
              </w:rPr>
            </w:pPr>
            <w:r w:rsidRPr="003F1D05">
              <w:rPr>
                <w:sz w:val="18"/>
                <w:szCs w:val="18"/>
              </w:rPr>
              <w:t>In general, the CSR play a central role in the document</w:t>
            </w:r>
            <w:r>
              <w:rPr>
                <w:sz w:val="18"/>
                <w:szCs w:val="18"/>
              </w:rPr>
              <w:t xml:space="preserve"> and in the selection of priorities</w:t>
            </w:r>
            <w:r w:rsidRPr="003F1D05">
              <w:rPr>
                <w:sz w:val="18"/>
                <w:szCs w:val="18"/>
              </w:rPr>
              <w:t xml:space="preserve">. </w:t>
            </w:r>
          </w:p>
        </w:tc>
        <w:tc>
          <w:tcPr>
            <w:tcW w:w="906" w:type="pct"/>
            <w:vAlign w:val="center"/>
          </w:tcPr>
          <w:p w:rsidR="00584B95" w:rsidRPr="003F1D05" w:rsidRDefault="00584B95" w:rsidP="00766B4F">
            <w:pPr>
              <w:jc w:val="left"/>
              <w:rPr>
                <w:sz w:val="18"/>
                <w:szCs w:val="18"/>
              </w:rPr>
            </w:pPr>
            <w:r w:rsidRPr="003F1D05">
              <w:rPr>
                <w:sz w:val="18"/>
                <w:szCs w:val="18"/>
              </w:rPr>
              <w:t xml:space="preserve">High alignment. </w:t>
            </w:r>
          </w:p>
          <w:p w:rsidR="00584B95" w:rsidRPr="003F1D05" w:rsidRDefault="00584B95" w:rsidP="00766B4F">
            <w:pPr>
              <w:jc w:val="left"/>
              <w:rPr>
                <w:sz w:val="18"/>
                <w:szCs w:val="18"/>
              </w:rPr>
            </w:pPr>
            <w:r w:rsidRPr="003F1D05">
              <w:rPr>
                <w:sz w:val="18"/>
                <w:szCs w:val="18"/>
              </w:rPr>
              <w:t xml:space="preserve">The PA highlights the importance of Common Strategic Framework (CSF) funds to support the implementation of the recommendations. In most cases the document clearly defines how it is intended to support </w:t>
            </w:r>
            <w:r>
              <w:rPr>
                <w:sz w:val="18"/>
                <w:szCs w:val="18"/>
              </w:rPr>
              <w:t>CSR</w:t>
            </w:r>
            <w:r w:rsidRPr="003F1D05">
              <w:rPr>
                <w:sz w:val="18"/>
                <w:szCs w:val="18"/>
              </w:rPr>
              <w:t xml:space="preserve"> and structural reform, but in some cases this can be defined more clearly. For example, when talking about 2013 CSR 6.1 and 2014 CSR 2.2, the document indicates a revision of funding priorities and reallocation of funds for SMEs as well as a support to increase the private financing of innovation and the development of new financing instruments, without specifying further the actions to be taken.</w:t>
            </w:r>
          </w:p>
        </w:tc>
      </w:tr>
      <w:tr w:rsidR="00584B95" w:rsidRPr="003F1D05" w:rsidTr="00766B4F">
        <w:tc>
          <w:tcPr>
            <w:tcW w:w="225" w:type="pct"/>
            <w:vAlign w:val="center"/>
          </w:tcPr>
          <w:p w:rsidR="00584B95" w:rsidRPr="003F1D05" w:rsidRDefault="00584B95" w:rsidP="00766B4F">
            <w:pPr>
              <w:jc w:val="left"/>
              <w:rPr>
                <w:sz w:val="18"/>
                <w:szCs w:val="18"/>
              </w:rPr>
            </w:pPr>
            <w:r w:rsidRPr="003F1D05">
              <w:rPr>
                <w:sz w:val="18"/>
                <w:szCs w:val="18"/>
              </w:rPr>
              <w:t>FI</w:t>
            </w:r>
          </w:p>
        </w:tc>
        <w:tc>
          <w:tcPr>
            <w:tcW w:w="776" w:type="pct"/>
            <w:vAlign w:val="center"/>
          </w:tcPr>
          <w:p w:rsidR="00584B95" w:rsidRPr="003F1D05" w:rsidRDefault="00584B95" w:rsidP="00766B4F">
            <w:pPr>
              <w:jc w:val="left"/>
              <w:rPr>
                <w:sz w:val="18"/>
                <w:szCs w:val="18"/>
              </w:rPr>
            </w:pPr>
            <w:r w:rsidRPr="003F1D05">
              <w:rPr>
                <w:sz w:val="18"/>
                <w:szCs w:val="18"/>
              </w:rPr>
              <w:t>The treatment of key challenges for Finland in the PA is coherent with the position paper. The PA contains a well-structured analysis of the challenges and development potential in section 1.</w:t>
            </w:r>
          </w:p>
        </w:tc>
        <w:tc>
          <w:tcPr>
            <w:tcW w:w="1089" w:type="pct"/>
            <w:vAlign w:val="center"/>
          </w:tcPr>
          <w:p w:rsidR="00584B95" w:rsidRPr="003F1D05" w:rsidRDefault="00584B95" w:rsidP="00766B4F">
            <w:pPr>
              <w:jc w:val="left"/>
              <w:rPr>
                <w:sz w:val="18"/>
                <w:szCs w:val="18"/>
              </w:rPr>
            </w:pPr>
            <w:r w:rsidRPr="003F1D05">
              <w:rPr>
                <w:sz w:val="18"/>
                <w:szCs w:val="18"/>
              </w:rPr>
              <w:t xml:space="preserve">The </w:t>
            </w:r>
            <w:r>
              <w:rPr>
                <w:sz w:val="18"/>
                <w:szCs w:val="18"/>
              </w:rPr>
              <w:t>CSR</w:t>
            </w:r>
            <w:r w:rsidRPr="003F1D05">
              <w:rPr>
                <w:sz w:val="18"/>
                <w:szCs w:val="18"/>
              </w:rPr>
              <w:t xml:space="preserve"> concerning the following themes have been referred systematically in the PA, explicitly or implicitly: </w:t>
            </w:r>
          </w:p>
          <w:p w:rsidR="00584B95" w:rsidRPr="003F1D05" w:rsidRDefault="00584B95" w:rsidP="00766B4F">
            <w:pPr>
              <w:jc w:val="left"/>
              <w:rPr>
                <w:sz w:val="18"/>
                <w:szCs w:val="18"/>
              </w:rPr>
            </w:pPr>
            <w:r w:rsidRPr="003F1D05">
              <w:rPr>
                <w:sz w:val="18"/>
                <w:szCs w:val="18"/>
              </w:rPr>
              <w:t xml:space="preserve">business environment (2012, 2013 and 2014 CSR 5.1); </w:t>
            </w:r>
          </w:p>
          <w:p w:rsidR="00584B95" w:rsidRPr="003F1D05" w:rsidRDefault="00584B95" w:rsidP="00766B4F">
            <w:pPr>
              <w:jc w:val="left"/>
              <w:rPr>
                <w:sz w:val="18"/>
                <w:szCs w:val="18"/>
              </w:rPr>
            </w:pPr>
            <w:r w:rsidRPr="003F1D05">
              <w:rPr>
                <w:sz w:val="18"/>
                <w:szCs w:val="18"/>
              </w:rPr>
              <w:t xml:space="preserve">access to employment of vulnerable groups (2012, 2013 and 2014 </w:t>
            </w:r>
            <w:r>
              <w:rPr>
                <w:sz w:val="18"/>
                <w:szCs w:val="18"/>
              </w:rPr>
              <w:t>CSR</w:t>
            </w:r>
            <w:r w:rsidRPr="003F1D05">
              <w:rPr>
                <w:sz w:val="18"/>
                <w:szCs w:val="18"/>
              </w:rPr>
              <w:t xml:space="preserve"> 3.1, 3.2, 3.3); early school leaving (2012 Country report 1.1; 2013 Country report 2.1); discrimination (2013 Country report 1.1; 2014 Country report 1.1 and 1.2); sustainability and resource efficiency (2013 and 2014 CSR 5.2; 2013 Country report 3.1; 2014 Country report 2.1 and 3.1); coordination in the implementation of SFs (2012 Country report, 2.1); Sustainable transport (2014 Country report 3.1) is only covered as a mean to reduce emissions in transport.  </w:t>
            </w:r>
          </w:p>
        </w:tc>
        <w:tc>
          <w:tcPr>
            <w:tcW w:w="1075" w:type="pct"/>
            <w:vAlign w:val="center"/>
          </w:tcPr>
          <w:p w:rsidR="00584B95" w:rsidRPr="003F1D05" w:rsidRDefault="00584B95" w:rsidP="00766B4F">
            <w:pPr>
              <w:jc w:val="left"/>
              <w:rPr>
                <w:sz w:val="18"/>
                <w:szCs w:val="18"/>
              </w:rPr>
            </w:pPr>
            <w:r w:rsidRPr="003F1D05">
              <w:rPr>
                <w:sz w:val="18"/>
                <w:szCs w:val="18"/>
              </w:rPr>
              <w:t xml:space="preserve">Sustainable transport (2014 Country report 3.1) is not covered.  </w:t>
            </w:r>
          </w:p>
          <w:p w:rsidR="00584B95" w:rsidRPr="003F1D05" w:rsidRDefault="00584B95" w:rsidP="00766B4F">
            <w:pPr>
              <w:jc w:val="left"/>
              <w:rPr>
                <w:sz w:val="18"/>
                <w:szCs w:val="18"/>
              </w:rPr>
            </w:pPr>
            <w:r w:rsidRPr="003F1D05">
              <w:rPr>
                <w:sz w:val="18"/>
                <w:szCs w:val="18"/>
              </w:rPr>
              <w:t xml:space="preserve">The </w:t>
            </w:r>
            <w:r>
              <w:rPr>
                <w:sz w:val="18"/>
                <w:szCs w:val="18"/>
              </w:rPr>
              <w:t>CSR</w:t>
            </w:r>
            <w:r w:rsidRPr="003F1D05">
              <w:rPr>
                <w:sz w:val="18"/>
                <w:szCs w:val="18"/>
              </w:rPr>
              <w:t xml:space="preserve"> concerning the following themes have no direct role in  the PA: public service provision (2012, 2013 and 2014 CSR 2.1); wage setting (2012 CSR 5.2; 2013 CSR 5.3).  </w:t>
            </w:r>
          </w:p>
        </w:tc>
        <w:tc>
          <w:tcPr>
            <w:tcW w:w="929" w:type="pct"/>
            <w:vAlign w:val="center"/>
          </w:tcPr>
          <w:p w:rsidR="00584B95" w:rsidRPr="003F1D05" w:rsidRDefault="00584B95" w:rsidP="00766B4F">
            <w:pPr>
              <w:jc w:val="left"/>
              <w:rPr>
                <w:sz w:val="18"/>
                <w:szCs w:val="18"/>
              </w:rPr>
            </w:pPr>
            <w:r w:rsidRPr="003F1D05">
              <w:rPr>
                <w:sz w:val="18"/>
                <w:szCs w:val="18"/>
              </w:rPr>
              <w:t xml:space="preserve">The recommendations concerning business environment, access to employment, early school leaving, discrimination, sustainability and resource efficiency and coordination in the implementation are closely related to CRSs.  </w:t>
            </w:r>
          </w:p>
        </w:tc>
        <w:tc>
          <w:tcPr>
            <w:tcW w:w="906" w:type="pct"/>
            <w:vAlign w:val="center"/>
          </w:tcPr>
          <w:p w:rsidR="00584B95" w:rsidRPr="003F1D05" w:rsidRDefault="00584B95" w:rsidP="00766B4F">
            <w:pPr>
              <w:jc w:val="left"/>
              <w:rPr>
                <w:sz w:val="18"/>
                <w:szCs w:val="18"/>
              </w:rPr>
            </w:pPr>
            <w:r w:rsidRPr="003F1D05">
              <w:rPr>
                <w:sz w:val="18"/>
                <w:szCs w:val="18"/>
              </w:rPr>
              <w:t xml:space="preserve">High alignment. </w:t>
            </w:r>
          </w:p>
          <w:p w:rsidR="00584B95" w:rsidRPr="003F1D05" w:rsidRDefault="00584B95" w:rsidP="00766B4F">
            <w:pPr>
              <w:jc w:val="left"/>
              <w:rPr>
                <w:sz w:val="18"/>
                <w:szCs w:val="18"/>
              </w:rPr>
            </w:pPr>
            <w:r w:rsidRPr="003F1D05">
              <w:rPr>
                <w:sz w:val="18"/>
                <w:szCs w:val="18"/>
              </w:rPr>
              <w:t xml:space="preserve">The analysis of main challenges and the specification of reform needs and priorities are based on national and regional level SWOT-analysis which takes into account the earlier programming periods. However, the role of CSR in the definition of the strategy is also clear. </w:t>
            </w:r>
          </w:p>
          <w:p w:rsidR="00584B95" w:rsidRPr="003F1D05" w:rsidRDefault="00584B95" w:rsidP="00766B4F">
            <w:pPr>
              <w:jc w:val="left"/>
              <w:rPr>
                <w:sz w:val="18"/>
                <w:szCs w:val="18"/>
              </w:rPr>
            </w:pPr>
          </w:p>
        </w:tc>
      </w:tr>
      <w:tr w:rsidR="00584B95" w:rsidRPr="003F1D05" w:rsidTr="00766B4F">
        <w:tc>
          <w:tcPr>
            <w:tcW w:w="225" w:type="pct"/>
            <w:vAlign w:val="center"/>
          </w:tcPr>
          <w:p w:rsidR="00584B95" w:rsidRPr="003F1D05" w:rsidRDefault="00584B95" w:rsidP="00766B4F">
            <w:pPr>
              <w:jc w:val="left"/>
              <w:rPr>
                <w:sz w:val="18"/>
                <w:szCs w:val="18"/>
              </w:rPr>
            </w:pPr>
            <w:r w:rsidRPr="003F1D05">
              <w:rPr>
                <w:sz w:val="18"/>
                <w:szCs w:val="18"/>
              </w:rPr>
              <w:t>FR</w:t>
            </w:r>
          </w:p>
        </w:tc>
        <w:tc>
          <w:tcPr>
            <w:tcW w:w="776" w:type="pct"/>
            <w:vAlign w:val="center"/>
          </w:tcPr>
          <w:p w:rsidR="00584B95" w:rsidRPr="003F1D05" w:rsidRDefault="00584B95" w:rsidP="00766B4F">
            <w:pPr>
              <w:jc w:val="left"/>
              <w:rPr>
                <w:sz w:val="18"/>
                <w:szCs w:val="18"/>
              </w:rPr>
            </w:pPr>
            <w:r w:rsidRPr="003F1D05">
              <w:rPr>
                <w:sz w:val="18"/>
                <w:szCs w:val="18"/>
              </w:rPr>
              <w:t xml:space="preserve">In relation to training issues and social issues there is a large convergence between the treatment of challenges in </w:t>
            </w:r>
            <w:r>
              <w:rPr>
                <w:sz w:val="18"/>
                <w:szCs w:val="18"/>
              </w:rPr>
              <w:t>CSR</w:t>
            </w:r>
            <w:r w:rsidRPr="003F1D05">
              <w:rPr>
                <w:sz w:val="18"/>
                <w:szCs w:val="18"/>
              </w:rPr>
              <w:t xml:space="preserve">, the PA and the CPP. </w:t>
            </w:r>
          </w:p>
        </w:tc>
        <w:tc>
          <w:tcPr>
            <w:tcW w:w="1089" w:type="pct"/>
            <w:vAlign w:val="center"/>
          </w:tcPr>
          <w:p w:rsidR="00584B95" w:rsidRPr="003F1D05" w:rsidRDefault="00584B95" w:rsidP="00766B4F">
            <w:pPr>
              <w:jc w:val="left"/>
              <w:rPr>
                <w:sz w:val="18"/>
                <w:szCs w:val="18"/>
              </w:rPr>
            </w:pPr>
            <w:r w:rsidRPr="003F1D05">
              <w:rPr>
                <w:sz w:val="18"/>
                <w:szCs w:val="18"/>
              </w:rPr>
              <w:t>A large part of the relevant CSR/structural challenges are clearly set out (mostly with an explicit reference) in Section 1.1 of the PA (except mainly questions of energy, competitiveness and transport).</w:t>
            </w:r>
          </w:p>
          <w:p w:rsidR="00584B95" w:rsidRPr="003F1D05" w:rsidRDefault="00584B95" w:rsidP="00766B4F">
            <w:pPr>
              <w:jc w:val="left"/>
              <w:rPr>
                <w:sz w:val="18"/>
                <w:szCs w:val="18"/>
              </w:rPr>
            </w:pPr>
            <w:r w:rsidRPr="003F1D05">
              <w:rPr>
                <w:sz w:val="18"/>
                <w:szCs w:val="18"/>
              </w:rPr>
              <w:t xml:space="preserve">Section 1.3 includes implicitly some references to CSR on innovation and renewable resources  (2013 CSR 3.1; 2014 CR 3.1) but a large part of the </w:t>
            </w:r>
            <w:r>
              <w:rPr>
                <w:sz w:val="18"/>
                <w:szCs w:val="18"/>
              </w:rPr>
              <w:t>CSR</w:t>
            </w:r>
            <w:r w:rsidRPr="003F1D05">
              <w:rPr>
                <w:sz w:val="18"/>
                <w:szCs w:val="18"/>
              </w:rPr>
              <w:t xml:space="preserve"> are not closely linked to the main ERDF and EARDF issues. This is not the case for the ESF issues as proposed in the CPP, that are well covered by the </w:t>
            </w:r>
            <w:r>
              <w:rPr>
                <w:sz w:val="18"/>
                <w:szCs w:val="18"/>
              </w:rPr>
              <w:t>CSR</w:t>
            </w:r>
            <w:r w:rsidRPr="003F1D05">
              <w:rPr>
                <w:sz w:val="18"/>
                <w:szCs w:val="18"/>
              </w:rPr>
              <w:t xml:space="preserve">. </w:t>
            </w:r>
          </w:p>
          <w:p w:rsidR="00584B95" w:rsidRPr="003F1D05" w:rsidRDefault="00584B95" w:rsidP="00766B4F">
            <w:pPr>
              <w:jc w:val="left"/>
              <w:rPr>
                <w:sz w:val="18"/>
                <w:szCs w:val="18"/>
              </w:rPr>
            </w:pPr>
            <w:r w:rsidRPr="003F1D05">
              <w:rPr>
                <w:sz w:val="18"/>
                <w:szCs w:val="18"/>
              </w:rPr>
              <w:t xml:space="preserve">Section 2.5 on the assessment of the needs in terms of administrative capacity clearly includes </w:t>
            </w:r>
            <w:r>
              <w:rPr>
                <w:sz w:val="18"/>
                <w:szCs w:val="18"/>
              </w:rPr>
              <w:t>CSR</w:t>
            </w:r>
            <w:r w:rsidRPr="003F1D05">
              <w:rPr>
                <w:sz w:val="18"/>
                <w:szCs w:val="18"/>
              </w:rPr>
              <w:t xml:space="preserve"> views but it is not clear whether the </w:t>
            </w:r>
            <w:r>
              <w:rPr>
                <w:sz w:val="18"/>
                <w:szCs w:val="18"/>
              </w:rPr>
              <w:t>CSR</w:t>
            </w:r>
            <w:r w:rsidRPr="003F1D05">
              <w:rPr>
                <w:sz w:val="18"/>
                <w:szCs w:val="18"/>
              </w:rPr>
              <w:t xml:space="preserve"> have actually taken a role in the national debate. In fact, the French position of diversifying the MAs was exactly the contrary of the European Commission position, especially about ESF. OT11 is only relevant for the outermost regions.</w:t>
            </w:r>
          </w:p>
        </w:tc>
        <w:tc>
          <w:tcPr>
            <w:tcW w:w="1075" w:type="pct"/>
            <w:vAlign w:val="center"/>
          </w:tcPr>
          <w:p w:rsidR="00584B95" w:rsidRPr="003F1D05" w:rsidRDefault="00584B95" w:rsidP="00766B4F">
            <w:pPr>
              <w:jc w:val="left"/>
              <w:rPr>
                <w:sz w:val="18"/>
                <w:szCs w:val="18"/>
              </w:rPr>
            </w:pPr>
            <w:r w:rsidRPr="003F1D05">
              <w:rPr>
                <w:sz w:val="18"/>
                <w:szCs w:val="18"/>
              </w:rPr>
              <w:t>2012 CR 2.1; 2013 CR 2.1; 2014 CSR 4.3 Transport and ports (except for outermost regions)</w:t>
            </w:r>
          </w:p>
          <w:p w:rsidR="00584B95" w:rsidRPr="003F1D05" w:rsidRDefault="00584B95" w:rsidP="00766B4F">
            <w:pPr>
              <w:jc w:val="left"/>
              <w:rPr>
                <w:sz w:val="18"/>
                <w:szCs w:val="18"/>
              </w:rPr>
            </w:pPr>
            <w:r w:rsidRPr="003F1D05">
              <w:rPr>
                <w:sz w:val="18"/>
                <w:szCs w:val="18"/>
              </w:rPr>
              <w:t xml:space="preserve">2013 CSR 4.3; 2014 CSR 4.2 Liberalisation of networks (railway, energy) and European interconnection of electricity and gas, </w:t>
            </w:r>
          </w:p>
          <w:p w:rsidR="00584B95" w:rsidRPr="003F1D05" w:rsidRDefault="00584B95" w:rsidP="00766B4F">
            <w:pPr>
              <w:jc w:val="left"/>
              <w:rPr>
                <w:sz w:val="18"/>
                <w:szCs w:val="18"/>
              </w:rPr>
            </w:pPr>
            <w:r w:rsidRPr="003F1D05">
              <w:rPr>
                <w:sz w:val="18"/>
                <w:szCs w:val="18"/>
              </w:rPr>
              <w:t>2012 CSR 2.2; 2013 CSR 3.1 Increase of competition (environment of industry, market of labour)</w:t>
            </w:r>
          </w:p>
          <w:p w:rsidR="00584B95" w:rsidRPr="003F1D05" w:rsidRDefault="00584B95" w:rsidP="00766B4F">
            <w:pPr>
              <w:jc w:val="left"/>
              <w:rPr>
                <w:sz w:val="18"/>
                <w:szCs w:val="18"/>
              </w:rPr>
            </w:pPr>
            <w:r w:rsidRPr="003F1D05">
              <w:rPr>
                <w:sz w:val="18"/>
                <w:szCs w:val="18"/>
              </w:rPr>
              <w:t>2014 CR 2.1 Application of the polluter pays principle in the agriculture sector</w:t>
            </w:r>
          </w:p>
        </w:tc>
        <w:tc>
          <w:tcPr>
            <w:tcW w:w="929" w:type="pct"/>
            <w:vAlign w:val="center"/>
          </w:tcPr>
          <w:p w:rsidR="00584B95" w:rsidRPr="003F1D05" w:rsidRDefault="00584B95" w:rsidP="00766B4F">
            <w:pPr>
              <w:jc w:val="left"/>
              <w:rPr>
                <w:sz w:val="18"/>
                <w:szCs w:val="18"/>
              </w:rPr>
            </w:pPr>
            <w:r w:rsidRPr="003F1D05">
              <w:rPr>
                <w:sz w:val="18"/>
                <w:szCs w:val="18"/>
              </w:rPr>
              <w:t xml:space="preserve">Modest role in the opinion of the expert. The recommendations concerning the themes of business environment, access to employment, school leaving, discrimination, sustainability and resource efficiency are closely related to CRSs.  </w:t>
            </w:r>
          </w:p>
        </w:tc>
        <w:tc>
          <w:tcPr>
            <w:tcW w:w="906" w:type="pct"/>
            <w:vAlign w:val="center"/>
          </w:tcPr>
          <w:p w:rsidR="00584B95" w:rsidRPr="003F1D05" w:rsidRDefault="00584B95" w:rsidP="00766B4F">
            <w:pPr>
              <w:jc w:val="left"/>
              <w:rPr>
                <w:sz w:val="18"/>
                <w:szCs w:val="18"/>
              </w:rPr>
            </w:pPr>
            <w:r w:rsidRPr="003F1D05">
              <w:rPr>
                <w:sz w:val="18"/>
                <w:szCs w:val="18"/>
              </w:rPr>
              <w:t xml:space="preserve">Medium-low alignment. </w:t>
            </w:r>
          </w:p>
          <w:p w:rsidR="00584B95" w:rsidRPr="003F1D05" w:rsidRDefault="00584B95" w:rsidP="00766B4F">
            <w:pPr>
              <w:jc w:val="left"/>
              <w:rPr>
                <w:sz w:val="18"/>
                <w:szCs w:val="18"/>
              </w:rPr>
            </w:pPr>
            <w:r w:rsidRPr="003F1D05">
              <w:rPr>
                <w:sz w:val="18"/>
                <w:szCs w:val="18"/>
              </w:rPr>
              <w:t>Very marginal role of CSR, except a common appraisal between the Commission and the French government on the importance of human development and social issues (e.g. fight against poverty, need for helping vulnerable groups, the situation of youth and older people in LM, access to lifelong learning).</w:t>
            </w:r>
          </w:p>
          <w:p w:rsidR="00584B95" w:rsidRPr="003F1D05" w:rsidRDefault="00584B95" w:rsidP="00766B4F">
            <w:pPr>
              <w:jc w:val="left"/>
              <w:rPr>
                <w:sz w:val="18"/>
                <w:szCs w:val="18"/>
              </w:rPr>
            </w:pPr>
            <w:r w:rsidRPr="003F1D05">
              <w:rPr>
                <w:sz w:val="18"/>
                <w:szCs w:val="18"/>
              </w:rPr>
              <w:t xml:space="preserve">As a matter of fact, a large number of </w:t>
            </w:r>
            <w:r>
              <w:rPr>
                <w:sz w:val="18"/>
                <w:szCs w:val="18"/>
              </w:rPr>
              <w:t>CSR</w:t>
            </w:r>
            <w:r w:rsidRPr="003F1D05">
              <w:rPr>
                <w:sz w:val="18"/>
                <w:szCs w:val="18"/>
              </w:rPr>
              <w:t xml:space="preserve"> are not considered because there is a French political choice to pay first attention to increase competitiveness by innovation and not by liberalisation of the economy.</w:t>
            </w:r>
          </w:p>
        </w:tc>
      </w:tr>
      <w:tr w:rsidR="00584B95" w:rsidRPr="003F1D05" w:rsidTr="00766B4F">
        <w:tc>
          <w:tcPr>
            <w:tcW w:w="225" w:type="pct"/>
            <w:vAlign w:val="center"/>
          </w:tcPr>
          <w:p w:rsidR="00584B95" w:rsidRPr="00837ED4" w:rsidRDefault="00584B95" w:rsidP="00766B4F">
            <w:pPr>
              <w:jc w:val="left"/>
              <w:rPr>
                <w:sz w:val="18"/>
                <w:szCs w:val="18"/>
              </w:rPr>
            </w:pPr>
            <w:r>
              <w:rPr>
                <w:sz w:val="18"/>
                <w:szCs w:val="18"/>
              </w:rPr>
              <w:t>GR</w:t>
            </w:r>
          </w:p>
        </w:tc>
        <w:tc>
          <w:tcPr>
            <w:tcW w:w="776" w:type="pct"/>
            <w:vAlign w:val="center"/>
          </w:tcPr>
          <w:p w:rsidR="00584B95" w:rsidRPr="00837ED4" w:rsidRDefault="00584B95" w:rsidP="00766B4F">
            <w:pPr>
              <w:jc w:val="left"/>
              <w:rPr>
                <w:sz w:val="18"/>
                <w:szCs w:val="18"/>
              </w:rPr>
            </w:pPr>
            <w:r>
              <w:rPr>
                <w:sz w:val="18"/>
                <w:szCs w:val="18"/>
              </w:rPr>
              <w:t>There is coherence but t</w:t>
            </w:r>
            <w:r w:rsidRPr="00323503">
              <w:rPr>
                <w:sz w:val="18"/>
                <w:szCs w:val="18"/>
              </w:rPr>
              <w:t>he PA goes beyond the requests of the CPP and addresses challenges also raised</w:t>
            </w:r>
            <w:r>
              <w:rPr>
                <w:sz w:val="18"/>
                <w:szCs w:val="18"/>
              </w:rPr>
              <w:t xml:space="preserve"> in </w:t>
            </w:r>
            <w:r w:rsidRPr="00323503">
              <w:rPr>
                <w:sz w:val="18"/>
                <w:szCs w:val="18"/>
              </w:rPr>
              <w:t xml:space="preserve">the </w:t>
            </w:r>
            <w:r>
              <w:rPr>
                <w:sz w:val="18"/>
                <w:szCs w:val="18"/>
              </w:rPr>
              <w:t>2013 and 2014</w:t>
            </w:r>
            <w:r w:rsidRPr="00323503">
              <w:rPr>
                <w:sz w:val="18"/>
                <w:szCs w:val="18"/>
              </w:rPr>
              <w:t xml:space="preserve"> M</w:t>
            </w:r>
            <w:r>
              <w:rPr>
                <w:sz w:val="18"/>
                <w:szCs w:val="18"/>
              </w:rPr>
              <w:t>o</w:t>
            </w:r>
            <w:r w:rsidRPr="00323503">
              <w:rPr>
                <w:sz w:val="18"/>
                <w:szCs w:val="18"/>
              </w:rPr>
              <w:t>Us</w:t>
            </w:r>
            <w:r>
              <w:rPr>
                <w:sz w:val="18"/>
                <w:szCs w:val="18"/>
              </w:rPr>
              <w:t xml:space="preserve"> </w:t>
            </w:r>
            <w:r w:rsidRPr="00323503">
              <w:rPr>
                <w:sz w:val="18"/>
                <w:szCs w:val="18"/>
              </w:rPr>
              <w:t xml:space="preserve">and the Country Reports. </w:t>
            </w:r>
            <w:r>
              <w:rPr>
                <w:sz w:val="18"/>
                <w:szCs w:val="18"/>
              </w:rPr>
              <w:t xml:space="preserve">In particular </w:t>
            </w:r>
            <w:r w:rsidRPr="00323503">
              <w:rPr>
                <w:sz w:val="18"/>
                <w:szCs w:val="18"/>
              </w:rPr>
              <w:t xml:space="preserve">the enhancement of institutional capacity of public administration at central and regional level is added. </w:t>
            </w:r>
          </w:p>
        </w:tc>
        <w:tc>
          <w:tcPr>
            <w:tcW w:w="1089" w:type="pct"/>
            <w:vAlign w:val="center"/>
          </w:tcPr>
          <w:p w:rsidR="00584B95" w:rsidRPr="00323503" w:rsidRDefault="00584B95" w:rsidP="00766B4F">
            <w:pPr>
              <w:jc w:val="left"/>
              <w:rPr>
                <w:sz w:val="18"/>
                <w:szCs w:val="18"/>
              </w:rPr>
            </w:pPr>
            <w:r w:rsidRPr="00323503">
              <w:rPr>
                <w:sz w:val="18"/>
                <w:szCs w:val="18"/>
              </w:rPr>
              <w:t>The relevant structural challenges are clearly set out in Sections 1.1 and 1.3 of the PA. Most of the challenges are recurring in the period 2012-2014.</w:t>
            </w:r>
          </w:p>
          <w:p w:rsidR="00584B95" w:rsidRDefault="00584B95" w:rsidP="00766B4F">
            <w:pPr>
              <w:jc w:val="left"/>
              <w:rPr>
                <w:sz w:val="18"/>
                <w:szCs w:val="18"/>
              </w:rPr>
            </w:pPr>
            <w:r w:rsidRPr="00323503">
              <w:rPr>
                <w:sz w:val="18"/>
                <w:szCs w:val="18"/>
              </w:rPr>
              <w:t>Section 2.5 on the assessment of the needs in terms of administrative capacity, includes references to challenges related to the enhancement of institutional capacity of public administration (2014 MOU 3.1, 2014 MOU 3.3) and the combat of corruption/shadow economy (2014 MOU 2.1).</w:t>
            </w:r>
          </w:p>
        </w:tc>
        <w:tc>
          <w:tcPr>
            <w:tcW w:w="1075" w:type="pct"/>
            <w:vAlign w:val="center"/>
          </w:tcPr>
          <w:p w:rsidR="00584B95" w:rsidRPr="00323503" w:rsidRDefault="00584B95" w:rsidP="00766B4F">
            <w:pPr>
              <w:jc w:val="left"/>
              <w:rPr>
                <w:sz w:val="18"/>
                <w:szCs w:val="18"/>
              </w:rPr>
            </w:pPr>
            <w:r w:rsidRPr="00323503">
              <w:rPr>
                <w:sz w:val="18"/>
                <w:szCs w:val="18"/>
              </w:rPr>
              <w:t>Improving access to quality education and training (2012 MOU 6.1, 2013 MOU 10.1)</w:t>
            </w:r>
            <w:r>
              <w:rPr>
                <w:sz w:val="18"/>
                <w:szCs w:val="18"/>
              </w:rPr>
              <w:t>;</w:t>
            </w:r>
          </w:p>
          <w:p w:rsidR="00584B95" w:rsidRDefault="00584B95" w:rsidP="00766B4F">
            <w:pPr>
              <w:jc w:val="left"/>
              <w:rPr>
                <w:sz w:val="18"/>
                <w:szCs w:val="18"/>
              </w:rPr>
            </w:pPr>
            <w:r w:rsidRPr="00323503">
              <w:rPr>
                <w:sz w:val="18"/>
                <w:szCs w:val="18"/>
              </w:rPr>
              <w:t>Wage-setting framework (2012 MOU 8.1, 2013 MOU 8.1, 2014 MOU 6.1)</w:t>
            </w:r>
            <w:r>
              <w:rPr>
                <w:sz w:val="18"/>
                <w:szCs w:val="18"/>
              </w:rPr>
              <w:t xml:space="preserve">; </w:t>
            </w:r>
          </w:p>
          <w:p w:rsidR="00584B95" w:rsidRDefault="00584B95" w:rsidP="00766B4F">
            <w:pPr>
              <w:jc w:val="left"/>
              <w:rPr>
                <w:sz w:val="18"/>
                <w:szCs w:val="18"/>
              </w:rPr>
            </w:pPr>
            <w:r w:rsidRPr="00323503">
              <w:rPr>
                <w:sz w:val="18"/>
                <w:szCs w:val="18"/>
              </w:rPr>
              <w:t xml:space="preserve">Measures to achieve Europe 2020 target concerning poverty and </w:t>
            </w:r>
            <w:r>
              <w:rPr>
                <w:sz w:val="18"/>
                <w:szCs w:val="18"/>
              </w:rPr>
              <w:t xml:space="preserve">social exclusion (2012 CR 1.1.); </w:t>
            </w:r>
          </w:p>
          <w:p w:rsidR="00584B95" w:rsidRDefault="00584B95" w:rsidP="00766B4F">
            <w:pPr>
              <w:jc w:val="left"/>
              <w:rPr>
                <w:sz w:val="18"/>
                <w:szCs w:val="18"/>
              </w:rPr>
            </w:pPr>
            <w:r w:rsidRPr="00323503">
              <w:rPr>
                <w:sz w:val="18"/>
                <w:szCs w:val="18"/>
              </w:rPr>
              <w:t>Access to employment and employab</w:t>
            </w:r>
            <w:r>
              <w:rPr>
                <w:sz w:val="18"/>
                <w:szCs w:val="18"/>
              </w:rPr>
              <w:t>ility of workers (2013 MOU 7.1);</w:t>
            </w:r>
          </w:p>
          <w:p w:rsidR="00584B95" w:rsidRPr="00837ED4" w:rsidRDefault="00584B95" w:rsidP="00766B4F">
            <w:pPr>
              <w:jc w:val="left"/>
              <w:rPr>
                <w:sz w:val="18"/>
                <w:szCs w:val="18"/>
              </w:rPr>
            </w:pPr>
            <w:r w:rsidRPr="00323503">
              <w:rPr>
                <w:sz w:val="18"/>
                <w:szCs w:val="18"/>
              </w:rPr>
              <w:t>Contrasting discrimination and poverty (2014 CR 3.1)</w:t>
            </w:r>
          </w:p>
        </w:tc>
        <w:tc>
          <w:tcPr>
            <w:tcW w:w="929" w:type="pct"/>
            <w:vAlign w:val="center"/>
          </w:tcPr>
          <w:p w:rsidR="00584B95" w:rsidRPr="00837ED4" w:rsidRDefault="00584B95" w:rsidP="00766B4F">
            <w:pPr>
              <w:jc w:val="left"/>
              <w:rPr>
                <w:sz w:val="18"/>
                <w:szCs w:val="18"/>
              </w:rPr>
            </w:pPr>
            <w:r w:rsidRPr="00323503">
              <w:rPr>
                <w:sz w:val="18"/>
                <w:szCs w:val="18"/>
              </w:rPr>
              <w:t xml:space="preserve">There is no explicit reference to the selection of priorities and funding being linked to the relevant recommendations made. However, it is mentioned that the PA is compliant with the National Strategic Framework, the National Reform Programme, the New National Development Model for Greece 2021, which was adopted by </w:t>
            </w:r>
            <w:proofErr w:type="spellStart"/>
            <w:r w:rsidRPr="00323503">
              <w:rPr>
                <w:sz w:val="18"/>
                <w:szCs w:val="18"/>
              </w:rPr>
              <w:t>Eurogroup</w:t>
            </w:r>
            <w:proofErr w:type="spellEnd"/>
            <w:r w:rsidRPr="00323503">
              <w:rPr>
                <w:sz w:val="18"/>
                <w:szCs w:val="18"/>
              </w:rPr>
              <w:t xml:space="preserve">, the Special recommendations of </w:t>
            </w:r>
            <w:proofErr w:type="spellStart"/>
            <w:r w:rsidRPr="00323503">
              <w:rPr>
                <w:sz w:val="18"/>
                <w:szCs w:val="18"/>
              </w:rPr>
              <w:t>Eurorgoup</w:t>
            </w:r>
            <w:proofErr w:type="spellEnd"/>
            <w:r w:rsidRPr="00323503">
              <w:rPr>
                <w:sz w:val="18"/>
                <w:szCs w:val="18"/>
              </w:rPr>
              <w:t xml:space="preserve">, </w:t>
            </w:r>
            <w:r>
              <w:rPr>
                <w:sz w:val="18"/>
                <w:szCs w:val="18"/>
              </w:rPr>
              <w:t>and</w:t>
            </w:r>
            <w:r w:rsidRPr="00323503">
              <w:rPr>
                <w:sz w:val="18"/>
                <w:szCs w:val="18"/>
              </w:rPr>
              <w:t xml:space="preserve"> the targets of the Europe</w:t>
            </w:r>
            <w:r>
              <w:rPr>
                <w:sz w:val="18"/>
                <w:szCs w:val="18"/>
              </w:rPr>
              <w:t xml:space="preserve"> 2020 </w:t>
            </w:r>
            <w:r w:rsidRPr="00323503">
              <w:rPr>
                <w:sz w:val="18"/>
                <w:szCs w:val="18"/>
              </w:rPr>
              <w:t>strategy</w:t>
            </w:r>
            <w:r>
              <w:rPr>
                <w:sz w:val="18"/>
                <w:szCs w:val="18"/>
              </w:rPr>
              <w:t>.</w:t>
            </w:r>
          </w:p>
        </w:tc>
        <w:tc>
          <w:tcPr>
            <w:tcW w:w="906" w:type="pct"/>
            <w:vAlign w:val="center"/>
          </w:tcPr>
          <w:p w:rsidR="00584B95" w:rsidRDefault="00584B95" w:rsidP="00766B4F">
            <w:pPr>
              <w:jc w:val="left"/>
              <w:rPr>
                <w:sz w:val="18"/>
                <w:szCs w:val="18"/>
              </w:rPr>
            </w:pPr>
            <w:r>
              <w:rPr>
                <w:sz w:val="18"/>
                <w:szCs w:val="18"/>
              </w:rPr>
              <w:t>High alignment.</w:t>
            </w:r>
          </w:p>
          <w:p w:rsidR="00584B95" w:rsidRPr="00837ED4" w:rsidRDefault="00584B95" w:rsidP="00766B4F">
            <w:pPr>
              <w:jc w:val="left"/>
              <w:rPr>
                <w:sz w:val="18"/>
                <w:szCs w:val="18"/>
              </w:rPr>
            </w:pPr>
            <w:r w:rsidRPr="00323503">
              <w:rPr>
                <w:sz w:val="18"/>
                <w:szCs w:val="18"/>
              </w:rPr>
              <w:t>Apart from a few recommendations/challenges, the programming document largely addresses the key CSRs/structural challenges identified.</w:t>
            </w:r>
          </w:p>
        </w:tc>
      </w:tr>
      <w:tr w:rsidR="00584B95" w:rsidRPr="003F1D05" w:rsidTr="00766B4F">
        <w:tc>
          <w:tcPr>
            <w:tcW w:w="225" w:type="pct"/>
            <w:vAlign w:val="center"/>
          </w:tcPr>
          <w:p w:rsidR="00584B95" w:rsidRPr="00837ED4" w:rsidRDefault="00584B95" w:rsidP="00766B4F">
            <w:pPr>
              <w:jc w:val="left"/>
              <w:rPr>
                <w:sz w:val="18"/>
                <w:szCs w:val="18"/>
              </w:rPr>
            </w:pPr>
            <w:r w:rsidRPr="00837ED4">
              <w:rPr>
                <w:sz w:val="18"/>
                <w:szCs w:val="18"/>
              </w:rPr>
              <w:t>HR</w:t>
            </w:r>
          </w:p>
        </w:tc>
        <w:tc>
          <w:tcPr>
            <w:tcW w:w="776" w:type="pct"/>
            <w:vAlign w:val="center"/>
          </w:tcPr>
          <w:p w:rsidR="00584B95" w:rsidRPr="00837ED4" w:rsidRDefault="00584B95" w:rsidP="00766B4F">
            <w:pPr>
              <w:jc w:val="left"/>
              <w:rPr>
                <w:sz w:val="18"/>
                <w:szCs w:val="18"/>
              </w:rPr>
            </w:pPr>
            <w:r w:rsidRPr="00837ED4">
              <w:rPr>
                <w:sz w:val="18"/>
                <w:szCs w:val="18"/>
              </w:rPr>
              <w:t>There is a significant overlap between the PA and the CPP. The PA covers all requests of the CPP and beyond, e.g. SME support and the shortcomings of the judicial system, the wage setting system.</w:t>
            </w:r>
          </w:p>
        </w:tc>
        <w:tc>
          <w:tcPr>
            <w:tcW w:w="1089" w:type="pct"/>
            <w:vAlign w:val="center"/>
          </w:tcPr>
          <w:p w:rsidR="00584B95" w:rsidRPr="00837ED4" w:rsidRDefault="00584B95" w:rsidP="00766B4F">
            <w:pPr>
              <w:jc w:val="left"/>
              <w:rPr>
                <w:sz w:val="18"/>
                <w:szCs w:val="18"/>
              </w:rPr>
            </w:pPr>
            <w:r>
              <w:rPr>
                <w:sz w:val="18"/>
                <w:szCs w:val="18"/>
              </w:rPr>
              <w:t>CSR</w:t>
            </w:r>
            <w:r w:rsidRPr="00837ED4">
              <w:rPr>
                <w:sz w:val="18"/>
                <w:szCs w:val="18"/>
              </w:rPr>
              <w:t>/structural challenges are elaborated in detail and quoted throughout the document.</w:t>
            </w:r>
          </w:p>
          <w:p w:rsidR="00584B95" w:rsidRPr="00837ED4" w:rsidRDefault="00584B95" w:rsidP="00766B4F">
            <w:pPr>
              <w:jc w:val="left"/>
              <w:rPr>
                <w:sz w:val="18"/>
                <w:szCs w:val="18"/>
              </w:rPr>
            </w:pPr>
            <w:r w:rsidRPr="00837ED4">
              <w:rPr>
                <w:sz w:val="18"/>
                <w:szCs w:val="18"/>
              </w:rPr>
              <w:t xml:space="preserve">Section 1.1 includes several implicit references to the structural challenges raised in the 2013 Country Report and the CSR of 2014, while Section 1.3 refers explicitly to the CSR.  </w:t>
            </w:r>
          </w:p>
        </w:tc>
        <w:tc>
          <w:tcPr>
            <w:tcW w:w="1075" w:type="pct"/>
            <w:vAlign w:val="center"/>
          </w:tcPr>
          <w:p w:rsidR="00584B95" w:rsidRPr="00837ED4" w:rsidRDefault="00584B95" w:rsidP="00766B4F">
            <w:pPr>
              <w:jc w:val="left"/>
              <w:rPr>
                <w:sz w:val="18"/>
                <w:szCs w:val="18"/>
              </w:rPr>
            </w:pPr>
            <w:r w:rsidRPr="00837ED4">
              <w:rPr>
                <w:sz w:val="18"/>
                <w:szCs w:val="18"/>
              </w:rPr>
              <w:t>Two challenges are not addressed:</w:t>
            </w:r>
          </w:p>
          <w:p w:rsidR="00584B95" w:rsidRPr="00837ED4" w:rsidRDefault="00584B95" w:rsidP="00766B4F">
            <w:pPr>
              <w:jc w:val="left"/>
              <w:rPr>
                <w:sz w:val="18"/>
                <w:szCs w:val="18"/>
              </w:rPr>
            </w:pPr>
            <w:r w:rsidRPr="00837ED4">
              <w:rPr>
                <w:sz w:val="18"/>
                <w:szCs w:val="18"/>
              </w:rPr>
              <w:t>2014 CSR 4.1 on Access to employment and employability of workers</w:t>
            </w:r>
          </w:p>
          <w:p w:rsidR="00584B95" w:rsidRPr="00837ED4" w:rsidRDefault="00584B95" w:rsidP="00766B4F">
            <w:pPr>
              <w:jc w:val="left"/>
              <w:rPr>
                <w:sz w:val="18"/>
                <w:szCs w:val="18"/>
              </w:rPr>
            </w:pPr>
            <w:r w:rsidRPr="00837ED4">
              <w:rPr>
                <w:sz w:val="18"/>
                <w:szCs w:val="18"/>
              </w:rPr>
              <w:t>2013 Country Report 5.1 on Gender equality</w:t>
            </w:r>
          </w:p>
        </w:tc>
        <w:tc>
          <w:tcPr>
            <w:tcW w:w="929" w:type="pct"/>
            <w:vAlign w:val="center"/>
          </w:tcPr>
          <w:p w:rsidR="00584B95" w:rsidRPr="00837ED4" w:rsidRDefault="00584B95" w:rsidP="00766B4F">
            <w:pPr>
              <w:jc w:val="left"/>
              <w:rPr>
                <w:sz w:val="18"/>
                <w:szCs w:val="18"/>
              </w:rPr>
            </w:pPr>
            <w:r w:rsidRPr="00837ED4">
              <w:rPr>
                <w:sz w:val="18"/>
                <w:szCs w:val="18"/>
              </w:rPr>
              <w:t>The PA indicates in several sections that the priorities are closely linked to the objectives of the EU 2020 strategy and CSR. The part regarding TOs makes explicit references to the CSR.</w:t>
            </w:r>
          </w:p>
        </w:tc>
        <w:tc>
          <w:tcPr>
            <w:tcW w:w="906" w:type="pct"/>
            <w:vAlign w:val="center"/>
          </w:tcPr>
          <w:p w:rsidR="00584B95" w:rsidRPr="00837ED4" w:rsidRDefault="00584B95" w:rsidP="00766B4F">
            <w:pPr>
              <w:jc w:val="left"/>
              <w:rPr>
                <w:sz w:val="18"/>
                <w:szCs w:val="18"/>
              </w:rPr>
            </w:pPr>
            <w:r w:rsidRPr="00837ED4">
              <w:rPr>
                <w:sz w:val="18"/>
                <w:szCs w:val="18"/>
              </w:rPr>
              <w:t>High alignment.</w:t>
            </w:r>
          </w:p>
          <w:p w:rsidR="00584B95" w:rsidRPr="003F1D05" w:rsidRDefault="00584B95" w:rsidP="00766B4F">
            <w:pPr>
              <w:jc w:val="left"/>
              <w:rPr>
                <w:sz w:val="18"/>
                <w:szCs w:val="18"/>
              </w:rPr>
            </w:pPr>
            <w:r w:rsidRPr="00837ED4">
              <w:rPr>
                <w:sz w:val="18"/>
                <w:szCs w:val="18"/>
              </w:rPr>
              <w:t xml:space="preserve">The CSR play a central role in the PA. The document clearly defines how it is intended to support </w:t>
            </w:r>
            <w:r>
              <w:rPr>
                <w:sz w:val="18"/>
                <w:szCs w:val="18"/>
              </w:rPr>
              <w:t>CSR</w:t>
            </w:r>
            <w:r w:rsidRPr="00837ED4">
              <w:rPr>
                <w:sz w:val="18"/>
                <w:szCs w:val="18"/>
              </w:rPr>
              <w:t xml:space="preserve"> and structural reforms.</w:t>
            </w:r>
          </w:p>
        </w:tc>
      </w:tr>
      <w:tr w:rsidR="00584B95" w:rsidRPr="003F1D05" w:rsidTr="00766B4F">
        <w:tc>
          <w:tcPr>
            <w:tcW w:w="225" w:type="pct"/>
            <w:vAlign w:val="center"/>
          </w:tcPr>
          <w:p w:rsidR="00584B95" w:rsidRPr="003F1D05" w:rsidRDefault="00584B95" w:rsidP="00766B4F">
            <w:pPr>
              <w:jc w:val="left"/>
              <w:rPr>
                <w:sz w:val="18"/>
                <w:szCs w:val="18"/>
              </w:rPr>
            </w:pPr>
            <w:r w:rsidRPr="003F1D05">
              <w:rPr>
                <w:sz w:val="18"/>
                <w:szCs w:val="18"/>
              </w:rPr>
              <w:t>HU</w:t>
            </w:r>
          </w:p>
        </w:tc>
        <w:tc>
          <w:tcPr>
            <w:tcW w:w="776" w:type="pct"/>
            <w:vAlign w:val="center"/>
          </w:tcPr>
          <w:p w:rsidR="00584B95" w:rsidRPr="003F1D05" w:rsidRDefault="00584B95" w:rsidP="00766B4F">
            <w:pPr>
              <w:jc w:val="left"/>
              <w:rPr>
                <w:sz w:val="18"/>
                <w:szCs w:val="18"/>
              </w:rPr>
            </w:pPr>
            <w:r w:rsidRPr="003F1D05">
              <w:rPr>
                <w:sz w:val="18"/>
                <w:szCs w:val="18"/>
              </w:rPr>
              <w:t xml:space="preserve">The main goals of the PA which have strong connections with the </w:t>
            </w:r>
            <w:r>
              <w:rPr>
                <w:sz w:val="18"/>
                <w:szCs w:val="18"/>
              </w:rPr>
              <w:t>CSR</w:t>
            </w:r>
            <w:r w:rsidRPr="003F1D05">
              <w:rPr>
                <w:sz w:val="18"/>
                <w:szCs w:val="18"/>
              </w:rPr>
              <w:t xml:space="preserve"> are coherent with the priorities for funding of the CPP.</w:t>
            </w:r>
          </w:p>
        </w:tc>
        <w:tc>
          <w:tcPr>
            <w:tcW w:w="1089" w:type="pct"/>
            <w:vAlign w:val="center"/>
          </w:tcPr>
          <w:p w:rsidR="00584B95" w:rsidRPr="003F1D05" w:rsidRDefault="00584B95" w:rsidP="00766B4F">
            <w:pPr>
              <w:jc w:val="left"/>
              <w:rPr>
                <w:sz w:val="18"/>
                <w:szCs w:val="18"/>
              </w:rPr>
            </w:pPr>
            <w:r w:rsidRPr="003F1D05">
              <w:rPr>
                <w:sz w:val="18"/>
                <w:szCs w:val="18"/>
              </w:rPr>
              <w:t xml:space="preserve">Overall, the </w:t>
            </w:r>
            <w:r>
              <w:rPr>
                <w:sz w:val="18"/>
                <w:szCs w:val="18"/>
              </w:rPr>
              <w:t>CSR</w:t>
            </w:r>
            <w:r w:rsidRPr="003F1D05">
              <w:rPr>
                <w:sz w:val="18"/>
                <w:szCs w:val="18"/>
              </w:rPr>
              <w:t xml:space="preserve"> are quoted explicitly in section 1.1 and implicitly in section 1.3 of the PA where the goals of each TO are linked to the </w:t>
            </w:r>
            <w:r>
              <w:rPr>
                <w:sz w:val="18"/>
                <w:szCs w:val="18"/>
              </w:rPr>
              <w:t>CSR</w:t>
            </w:r>
            <w:r w:rsidRPr="003F1D05">
              <w:rPr>
                <w:sz w:val="18"/>
                <w:szCs w:val="18"/>
              </w:rPr>
              <w:t>.</w:t>
            </w:r>
          </w:p>
        </w:tc>
        <w:tc>
          <w:tcPr>
            <w:tcW w:w="1075" w:type="pct"/>
            <w:vAlign w:val="center"/>
          </w:tcPr>
          <w:p w:rsidR="00584B95" w:rsidRPr="003F1D05" w:rsidRDefault="00584B95" w:rsidP="00766B4F">
            <w:pPr>
              <w:jc w:val="left"/>
              <w:rPr>
                <w:sz w:val="18"/>
                <w:szCs w:val="18"/>
              </w:rPr>
            </w:pPr>
            <w:r w:rsidRPr="003F1D05">
              <w:rPr>
                <w:sz w:val="18"/>
                <w:szCs w:val="18"/>
              </w:rPr>
              <w:t xml:space="preserve">All cohesion relevant </w:t>
            </w:r>
            <w:r>
              <w:rPr>
                <w:sz w:val="18"/>
                <w:szCs w:val="18"/>
              </w:rPr>
              <w:t>CSR</w:t>
            </w:r>
            <w:r w:rsidRPr="003F1D05">
              <w:rPr>
                <w:sz w:val="18"/>
                <w:szCs w:val="18"/>
              </w:rPr>
              <w:t xml:space="preserve"> are covered (implicitly or explicitly) in the document. </w:t>
            </w:r>
          </w:p>
          <w:p w:rsidR="00584B95" w:rsidRPr="003F1D05" w:rsidRDefault="00584B95" w:rsidP="00766B4F">
            <w:pPr>
              <w:jc w:val="left"/>
              <w:rPr>
                <w:sz w:val="18"/>
                <w:szCs w:val="18"/>
              </w:rPr>
            </w:pPr>
            <w:r w:rsidRPr="003F1D05">
              <w:rPr>
                <w:sz w:val="18"/>
                <w:szCs w:val="18"/>
              </w:rPr>
              <w:t xml:space="preserve">However, there are some structural challenges which are not captured by the </w:t>
            </w:r>
            <w:r>
              <w:rPr>
                <w:sz w:val="18"/>
                <w:szCs w:val="18"/>
              </w:rPr>
              <w:t>CSR</w:t>
            </w:r>
            <w:r w:rsidRPr="003F1D05">
              <w:rPr>
                <w:sz w:val="18"/>
                <w:szCs w:val="18"/>
              </w:rPr>
              <w:t xml:space="preserve"> and which need to be considered. One main challenge in connection with education is to avoid early specialization in the school system.</w:t>
            </w:r>
          </w:p>
        </w:tc>
        <w:tc>
          <w:tcPr>
            <w:tcW w:w="929" w:type="pct"/>
            <w:vAlign w:val="center"/>
          </w:tcPr>
          <w:p w:rsidR="00584B95" w:rsidRPr="003F1D05" w:rsidRDefault="00584B95" w:rsidP="00766B4F">
            <w:pPr>
              <w:jc w:val="left"/>
              <w:rPr>
                <w:sz w:val="18"/>
                <w:szCs w:val="18"/>
              </w:rPr>
            </w:pPr>
            <w:r w:rsidRPr="003F1D05">
              <w:rPr>
                <w:sz w:val="18"/>
                <w:szCs w:val="18"/>
              </w:rPr>
              <w:t xml:space="preserve">The Main National Development Priorities are referring to the TOs and the CSR. There is a clear correlation between the </w:t>
            </w:r>
            <w:r>
              <w:rPr>
                <w:sz w:val="18"/>
                <w:szCs w:val="18"/>
              </w:rPr>
              <w:t>CSR</w:t>
            </w:r>
            <w:r w:rsidRPr="003F1D05">
              <w:rPr>
                <w:sz w:val="18"/>
                <w:szCs w:val="18"/>
              </w:rPr>
              <w:t>, the TO’s and the Main National Development Priorities.</w:t>
            </w:r>
          </w:p>
        </w:tc>
        <w:tc>
          <w:tcPr>
            <w:tcW w:w="906" w:type="pct"/>
            <w:vAlign w:val="center"/>
          </w:tcPr>
          <w:p w:rsidR="00584B95" w:rsidRPr="003F1D05" w:rsidRDefault="00584B95" w:rsidP="00766B4F">
            <w:pPr>
              <w:jc w:val="left"/>
              <w:rPr>
                <w:sz w:val="18"/>
                <w:szCs w:val="18"/>
              </w:rPr>
            </w:pPr>
            <w:r w:rsidRPr="003F1D05">
              <w:rPr>
                <w:sz w:val="18"/>
                <w:szCs w:val="18"/>
              </w:rPr>
              <w:t xml:space="preserve">High alignment. </w:t>
            </w:r>
          </w:p>
          <w:p w:rsidR="00584B95" w:rsidRPr="003F1D05" w:rsidRDefault="00584B95" w:rsidP="00766B4F">
            <w:pPr>
              <w:jc w:val="left"/>
              <w:rPr>
                <w:sz w:val="18"/>
                <w:szCs w:val="18"/>
              </w:rPr>
            </w:pPr>
            <w:r w:rsidRPr="003F1D05">
              <w:rPr>
                <w:sz w:val="18"/>
                <w:szCs w:val="18"/>
              </w:rPr>
              <w:t xml:space="preserve">In the opinion of the expert, the CSR play a central role in the document. In subsection 1.1.3 the PA introduces the connections between the Main National Development Priorities, the TO for the period 2014-2020, and the relevant </w:t>
            </w:r>
            <w:r>
              <w:rPr>
                <w:sz w:val="18"/>
                <w:szCs w:val="18"/>
              </w:rPr>
              <w:t>CSR</w:t>
            </w:r>
            <w:r w:rsidRPr="003F1D05">
              <w:rPr>
                <w:sz w:val="18"/>
                <w:szCs w:val="18"/>
              </w:rPr>
              <w:t xml:space="preserve">. In Section 1.3 of the PA, most of the relevant </w:t>
            </w:r>
            <w:r>
              <w:rPr>
                <w:sz w:val="18"/>
                <w:szCs w:val="18"/>
              </w:rPr>
              <w:t>CSR</w:t>
            </w:r>
            <w:r w:rsidRPr="003F1D05">
              <w:rPr>
                <w:sz w:val="18"/>
                <w:szCs w:val="18"/>
              </w:rPr>
              <w:t xml:space="preserve"> from 2014 have a clear link with the Thematic Objectives.</w:t>
            </w:r>
          </w:p>
        </w:tc>
      </w:tr>
      <w:tr w:rsidR="00584B95" w:rsidRPr="003F1D05" w:rsidTr="00766B4F">
        <w:tc>
          <w:tcPr>
            <w:tcW w:w="225" w:type="pct"/>
            <w:vAlign w:val="center"/>
          </w:tcPr>
          <w:p w:rsidR="00584B95" w:rsidRPr="003F1D05" w:rsidRDefault="00584B95" w:rsidP="00766B4F">
            <w:pPr>
              <w:jc w:val="left"/>
              <w:rPr>
                <w:sz w:val="18"/>
                <w:szCs w:val="18"/>
              </w:rPr>
            </w:pPr>
            <w:r w:rsidRPr="003F1D05">
              <w:rPr>
                <w:sz w:val="18"/>
                <w:szCs w:val="18"/>
              </w:rPr>
              <w:t>IE</w:t>
            </w:r>
          </w:p>
        </w:tc>
        <w:tc>
          <w:tcPr>
            <w:tcW w:w="776" w:type="pct"/>
            <w:vAlign w:val="center"/>
          </w:tcPr>
          <w:p w:rsidR="00584B95" w:rsidRPr="003F1D05" w:rsidRDefault="00584B95" w:rsidP="00766B4F">
            <w:pPr>
              <w:jc w:val="left"/>
              <w:rPr>
                <w:sz w:val="18"/>
                <w:szCs w:val="18"/>
              </w:rPr>
            </w:pPr>
            <w:r w:rsidRPr="003F1D05">
              <w:rPr>
                <w:sz w:val="18"/>
                <w:szCs w:val="18"/>
              </w:rPr>
              <w:t>The treatment of  structural challenges in the PA is coherent with the requests in the Position Paper.</w:t>
            </w:r>
          </w:p>
        </w:tc>
        <w:tc>
          <w:tcPr>
            <w:tcW w:w="1089" w:type="pct"/>
            <w:vAlign w:val="center"/>
          </w:tcPr>
          <w:p w:rsidR="00584B95" w:rsidRPr="003F1D05" w:rsidRDefault="00584B95" w:rsidP="00766B4F">
            <w:pPr>
              <w:jc w:val="left"/>
              <w:rPr>
                <w:sz w:val="18"/>
                <w:szCs w:val="18"/>
              </w:rPr>
            </w:pPr>
            <w:r w:rsidRPr="003F1D05">
              <w:rPr>
                <w:sz w:val="18"/>
                <w:szCs w:val="18"/>
              </w:rPr>
              <w:t xml:space="preserve">The </w:t>
            </w:r>
            <w:r>
              <w:rPr>
                <w:sz w:val="18"/>
                <w:szCs w:val="18"/>
              </w:rPr>
              <w:t>CSR</w:t>
            </w:r>
            <w:r w:rsidRPr="003F1D05">
              <w:rPr>
                <w:sz w:val="18"/>
                <w:szCs w:val="18"/>
              </w:rPr>
              <w:t xml:space="preserve"> are covered systematically throughout the sections of the document. The coverage is extensive and a considerable detail is provided. </w:t>
            </w:r>
          </w:p>
        </w:tc>
        <w:tc>
          <w:tcPr>
            <w:tcW w:w="1075" w:type="pct"/>
            <w:vAlign w:val="center"/>
          </w:tcPr>
          <w:p w:rsidR="00584B95" w:rsidRPr="003F1D05" w:rsidRDefault="00584B95" w:rsidP="00766B4F">
            <w:pPr>
              <w:jc w:val="left"/>
              <w:rPr>
                <w:sz w:val="18"/>
                <w:szCs w:val="18"/>
              </w:rPr>
            </w:pPr>
            <w:r w:rsidRPr="003F1D05">
              <w:rPr>
                <w:sz w:val="18"/>
                <w:szCs w:val="18"/>
              </w:rPr>
              <w:t>All challenges addressed with the exception of reform in the housing market, the monitoring of bank reform and the introduction of measures to increase competition in legal and other service sectors.</w:t>
            </w:r>
          </w:p>
        </w:tc>
        <w:tc>
          <w:tcPr>
            <w:tcW w:w="929" w:type="pct"/>
            <w:vAlign w:val="center"/>
          </w:tcPr>
          <w:p w:rsidR="00584B95" w:rsidRPr="003F1D05" w:rsidRDefault="00584B95" w:rsidP="00766B4F">
            <w:pPr>
              <w:jc w:val="left"/>
              <w:rPr>
                <w:sz w:val="18"/>
                <w:szCs w:val="18"/>
              </w:rPr>
            </w:pPr>
            <w:r w:rsidRPr="003F1D05">
              <w:rPr>
                <w:sz w:val="18"/>
                <w:szCs w:val="18"/>
              </w:rPr>
              <w:t xml:space="preserve">Overall, support to </w:t>
            </w:r>
            <w:r>
              <w:rPr>
                <w:sz w:val="18"/>
                <w:szCs w:val="18"/>
              </w:rPr>
              <w:t>CSR</w:t>
            </w:r>
            <w:r w:rsidRPr="003F1D05">
              <w:rPr>
                <w:sz w:val="18"/>
                <w:szCs w:val="18"/>
              </w:rPr>
              <w:t>/ structural challenges plays a central role in the programme documentation and the Partnership Agreement document defines how it is intended to support structural reform.</w:t>
            </w:r>
          </w:p>
        </w:tc>
        <w:tc>
          <w:tcPr>
            <w:tcW w:w="906" w:type="pct"/>
            <w:vAlign w:val="center"/>
          </w:tcPr>
          <w:p w:rsidR="00584B95" w:rsidRPr="003F1D05" w:rsidRDefault="00584B95" w:rsidP="00766B4F">
            <w:pPr>
              <w:jc w:val="left"/>
              <w:rPr>
                <w:sz w:val="18"/>
                <w:szCs w:val="18"/>
              </w:rPr>
            </w:pPr>
            <w:r w:rsidRPr="003F1D05">
              <w:rPr>
                <w:sz w:val="18"/>
                <w:szCs w:val="18"/>
              </w:rPr>
              <w:t>High alignment.</w:t>
            </w:r>
          </w:p>
          <w:p w:rsidR="00584B95" w:rsidRPr="003F1D05" w:rsidRDefault="00584B95" w:rsidP="00766B4F">
            <w:pPr>
              <w:jc w:val="left"/>
              <w:rPr>
                <w:sz w:val="18"/>
                <w:szCs w:val="18"/>
              </w:rPr>
            </w:pPr>
            <w:r w:rsidRPr="003F1D05">
              <w:rPr>
                <w:sz w:val="18"/>
                <w:szCs w:val="18"/>
              </w:rPr>
              <w:t xml:space="preserve">The document addresses key areas of </w:t>
            </w:r>
            <w:r>
              <w:rPr>
                <w:sz w:val="18"/>
                <w:szCs w:val="18"/>
              </w:rPr>
              <w:t>CSR</w:t>
            </w:r>
            <w:r w:rsidRPr="003F1D05">
              <w:rPr>
                <w:sz w:val="18"/>
                <w:szCs w:val="18"/>
              </w:rPr>
              <w:t xml:space="preserve">/structural challenges. The initiatives envisaged contribute to tackle the respective challenges.  </w:t>
            </w:r>
          </w:p>
        </w:tc>
      </w:tr>
      <w:tr w:rsidR="00584B95" w:rsidRPr="003F1D05" w:rsidTr="00766B4F">
        <w:tc>
          <w:tcPr>
            <w:tcW w:w="225" w:type="pct"/>
            <w:vAlign w:val="center"/>
          </w:tcPr>
          <w:p w:rsidR="00584B95" w:rsidRPr="003F1D05" w:rsidRDefault="00584B95" w:rsidP="00766B4F">
            <w:pPr>
              <w:jc w:val="left"/>
              <w:rPr>
                <w:sz w:val="18"/>
                <w:szCs w:val="18"/>
              </w:rPr>
            </w:pPr>
            <w:r w:rsidRPr="003F1D05">
              <w:rPr>
                <w:sz w:val="18"/>
                <w:szCs w:val="18"/>
              </w:rPr>
              <w:t>IT</w:t>
            </w:r>
          </w:p>
        </w:tc>
        <w:tc>
          <w:tcPr>
            <w:tcW w:w="776" w:type="pct"/>
            <w:vAlign w:val="center"/>
          </w:tcPr>
          <w:p w:rsidR="00584B95" w:rsidRPr="003F1D05" w:rsidRDefault="00584B95" w:rsidP="00766B4F">
            <w:pPr>
              <w:jc w:val="left"/>
              <w:rPr>
                <w:sz w:val="18"/>
                <w:szCs w:val="18"/>
              </w:rPr>
            </w:pPr>
            <w:r w:rsidRPr="003F1D05">
              <w:rPr>
                <w:sz w:val="18"/>
                <w:szCs w:val="18"/>
              </w:rPr>
              <w:t xml:space="preserve">The PA is highly consistent with the indications provided in the CPP. </w:t>
            </w:r>
          </w:p>
        </w:tc>
        <w:tc>
          <w:tcPr>
            <w:tcW w:w="1089" w:type="pct"/>
            <w:vAlign w:val="center"/>
          </w:tcPr>
          <w:p w:rsidR="00584B95" w:rsidRPr="003F1D05" w:rsidRDefault="00584B95" w:rsidP="00766B4F">
            <w:pPr>
              <w:jc w:val="left"/>
              <w:rPr>
                <w:sz w:val="18"/>
                <w:szCs w:val="18"/>
              </w:rPr>
            </w:pPr>
            <w:r w:rsidRPr="003F1D05">
              <w:rPr>
                <w:sz w:val="18"/>
                <w:szCs w:val="18"/>
              </w:rPr>
              <w:t xml:space="preserve">All the </w:t>
            </w:r>
            <w:r>
              <w:rPr>
                <w:sz w:val="18"/>
                <w:szCs w:val="18"/>
              </w:rPr>
              <w:t>CSR</w:t>
            </w:r>
            <w:r w:rsidRPr="003F1D05">
              <w:rPr>
                <w:sz w:val="18"/>
                <w:szCs w:val="18"/>
              </w:rPr>
              <w:t xml:space="preserve"> are addressed explicitly or implicitly throughout the PA except for those related to wage settings, shifting the tax burdens away from labour and state-aid procedures. Explicit references to </w:t>
            </w:r>
            <w:r>
              <w:rPr>
                <w:sz w:val="18"/>
                <w:szCs w:val="18"/>
              </w:rPr>
              <w:t>CSR</w:t>
            </w:r>
            <w:r w:rsidRPr="003F1D05">
              <w:rPr>
                <w:sz w:val="18"/>
                <w:szCs w:val="18"/>
              </w:rPr>
              <w:t xml:space="preserve"> are especially provided under TO7, TO9 and TO11 in section 1.3. Section 2.5 confirms the overall respect of the </w:t>
            </w:r>
            <w:r>
              <w:rPr>
                <w:sz w:val="18"/>
                <w:szCs w:val="18"/>
              </w:rPr>
              <w:t>CSR</w:t>
            </w:r>
            <w:r w:rsidRPr="003F1D05">
              <w:rPr>
                <w:sz w:val="18"/>
                <w:szCs w:val="18"/>
              </w:rPr>
              <w:t xml:space="preserve"> related to administrative capacity and the description of the actions aimed at ensuring a better management of EU funds and enhancing the efficiency of public procurement, contains indirect but clear reference to 2014 CSR</w:t>
            </w:r>
            <w:r>
              <w:rPr>
                <w:sz w:val="18"/>
                <w:szCs w:val="18"/>
              </w:rPr>
              <w:t xml:space="preserve"> 3.1 and 2014 CSR </w:t>
            </w:r>
            <w:r w:rsidRPr="003F1D05">
              <w:rPr>
                <w:sz w:val="18"/>
                <w:szCs w:val="18"/>
              </w:rPr>
              <w:t>7.1.</w:t>
            </w:r>
          </w:p>
        </w:tc>
        <w:tc>
          <w:tcPr>
            <w:tcW w:w="1075" w:type="pct"/>
            <w:vAlign w:val="center"/>
          </w:tcPr>
          <w:p w:rsidR="00584B95" w:rsidRPr="003F1D05" w:rsidRDefault="00584B95" w:rsidP="00766B4F">
            <w:pPr>
              <w:jc w:val="left"/>
              <w:rPr>
                <w:sz w:val="18"/>
                <w:szCs w:val="18"/>
              </w:rPr>
            </w:pPr>
            <w:r w:rsidRPr="003F1D05">
              <w:rPr>
                <w:sz w:val="18"/>
                <w:szCs w:val="18"/>
              </w:rPr>
              <w:t xml:space="preserve">The PA addresses all the </w:t>
            </w:r>
            <w:r>
              <w:rPr>
                <w:sz w:val="18"/>
                <w:szCs w:val="18"/>
              </w:rPr>
              <w:t>CSR</w:t>
            </w:r>
            <w:r w:rsidRPr="003F1D05">
              <w:rPr>
                <w:sz w:val="18"/>
                <w:szCs w:val="18"/>
              </w:rPr>
              <w:t xml:space="preserve"> more relevant for the ESIF leaving out those involving mostly regulatory actions: </w:t>
            </w:r>
          </w:p>
          <w:p w:rsidR="00584B95" w:rsidRPr="003F1D05" w:rsidRDefault="00584B95" w:rsidP="00766B4F">
            <w:pPr>
              <w:jc w:val="left"/>
              <w:rPr>
                <w:sz w:val="18"/>
                <w:szCs w:val="18"/>
              </w:rPr>
            </w:pPr>
            <w:r w:rsidRPr="003F1D05">
              <w:rPr>
                <w:sz w:val="18"/>
                <w:szCs w:val="18"/>
              </w:rPr>
              <w:t xml:space="preserve">2014 CSR 2.1 (labour tax wedge) </w:t>
            </w:r>
          </w:p>
          <w:p w:rsidR="00584B95" w:rsidRPr="003F1D05" w:rsidRDefault="00584B95" w:rsidP="00766B4F">
            <w:pPr>
              <w:jc w:val="left"/>
              <w:rPr>
                <w:sz w:val="18"/>
                <w:szCs w:val="18"/>
              </w:rPr>
            </w:pPr>
            <w:r w:rsidRPr="003F1D05">
              <w:rPr>
                <w:sz w:val="18"/>
                <w:szCs w:val="18"/>
              </w:rPr>
              <w:t xml:space="preserve">2014 CSR 4.1 (non-bank access to finance)  </w:t>
            </w:r>
          </w:p>
          <w:p w:rsidR="00584B95" w:rsidRPr="003F1D05" w:rsidRDefault="00584B95" w:rsidP="00766B4F">
            <w:pPr>
              <w:jc w:val="left"/>
              <w:rPr>
                <w:sz w:val="18"/>
                <w:szCs w:val="18"/>
              </w:rPr>
            </w:pPr>
            <w:r w:rsidRPr="003F1D05">
              <w:rPr>
                <w:sz w:val="18"/>
                <w:szCs w:val="18"/>
              </w:rPr>
              <w:t xml:space="preserve">2013 CSR 5.1 and 2012 CSR 5.3 (shift tax burden from labour to consumption) </w:t>
            </w:r>
          </w:p>
          <w:p w:rsidR="00584B95" w:rsidRPr="003F1D05" w:rsidRDefault="00584B95" w:rsidP="00766B4F">
            <w:pPr>
              <w:jc w:val="left"/>
              <w:rPr>
                <w:sz w:val="18"/>
                <w:szCs w:val="18"/>
              </w:rPr>
            </w:pPr>
            <w:r w:rsidRPr="003F1D05">
              <w:rPr>
                <w:sz w:val="18"/>
                <w:szCs w:val="18"/>
              </w:rPr>
              <w:t>2013 CSR 4.1 and 2012 CSR 4.3 (labour market and wage setting reforms)</w:t>
            </w:r>
          </w:p>
          <w:p w:rsidR="00584B95" w:rsidRPr="003F1D05" w:rsidRDefault="00584B95" w:rsidP="00766B4F">
            <w:pPr>
              <w:jc w:val="left"/>
              <w:rPr>
                <w:sz w:val="18"/>
                <w:szCs w:val="18"/>
              </w:rPr>
            </w:pPr>
            <w:r w:rsidRPr="003F1D05">
              <w:rPr>
                <w:sz w:val="18"/>
                <w:szCs w:val="18"/>
              </w:rPr>
              <w:t>2012 Country Report 4.1 (state aid procedures).</w:t>
            </w:r>
          </w:p>
        </w:tc>
        <w:tc>
          <w:tcPr>
            <w:tcW w:w="929" w:type="pct"/>
            <w:vAlign w:val="center"/>
          </w:tcPr>
          <w:p w:rsidR="00584B95" w:rsidRPr="003F1D05" w:rsidRDefault="00584B95" w:rsidP="00766B4F">
            <w:pPr>
              <w:jc w:val="left"/>
              <w:rPr>
                <w:sz w:val="18"/>
                <w:szCs w:val="18"/>
              </w:rPr>
            </w:pPr>
            <w:r w:rsidRPr="003F1D05">
              <w:rPr>
                <w:sz w:val="18"/>
                <w:szCs w:val="18"/>
              </w:rPr>
              <w:t xml:space="preserve">The </w:t>
            </w:r>
            <w:r>
              <w:rPr>
                <w:sz w:val="18"/>
                <w:szCs w:val="18"/>
              </w:rPr>
              <w:t>CSR</w:t>
            </w:r>
            <w:r w:rsidRPr="003F1D05">
              <w:rPr>
                <w:sz w:val="18"/>
                <w:szCs w:val="18"/>
              </w:rPr>
              <w:t xml:space="preserve"> play a relevant role in the justification for the selection of priorities along with other strategic documents and are (at least implicitly) considered throughout the PA. The PA and the choice of priorities is overall coherent with the indications emerging from the council recommendations and the Country Reports. </w:t>
            </w:r>
          </w:p>
        </w:tc>
        <w:tc>
          <w:tcPr>
            <w:tcW w:w="906" w:type="pct"/>
            <w:vAlign w:val="center"/>
          </w:tcPr>
          <w:p w:rsidR="00584B95" w:rsidRPr="003F1D05" w:rsidRDefault="00584B95" w:rsidP="00766B4F">
            <w:pPr>
              <w:jc w:val="left"/>
              <w:rPr>
                <w:sz w:val="18"/>
                <w:szCs w:val="18"/>
              </w:rPr>
            </w:pPr>
            <w:r w:rsidRPr="003F1D05">
              <w:rPr>
                <w:sz w:val="18"/>
                <w:szCs w:val="18"/>
              </w:rPr>
              <w:t xml:space="preserve">High alignment. </w:t>
            </w:r>
          </w:p>
          <w:p w:rsidR="00584B95" w:rsidRPr="003F1D05" w:rsidRDefault="00584B95" w:rsidP="00766B4F">
            <w:pPr>
              <w:jc w:val="left"/>
              <w:rPr>
                <w:sz w:val="18"/>
                <w:szCs w:val="18"/>
              </w:rPr>
            </w:pPr>
            <w:r w:rsidRPr="003F1D05">
              <w:rPr>
                <w:sz w:val="18"/>
                <w:szCs w:val="18"/>
              </w:rPr>
              <w:t xml:space="preserve">The PA is highly coherent with the </w:t>
            </w:r>
            <w:r>
              <w:rPr>
                <w:sz w:val="18"/>
                <w:szCs w:val="18"/>
              </w:rPr>
              <w:t>CSR</w:t>
            </w:r>
            <w:r w:rsidRPr="003F1D05">
              <w:rPr>
                <w:sz w:val="18"/>
                <w:szCs w:val="18"/>
              </w:rPr>
              <w:t xml:space="preserve"> and structural challenges identified in the country reports. There are implicit references throughout the relevant sections of the PA and for all the TOs for which a CSR/challenge can be linked to.</w:t>
            </w:r>
          </w:p>
        </w:tc>
      </w:tr>
      <w:tr w:rsidR="00584B95" w:rsidRPr="003F1D05" w:rsidTr="00766B4F">
        <w:tc>
          <w:tcPr>
            <w:tcW w:w="225" w:type="pct"/>
            <w:vAlign w:val="center"/>
          </w:tcPr>
          <w:p w:rsidR="00584B95" w:rsidRPr="003F1D05" w:rsidRDefault="00584B95" w:rsidP="00766B4F">
            <w:pPr>
              <w:jc w:val="left"/>
              <w:rPr>
                <w:sz w:val="18"/>
                <w:szCs w:val="18"/>
              </w:rPr>
            </w:pPr>
            <w:r w:rsidRPr="003F1D05">
              <w:rPr>
                <w:sz w:val="18"/>
                <w:szCs w:val="18"/>
              </w:rPr>
              <w:t>LT</w:t>
            </w:r>
          </w:p>
        </w:tc>
        <w:tc>
          <w:tcPr>
            <w:tcW w:w="776" w:type="pct"/>
            <w:vAlign w:val="center"/>
          </w:tcPr>
          <w:p w:rsidR="00584B95" w:rsidRPr="003F1D05" w:rsidRDefault="00584B95" w:rsidP="00766B4F">
            <w:pPr>
              <w:jc w:val="left"/>
              <w:rPr>
                <w:sz w:val="18"/>
                <w:szCs w:val="18"/>
              </w:rPr>
            </w:pPr>
            <w:r w:rsidRPr="003F1D05">
              <w:rPr>
                <w:sz w:val="18"/>
                <w:szCs w:val="18"/>
              </w:rPr>
              <w:t xml:space="preserve">The PA provides a more comprehensive treatment of </w:t>
            </w:r>
            <w:r>
              <w:rPr>
                <w:sz w:val="18"/>
                <w:szCs w:val="18"/>
              </w:rPr>
              <w:t>CSR</w:t>
            </w:r>
            <w:r w:rsidRPr="003F1D05">
              <w:rPr>
                <w:sz w:val="18"/>
                <w:szCs w:val="18"/>
              </w:rPr>
              <w:t xml:space="preserve"> and structural challenges than requested in CPP. In the CPP assessment of funding needs, </w:t>
            </w:r>
            <w:r>
              <w:rPr>
                <w:sz w:val="18"/>
                <w:szCs w:val="18"/>
              </w:rPr>
              <w:t>CSR</w:t>
            </w:r>
            <w:r w:rsidRPr="003F1D05">
              <w:rPr>
                <w:sz w:val="18"/>
                <w:szCs w:val="18"/>
              </w:rPr>
              <w:t xml:space="preserve"> and/or structural challenges were covered in relation to six TO (TO4, TO6, TO7, TO8, TO9 and TO10). In the PA, </w:t>
            </w:r>
            <w:r>
              <w:rPr>
                <w:sz w:val="18"/>
                <w:szCs w:val="18"/>
              </w:rPr>
              <w:t>CSR</w:t>
            </w:r>
            <w:r w:rsidRPr="003F1D05">
              <w:rPr>
                <w:sz w:val="18"/>
                <w:szCs w:val="18"/>
              </w:rPr>
              <w:t xml:space="preserve"> are covered in the descriptions of nine TOs, those mentioned in the CPP and three additional ones (TO1, TO5 and TO11). Moreover, CSR 5.1 of 2012-2013-2014 on state owned enterprises is covered in the PA while it was not addressed in CPP.</w:t>
            </w:r>
          </w:p>
        </w:tc>
        <w:tc>
          <w:tcPr>
            <w:tcW w:w="1089" w:type="pct"/>
            <w:vAlign w:val="center"/>
          </w:tcPr>
          <w:p w:rsidR="00584B95" w:rsidRPr="003F1D05" w:rsidRDefault="00584B95" w:rsidP="00766B4F">
            <w:pPr>
              <w:jc w:val="left"/>
              <w:rPr>
                <w:sz w:val="18"/>
                <w:szCs w:val="18"/>
              </w:rPr>
            </w:pPr>
            <w:r w:rsidRPr="003F1D05">
              <w:rPr>
                <w:sz w:val="18"/>
                <w:szCs w:val="18"/>
              </w:rPr>
              <w:t xml:space="preserve">Systematic references to </w:t>
            </w:r>
            <w:r>
              <w:rPr>
                <w:sz w:val="18"/>
                <w:szCs w:val="18"/>
              </w:rPr>
              <w:t>CSR</w:t>
            </w:r>
            <w:r w:rsidRPr="003F1D05">
              <w:rPr>
                <w:sz w:val="18"/>
                <w:szCs w:val="18"/>
              </w:rPr>
              <w:t xml:space="preserve"> and structural challenges can be found in the PA. Explicit references to </w:t>
            </w:r>
            <w:r>
              <w:rPr>
                <w:sz w:val="18"/>
                <w:szCs w:val="18"/>
              </w:rPr>
              <w:t>CSR</w:t>
            </w:r>
            <w:r w:rsidRPr="003F1D05">
              <w:rPr>
                <w:sz w:val="18"/>
                <w:szCs w:val="18"/>
              </w:rPr>
              <w:t xml:space="preserve"> can be found in Sections 1.1 and 1.3.</w:t>
            </w:r>
          </w:p>
        </w:tc>
        <w:tc>
          <w:tcPr>
            <w:tcW w:w="1075" w:type="pct"/>
            <w:vAlign w:val="center"/>
          </w:tcPr>
          <w:p w:rsidR="00584B95" w:rsidRPr="003F1D05" w:rsidRDefault="00584B95" w:rsidP="00766B4F">
            <w:pPr>
              <w:jc w:val="left"/>
              <w:rPr>
                <w:sz w:val="18"/>
                <w:szCs w:val="18"/>
              </w:rPr>
            </w:pPr>
            <w:r w:rsidRPr="003F1D05">
              <w:rPr>
                <w:sz w:val="18"/>
                <w:szCs w:val="18"/>
              </w:rPr>
              <w:t>The only CSR not addressed in the document is a recursive CSR 1.1 on excessive deficit but this is not directly relevant to cohesion and national policy instruments are best suited to address this recommendation.</w:t>
            </w:r>
          </w:p>
        </w:tc>
        <w:tc>
          <w:tcPr>
            <w:tcW w:w="929" w:type="pct"/>
            <w:vAlign w:val="center"/>
          </w:tcPr>
          <w:p w:rsidR="00584B95" w:rsidRPr="003F1D05" w:rsidRDefault="00584B95" w:rsidP="00766B4F">
            <w:pPr>
              <w:jc w:val="left"/>
              <w:rPr>
                <w:sz w:val="18"/>
                <w:szCs w:val="18"/>
              </w:rPr>
            </w:pPr>
            <w:r w:rsidRPr="003F1D05">
              <w:rPr>
                <w:sz w:val="18"/>
                <w:szCs w:val="18"/>
              </w:rPr>
              <w:t xml:space="preserve">There is evidence that some of the actions described in Section 1.3. of the PA were included in the document in response to </w:t>
            </w:r>
            <w:r>
              <w:rPr>
                <w:sz w:val="18"/>
                <w:szCs w:val="18"/>
              </w:rPr>
              <w:t>CSR</w:t>
            </w:r>
            <w:r w:rsidRPr="003F1D05">
              <w:rPr>
                <w:sz w:val="18"/>
                <w:szCs w:val="18"/>
              </w:rPr>
              <w:t xml:space="preserve">. There are numerous explicit references to </w:t>
            </w:r>
            <w:r>
              <w:rPr>
                <w:sz w:val="18"/>
                <w:szCs w:val="18"/>
              </w:rPr>
              <w:t>CSR</w:t>
            </w:r>
            <w:r w:rsidRPr="003F1D05">
              <w:rPr>
                <w:sz w:val="18"/>
                <w:szCs w:val="18"/>
              </w:rPr>
              <w:t xml:space="preserve"> of 2014 in this section of the document. Explicit references are made in relation to TO7, TO8, TO10 and TO11.</w:t>
            </w:r>
          </w:p>
        </w:tc>
        <w:tc>
          <w:tcPr>
            <w:tcW w:w="906" w:type="pct"/>
            <w:vAlign w:val="center"/>
          </w:tcPr>
          <w:p w:rsidR="00584B95" w:rsidRPr="003F1D05" w:rsidRDefault="00584B95" w:rsidP="00766B4F">
            <w:pPr>
              <w:jc w:val="left"/>
              <w:rPr>
                <w:sz w:val="18"/>
                <w:szCs w:val="18"/>
              </w:rPr>
            </w:pPr>
            <w:r w:rsidRPr="003F1D05">
              <w:rPr>
                <w:sz w:val="18"/>
                <w:szCs w:val="18"/>
              </w:rPr>
              <w:t xml:space="preserve">High alignment. </w:t>
            </w:r>
          </w:p>
          <w:p w:rsidR="00584B95" w:rsidRPr="003F1D05" w:rsidRDefault="00584B95" w:rsidP="00766B4F">
            <w:pPr>
              <w:jc w:val="left"/>
              <w:rPr>
                <w:sz w:val="18"/>
                <w:szCs w:val="18"/>
              </w:rPr>
            </w:pPr>
            <w:r w:rsidRPr="003F1D05">
              <w:rPr>
                <w:sz w:val="18"/>
                <w:szCs w:val="18"/>
              </w:rPr>
              <w:t xml:space="preserve">Overall, the support to </w:t>
            </w:r>
            <w:r>
              <w:rPr>
                <w:sz w:val="18"/>
                <w:szCs w:val="18"/>
              </w:rPr>
              <w:t>CSR</w:t>
            </w:r>
            <w:r w:rsidRPr="003F1D05">
              <w:rPr>
                <w:sz w:val="18"/>
                <w:szCs w:val="18"/>
              </w:rPr>
              <w:t xml:space="preserve"> plays an important role in the PA. The document provides clear indications on how the implementation of TOs will address specific </w:t>
            </w:r>
            <w:r>
              <w:rPr>
                <w:sz w:val="18"/>
                <w:szCs w:val="18"/>
              </w:rPr>
              <w:t>CSR</w:t>
            </w:r>
            <w:r w:rsidRPr="003F1D05">
              <w:rPr>
                <w:sz w:val="18"/>
                <w:szCs w:val="18"/>
              </w:rPr>
              <w:t>.</w:t>
            </w:r>
          </w:p>
        </w:tc>
      </w:tr>
      <w:tr w:rsidR="00584B95" w:rsidRPr="003F1D05" w:rsidTr="00766B4F">
        <w:tc>
          <w:tcPr>
            <w:tcW w:w="225" w:type="pct"/>
            <w:vAlign w:val="center"/>
          </w:tcPr>
          <w:p w:rsidR="00584B95" w:rsidRPr="003F1D05" w:rsidRDefault="00584B95" w:rsidP="00766B4F">
            <w:pPr>
              <w:jc w:val="left"/>
              <w:rPr>
                <w:sz w:val="18"/>
                <w:szCs w:val="18"/>
              </w:rPr>
            </w:pPr>
            <w:r w:rsidRPr="003F1D05">
              <w:rPr>
                <w:sz w:val="18"/>
                <w:szCs w:val="18"/>
              </w:rPr>
              <w:t>LU</w:t>
            </w:r>
          </w:p>
        </w:tc>
        <w:tc>
          <w:tcPr>
            <w:tcW w:w="776" w:type="pct"/>
            <w:vAlign w:val="center"/>
          </w:tcPr>
          <w:p w:rsidR="00584B95" w:rsidRPr="003F1D05" w:rsidRDefault="00584B95" w:rsidP="00766B4F">
            <w:pPr>
              <w:jc w:val="left"/>
              <w:rPr>
                <w:sz w:val="18"/>
                <w:szCs w:val="18"/>
              </w:rPr>
            </w:pPr>
            <w:r w:rsidRPr="003F1D05">
              <w:rPr>
                <w:sz w:val="18"/>
                <w:szCs w:val="18"/>
              </w:rPr>
              <w:t>There is a strong coherence between the PA and the CPP in terms of challenges addressed, with an emphasis on:</w:t>
            </w:r>
          </w:p>
          <w:p w:rsidR="00584B95" w:rsidRPr="003F1D05" w:rsidRDefault="00584B95" w:rsidP="00766B4F">
            <w:pPr>
              <w:jc w:val="left"/>
              <w:rPr>
                <w:sz w:val="18"/>
                <w:szCs w:val="18"/>
              </w:rPr>
            </w:pPr>
            <w:r w:rsidRPr="003F1D05">
              <w:rPr>
                <w:sz w:val="18"/>
                <w:szCs w:val="18"/>
              </w:rPr>
              <w:t xml:space="preserve">R&amp;D, diversification of the economy, development of SMEs; Reduction of CO2 emissions; Increase of youth and older people education and employment (and migrants, especially in the PA) </w:t>
            </w:r>
          </w:p>
          <w:p w:rsidR="00584B95" w:rsidRPr="003F1D05" w:rsidRDefault="00584B95" w:rsidP="00766B4F">
            <w:pPr>
              <w:jc w:val="left"/>
              <w:rPr>
                <w:sz w:val="18"/>
                <w:szCs w:val="18"/>
              </w:rPr>
            </w:pPr>
          </w:p>
          <w:p w:rsidR="00584B95" w:rsidRPr="003F1D05" w:rsidRDefault="00584B95" w:rsidP="00766B4F">
            <w:pPr>
              <w:jc w:val="left"/>
              <w:rPr>
                <w:sz w:val="18"/>
                <w:szCs w:val="18"/>
              </w:rPr>
            </w:pPr>
          </w:p>
        </w:tc>
        <w:tc>
          <w:tcPr>
            <w:tcW w:w="1089" w:type="pct"/>
            <w:vAlign w:val="center"/>
          </w:tcPr>
          <w:p w:rsidR="00584B95" w:rsidRPr="003F1D05" w:rsidRDefault="00584B95" w:rsidP="00766B4F">
            <w:pPr>
              <w:jc w:val="left"/>
              <w:rPr>
                <w:sz w:val="18"/>
                <w:szCs w:val="18"/>
              </w:rPr>
            </w:pPr>
            <w:r w:rsidRPr="003F1D05">
              <w:rPr>
                <w:sz w:val="18"/>
                <w:szCs w:val="18"/>
              </w:rPr>
              <w:t xml:space="preserve">Most of the cohesion relevant CSR/structural challenges are clearly set out (mostly with an explicit reference) in Section 1.1 of the PA (except increase of taxes). </w:t>
            </w:r>
          </w:p>
          <w:p w:rsidR="00584B95" w:rsidRPr="003F1D05" w:rsidRDefault="00584B95" w:rsidP="00766B4F">
            <w:pPr>
              <w:jc w:val="left"/>
              <w:rPr>
                <w:sz w:val="18"/>
                <w:szCs w:val="18"/>
              </w:rPr>
            </w:pPr>
            <w:r w:rsidRPr="003F1D05">
              <w:rPr>
                <w:sz w:val="18"/>
                <w:szCs w:val="18"/>
              </w:rPr>
              <w:t xml:space="preserve">Section 1.3 includes some targeted </w:t>
            </w:r>
            <w:r>
              <w:rPr>
                <w:sz w:val="18"/>
                <w:szCs w:val="18"/>
              </w:rPr>
              <w:t>CSR</w:t>
            </w:r>
            <w:r w:rsidRPr="003F1D05">
              <w:rPr>
                <w:sz w:val="18"/>
                <w:szCs w:val="18"/>
              </w:rPr>
              <w:t xml:space="preserve"> references to: R&amp;D and innovation, especially targeting SMEs and the diversification of the economy; reduction of CO2; increase of education and employment of youth and older people. </w:t>
            </w:r>
          </w:p>
        </w:tc>
        <w:tc>
          <w:tcPr>
            <w:tcW w:w="1075" w:type="pct"/>
            <w:vAlign w:val="center"/>
          </w:tcPr>
          <w:p w:rsidR="00584B95" w:rsidRPr="003F1D05" w:rsidRDefault="00584B95" w:rsidP="00766B4F">
            <w:pPr>
              <w:jc w:val="left"/>
              <w:rPr>
                <w:sz w:val="18"/>
                <w:szCs w:val="18"/>
              </w:rPr>
            </w:pPr>
            <w:r w:rsidRPr="003F1D05">
              <w:rPr>
                <w:sz w:val="18"/>
                <w:szCs w:val="18"/>
              </w:rPr>
              <w:t xml:space="preserve">The recommendations not covered are: </w:t>
            </w:r>
          </w:p>
          <w:p w:rsidR="00584B95" w:rsidRPr="003F1D05" w:rsidRDefault="00584B95" w:rsidP="00766B4F">
            <w:pPr>
              <w:jc w:val="left"/>
              <w:rPr>
                <w:sz w:val="18"/>
                <w:szCs w:val="18"/>
              </w:rPr>
            </w:pPr>
            <w:r w:rsidRPr="003F1D05">
              <w:rPr>
                <w:sz w:val="18"/>
                <w:szCs w:val="18"/>
              </w:rPr>
              <w:t>2012 CSR 5.2 and 2013 CSR 6.2 (tax on oil products for transports)</w:t>
            </w:r>
          </w:p>
          <w:p w:rsidR="00584B95" w:rsidRPr="003F1D05" w:rsidRDefault="00584B95" w:rsidP="00766B4F">
            <w:pPr>
              <w:jc w:val="left"/>
              <w:rPr>
                <w:sz w:val="18"/>
                <w:szCs w:val="18"/>
              </w:rPr>
            </w:pPr>
            <w:r w:rsidRPr="003F1D05">
              <w:rPr>
                <w:sz w:val="18"/>
                <w:szCs w:val="18"/>
              </w:rPr>
              <w:t>2014 CR1.1 (tax for environment)</w:t>
            </w:r>
          </w:p>
          <w:p w:rsidR="00584B95" w:rsidRPr="003F1D05" w:rsidRDefault="00584B95" w:rsidP="00766B4F">
            <w:pPr>
              <w:jc w:val="left"/>
              <w:rPr>
                <w:sz w:val="18"/>
                <w:szCs w:val="18"/>
              </w:rPr>
            </w:pPr>
            <w:r w:rsidRPr="003F1D05">
              <w:rPr>
                <w:sz w:val="18"/>
                <w:szCs w:val="18"/>
              </w:rPr>
              <w:t xml:space="preserve">2012 CSR 3.1 and 2013 CSR 4.1 and CSR 2014 3.1 (wage setting according to productivity gains) </w:t>
            </w:r>
          </w:p>
          <w:p w:rsidR="00584B95" w:rsidRPr="003F1D05" w:rsidRDefault="00584B95" w:rsidP="00766B4F">
            <w:pPr>
              <w:jc w:val="left"/>
              <w:rPr>
                <w:sz w:val="18"/>
                <w:szCs w:val="18"/>
              </w:rPr>
            </w:pPr>
            <w:r w:rsidRPr="003F1D05">
              <w:rPr>
                <w:sz w:val="18"/>
                <w:szCs w:val="18"/>
              </w:rPr>
              <w:t>2013 CSR 3.1 and 2014 CSR 2.1 (management of health expenses)</w:t>
            </w:r>
          </w:p>
        </w:tc>
        <w:tc>
          <w:tcPr>
            <w:tcW w:w="929" w:type="pct"/>
            <w:vAlign w:val="center"/>
          </w:tcPr>
          <w:p w:rsidR="00584B95" w:rsidRPr="003F1D05" w:rsidRDefault="00584B95" w:rsidP="00766B4F">
            <w:pPr>
              <w:jc w:val="left"/>
              <w:rPr>
                <w:sz w:val="18"/>
                <w:szCs w:val="18"/>
              </w:rPr>
            </w:pPr>
            <w:r w:rsidRPr="003F1D05">
              <w:rPr>
                <w:sz w:val="18"/>
                <w:szCs w:val="18"/>
              </w:rPr>
              <w:t xml:space="preserve">There is a strong link between the </w:t>
            </w:r>
            <w:r>
              <w:rPr>
                <w:sz w:val="18"/>
                <w:szCs w:val="18"/>
              </w:rPr>
              <w:t>CSR</w:t>
            </w:r>
            <w:r w:rsidRPr="003F1D05">
              <w:rPr>
                <w:sz w:val="18"/>
                <w:szCs w:val="18"/>
              </w:rPr>
              <w:t xml:space="preserve"> and the selection of priorities and funding needs. The 3 dimensions of coherence (R&amp;D, diversification, SME development; Reduction of CO2 emissions; Increase of youth and older people education and employment) between CPP and PA are used as a guide for the choice of the TOs and the targets.</w:t>
            </w:r>
          </w:p>
        </w:tc>
        <w:tc>
          <w:tcPr>
            <w:tcW w:w="906" w:type="pct"/>
            <w:vAlign w:val="center"/>
          </w:tcPr>
          <w:p w:rsidR="00584B95" w:rsidRPr="003F1D05" w:rsidRDefault="00584B95" w:rsidP="00766B4F">
            <w:pPr>
              <w:jc w:val="left"/>
              <w:rPr>
                <w:sz w:val="18"/>
                <w:szCs w:val="18"/>
              </w:rPr>
            </w:pPr>
            <w:r w:rsidRPr="003F1D05">
              <w:rPr>
                <w:sz w:val="18"/>
                <w:szCs w:val="18"/>
              </w:rPr>
              <w:t xml:space="preserve">High alignment. </w:t>
            </w:r>
          </w:p>
          <w:p w:rsidR="00584B95" w:rsidRPr="003F1D05" w:rsidRDefault="00584B95" w:rsidP="00766B4F">
            <w:pPr>
              <w:jc w:val="left"/>
              <w:rPr>
                <w:sz w:val="18"/>
                <w:szCs w:val="18"/>
              </w:rPr>
            </w:pPr>
            <w:r w:rsidRPr="003F1D05">
              <w:rPr>
                <w:sz w:val="18"/>
                <w:szCs w:val="18"/>
              </w:rPr>
              <w:t xml:space="preserve">The </w:t>
            </w:r>
            <w:r>
              <w:rPr>
                <w:sz w:val="18"/>
                <w:szCs w:val="18"/>
              </w:rPr>
              <w:t>CSR</w:t>
            </w:r>
            <w:r w:rsidRPr="003F1D05">
              <w:rPr>
                <w:sz w:val="18"/>
                <w:szCs w:val="18"/>
              </w:rPr>
              <w:t xml:space="preserve"> appear to have played a major role in the document. only the  macroeconomic or tax reforms are not addressed.</w:t>
            </w:r>
          </w:p>
        </w:tc>
      </w:tr>
      <w:tr w:rsidR="00584B95" w:rsidRPr="003F1D05" w:rsidTr="00766B4F">
        <w:tc>
          <w:tcPr>
            <w:tcW w:w="225" w:type="pct"/>
            <w:vAlign w:val="center"/>
          </w:tcPr>
          <w:p w:rsidR="00584B95" w:rsidRPr="003F1D05" w:rsidRDefault="00584B95" w:rsidP="00766B4F">
            <w:pPr>
              <w:jc w:val="left"/>
              <w:rPr>
                <w:sz w:val="18"/>
                <w:szCs w:val="18"/>
              </w:rPr>
            </w:pPr>
            <w:r w:rsidRPr="003F1D05">
              <w:rPr>
                <w:sz w:val="18"/>
                <w:szCs w:val="18"/>
              </w:rPr>
              <w:t>LV</w:t>
            </w:r>
          </w:p>
        </w:tc>
        <w:tc>
          <w:tcPr>
            <w:tcW w:w="776" w:type="pct"/>
            <w:vAlign w:val="center"/>
          </w:tcPr>
          <w:p w:rsidR="00584B95" w:rsidRPr="003F1D05" w:rsidRDefault="00584B95" w:rsidP="00766B4F">
            <w:pPr>
              <w:jc w:val="left"/>
              <w:rPr>
                <w:sz w:val="18"/>
                <w:szCs w:val="18"/>
              </w:rPr>
            </w:pPr>
            <w:r w:rsidRPr="003F1D05">
              <w:rPr>
                <w:sz w:val="18"/>
                <w:szCs w:val="18"/>
              </w:rPr>
              <w:t xml:space="preserve">Both documents cover the same general issues and structural challenges, as well as covering the same TOs. They both first describe the economic background and in a later section directly relate </w:t>
            </w:r>
            <w:r>
              <w:rPr>
                <w:sz w:val="18"/>
                <w:szCs w:val="18"/>
              </w:rPr>
              <w:t>CSR</w:t>
            </w:r>
            <w:r w:rsidRPr="003F1D05">
              <w:rPr>
                <w:sz w:val="18"/>
                <w:szCs w:val="18"/>
              </w:rPr>
              <w:t>/Country Reports’ challenges to the issues previously outlined.</w:t>
            </w:r>
          </w:p>
        </w:tc>
        <w:tc>
          <w:tcPr>
            <w:tcW w:w="1089" w:type="pct"/>
            <w:vAlign w:val="center"/>
          </w:tcPr>
          <w:p w:rsidR="00584B95" w:rsidRPr="003F1D05" w:rsidRDefault="00584B95" w:rsidP="00766B4F">
            <w:pPr>
              <w:jc w:val="left"/>
              <w:rPr>
                <w:sz w:val="18"/>
                <w:szCs w:val="18"/>
              </w:rPr>
            </w:pPr>
            <w:r w:rsidRPr="003F1D05">
              <w:rPr>
                <w:sz w:val="18"/>
                <w:szCs w:val="18"/>
              </w:rPr>
              <w:t>In section 1.1, all cohesion relevant recommendations are covered in an implicit manner: structural issues that are prominent in the Latvian economy are discussed. Section 1.3 expands by explicitly referring to the recommendations and explaining how the reforms and plans to be implemented are expected to help address the issues. For example, 2013 CSR 4.1 ‘Tackle high rates of poverty by reforming social assistance for better coverage, by improving benefit adequacy and activation measures for benefit recipients. Reinforce the delivery mechanisms to effectively reduce child poverty’ is quoted followed by a discussion of proposed measures aimed at addressing these issues.</w:t>
            </w:r>
          </w:p>
        </w:tc>
        <w:tc>
          <w:tcPr>
            <w:tcW w:w="1075" w:type="pct"/>
            <w:vAlign w:val="center"/>
          </w:tcPr>
          <w:p w:rsidR="00584B95" w:rsidRPr="003F1D05" w:rsidRDefault="00584B95" w:rsidP="00766B4F">
            <w:pPr>
              <w:jc w:val="left"/>
              <w:rPr>
                <w:sz w:val="18"/>
                <w:szCs w:val="18"/>
              </w:rPr>
            </w:pPr>
            <w:r w:rsidRPr="003F1D05">
              <w:rPr>
                <w:sz w:val="18"/>
                <w:szCs w:val="18"/>
              </w:rPr>
              <w:t xml:space="preserve">All covered except those concerning public finance and taxation and other macroeconomic reforms. </w:t>
            </w:r>
          </w:p>
          <w:p w:rsidR="00584B95" w:rsidRPr="003F1D05" w:rsidRDefault="00584B95" w:rsidP="00766B4F">
            <w:pPr>
              <w:jc w:val="left"/>
              <w:rPr>
                <w:sz w:val="18"/>
                <w:szCs w:val="18"/>
              </w:rPr>
            </w:pPr>
            <w:r w:rsidRPr="003F1D05">
              <w:rPr>
                <w:sz w:val="18"/>
                <w:szCs w:val="18"/>
              </w:rPr>
              <w:t>(</w:t>
            </w:r>
            <w:proofErr w:type="spellStart"/>
            <w:r w:rsidRPr="003F1D05">
              <w:rPr>
                <w:sz w:val="18"/>
                <w:szCs w:val="18"/>
              </w:rPr>
              <w:t>i</w:t>
            </w:r>
            <w:proofErr w:type="spellEnd"/>
            <w:r w:rsidRPr="003F1D05">
              <w:rPr>
                <w:sz w:val="18"/>
                <w:szCs w:val="18"/>
              </w:rPr>
              <w:t xml:space="preserve">) strengthening the budgetary strategy; </w:t>
            </w:r>
          </w:p>
          <w:p w:rsidR="00584B95" w:rsidRPr="003F1D05" w:rsidRDefault="00584B95" w:rsidP="00766B4F">
            <w:pPr>
              <w:jc w:val="left"/>
              <w:rPr>
                <w:sz w:val="18"/>
                <w:szCs w:val="18"/>
              </w:rPr>
            </w:pPr>
            <w:r w:rsidRPr="003F1D05">
              <w:rPr>
                <w:sz w:val="18"/>
                <w:szCs w:val="18"/>
              </w:rPr>
              <w:t xml:space="preserve">(ii) implementing state-owned enterprise management reform; (iii) institutional and financial independence of the Competition Council. </w:t>
            </w:r>
          </w:p>
        </w:tc>
        <w:tc>
          <w:tcPr>
            <w:tcW w:w="929" w:type="pct"/>
            <w:vAlign w:val="center"/>
          </w:tcPr>
          <w:p w:rsidR="00584B95" w:rsidRPr="003F1D05" w:rsidRDefault="00584B95" w:rsidP="00766B4F">
            <w:pPr>
              <w:jc w:val="left"/>
              <w:rPr>
                <w:sz w:val="18"/>
                <w:szCs w:val="18"/>
              </w:rPr>
            </w:pPr>
            <w:r w:rsidRPr="003F1D05">
              <w:rPr>
                <w:sz w:val="18"/>
                <w:szCs w:val="18"/>
              </w:rPr>
              <w:t xml:space="preserve">the PA indicates that the funding priorities are aligned with the </w:t>
            </w:r>
            <w:r>
              <w:rPr>
                <w:sz w:val="18"/>
                <w:szCs w:val="18"/>
              </w:rPr>
              <w:t>CSR</w:t>
            </w:r>
            <w:r w:rsidRPr="003F1D05">
              <w:rPr>
                <w:sz w:val="18"/>
                <w:szCs w:val="18"/>
              </w:rPr>
              <w:t xml:space="preserve"> mentioned in the document, as well as with the Europe 2020 goals.</w:t>
            </w:r>
          </w:p>
          <w:p w:rsidR="00584B95" w:rsidRPr="003F1D05" w:rsidRDefault="00584B95" w:rsidP="00766B4F">
            <w:pPr>
              <w:jc w:val="left"/>
              <w:rPr>
                <w:sz w:val="18"/>
                <w:szCs w:val="18"/>
              </w:rPr>
            </w:pPr>
            <w:r w:rsidRPr="003F1D05">
              <w:rPr>
                <w:sz w:val="18"/>
                <w:szCs w:val="18"/>
              </w:rPr>
              <w:t>For example, in section 1.3 (para. 310), where the PA directly refers to the necessity to increase R&amp;D in Latvia, it is clearly outlined how the funding priorities will help to address the recommendation made; the PA reads: ‘support in big cities (except Riga) will be implemented using ITI approach, while the support in other territories will be complemented with CLLD measures within the framework of EAFRD and EMFF. Even though other sections of the same paragraph can be less clear on the approach undertaken to solve the issues, the general idea of how a recommendation would be fulfilled is conveyed by the paragraph as a whole.</w:t>
            </w:r>
          </w:p>
        </w:tc>
        <w:tc>
          <w:tcPr>
            <w:tcW w:w="906" w:type="pct"/>
            <w:vAlign w:val="center"/>
          </w:tcPr>
          <w:p w:rsidR="00584B95" w:rsidRPr="003F1D05" w:rsidRDefault="00584B95" w:rsidP="00766B4F">
            <w:pPr>
              <w:jc w:val="left"/>
              <w:rPr>
                <w:sz w:val="18"/>
                <w:szCs w:val="18"/>
              </w:rPr>
            </w:pPr>
            <w:r w:rsidRPr="003F1D05">
              <w:rPr>
                <w:sz w:val="18"/>
                <w:szCs w:val="18"/>
              </w:rPr>
              <w:t>High alignment.</w:t>
            </w:r>
          </w:p>
          <w:p w:rsidR="00584B95" w:rsidRPr="003F1D05" w:rsidRDefault="00584B95" w:rsidP="00766B4F">
            <w:pPr>
              <w:jc w:val="left"/>
              <w:rPr>
                <w:sz w:val="18"/>
                <w:szCs w:val="18"/>
              </w:rPr>
            </w:pPr>
            <w:r w:rsidRPr="003F1D05">
              <w:rPr>
                <w:sz w:val="18"/>
                <w:szCs w:val="18"/>
              </w:rPr>
              <w:t xml:space="preserve">The document is aligned with the cohesion relevant </w:t>
            </w:r>
            <w:r>
              <w:rPr>
                <w:sz w:val="18"/>
                <w:szCs w:val="18"/>
              </w:rPr>
              <w:t>CSR</w:t>
            </w:r>
            <w:r w:rsidRPr="003F1D05">
              <w:rPr>
                <w:sz w:val="18"/>
                <w:szCs w:val="18"/>
              </w:rPr>
              <w:t xml:space="preserve"> of 2014 and explains in great depth how the recommendations will be implemented by intended reforms/actions. It is clearly shown how the intended reforms coincide with the recommendations made and will help to address these issues.</w:t>
            </w:r>
          </w:p>
        </w:tc>
      </w:tr>
      <w:tr w:rsidR="00584B95" w:rsidRPr="003F1D05" w:rsidTr="00766B4F">
        <w:tc>
          <w:tcPr>
            <w:tcW w:w="225" w:type="pct"/>
            <w:vAlign w:val="center"/>
          </w:tcPr>
          <w:p w:rsidR="00584B95" w:rsidRPr="003F1D05" w:rsidRDefault="00584B95" w:rsidP="00766B4F">
            <w:pPr>
              <w:jc w:val="left"/>
              <w:rPr>
                <w:sz w:val="18"/>
                <w:szCs w:val="18"/>
              </w:rPr>
            </w:pPr>
            <w:r w:rsidRPr="003F1D05">
              <w:rPr>
                <w:sz w:val="18"/>
                <w:szCs w:val="18"/>
              </w:rPr>
              <w:t>MT</w:t>
            </w:r>
          </w:p>
        </w:tc>
        <w:tc>
          <w:tcPr>
            <w:tcW w:w="776" w:type="pct"/>
            <w:vAlign w:val="center"/>
          </w:tcPr>
          <w:p w:rsidR="00584B95" w:rsidRPr="003F1D05" w:rsidRDefault="00584B95" w:rsidP="00766B4F">
            <w:pPr>
              <w:jc w:val="left"/>
              <w:rPr>
                <w:sz w:val="18"/>
                <w:szCs w:val="18"/>
              </w:rPr>
            </w:pPr>
            <w:r w:rsidRPr="003F1D05">
              <w:rPr>
                <w:sz w:val="18"/>
                <w:szCs w:val="18"/>
              </w:rPr>
              <w:t xml:space="preserve">The structural reforms needs identified in the CPP, which play a key role in the effective and efficient use of EU Funds, are clearly linked to </w:t>
            </w:r>
            <w:r>
              <w:rPr>
                <w:sz w:val="18"/>
                <w:szCs w:val="18"/>
              </w:rPr>
              <w:t>CSR</w:t>
            </w:r>
            <w:r w:rsidRPr="003F1D05">
              <w:rPr>
                <w:sz w:val="18"/>
                <w:szCs w:val="18"/>
              </w:rPr>
              <w:t xml:space="preserve"> and PA challenges.</w:t>
            </w:r>
          </w:p>
        </w:tc>
        <w:tc>
          <w:tcPr>
            <w:tcW w:w="1089" w:type="pct"/>
            <w:vAlign w:val="center"/>
          </w:tcPr>
          <w:p w:rsidR="00584B95" w:rsidRPr="003F1D05" w:rsidRDefault="00584B95" w:rsidP="00766B4F">
            <w:pPr>
              <w:jc w:val="left"/>
              <w:rPr>
                <w:sz w:val="18"/>
                <w:szCs w:val="18"/>
              </w:rPr>
            </w:pPr>
            <w:r w:rsidRPr="003F1D05">
              <w:rPr>
                <w:sz w:val="18"/>
                <w:szCs w:val="18"/>
              </w:rPr>
              <w:t xml:space="preserve">Sections 1.1 and 1.3 of the PA contain explicit references to all the relevant </w:t>
            </w:r>
            <w:r>
              <w:rPr>
                <w:sz w:val="18"/>
                <w:szCs w:val="18"/>
              </w:rPr>
              <w:t>CSR</w:t>
            </w:r>
            <w:r w:rsidRPr="003F1D05">
              <w:rPr>
                <w:sz w:val="18"/>
                <w:szCs w:val="18"/>
              </w:rPr>
              <w:t>/structural challenges and the description of the strategy clearly identify them as priorities to be addressed.</w:t>
            </w:r>
          </w:p>
          <w:p w:rsidR="00584B95" w:rsidRPr="003F1D05" w:rsidRDefault="00584B95" w:rsidP="00766B4F">
            <w:pPr>
              <w:jc w:val="left"/>
              <w:rPr>
                <w:sz w:val="18"/>
                <w:szCs w:val="18"/>
              </w:rPr>
            </w:pPr>
            <w:r w:rsidRPr="003F1D05">
              <w:rPr>
                <w:sz w:val="18"/>
                <w:szCs w:val="18"/>
              </w:rPr>
              <w:t xml:space="preserve">Section 2.5 on the assessment of the needs in terms of administrative capacity does not include a direct reference to relevant </w:t>
            </w:r>
            <w:r>
              <w:rPr>
                <w:sz w:val="18"/>
                <w:szCs w:val="18"/>
              </w:rPr>
              <w:t>CSR</w:t>
            </w:r>
            <w:r w:rsidRPr="003F1D05">
              <w:rPr>
                <w:sz w:val="18"/>
                <w:szCs w:val="18"/>
              </w:rPr>
              <w:t xml:space="preserve"> but the only CSR (2014 5.1 – public procurement) strictly related to administrative capacity is included in the issues to be tackled.</w:t>
            </w:r>
          </w:p>
        </w:tc>
        <w:tc>
          <w:tcPr>
            <w:tcW w:w="1075" w:type="pct"/>
            <w:vAlign w:val="center"/>
          </w:tcPr>
          <w:p w:rsidR="00584B95" w:rsidRPr="003F1D05" w:rsidRDefault="00584B95" w:rsidP="00766B4F">
            <w:pPr>
              <w:jc w:val="left"/>
              <w:rPr>
                <w:sz w:val="18"/>
                <w:szCs w:val="18"/>
              </w:rPr>
            </w:pPr>
            <w:r w:rsidRPr="003F1D05">
              <w:rPr>
                <w:sz w:val="18"/>
                <w:szCs w:val="18"/>
              </w:rPr>
              <w:t>All cohesion relevant challenges are covered.</w:t>
            </w:r>
          </w:p>
        </w:tc>
        <w:tc>
          <w:tcPr>
            <w:tcW w:w="929" w:type="pct"/>
            <w:vAlign w:val="center"/>
          </w:tcPr>
          <w:p w:rsidR="00584B95" w:rsidRPr="003F1D05" w:rsidRDefault="00584B95" w:rsidP="00766B4F">
            <w:pPr>
              <w:jc w:val="left"/>
              <w:rPr>
                <w:sz w:val="18"/>
                <w:szCs w:val="18"/>
              </w:rPr>
            </w:pPr>
            <w:r w:rsidRPr="003F1D05">
              <w:rPr>
                <w:sz w:val="18"/>
                <w:szCs w:val="18"/>
              </w:rPr>
              <w:t>The PA indicates that the priorities are closely related to the objectives of the Europe 2020 Strategy, the CSR and the needs identified in Section 1.1.</w:t>
            </w:r>
          </w:p>
        </w:tc>
        <w:tc>
          <w:tcPr>
            <w:tcW w:w="906" w:type="pct"/>
            <w:vAlign w:val="center"/>
          </w:tcPr>
          <w:p w:rsidR="00584B95" w:rsidRPr="003F1D05" w:rsidRDefault="00584B95" w:rsidP="00766B4F">
            <w:pPr>
              <w:jc w:val="left"/>
              <w:rPr>
                <w:sz w:val="18"/>
                <w:szCs w:val="18"/>
              </w:rPr>
            </w:pPr>
            <w:r w:rsidRPr="003F1D05">
              <w:rPr>
                <w:sz w:val="18"/>
                <w:szCs w:val="18"/>
              </w:rPr>
              <w:t xml:space="preserve">High alignment. </w:t>
            </w:r>
          </w:p>
          <w:p w:rsidR="00584B95" w:rsidRPr="003F1D05" w:rsidRDefault="00584B95" w:rsidP="00766B4F">
            <w:pPr>
              <w:jc w:val="left"/>
              <w:rPr>
                <w:sz w:val="18"/>
                <w:szCs w:val="18"/>
              </w:rPr>
            </w:pPr>
            <w:r w:rsidRPr="003F1D05">
              <w:rPr>
                <w:sz w:val="18"/>
                <w:szCs w:val="18"/>
              </w:rPr>
              <w:t xml:space="preserve">The programming document largely addresses the key </w:t>
            </w:r>
            <w:r>
              <w:rPr>
                <w:sz w:val="18"/>
                <w:szCs w:val="18"/>
              </w:rPr>
              <w:t>CSR</w:t>
            </w:r>
            <w:r w:rsidRPr="003F1D05">
              <w:rPr>
                <w:sz w:val="18"/>
                <w:szCs w:val="18"/>
              </w:rPr>
              <w:t xml:space="preserve"> proposed and the structural challenges identified.</w:t>
            </w:r>
          </w:p>
        </w:tc>
      </w:tr>
      <w:tr w:rsidR="00584B95" w:rsidRPr="003F1D05" w:rsidTr="00766B4F">
        <w:tc>
          <w:tcPr>
            <w:tcW w:w="225" w:type="pct"/>
            <w:vAlign w:val="center"/>
          </w:tcPr>
          <w:p w:rsidR="00584B95" w:rsidRPr="003F1D05" w:rsidRDefault="00584B95" w:rsidP="00766B4F">
            <w:pPr>
              <w:jc w:val="left"/>
              <w:rPr>
                <w:sz w:val="18"/>
                <w:szCs w:val="18"/>
              </w:rPr>
            </w:pPr>
            <w:r w:rsidRPr="003F1D05">
              <w:rPr>
                <w:sz w:val="18"/>
                <w:szCs w:val="18"/>
              </w:rPr>
              <w:t>NL</w:t>
            </w:r>
          </w:p>
        </w:tc>
        <w:tc>
          <w:tcPr>
            <w:tcW w:w="776" w:type="pct"/>
            <w:vAlign w:val="center"/>
          </w:tcPr>
          <w:p w:rsidR="00584B95" w:rsidRPr="003F1D05" w:rsidRDefault="00584B95" w:rsidP="00766B4F">
            <w:pPr>
              <w:jc w:val="left"/>
              <w:rPr>
                <w:sz w:val="18"/>
                <w:szCs w:val="18"/>
              </w:rPr>
            </w:pPr>
            <w:r w:rsidRPr="003F1D05">
              <w:rPr>
                <w:sz w:val="18"/>
                <w:szCs w:val="18"/>
              </w:rPr>
              <w:t>The CPP identified three most pressing challenges (innovation-friendly business environment, LM participation and employability, resource efficiency) which are all addressed in the PA document.</w:t>
            </w:r>
          </w:p>
        </w:tc>
        <w:tc>
          <w:tcPr>
            <w:tcW w:w="1089" w:type="pct"/>
            <w:vAlign w:val="center"/>
          </w:tcPr>
          <w:p w:rsidR="00584B95" w:rsidRPr="003F1D05" w:rsidRDefault="00584B95" w:rsidP="00766B4F">
            <w:pPr>
              <w:jc w:val="left"/>
              <w:rPr>
                <w:sz w:val="18"/>
                <w:szCs w:val="18"/>
              </w:rPr>
            </w:pPr>
            <w:r w:rsidRPr="003F1D05">
              <w:rPr>
                <w:sz w:val="18"/>
                <w:szCs w:val="18"/>
              </w:rPr>
              <w:t xml:space="preserve">The relevant CSR/structural challenges are generally clearly and explicitly set out in Sections 1.1 and 1.3 of the PA. </w:t>
            </w:r>
          </w:p>
          <w:p w:rsidR="00584B95" w:rsidRPr="003F1D05" w:rsidRDefault="00584B95" w:rsidP="00766B4F">
            <w:pPr>
              <w:jc w:val="left"/>
              <w:rPr>
                <w:sz w:val="18"/>
                <w:szCs w:val="18"/>
              </w:rPr>
            </w:pPr>
            <w:r w:rsidRPr="003F1D05">
              <w:rPr>
                <w:sz w:val="18"/>
                <w:szCs w:val="18"/>
              </w:rPr>
              <w:t>Section 2.5 on the assessment of the needs in terms of administrative capacity does not include a direct reference to CSR/structural challenges.</w:t>
            </w:r>
          </w:p>
        </w:tc>
        <w:tc>
          <w:tcPr>
            <w:tcW w:w="1075" w:type="pct"/>
            <w:vAlign w:val="center"/>
          </w:tcPr>
          <w:p w:rsidR="00584B95" w:rsidRPr="003F1D05" w:rsidRDefault="00584B95" w:rsidP="00766B4F">
            <w:pPr>
              <w:jc w:val="left"/>
              <w:rPr>
                <w:sz w:val="18"/>
                <w:szCs w:val="18"/>
              </w:rPr>
            </w:pPr>
            <w:r w:rsidRPr="003F1D05">
              <w:rPr>
                <w:sz w:val="18"/>
                <w:szCs w:val="18"/>
              </w:rPr>
              <w:t>The recommendations/challenges which are not covered in the PA deal with the following issues:</w:t>
            </w:r>
          </w:p>
          <w:p w:rsidR="00584B95" w:rsidRPr="003F1D05" w:rsidRDefault="00584B95" w:rsidP="00766B4F">
            <w:pPr>
              <w:jc w:val="left"/>
              <w:rPr>
                <w:sz w:val="18"/>
                <w:szCs w:val="18"/>
              </w:rPr>
            </w:pPr>
            <w:r w:rsidRPr="003F1D05">
              <w:rPr>
                <w:sz w:val="18"/>
                <w:szCs w:val="18"/>
              </w:rPr>
              <w:t>Health and long-term care (2014 CSR 3.3 + 2013 CSR 3.3 + 2012 CSR 2.2); Wage setting (2014 CSR 4.2); Congestion / Transport (2014 CR 4.1)</w:t>
            </w:r>
          </w:p>
          <w:p w:rsidR="00584B95" w:rsidRPr="003F1D05" w:rsidRDefault="00584B95" w:rsidP="00766B4F">
            <w:pPr>
              <w:jc w:val="left"/>
              <w:rPr>
                <w:sz w:val="18"/>
                <w:szCs w:val="18"/>
              </w:rPr>
            </w:pPr>
            <w:r w:rsidRPr="003F1D05">
              <w:rPr>
                <w:sz w:val="18"/>
                <w:szCs w:val="18"/>
              </w:rPr>
              <w:t>Institutional capacity, public administration and justice systems (2014 CR 6.1 + 2013 CR 2.1 +2012 CR 3.1).</w:t>
            </w:r>
          </w:p>
        </w:tc>
        <w:tc>
          <w:tcPr>
            <w:tcW w:w="929" w:type="pct"/>
            <w:vAlign w:val="center"/>
          </w:tcPr>
          <w:p w:rsidR="00584B95" w:rsidRPr="003F1D05" w:rsidRDefault="00584B95" w:rsidP="00766B4F">
            <w:pPr>
              <w:jc w:val="left"/>
              <w:rPr>
                <w:sz w:val="18"/>
                <w:szCs w:val="18"/>
              </w:rPr>
            </w:pPr>
            <w:r w:rsidRPr="003F1D05">
              <w:rPr>
                <w:sz w:val="18"/>
                <w:szCs w:val="18"/>
              </w:rPr>
              <w:t>CSR play an important role in the expert’s opinion as the PA indicates that the priorities are closely related to the proposed recommendations and the needs identified in Section 1.1.</w:t>
            </w:r>
          </w:p>
        </w:tc>
        <w:tc>
          <w:tcPr>
            <w:tcW w:w="906" w:type="pct"/>
            <w:vAlign w:val="center"/>
          </w:tcPr>
          <w:p w:rsidR="00584B95" w:rsidRPr="003F1D05" w:rsidRDefault="00584B95" w:rsidP="00766B4F">
            <w:pPr>
              <w:jc w:val="left"/>
              <w:rPr>
                <w:sz w:val="18"/>
                <w:szCs w:val="18"/>
              </w:rPr>
            </w:pPr>
            <w:r w:rsidRPr="003F1D05">
              <w:rPr>
                <w:sz w:val="18"/>
                <w:szCs w:val="18"/>
              </w:rPr>
              <w:t xml:space="preserve">High alignment. </w:t>
            </w:r>
          </w:p>
          <w:p w:rsidR="00584B95" w:rsidRPr="003F1D05" w:rsidRDefault="00584B95" w:rsidP="00766B4F">
            <w:pPr>
              <w:jc w:val="left"/>
              <w:rPr>
                <w:sz w:val="18"/>
                <w:szCs w:val="18"/>
              </w:rPr>
            </w:pPr>
            <w:r w:rsidRPr="003F1D05">
              <w:rPr>
                <w:sz w:val="18"/>
                <w:szCs w:val="18"/>
              </w:rPr>
              <w:t xml:space="preserve">Apart from the recommendations/challenges which do not seem to be reflected in the PA (see the previous point), the programming document largely addresses the key </w:t>
            </w:r>
            <w:r>
              <w:rPr>
                <w:sz w:val="18"/>
                <w:szCs w:val="18"/>
              </w:rPr>
              <w:t>CSR</w:t>
            </w:r>
            <w:r w:rsidRPr="003F1D05">
              <w:rPr>
                <w:sz w:val="18"/>
                <w:szCs w:val="18"/>
              </w:rPr>
              <w:t xml:space="preserve"> proposed and the structural challenges identified.</w:t>
            </w:r>
          </w:p>
        </w:tc>
      </w:tr>
      <w:tr w:rsidR="00584B95" w:rsidRPr="003F1D05" w:rsidTr="00766B4F">
        <w:tc>
          <w:tcPr>
            <w:tcW w:w="225" w:type="pct"/>
            <w:vAlign w:val="center"/>
          </w:tcPr>
          <w:p w:rsidR="00584B95" w:rsidRPr="003F1D05" w:rsidRDefault="00584B95" w:rsidP="00766B4F">
            <w:pPr>
              <w:jc w:val="left"/>
              <w:rPr>
                <w:sz w:val="18"/>
                <w:szCs w:val="18"/>
              </w:rPr>
            </w:pPr>
            <w:r w:rsidRPr="003F1D05">
              <w:rPr>
                <w:sz w:val="18"/>
                <w:szCs w:val="18"/>
              </w:rPr>
              <w:t>PL</w:t>
            </w:r>
          </w:p>
        </w:tc>
        <w:tc>
          <w:tcPr>
            <w:tcW w:w="776" w:type="pct"/>
            <w:vAlign w:val="center"/>
          </w:tcPr>
          <w:p w:rsidR="00584B95" w:rsidRPr="003F1D05" w:rsidRDefault="00584B95" w:rsidP="00766B4F">
            <w:pPr>
              <w:jc w:val="left"/>
              <w:rPr>
                <w:sz w:val="18"/>
                <w:szCs w:val="18"/>
              </w:rPr>
            </w:pPr>
            <w:r w:rsidRPr="003F1D05">
              <w:rPr>
                <w:sz w:val="18"/>
                <w:szCs w:val="18"/>
              </w:rPr>
              <w:t xml:space="preserve">All </w:t>
            </w:r>
            <w:r>
              <w:rPr>
                <w:sz w:val="18"/>
                <w:szCs w:val="18"/>
              </w:rPr>
              <w:t>CSR</w:t>
            </w:r>
            <w:r w:rsidRPr="003F1D05">
              <w:rPr>
                <w:sz w:val="18"/>
                <w:szCs w:val="18"/>
              </w:rPr>
              <w:t>/structural challenges mentioned explicitly or implicitly in the CPP can be found in sections 1.1 or 1.3 of PA.</w:t>
            </w:r>
          </w:p>
        </w:tc>
        <w:tc>
          <w:tcPr>
            <w:tcW w:w="1089" w:type="pct"/>
            <w:vAlign w:val="center"/>
          </w:tcPr>
          <w:p w:rsidR="00584B95" w:rsidRPr="003F1D05" w:rsidRDefault="00584B95" w:rsidP="00766B4F">
            <w:pPr>
              <w:jc w:val="left"/>
              <w:rPr>
                <w:sz w:val="18"/>
                <w:szCs w:val="18"/>
              </w:rPr>
            </w:pPr>
            <w:r w:rsidRPr="003F1D05">
              <w:rPr>
                <w:sz w:val="18"/>
                <w:szCs w:val="18"/>
              </w:rPr>
              <w:t>The PA often refers to the relevant CSR/structural challenges in sections 1.1 and 1.3. These references are predominantly explicit. Under section 1.3 only one thematic objective (TO3) has no connection to CSR/structural challenges.</w:t>
            </w:r>
          </w:p>
          <w:p w:rsidR="00584B95" w:rsidRPr="003F1D05" w:rsidRDefault="00584B95" w:rsidP="00766B4F">
            <w:pPr>
              <w:jc w:val="left"/>
              <w:rPr>
                <w:sz w:val="18"/>
                <w:szCs w:val="18"/>
              </w:rPr>
            </w:pPr>
            <w:r w:rsidRPr="003F1D05">
              <w:rPr>
                <w:sz w:val="18"/>
                <w:szCs w:val="18"/>
              </w:rPr>
              <w:t>Section 2.5 on the assessment of the needs in terms of administrative capacity does not include any reference to CSR/structural challenges.</w:t>
            </w:r>
          </w:p>
        </w:tc>
        <w:tc>
          <w:tcPr>
            <w:tcW w:w="1075" w:type="pct"/>
            <w:vAlign w:val="center"/>
          </w:tcPr>
          <w:p w:rsidR="00584B95" w:rsidRPr="003F1D05" w:rsidRDefault="00584B95" w:rsidP="00766B4F">
            <w:pPr>
              <w:jc w:val="left"/>
              <w:rPr>
                <w:sz w:val="18"/>
                <w:szCs w:val="18"/>
              </w:rPr>
            </w:pPr>
            <w:r w:rsidRPr="003F1D05">
              <w:rPr>
                <w:sz w:val="18"/>
                <w:szCs w:val="18"/>
              </w:rPr>
              <w:t>The recommendations/challenges which are not covered at all in the PA deal with:</w:t>
            </w:r>
          </w:p>
          <w:p w:rsidR="00584B95" w:rsidRPr="003F1D05" w:rsidRDefault="00584B95" w:rsidP="00766B4F">
            <w:pPr>
              <w:jc w:val="left"/>
              <w:rPr>
                <w:sz w:val="18"/>
                <w:szCs w:val="18"/>
              </w:rPr>
            </w:pPr>
            <w:r w:rsidRPr="003F1D05">
              <w:rPr>
                <w:sz w:val="18"/>
                <w:szCs w:val="18"/>
              </w:rPr>
              <w:t>“contrast labour market segmentation by stepping up efforts to ensure a better transition from fixed</w:t>
            </w:r>
            <w:r w:rsidRPr="003F1D05">
              <w:rPr>
                <w:rFonts w:ascii="Cambria Math" w:hAnsi="Cambria Math" w:cs="Cambria Math"/>
                <w:sz w:val="18"/>
                <w:szCs w:val="18"/>
              </w:rPr>
              <w:t>‐</w:t>
            </w:r>
            <w:r w:rsidRPr="003F1D05">
              <w:rPr>
                <w:sz w:val="18"/>
                <w:szCs w:val="18"/>
              </w:rPr>
              <w:t>term to permanent employment and by reducing the excessive use of civil law contracts” (2013 CSR 3.2 and 2014 CSR 2.3).</w:t>
            </w:r>
          </w:p>
          <w:p w:rsidR="00584B95" w:rsidRPr="003F1D05" w:rsidRDefault="00584B95" w:rsidP="00766B4F">
            <w:pPr>
              <w:jc w:val="left"/>
              <w:rPr>
                <w:sz w:val="18"/>
                <w:szCs w:val="18"/>
              </w:rPr>
            </w:pPr>
            <w:r w:rsidRPr="003F1D05">
              <w:rPr>
                <w:sz w:val="18"/>
                <w:szCs w:val="18"/>
              </w:rPr>
              <w:t>“enhancing structured and formalised cooperation between higher education institutions and enterprises, raising the qualifications of teachers…” (2013 country report 2.1).</w:t>
            </w:r>
          </w:p>
          <w:p w:rsidR="00584B95" w:rsidRPr="003F1D05" w:rsidRDefault="00584B95" w:rsidP="00766B4F">
            <w:pPr>
              <w:jc w:val="left"/>
              <w:rPr>
                <w:sz w:val="18"/>
                <w:szCs w:val="18"/>
              </w:rPr>
            </w:pPr>
            <w:r w:rsidRPr="003F1D05">
              <w:rPr>
                <w:sz w:val="18"/>
                <w:szCs w:val="18"/>
              </w:rPr>
              <w:t>“Low environmental taxation; only country with no CO2 component in car taxation” (2014 Country report 1.1).</w:t>
            </w:r>
          </w:p>
        </w:tc>
        <w:tc>
          <w:tcPr>
            <w:tcW w:w="929" w:type="pct"/>
            <w:vAlign w:val="center"/>
          </w:tcPr>
          <w:p w:rsidR="00584B95" w:rsidRPr="003F1D05" w:rsidRDefault="00584B95" w:rsidP="00766B4F">
            <w:pPr>
              <w:jc w:val="left"/>
              <w:rPr>
                <w:sz w:val="18"/>
                <w:szCs w:val="18"/>
              </w:rPr>
            </w:pPr>
            <w:r w:rsidRPr="003F1D05">
              <w:rPr>
                <w:sz w:val="18"/>
                <w:szCs w:val="18"/>
              </w:rPr>
              <w:t>According to the expert CSR play a central role in the strategy. The PA indicates that the priorities are closely related to the objectives of the Europe 2020 Strategy, the CSR and the needs identified in Section 1.1.</w:t>
            </w:r>
          </w:p>
        </w:tc>
        <w:tc>
          <w:tcPr>
            <w:tcW w:w="906" w:type="pct"/>
            <w:vAlign w:val="center"/>
          </w:tcPr>
          <w:p w:rsidR="00584B95" w:rsidRPr="003F1D05" w:rsidRDefault="00584B95" w:rsidP="00766B4F">
            <w:pPr>
              <w:jc w:val="left"/>
              <w:rPr>
                <w:sz w:val="18"/>
                <w:szCs w:val="18"/>
              </w:rPr>
            </w:pPr>
            <w:r w:rsidRPr="003F1D05">
              <w:rPr>
                <w:sz w:val="18"/>
                <w:szCs w:val="18"/>
              </w:rPr>
              <w:t>High alignment.</w:t>
            </w:r>
          </w:p>
          <w:p w:rsidR="00584B95" w:rsidRPr="003F1D05" w:rsidRDefault="00584B95" w:rsidP="00766B4F">
            <w:pPr>
              <w:jc w:val="left"/>
              <w:rPr>
                <w:sz w:val="18"/>
                <w:szCs w:val="18"/>
              </w:rPr>
            </w:pPr>
            <w:r w:rsidRPr="003F1D05">
              <w:rPr>
                <w:sz w:val="18"/>
                <w:szCs w:val="18"/>
              </w:rPr>
              <w:t xml:space="preserve">Apart from three recommendations/challenges which do not seem to be reflected in the PA, the programming document largely addresses the key </w:t>
            </w:r>
            <w:r>
              <w:rPr>
                <w:sz w:val="18"/>
                <w:szCs w:val="18"/>
              </w:rPr>
              <w:t>CSR</w:t>
            </w:r>
            <w:r w:rsidRPr="003F1D05">
              <w:rPr>
                <w:sz w:val="18"/>
                <w:szCs w:val="18"/>
              </w:rPr>
              <w:t>/structural challenges identified by the European Commission.</w:t>
            </w:r>
          </w:p>
        </w:tc>
      </w:tr>
      <w:tr w:rsidR="00584B95" w:rsidRPr="003F1D05" w:rsidTr="00766B4F">
        <w:tc>
          <w:tcPr>
            <w:tcW w:w="225" w:type="pct"/>
            <w:vAlign w:val="center"/>
          </w:tcPr>
          <w:p w:rsidR="00584B95" w:rsidRPr="003F1D05" w:rsidRDefault="00584B95" w:rsidP="00766B4F">
            <w:pPr>
              <w:jc w:val="left"/>
              <w:rPr>
                <w:sz w:val="18"/>
                <w:szCs w:val="18"/>
              </w:rPr>
            </w:pPr>
            <w:r w:rsidRPr="003F1D05">
              <w:rPr>
                <w:sz w:val="18"/>
                <w:szCs w:val="18"/>
              </w:rPr>
              <w:t>PT</w:t>
            </w:r>
          </w:p>
        </w:tc>
        <w:tc>
          <w:tcPr>
            <w:tcW w:w="776" w:type="pct"/>
            <w:vAlign w:val="center"/>
          </w:tcPr>
          <w:p w:rsidR="00584B95" w:rsidRPr="003F1D05" w:rsidRDefault="00584B95" w:rsidP="00766B4F">
            <w:pPr>
              <w:jc w:val="left"/>
              <w:rPr>
                <w:sz w:val="18"/>
                <w:szCs w:val="18"/>
              </w:rPr>
            </w:pPr>
            <w:r w:rsidRPr="003F1D05">
              <w:rPr>
                <w:sz w:val="18"/>
                <w:szCs w:val="18"/>
              </w:rPr>
              <w:t>In terms of strategic alignment, the thematic structure adopted in the PA focused essentially on the three major priorities for funding defined in the CPP, namely (1) competitiveness and internationalization of the economy, employment and social inclusion, (2) education and training, (3) resource use efficiency and sustainability. It also adopted two transversal domains related with the reform of public administration and the territorial approach to the interventions.</w:t>
            </w:r>
          </w:p>
        </w:tc>
        <w:tc>
          <w:tcPr>
            <w:tcW w:w="1089" w:type="pct"/>
            <w:vAlign w:val="center"/>
          </w:tcPr>
          <w:p w:rsidR="00584B95" w:rsidRPr="003F1D05" w:rsidRDefault="00584B95" w:rsidP="00766B4F">
            <w:pPr>
              <w:jc w:val="left"/>
              <w:rPr>
                <w:sz w:val="18"/>
                <w:szCs w:val="18"/>
              </w:rPr>
            </w:pPr>
            <w:r w:rsidRPr="003F1D05">
              <w:rPr>
                <w:sz w:val="18"/>
                <w:szCs w:val="18"/>
              </w:rPr>
              <w:t xml:space="preserve">The PA only has a few explicit references to </w:t>
            </w:r>
            <w:r>
              <w:rPr>
                <w:sz w:val="18"/>
                <w:szCs w:val="18"/>
              </w:rPr>
              <w:t>CSR</w:t>
            </w:r>
            <w:r w:rsidRPr="003F1D05">
              <w:rPr>
                <w:sz w:val="18"/>
                <w:szCs w:val="18"/>
              </w:rPr>
              <w:t xml:space="preserve">/structural challenges, all regarding the policy area “Institutional capacity, public administration and justice systems”, namely the recommendations to reduce the number of local government entities, to reform and improve the functioning of the judicial system. </w:t>
            </w:r>
          </w:p>
          <w:p w:rsidR="00584B95" w:rsidRPr="003F1D05" w:rsidRDefault="00584B95" w:rsidP="00766B4F">
            <w:pPr>
              <w:jc w:val="left"/>
              <w:rPr>
                <w:sz w:val="18"/>
                <w:szCs w:val="18"/>
              </w:rPr>
            </w:pPr>
            <w:r w:rsidRPr="003F1D05">
              <w:rPr>
                <w:sz w:val="18"/>
                <w:szCs w:val="18"/>
              </w:rPr>
              <w:t xml:space="preserve">However, there are plenty of implicit references to most of the </w:t>
            </w:r>
            <w:r>
              <w:rPr>
                <w:sz w:val="18"/>
                <w:szCs w:val="18"/>
              </w:rPr>
              <w:t>CSR</w:t>
            </w:r>
            <w:r w:rsidRPr="003F1D05">
              <w:rPr>
                <w:sz w:val="18"/>
                <w:szCs w:val="18"/>
              </w:rPr>
              <w:t xml:space="preserve">, in particular to the ones presented in 2013 and 2014. These references abound throughout Section 1.1, but are also present in Section 1.3 for half of the thematic objectives. </w:t>
            </w:r>
          </w:p>
        </w:tc>
        <w:tc>
          <w:tcPr>
            <w:tcW w:w="1075" w:type="pct"/>
            <w:vAlign w:val="center"/>
          </w:tcPr>
          <w:p w:rsidR="00584B95" w:rsidRPr="003F1D05" w:rsidRDefault="00584B95" w:rsidP="00766B4F">
            <w:pPr>
              <w:jc w:val="left"/>
              <w:rPr>
                <w:sz w:val="18"/>
                <w:szCs w:val="18"/>
              </w:rPr>
            </w:pPr>
            <w:r w:rsidRPr="003F1D05">
              <w:rPr>
                <w:sz w:val="18"/>
                <w:szCs w:val="18"/>
              </w:rPr>
              <w:t xml:space="preserve">Apart from the need to strengthen active labour market policies, in general some recommendations related with reforms of the labour market (e.g. 2014 CSR 3.1 on employment protection and LM segmentation) and wage setting (e.g. 2014 CSR 2.1) are not clearly stated in the document. </w:t>
            </w:r>
          </w:p>
          <w:p w:rsidR="00584B95" w:rsidRPr="003F1D05" w:rsidRDefault="00584B95" w:rsidP="00766B4F">
            <w:pPr>
              <w:jc w:val="left"/>
              <w:rPr>
                <w:sz w:val="18"/>
                <w:szCs w:val="18"/>
              </w:rPr>
            </w:pPr>
            <w:r w:rsidRPr="003F1D05">
              <w:rPr>
                <w:sz w:val="18"/>
                <w:szCs w:val="18"/>
              </w:rPr>
              <w:t>Also regarding the transport policy area, the references to 2014 CSR 6.2 are vague and do not cover issues like ports sector reforms, ports and metropolitan transport concessions, financial sustainability and management independence of state owned transport sector companies, and increased efficiency and competition in the railways sector.</w:t>
            </w:r>
          </w:p>
          <w:p w:rsidR="00584B95" w:rsidRPr="003F1D05" w:rsidRDefault="00584B95" w:rsidP="00766B4F">
            <w:pPr>
              <w:jc w:val="left"/>
              <w:rPr>
                <w:sz w:val="18"/>
                <w:szCs w:val="18"/>
              </w:rPr>
            </w:pPr>
            <w:r w:rsidRPr="003F1D05">
              <w:rPr>
                <w:sz w:val="18"/>
                <w:szCs w:val="18"/>
              </w:rPr>
              <w:t>Also, there are no references to the need to eliminate payment delays in the public sector (2014 CSR 7.2).</w:t>
            </w:r>
          </w:p>
        </w:tc>
        <w:tc>
          <w:tcPr>
            <w:tcW w:w="929" w:type="pct"/>
            <w:vAlign w:val="center"/>
          </w:tcPr>
          <w:p w:rsidR="00584B95" w:rsidRPr="003F1D05" w:rsidRDefault="00584B95" w:rsidP="00766B4F">
            <w:pPr>
              <w:jc w:val="left"/>
              <w:rPr>
                <w:sz w:val="18"/>
                <w:szCs w:val="18"/>
              </w:rPr>
            </w:pPr>
            <w:r w:rsidRPr="003F1D05">
              <w:rPr>
                <w:sz w:val="18"/>
                <w:szCs w:val="18"/>
              </w:rPr>
              <w:t>The document states that the programming of the 2014-2020 ESIF was structured in the PA in order to intervene in critical domains in which the implementation of the funds would allow a convergence between the Europe 2020 goals and the national strategic objectives laid out in the National Reforms Plan, in a context of severe restrictions associated with the – then ongoing – procedure of correction of the macroeconomic imbalance.</w:t>
            </w:r>
          </w:p>
        </w:tc>
        <w:tc>
          <w:tcPr>
            <w:tcW w:w="906" w:type="pct"/>
            <w:vAlign w:val="center"/>
          </w:tcPr>
          <w:p w:rsidR="00584B95" w:rsidRPr="003F1D05" w:rsidRDefault="00584B95" w:rsidP="00766B4F">
            <w:pPr>
              <w:jc w:val="left"/>
              <w:rPr>
                <w:sz w:val="18"/>
                <w:szCs w:val="18"/>
              </w:rPr>
            </w:pPr>
            <w:r w:rsidRPr="003F1D05">
              <w:rPr>
                <w:sz w:val="18"/>
                <w:szCs w:val="18"/>
              </w:rPr>
              <w:t xml:space="preserve">Medium alignment. Although there are only a few explicit references to </w:t>
            </w:r>
            <w:r>
              <w:rPr>
                <w:sz w:val="18"/>
                <w:szCs w:val="18"/>
              </w:rPr>
              <w:t>CSR</w:t>
            </w:r>
            <w:r w:rsidRPr="003F1D05">
              <w:rPr>
                <w:sz w:val="18"/>
                <w:szCs w:val="18"/>
              </w:rPr>
              <w:t xml:space="preserve"> in the document, it implicitly covers a large part of the </w:t>
            </w:r>
            <w:r>
              <w:rPr>
                <w:sz w:val="18"/>
                <w:szCs w:val="18"/>
              </w:rPr>
              <w:t>CSR</w:t>
            </w:r>
            <w:r w:rsidRPr="003F1D05">
              <w:rPr>
                <w:sz w:val="18"/>
                <w:szCs w:val="18"/>
              </w:rPr>
              <w:t xml:space="preserve"> presented in 2012, 2013 and 2014. Nevertheless, the document does not highlight a clear relation between the PA and support of the ESI Funds to the </w:t>
            </w:r>
            <w:r>
              <w:rPr>
                <w:sz w:val="18"/>
                <w:szCs w:val="18"/>
              </w:rPr>
              <w:t>CSR</w:t>
            </w:r>
            <w:r w:rsidRPr="003F1D05">
              <w:rPr>
                <w:sz w:val="18"/>
                <w:szCs w:val="18"/>
              </w:rPr>
              <w:t xml:space="preserve"> and structural reforms, so this does not come evident as a central issue.</w:t>
            </w:r>
          </w:p>
        </w:tc>
      </w:tr>
      <w:tr w:rsidR="00584B95" w:rsidRPr="003F1D05" w:rsidTr="00766B4F">
        <w:tc>
          <w:tcPr>
            <w:tcW w:w="225" w:type="pct"/>
            <w:vAlign w:val="center"/>
          </w:tcPr>
          <w:p w:rsidR="00584B95" w:rsidRPr="003F1D05" w:rsidRDefault="00584B95" w:rsidP="00766B4F">
            <w:pPr>
              <w:jc w:val="left"/>
              <w:rPr>
                <w:sz w:val="18"/>
                <w:szCs w:val="18"/>
              </w:rPr>
            </w:pPr>
            <w:r w:rsidRPr="003F1D05">
              <w:rPr>
                <w:sz w:val="18"/>
                <w:szCs w:val="18"/>
              </w:rPr>
              <w:t>RO</w:t>
            </w:r>
          </w:p>
        </w:tc>
        <w:tc>
          <w:tcPr>
            <w:tcW w:w="776" w:type="pct"/>
            <w:vAlign w:val="center"/>
          </w:tcPr>
          <w:p w:rsidR="00584B95" w:rsidRPr="003F1D05" w:rsidRDefault="00584B95" w:rsidP="00766B4F">
            <w:pPr>
              <w:jc w:val="left"/>
              <w:rPr>
                <w:sz w:val="18"/>
                <w:szCs w:val="18"/>
              </w:rPr>
            </w:pPr>
            <w:r w:rsidRPr="003F1D05">
              <w:rPr>
                <w:sz w:val="18"/>
                <w:szCs w:val="18"/>
              </w:rPr>
              <w:t xml:space="preserve">The PA is coherent with the funding needs indicated in the CPP by thematic objective. The PA details to a greater extent the challenges and the funding priorities and needs, addressing in a more clear manner the </w:t>
            </w:r>
            <w:r>
              <w:rPr>
                <w:sz w:val="18"/>
                <w:szCs w:val="18"/>
              </w:rPr>
              <w:t>CSR</w:t>
            </w:r>
            <w:r w:rsidRPr="003F1D05">
              <w:rPr>
                <w:sz w:val="18"/>
                <w:szCs w:val="18"/>
              </w:rPr>
              <w:t>/structural challenges.</w:t>
            </w:r>
          </w:p>
        </w:tc>
        <w:tc>
          <w:tcPr>
            <w:tcW w:w="1089" w:type="pct"/>
            <w:vAlign w:val="center"/>
          </w:tcPr>
          <w:p w:rsidR="00584B95" w:rsidRPr="003F1D05" w:rsidRDefault="00584B95" w:rsidP="00766B4F">
            <w:pPr>
              <w:jc w:val="left"/>
              <w:rPr>
                <w:sz w:val="18"/>
                <w:szCs w:val="18"/>
              </w:rPr>
            </w:pPr>
            <w:r w:rsidRPr="003F1D05">
              <w:rPr>
                <w:sz w:val="18"/>
                <w:szCs w:val="18"/>
              </w:rPr>
              <w:t xml:space="preserve">The PA refers to all cohesion relevant CSR/structural challenges, i.e. those which imply investments. </w:t>
            </w:r>
          </w:p>
          <w:p w:rsidR="00584B95" w:rsidRPr="003F1D05" w:rsidRDefault="00584B95" w:rsidP="00766B4F">
            <w:pPr>
              <w:jc w:val="left"/>
              <w:rPr>
                <w:sz w:val="18"/>
                <w:szCs w:val="18"/>
              </w:rPr>
            </w:pPr>
            <w:r w:rsidRPr="003F1D05">
              <w:rPr>
                <w:sz w:val="18"/>
                <w:szCs w:val="18"/>
              </w:rPr>
              <w:t xml:space="preserve">Sections 1.1 and 1.3 of the PA often include explicit references to the </w:t>
            </w:r>
            <w:r>
              <w:rPr>
                <w:sz w:val="18"/>
                <w:szCs w:val="18"/>
              </w:rPr>
              <w:t>CSR</w:t>
            </w:r>
            <w:r w:rsidRPr="003F1D05">
              <w:rPr>
                <w:sz w:val="18"/>
                <w:szCs w:val="18"/>
              </w:rPr>
              <w:t xml:space="preserve"> challenges. Section 2.5 on the assessment of the needs in terms of administrative capacity include direct references to a number of structural challenges such as: weaknesses in the management and control systems, public procurement, improve efficiency and effectiveness, enhancing quality of the public expenditure, use of impact assessments, coordination among institutions responsible for funds management.</w:t>
            </w:r>
          </w:p>
        </w:tc>
        <w:tc>
          <w:tcPr>
            <w:tcW w:w="1075" w:type="pct"/>
            <w:vAlign w:val="center"/>
          </w:tcPr>
          <w:p w:rsidR="00584B95" w:rsidRPr="003F1D05" w:rsidRDefault="00584B95" w:rsidP="00766B4F">
            <w:pPr>
              <w:jc w:val="left"/>
              <w:rPr>
                <w:sz w:val="18"/>
                <w:szCs w:val="18"/>
              </w:rPr>
            </w:pPr>
            <w:r w:rsidRPr="003F1D05">
              <w:rPr>
                <w:sz w:val="18"/>
                <w:szCs w:val="18"/>
              </w:rPr>
              <w:t xml:space="preserve">Only the regulatory CSR/structural challenges are not covered by the PA: </w:t>
            </w:r>
          </w:p>
          <w:p w:rsidR="00584B95" w:rsidRPr="003F1D05" w:rsidRDefault="00584B95" w:rsidP="00766B4F">
            <w:pPr>
              <w:jc w:val="left"/>
              <w:rPr>
                <w:sz w:val="18"/>
                <w:szCs w:val="18"/>
              </w:rPr>
            </w:pPr>
            <w:r w:rsidRPr="003F1D05">
              <w:rPr>
                <w:sz w:val="18"/>
                <w:szCs w:val="18"/>
              </w:rPr>
              <w:t>2012 MoU 2.1. phase out regulated prices in electricity and gas;</w:t>
            </w:r>
          </w:p>
          <w:p w:rsidR="00584B95" w:rsidRPr="003F1D05" w:rsidRDefault="00584B95" w:rsidP="00766B4F">
            <w:pPr>
              <w:jc w:val="left"/>
              <w:rPr>
                <w:sz w:val="18"/>
                <w:szCs w:val="18"/>
              </w:rPr>
            </w:pPr>
            <w:r w:rsidRPr="003F1D05">
              <w:rPr>
                <w:sz w:val="18"/>
                <w:szCs w:val="18"/>
              </w:rPr>
              <w:t xml:space="preserve">2012 MoU 7.1 and 2014 CSR 2.3 regarding employment protection legislation, adoption of the </w:t>
            </w:r>
            <w:proofErr w:type="spellStart"/>
            <w:r w:rsidRPr="003F1D05">
              <w:rPr>
                <w:sz w:val="18"/>
                <w:szCs w:val="18"/>
              </w:rPr>
              <w:t>flexicurity</w:t>
            </w:r>
            <w:proofErr w:type="spellEnd"/>
            <w:r w:rsidRPr="003F1D05">
              <w:rPr>
                <w:sz w:val="18"/>
                <w:szCs w:val="18"/>
              </w:rPr>
              <w:t xml:space="preserve"> principles and reduction of tax burden for low and middle income earners;</w:t>
            </w:r>
          </w:p>
          <w:p w:rsidR="00584B95" w:rsidRPr="003F1D05" w:rsidRDefault="00584B95" w:rsidP="00766B4F">
            <w:pPr>
              <w:jc w:val="left"/>
              <w:rPr>
                <w:sz w:val="18"/>
                <w:szCs w:val="18"/>
              </w:rPr>
            </w:pPr>
            <w:r w:rsidRPr="003F1D05">
              <w:rPr>
                <w:sz w:val="18"/>
                <w:szCs w:val="18"/>
              </w:rPr>
              <w:t xml:space="preserve">2012 MoU 5.1 and 2014 CSR 4.3 regarding the reform of the wage setting system and transparency of the minimum wage setting. </w:t>
            </w:r>
          </w:p>
        </w:tc>
        <w:tc>
          <w:tcPr>
            <w:tcW w:w="929" w:type="pct"/>
            <w:vAlign w:val="center"/>
          </w:tcPr>
          <w:p w:rsidR="00584B95" w:rsidRPr="003F1D05" w:rsidRDefault="00584B95" w:rsidP="00766B4F">
            <w:pPr>
              <w:jc w:val="left"/>
              <w:rPr>
                <w:sz w:val="18"/>
                <w:szCs w:val="18"/>
              </w:rPr>
            </w:pPr>
            <w:r w:rsidRPr="003F1D05">
              <w:rPr>
                <w:sz w:val="18"/>
                <w:szCs w:val="18"/>
              </w:rPr>
              <w:t>The PA indicates that the funding priorities are closely related to the objectives of the Europe 2020 Strategy, the CSR and the needs identified in Section 1.1.</w:t>
            </w:r>
          </w:p>
        </w:tc>
        <w:tc>
          <w:tcPr>
            <w:tcW w:w="906" w:type="pct"/>
            <w:vAlign w:val="center"/>
          </w:tcPr>
          <w:p w:rsidR="00584B95" w:rsidRPr="003F1D05" w:rsidRDefault="00584B95" w:rsidP="00766B4F">
            <w:pPr>
              <w:jc w:val="left"/>
              <w:rPr>
                <w:sz w:val="18"/>
                <w:szCs w:val="18"/>
              </w:rPr>
            </w:pPr>
            <w:r w:rsidRPr="003F1D05">
              <w:rPr>
                <w:sz w:val="18"/>
                <w:szCs w:val="18"/>
              </w:rPr>
              <w:t>High alignment.</w:t>
            </w:r>
          </w:p>
          <w:p w:rsidR="00584B95" w:rsidRPr="003F1D05" w:rsidRDefault="00584B95" w:rsidP="00766B4F">
            <w:pPr>
              <w:jc w:val="left"/>
              <w:rPr>
                <w:sz w:val="18"/>
                <w:szCs w:val="18"/>
              </w:rPr>
            </w:pPr>
            <w:r w:rsidRPr="003F1D05">
              <w:rPr>
                <w:sz w:val="18"/>
                <w:szCs w:val="18"/>
              </w:rPr>
              <w:t xml:space="preserve">The PA addresses the relevant </w:t>
            </w:r>
            <w:r>
              <w:rPr>
                <w:sz w:val="18"/>
                <w:szCs w:val="18"/>
              </w:rPr>
              <w:t>CSR</w:t>
            </w:r>
            <w:r w:rsidRPr="003F1D05">
              <w:rPr>
                <w:sz w:val="18"/>
                <w:szCs w:val="18"/>
              </w:rPr>
              <w:t xml:space="preserve"> proposed by the European Commission and the structural challenges identified. These played a major role in the programming process, and in the development of the document. The </w:t>
            </w:r>
            <w:r>
              <w:rPr>
                <w:sz w:val="18"/>
                <w:szCs w:val="18"/>
              </w:rPr>
              <w:t>CSR</w:t>
            </w:r>
            <w:r w:rsidRPr="003F1D05">
              <w:rPr>
                <w:sz w:val="18"/>
                <w:szCs w:val="18"/>
              </w:rPr>
              <w:t xml:space="preserve"> and the CPP set the foundations for the design of the document.</w:t>
            </w:r>
          </w:p>
        </w:tc>
      </w:tr>
      <w:tr w:rsidR="00584B95" w:rsidRPr="003F1D05" w:rsidTr="00766B4F">
        <w:tc>
          <w:tcPr>
            <w:tcW w:w="225" w:type="pct"/>
            <w:vAlign w:val="center"/>
          </w:tcPr>
          <w:p w:rsidR="00584B95" w:rsidRPr="003F1D05" w:rsidRDefault="00584B95" w:rsidP="00766B4F">
            <w:pPr>
              <w:jc w:val="left"/>
              <w:rPr>
                <w:sz w:val="18"/>
                <w:szCs w:val="18"/>
              </w:rPr>
            </w:pPr>
            <w:r w:rsidRPr="003F1D05">
              <w:rPr>
                <w:sz w:val="18"/>
                <w:szCs w:val="18"/>
              </w:rPr>
              <w:t>SE</w:t>
            </w:r>
          </w:p>
        </w:tc>
        <w:tc>
          <w:tcPr>
            <w:tcW w:w="776" w:type="pct"/>
            <w:vAlign w:val="center"/>
          </w:tcPr>
          <w:p w:rsidR="00584B95" w:rsidRPr="003F1D05" w:rsidRDefault="00584B95" w:rsidP="00766B4F">
            <w:pPr>
              <w:jc w:val="left"/>
              <w:rPr>
                <w:sz w:val="18"/>
                <w:szCs w:val="18"/>
              </w:rPr>
            </w:pPr>
            <w:r w:rsidRPr="003F1D05">
              <w:rPr>
                <w:sz w:val="18"/>
                <w:szCs w:val="18"/>
              </w:rPr>
              <w:t>The treatment of structural challenges is coherent in the PA and the CPP. The PA contains a structured analysis of the challenges and development potential (Section 1).</w:t>
            </w:r>
          </w:p>
        </w:tc>
        <w:tc>
          <w:tcPr>
            <w:tcW w:w="1089" w:type="pct"/>
            <w:vAlign w:val="center"/>
          </w:tcPr>
          <w:p w:rsidR="00584B95" w:rsidRPr="003F1D05" w:rsidRDefault="00584B95" w:rsidP="00766B4F">
            <w:pPr>
              <w:jc w:val="left"/>
              <w:rPr>
                <w:sz w:val="18"/>
                <w:szCs w:val="18"/>
              </w:rPr>
            </w:pPr>
            <w:r w:rsidRPr="003F1D05">
              <w:rPr>
                <w:sz w:val="18"/>
                <w:szCs w:val="18"/>
              </w:rPr>
              <w:t xml:space="preserve">The </w:t>
            </w:r>
            <w:r>
              <w:rPr>
                <w:sz w:val="18"/>
                <w:szCs w:val="18"/>
              </w:rPr>
              <w:t>CSR</w:t>
            </w:r>
            <w:r w:rsidRPr="003F1D05">
              <w:rPr>
                <w:sz w:val="18"/>
                <w:szCs w:val="18"/>
              </w:rPr>
              <w:t xml:space="preserve"> concerning the themes of competitiveness, SMEs, innovation, labour market and social exclusion, sustainability and resource efficiency, upgrading of the rail system have been referred implicitly but systematically in the PA. </w:t>
            </w:r>
          </w:p>
        </w:tc>
        <w:tc>
          <w:tcPr>
            <w:tcW w:w="1075" w:type="pct"/>
            <w:vAlign w:val="center"/>
          </w:tcPr>
          <w:p w:rsidR="00584B95" w:rsidRPr="003F1D05" w:rsidRDefault="00584B95" w:rsidP="00766B4F">
            <w:pPr>
              <w:jc w:val="left"/>
              <w:rPr>
                <w:sz w:val="18"/>
                <w:szCs w:val="18"/>
              </w:rPr>
            </w:pPr>
            <w:r w:rsidRPr="003F1D05">
              <w:rPr>
                <w:sz w:val="18"/>
                <w:szCs w:val="18"/>
              </w:rPr>
              <w:t xml:space="preserve">The </w:t>
            </w:r>
            <w:r>
              <w:rPr>
                <w:sz w:val="18"/>
                <w:szCs w:val="18"/>
              </w:rPr>
              <w:t>CSR</w:t>
            </w:r>
            <w:r w:rsidRPr="003F1D05">
              <w:rPr>
                <w:sz w:val="18"/>
                <w:szCs w:val="18"/>
              </w:rPr>
              <w:t xml:space="preserve"> concerning  housing and other social infrastructures as well as those on the effects of reduced VAT on job creation (2012 CSR 3.2, 2013 CSR 4.3) have no role in the PA.</w:t>
            </w:r>
          </w:p>
          <w:p w:rsidR="00584B95" w:rsidRPr="003F1D05" w:rsidRDefault="00584B95" w:rsidP="00766B4F">
            <w:pPr>
              <w:jc w:val="left"/>
              <w:rPr>
                <w:sz w:val="18"/>
                <w:szCs w:val="18"/>
              </w:rPr>
            </w:pPr>
            <w:r w:rsidRPr="003F1D05">
              <w:rPr>
                <w:sz w:val="18"/>
                <w:szCs w:val="18"/>
              </w:rPr>
              <w:t xml:space="preserve">Planning and land policy in connection to housing are problems basically limited to Stockholm and other major city regions. The </w:t>
            </w:r>
            <w:r>
              <w:rPr>
                <w:sz w:val="18"/>
                <w:szCs w:val="18"/>
              </w:rPr>
              <w:t>CSR</w:t>
            </w:r>
            <w:r w:rsidRPr="003F1D05">
              <w:rPr>
                <w:sz w:val="18"/>
                <w:szCs w:val="18"/>
              </w:rPr>
              <w:t xml:space="preserve"> concern mainly the reforms in legislation and institutional arrangements which are outside the scope of EU funding.</w:t>
            </w:r>
          </w:p>
        </w:tc>
        <w:tc>
          <w:tcPr>
            <w:tcW w:w="929" w:type="pct"/>
            <w:vAlign w:val="center"/>
          </w:tcPr>
          <w:p w:rsidR="00584B95" w:rsidRPr="003F1D05" w:rsidRDefault="00584B95" w:rsidP="00766B4F">
            <w:pPr>
              <w:jc w:val="left"/>
              <w:rPr>
                <w:sz w:val="18"/>
                <w:szCs w:val="18"/>
              </w:rPr>
            </w:pPr>
            <w:r w:rsidRPr="003F1D05">
              <w:rPr>
                <w:sz w:val="18"/>
                <w:szCs w:val="18"/>
              </w:rPr>
              <w:t xml:space="preserve">Central role of the recommendations in relation to the themes of competitiveness, SMEs, innovation, labour market and social exclusion, sustainability and resource efficiency.  </w:t>
            </w:r>
          </w:p>
        </w:tc>
        <w:tc>
          <w:tcPr>
            <w:tcW w:w="906" w:type="pct"/>
            <w:vAlign w:val="center"/>
          </w:tcPr>
          <w:p w:rsidR="00584B95" w:rsidRPr="003F1D05" w:rsidRDefault="00584B95" w:rsidP="00766B4F">
            <w:pPr>
              <w:jc w:val="left"/>
              <w:rPr>
                <w:sz w:val="18"/>
                <w:szCs w:val="18"/>
              </w:rPr>
            </w:pPr>
            <w:r w:rsidRPr="003F1D05">
              <w:rPr>
                <w:sz w:val="18"/>
                <w:szCs w:val="18"/>
              </w:rPr>
              <w:t xml:space="preserve">High alignment. </w:t>
            </w:r>
          </w:p>
          <w:p w:rsidR="00584B95" w:rsidRDefault="00584B95" w:rsidP="00766B4F">
            <w:pPr>
              <w:jc w:val="left"/>
              <w:rPr>
                <w:sz w:val="18"/>
                <w:szCs w:val="18"/>
              </w:rPr>
            </w:pPr>
            <w:r w:rsidRPr="003F1D05">
              <w:rPr>
                <w:sz w:val="18"/>
                <w:szCs w:val="18"/>
              </w:rPr>
              <w:t>The analysis of main challenges and the specification of reform needs and priorities are based on a long-run research and political discussion whose background are the experiences of the earlier programme periods and an analysis of the new challenges.</w:t>
            </w:r>
            <w:r>
              <w:rPr>
                <w:sz w:val="18"/>
                <w:szCs w:val="18"/>
              </w:rPr>
              <w:t xml:space="preserve"> </w:t>
            </w:r>
          </w:p>
          <w:p w:rsidR="00584B95" w:rsidRPr="003F1D05" w:rsidRDefault="00584B95" w:rsidP="00766B4F">
            <w:pPr>
              <w:jc w:val="left"/>
              <w:rPr>
                <w:sz w:val="18"/>
                <w:szCs w:val="18"/>
              </w:rPr>
            </w:pPr>
            <w:r w:rsidRPr="003F1D05">
              <w:rPr>
                <w:sz w:val="18"/>
                <w:szCs w:val="18"/>
              </w:rPr>
              <w:t xml:space="preserve">There has clearly been a lot of interaction between the CSR process and the preparation of the CPP and PA.   </w:t>
            </w:r>
          </w:p>
        </w:tc>
      </w:tr>
      <w:tr w:rsidR="00584B95" w:rsidRPr="003F1D05" w:rsidTr="00766B4F">
        <w:tc>
          <w:tcPr>
            <w:tcW w:w="225" w:type="pct"/>
            <w:vAlign w:val="center"/>
          </w:tcPr>
          <w:p w:rsidR="00584B95" w:rsidRPr="003F1D05" w:rsidRDefault="00584B95" w:rsidP="00766B4F">
            <w:pPr>
              <w:jc w:val="left"/>
              <w:rPr>
                <w:sz w:val="18"/>
                <w:szCs w:val="18"/>
              </w:rPr>
            </w:pPr>
            <w:r w:rsidRPr="003F1D05">
              <w:rPr>
                <w:sz w:val="18"/>
                <w:szCs w:val="18"/>
              </w:rPr>
              <w:t>SI</w:t>
            </w:r>
          </w:p>
        </w:tc>
        <w:tc>
          <w:tcPr>
            <w:tcW w:w="776" w:type="pct"/>
            <w:vAlign w:val="center"/>
          </w:tcPr>
          <w:p w:rsidR="00584B95" w:rsidRPr="003F1D05" w:rsidRDefault="00584B95" w:rsidP="00766B4F">
            <w:pPr>
              <w:jc w:val="left"/>
              <w:rPr>
                <w:sz w:val="18"/>
                <w:szCs w:val="18"/>
              </w:rPr>
            </w:pPr>
            <w:r w:rsidRPr="003F1D05">
              <w:rPr>
                <w:sz w:val="18"/>
                <w:szCs w:val="18"/>
              </w:rPr>
              <w:t>The CPP identified three most pressing challenges (low labour market participation, burdensome business environment hindering competitiveness on domestic and export markets, inefficient use of resources) which are all addressed in the PA.</w:t>
            </w:r>
          </w:p>
        </w:tc>
        <w:tc>
          <w:tcPr>
            <w:tcW w:w="1089" w:type="pct"/>
            <w:vAlign w:val="center"/>
          </w:tcPr>
          <w:p w:rsidR="00584B95" w:rsidRPr="003F1D05" w:rsidRDefault="00584B95" w:rsidP="00766B4F">
            <w:pPr>
              <w:jc w:val="left"/>
              <w:rPr>
                <w:sz w:val="18"/>
                <w:szCs w:val="18"/>
              </w:rPr>
            </w:pPr>
            <w:r w:rsidRPr="003F1D05">
              <w:rPr>
                <w:sz w:val="18"/>
                <w:szCs w:val="18"/>
              </w:rPr>
              <w:t>The relevant CSR/structural challenges are generally clearly set out (mostly with an explicit reference) in Sections 1.1 and 1.3 of the PA.</w:t>
            </w:r>
          </w:p>
          <w:p w:rsidR="00584B95" w:rsidRPr="003F1D05" w:rsidRDefault="00584B95" w:rsidP="00766B4F">
            <w:pPr>
              <w:jc w:val="left"/>
              <w:rPr>
                <w:sz w:val="18"/>
                <w:szCs w:val="18"/>
              </w:rPr>
            </w:pPr>
            <w:r w:rsidRPr="003F1D05">
              <w:rPr>
                <w:sz w:val="18"/>
                <w:szCs w:val="18"/>
              </w:rPr>
              <w:t>Section 2.5 on the assessment of the needs in terms of administrative capacity does not include an explicit reference to CSR but highlights that one of the actions to be carried out concerns the need for adequate administrative capacity (especially in the field of public procurement and environmental impact assessments), which is in line with one of the issues raised in the 2014 Country Report (3.1).</w:t>
            </w:r>
          </w:p>
        </w:tc>
        <w:tc>
          <w:tcPr>
            <w:tcW w:w="1075" w:type="pct"/>
            <w:vAlign w:val="center"/>
          </w:tcPr>
          <w:p w:rsidR="00584B95" w:rsidRPr="003F1D05" w:rsidRDefault="00584B95" w:rsidP="00766B4F">
            <w:pPr>
              <w:jc w:val="left"/>
              <w:rPr>
                <w:sz w:val="18"/>
                <w:szCs w:val="18"/>
              </w:rPr>
            </w:pPr>
            <w:r>
              <w:rPr>
                <w:sz w:val="18"/>
                <w:szCs w:val="18"/>
              </w:rPr>
              <w:t xml:space="preserve">Apart from the CSR/structural challenges that are not cohesion relevant, the only </w:t>
            </w:r>
            <w:r w:rsidRPr="003F1D05">
              <w:rPr>
                <w:sz w:val="18"/>
                <w:szCs w:val="18"/>
              </w:rPr>
              <w:t xml:space="preserve">recommendation not </w:t>
            </w:r>
            <w:r>
              <w:rPr>
                <w:sz w:val="18"/>
                <w:szCs w:val="18"/>
              </w:rPr>
              <w:t xml:space="preserve">adequately </w:t>
            </w:r>
            <w:r w:rsidRPr="003F1D05">
              <w:rPr>
                <w:sz w:val="18"/>
                <w:szCs w:val="18"/>
              </w:rPr>
              <w:t xml:space="preserve">covered </w:t>
            </w:r>
            <w:r>
              <w:rPr>
                <w:sz w:val="18"/>
                <w:szCs w:val="18"/>
              </w:rPr>
              <w:t>concerns e</w:t>
            </w:r>
            <w:r w:rsidRPr="003F1D05">
              <w:rPr>
                <w:sz w:val="18"/>
                <w:szCs w:val="18"/>
              </w:rPr>
              <w:t>nergy infrastructure (2012 CR 1.1)</w:t>
            </w:r>
          </w:p>
          <w:p w:rsidR="00584B95" w:rsidRPr="003F1D05" w:rsidRDefault="00584B95" w:rsidP="00766B4F">
            <w:pPr>
              <w:jc w:val="left"/>
              <w:rPr>
                <w:sz w:val="18"/>
                <w:szCs w:val="18"/>
              </w:rPr>
            </w:pPr>
          </w:p>
        </w:tc>
        <w:tc>
          <w:tcPr>
            <w:tcW w:w="929" w:type="pct"/>
            <w:vAlign w:val="center"/>
          </w:tcPr>
          <w:p w:rsidR="00584B95" w:rsidRPr="003F1D05" w:rsidRDefault="00584B95" w:rsidP="00766B4F">
            <w:pPr>
              <w:jc w:val="left"/>
              <w:rPr>
                <w:sz w:val="18"/>
                <w:szCs w:val="18"/>
              </w:rPr>
            </w:pPr>
            <w:r w:rsidRPr="003F1D05">
              <w:rPr>
                <w:sz w:val="18"/>
                <w:szCs w:val="18"/>
              </w:rPr>
              <w:t xml:space="preserve">The PA indicates that the priorities are closely related to the objectives of the Europe 2020 Strategy; Table 6 (Selected thematic objectives and a summary of the main results expected for each Cohesion Policy Structural Fund) clearly demonstrates the relation between the </w:t>
            </w:r>
            <w:r>
              <w:rPr>
                <w:sz w:val="18"/>
                <w:szCs w:val="18"/>
              </w:rPr>
              <w:t>CSR</w:t>
            </w:r>
            <w:r w:rsidRPr="003F1D05">
              <w:rPr>
                <w:sz w:val="18"/>
                <w:szCs w:val="18"/>
              </w:rPr>
              <w:t>, the needs identified in Section 1.1. and selected thematic priorities.</w:t>
            </w:r>
          </w:p>
        </w:tc>
        <w:tc>
          <w:tcPr>
            <w:tcW w:w="906" w:type="pct"/>
            <w:vAlign w:val="center"/>
          </w:tcPr>
          <w:p w:rsidR="00584B95" w:rsidRPr="003F1D05" w:rsidRDefault="00584B95" w:rsidP="00766B4F">
            <w:pPr>
              <w:jc w:val="left"/>
              <w:rPr>
                <w:sz w:val="18"/>
                <w:szCs w:val="18"/>
              </w:rPr>
            </w:pPr>
            <w:r w:rsidRPr="003F1D05">
              <w:rPr>
                <w:sz w:val="18"/>
                <w:szCs w:val="18"/>
              </w:rPr>
              <w:t xml:space="preserve">High alignment. </w:t>
            </w:r>
          </w:p>
          <w:p w:rsidR="00584B95" w:rsidRPr="003F1D05" w:rsidRDefault="00584B95" w:rsidP="00766B4F">
            <w:pPr>
              <w:jc w:val="left"/>
              <w:rPr>
                <w:sz w:val="18"/>
                <w:szCs w:val="18"/>
              </w:rPr>
            </w:pPr>
            <w:r>
              <w:rPr>
                <w:sz w:val="18"/>
                <w:szCs w:val="18"/>
              </w:rPr>
              <w:t>T</w:t>
            </w:r>
            <w:r w:rsidRPr="003F1D05">
              <w:rPr>
                <w:sz w:val="18"/>
                <w:szCs w:val="18"/>
              </w:rPr>
              <w:t xml:space="preserve">he PA document largely addresses the key </w:t>
            </w:r>
            <w:r>
              <w:rPr>
                <w:sz w:val="18"/>
                <w:szCs w:val="18"/>
              </w:rPr>
              <w:t>CSR</w:t>
            </w:r>
            <w:r w:rsidRPr="003F1D05">
              <w:rPr>
                <w:sz w:val="18"/>
                <w:szCs w:val="18"/>
              </w:rPr>
              <w:t xml:space="preserve"> proposed by the European Commission and the structural challenges identified.</w:t>
            </w:r>
          </w:p>
        </w:tc>
      </w:tr>
      <w:tr w:rsidR="00584B95" w:rsidRPr="003F1D05" w:rsidTr="00766B4F">
        <w:tc>
          <w:tcPr>
            <w:tcW w:w="225" w:type="pct"/>
            <w:vAlign w:val="center"/>
          </w:tcPr>
          <w:p w:rsidR="00584B95" w:rsidRPr="003F1D05" w:rsidRDefault="00584B95" w:rsidP="00766B4F">
            <w:pPr>
              <w:jc w:val="left"/>
              <w:rPr>
                <w:sz w:val="18"/>
                <w:szCs w:val="18"/>
              </w:rPr>
            </w:pPr>
            <w:r w:rsidRPr="003F1D05">
              <w:rPr>
                <w:sz w:val="18"/>
                <w:szCs w:val="18"/>
              </w:rPr>
              <w:t>SK</w:t>
            </w:r>
          </w:p>
        </w:tc>
        <w:tc>
          <w:tcPr>
            <w:tcW w:w="776" w:type="pct"/>
            <w:vAlign w:val="center"/>
          </w:tcPr>
          <w:p w:rsidR="00584B95" w:rsidRPr="003F1D05" w:rsidRDefault="00584B95" w:rsidP="00766B4F">
            <w:pPr>
              <w:jc w:val="left"/>
              <w:rPr>
                <w:sz w:val="18"/>
                <w:szCs w:val="18"/>
              </w:rPr>
            </w:pPr>
            <w:r w:rsidRPr="003F1D05">
              <w:rPr>
                <w:sz w:val="18"/>
                <w:szCs w:val="18"/>
              </w:rPr>
              <w:t>The selection of funding priorities is in line with the recommendation made in the Position Paper. There is a clear reference to the Position paper regarding the institutional capacity of public authorities (chapter 1.3.5.1.2). The overlap is particularly evident in relation to labour market measures, integration of marginalised communities, energy efficiency, education and vocational training, research and development, institutional capacity of public authorities etc.</w:t>
            </w:r>
          </w:p>
        </w:tc>
        <w:tc>
          <w:tcPr>
            <w:tcW w:w="1089" w:type="pct"/>
            <w:vAlign w:val="center"/>
          </w:tcPr>
          <w:p w:rsidR="00584B95" w:rsidRPr="003F1D05" w:rsidRDefault="00584B95" w:rsidP="00766B4F">
            <w:pPr>
              <w:jc w:val="left"/>
              <w:rPr>
                <w:sz w:val="18"/>
                <w:szCs w:val="18"/>
              </w:rPr>
            </w:pPr>
            <w:r w:rsidRPr="003F1D05">
              <w:rPr>
                <w:sz w:val="18"/>
                <w:szCs w:val="18"/>
              </w:rPr>
              <w:t xml:space="preserve">The majority of selected thematic objectives and expected results outlined in chapter 1.3 of the PA refers explicitly to </w:t>
            </w:r>
            <w:r>
              <w:rPr>
                <w:sz w:val="18"/>
                <w:szCs w:val="18"/>
              </w:rPr>
              <w:t>CSR</w:t>
            </w:r>
            <w:r w:rsidRPr="003F1D05">
              <w:rPr>
                <w:sz w:val="18"/>
                <w:szCs w:val="18"/>
              </w:rPr>
              <w:t xml:space="preserve"> and other structural challenges identified. The reference to structural challenges exists also in part in subchapter 1.1. The CSR focused on institutional capacity are incorporated in the subchapter 2.5. Especially in the field of corruption and fraud, transparent financing of political parties, ESIF implementation and public procurement.</w:t>
            </w:r>
          </w:p>
        </w:tc>
        <w:tc>
          <w:tcPr>
            <w:tcW w:w="1075" w:type="pct"/>
            <w:vAlign w:val="center"/>
          </w:tcPr>
          <w:p w:rsidR="00584B95" w:rsidRPr="003F1D05" w:rsidRDefault="00584B95" w:rsidP="00766B4F">
            <w:pPr>
              <w:jc w:val="left"/>
              <w:rPr>
                <w:sz w:val="18"/>
                <w:szCs w:val="18"/>
              </w:rPr>
            </w:pPr>
            <w:r w:rsidRPr="003F1D05">
              <w:rPr>
                <w:sz w:val="18"/>
                <w:szCs w:val="18"/>
              </w:rPr>
              <w:t xml:space="preserve">The document covers all cohesion relevant </w:t>
            </w:r>
            <w:r>
              <w:rPr>
                <w:sz w:val="18"/>
                <w:szCs w:val="18"/>
              </w:rPr>
              <w:t>CSR</w:t>
            </w:r>
            <w:r w:rsidRPr="003F1D05">
              <w:rPr>
                <w:sz w:val="18"/>
                <w:szCs w:val="18"/>
              </w:rPr>
              <w:t xml:space="preserve"> while those linked to sustainability of public finance (excessive deficit reduction) and taxation, pension system, cost-effectiveness of healthcare are not addressed.</w:t>
            </w:r>
          </w:p>
        </w:tc>
        <w:tc>
          <w:tcPr>
            <w:tcW w:w="929" w:type="pct"/>
            <w:vAlign w:val="center"/>
          </w:tcPr>
          <w:p w:rsidR="00584B95" w:rsidRPr="003F1D05" w:rsidRDefault="00584B95" w:rsidP="00766B4F">
            <w:pPr>
              <w:jc w:val="left"/>
              <w:rPr>
                <w:sz w:val="18"/>
                <w:szCs w:val="18"/>
              </w:rPr>
            </w:pPr>
            <w:r w:rsidRPr="003F1D05">
              <w:rPr>
                <w:sz w:val="18"/>
                <w:szCs w:val="18"/>
              </w:rPr>
              <w:t>According to the expert, the CSR and other structural challenges identified in the Country Reports play an important role in the definition of the strategy.</w:t>
            </w:r>
          </w:p>
        </w:tc>
        <w:tc>
          <w:tcPr>
            <w:tcW w:w="906" w:type="pct"/>
            <w:vAlign w:val="center"/>
          </w:tcPr>
          <w:p w:rsidR="00584B95" w:rsidRPr="003F1D05" w:rsidRDefault="00584B95" w:rsidP="00766B4F">
            <w:pPr>
              <w:jc w:val="left"/>
              <w:rPr>
                <w:sz w:val="18"/>
                <w:szCs w:val="18"/>
              </w:rPr>
            </w:pPr>
            <w:r w:rsidRPr="003F1D05">
              <w:rPr>
                <w:sz w:val="18"/>
                <w:szCs w:val="18"/>
              </w:rPr>
              <w:t>High alignment.</w:t>
            </w:r>
          </w:p>
          <w:p w:rsidR="00584B95" w:rsidRPr="003F1D05" w:rsidRDefault="00584B95" w:rsidP="00766B4F">
            <w:pPr>
              <w:jc w:val="left"/>
              <w:rPr>
                <w:sz w:val="18"/>
                <w:szCs w:val="18"/>
              </w:rPr>
            </w:pPr>
            <w:r w:rsidRPr="003F1D05">
              <w:rPr>
                <w:sz w:val="18"/>
                <w:szCs w:val="18"/>
              </w:rPr>
              <w:t xml:space="preserve">The document clearly defines the measures which are necessary to achieve the objectives linked to CSR (mainly in subchapters 1.1 and 1.3). Each chapter includes a subchapter focused on Thematic Objectives and clearly analyses the present state, funding needs and expected results. </w:t>
            </w:r>
          </w:p>
        </w:tc>
      </w:tr>
      <w:tr w:rsidR="00584B95" w:rsidRPr="003F1D05" w:rsidTr="00766B4F">
        <w:tc>
          <w:tcPr>
            <w:tcW w:w="225" w:type="pct"/>
            <w:vAlign w:val="center"/>
          </w:tcPr>
          <w:p w:rsidR="00584B95" w:rsidRPr="003F1D05" w:rsidRDefault="00584B95" w:rsidP="00766B4F">
            <w:pPr>
              <w:jc w:val="left"/>
              <w:rPr>
                <w:sz w:val="18"/>
                <w:szCs w:val="18"/>
              </w:rPr>
            </w:pPr>
            <w:r w:rsidRPr="003F1D05">
              <w:rPr>
                <w:sz w:val="18"/>
                <w:szCs w:val="18"/>
              </w:rPr>
              <w:t>UK</w:t>
            </w:r>
          </w:p>
        </w:tc>
        <w:tc>
          <w:tcPr>
            <w:tcW w:w="776" w:type="pct"/>
            <w:vAlign w:val="center"/>
          </w:tcPr>
          <w:p w:rsidR="00584B95" w:rsidRPr="003F1D05" w:rsidRDefault="00584B95" w:rsidP="00766B4F">
            <w:pPr>
              <w:jc w:val="left"/>
              <w:rPr>
                <w:sz w:val="18"/>
                <w:szCs w:val="18"/>
              </w:rPr>
            </w:pPr>
            <w:r w:rsidRPr="003F1D05">
              <w:rPr>
                <w:sz w:val="18"/>
                <w:szCs w:val="18"/>
              </w:rPr>
              <w:t xml:space="preserve">The evidence suggests that there is extensive coherence between the treatment of </w:t>
            </w:r>
            <w:r>
              <w:rPr>
                <w:sz w:val="18"/>
                <w:szCs w:val="18"/>
              </w:rPr>
              <w:t>CSR</w:t>
            </w:r>
            <w:r w:rsidRPr="003F1D05">
              <w:rPr>
                <w:sz w:val="18"/>
                <w:szCs w:val="18"/>
              </w:rPr>
              <w:t>/structural challenges in the PA and the requests made in the Position Paper.</w:t>
            </w:r>
          </w:p>
        </w:tc>
        <w:tc>
          <w:tcPr>
            <w:tcW w:w="1089" w:type="pct"/>
            <w:vAlign w:val="center"/>
          </w:tcPr>
          <w:p w:rsidR="00584B95" w:rsidRPr="003F1D05" w:rsidRDefault="00584B95" w:rsidP="00766B4F">
            <w:pPr>
              <w:jc w:val="left"/>
              <w:rPr>
                <w:sz w:val="18"/>
                <w:szCs w:val="18"/>
              </w:rPr>
            </w:pPr>
            <w:r w:rsidRPr="003F1D05">
              <w:rPr>
                <w:sz w:val="18"/>
                <w:szCs w:val="18"/>
              </w:rPr>
              <w:t xml:space="preserve">The CSR and the other structural challenges tend to be discussed throughout the document with extensive discussion in the section 1.1. on Disparities, challenges, objectives and the results expected.  </w:t>
            </w:r>
          </w:p>
        </w:tc>
        <w:tc>
          <w:tcPr>
            <w:tcW w:w="1075" w:type="pct"/>
            <w:vAlign w:val="center"/>
          </w:tcPr>
          <w:p w:rsidR="00584B95" w:rsidRPr="003F1D05" w:rsidRDefault="00584B95" w:rsidP="00766B4F">
            <w:pPr>
              <w:jc w:val="left"/>
              <w:rPr>
                <w:sz w:val="18"/>
                <w:szCs w:val="18"/>
              </w:rPr>
            </w:pPr>
            <w:r w:rsidRPr="003F1D05">
              <w:rPr>
                <w:sz w:val="18"/>
                <w:szCs w:val="18"/>
              </w:rPr>
              <w:t>Most challenges are addressed apart from those concerning housing and mortgage lending and banks</w:t>
            </w:r>
          </w:p>
        </w:tc>
        <w:tc>
          <w:tcPr>
            <w:tcW w:w="929" w:type="pct"/>
            <w:vAlign w:val="center"/>
          </w:tcPr>
          <w:p w:rsidR="00584B95" w:rsidRPr="003F1D05" w:rsidRDefault="00584B95" w:rsidP="00766B4F">
            <w:pPr>
              <w:jc w:val="left"/>
              <w:rPr>
                <w:sz w:val="18"/>
                <w:szCs w:val="18"/>
              </w:rPr>
            </w:pPr>
            <w:r w:rsidRPr="003F1D05">
              <w:rPr>
                <w:sz w:val="18"/>
                <w:szCs w:val="18"/>
              </w:rPr>
              <w:t xml:space="preserve">According to the expert the CSR play an important role since the priorities are largely in line with the cohesion relevant recommendations made. </w:t>
            </w:r>
          </w:p>
        </w:tc>
        <w:tc>
          <w:tcPr>
            <w:tcW w:w="906" w:type="pct"/>
            <w:vAlign w:val="center"/>
          </w:tcPr>
          <w:p w:rsidR="00584B95" w:rsidRPr="003F1D05" w:rsidRDefault="00584B95" w:rsidP="00766B4F">
            <w:pPr>
              <w:jc w:val="left"/>
              <w:rPr>
                <w:sz w:val="18"/>
                <w:szCs w:val="18"/>
              </w:rPr>
            </w:pPr>
            <w:r w:rsidRPr="003F1D05">
              <w:rPr>
                <w:sz w:val="18"/>
                <w:szCs w:val="18"/>
              </w:rPr>
              <w:t xml:space="preserve">High alignment. </w:t>
            </w:r>
          </w:p>
          <w:p w:rsidR="00584B95" w:rsidRPr="003F1D05" w:rsidRDefault="00584B95" w:rsidP="00766B4F">
            <w:pPr>
              <w:jc w:val="left"/>
              <w:rPr>
                <w:sz w:val="18"/>
                <w:szCs w:val="18"/>
              </w:rPr>
            </w:pPr>
            <w:r w:rsidRPr="003F1D05">
              <w:rPr>
                <w:sz w:val="18"/>
                <w:szCs w:val="18"/>
              </w:rPr>
              <w:t xml:space="preserve">There is an extensive coverage of CSR proposed and other challenges identified. </w:t>
            </w:r>
          </w:p>
        </w:tc>
      </w:tr>
    </w:tbl>
    <w:p w:rsidR="00584B95" w:rsidRDefault="00584B95" w:rsidP="00584B95"/>
    <w:p w:rsidR="00584B95" w:rsidRDefault="00584B95" w:rsidP="00584B95">
      <w:pPr>
        <w:pStyle w:val="Heading1"/>
      </w:pPr>
      <w:bookmarkStart w:id="45" w:name="_Toc466826812"/>
      <w:r>
        <w:t>Annex 5 – Summary of the analysis of Operational Programmes</w:t>
      </w:r>
      <w:bookmarkEnd w:id="45"/>
    </w:p>
    <w:p w:rsidR="00584B95" w:rsidRDefault="00584B95" w:rsidP="00584B95">
      <w:pPr>
        <w:pStyle w:val="Caption"/>
      </w:pPr>
      <w:r>
        <w:t xml:space="preserve">Table </w:t>
      </w:r>
      <w:fldSimple w:instr=" SEQ Table \* ARABIC ">
        <w:r>
          <w:rPr>
            <w:noProof/>
          </w:rPr>
          <w:t>15</w:t>
        </w:r>
      </w:fldSimple>
      <w:r>
        <w:t xml:space="preserve"> - </w:t>
      </w:r>
      <w:r w:rsidRPr="005E3472">
        <w:t>Key findings from the analysis of Operational Programmes</w:t>
      </w:r>
    </w:p>
    <w:tbl>
      <w:tblPr>
        <w:tblStyle w:val="TableGrid"/>
        <w:tblW w:w="5000" w:type="pct"/>
        <w:tblLook w:val="04A0" w:firstRow="1" w:lastRow="0" w:firstColumn="1" w:lastColumn="0" w:noHBand="0" w:noVBand="1"/>
      </w:tblPr>
      <w:tblGrid>
        <w:gridCol w:w="958"/>
        <w:gridCol w:w="4992"/>
        <w:gridCol w:w="5358"/>
        <w:gridCol w:w="3478"/>
      </w:tblGrid>
      <w:tr w:rsidR="00584B95" w:rsidRPr="000162D2" w:rsidTr="00766B4F">
        <w:trPr>
          <w:tblHeader/>
        </w:trPr>
        <w:tc>
          <w:tcPr>
            <w:tcW w:w="324" w:type="pct"/>
            <w:shd w:val="clear" w:color="auto" w:fill="BFBFBF" w:themeFill="background1" w:themeFillShade="BF"/>
          </w:tcPr>
          <w:p w:rsidR="00584B95" w:rsidRPr="000162D2" w:rsidRDefault="00584B95" w:rsidP="00766B4F">
            <w:pPr>
              <w:rPr>
                <w:b/>
                <w:sz w:val="16"/>
                <w:szCs w:val="16"/>
              </w:rPr>
            </w:pPr>
            <w:r w:rsidRPr="000162D2">
              <w:rPr>
                <w:b/>
                <w:sz w:val="16"/>
                <w:szCs w:val="16"/>
              </w:rPr>
              <w:t xml:space="preserve">Member State </w:t>
            </w:r>
          </w:p>
        </w:tc>
        <w:tc>
          <w:tcPr>
            <w:tcW w:w="1688" w:type="pct"/>
            <w:shd w:val="clear" w:color="auto" w:fill="BFBFBF" w:themeFill="background1" w:themeFillShade="BF"/>
          </w:tcPr>
          <w:p w:rsidR="00584B95" w:rsidRPr="000162D2" w:rsidRDefault="00584B95" w:rsidP="00766B4F">
            <w:pPr>
              <w:rPr>
                <w:b/>
                <w:sz w:val="16"/>
                <w:szCs w:val="16"/>
              </w:rPr>
            </w:pPr>
            <w:r w:rsidRPr="000162D2">
              <w:rPr>
                <w:b/>
                <w:sz w:val="16"/>
                <w:szCs w:val="16"/>
              </w:rPr>
              <w:t>Coverage of CSR/structural challenges in OPs</w:t>
            </w:r>
          </w:p>
        </w:tc>
        <w:tc>
          <w:tcPr>
            <w:tcW w:w="1812" w:type="pct"/>
            <w:shd w:val="clear" w:color="auto" w:fill="BFBFBF" w:themeFill="background1" w:themeFillShade="BF"/>
          </w:tcPr>
          <w:p w:rsidR="00584B95" w:rsidRPr="000162D2" w:rsidRDefault="00584B95" w:rsidP="00766B4F">
            <w:pPr>
              <w:rPr>
                <w:b/>
                <w:sz w:val="16"/>
                <w:szCs w:val="16"/>
              </w:rPr>
            </w:pPr>
            <w:r w:rsidRPr="000162D2">
              <w:rPr>
                <w:b/>
                <w:sz w:val="16"/>
                <w:szCs w:val="16"/>
              </w:rPr>
              <w:t>Assessment of how ESIF implementation was influenced</w:t>
            </w:r>
          </w:p>
        </w:tc>
        <w:tc>
          <w:tcPr>
            <w:tcW w:w="1176" w:type="pct"/>
            <w:shd w:val="clear" w:color="auto" w:fill="BFBFBF" w:themeFill="background1" w:themeFillShade="BF"/>
          </w:tcPr>
          <w:p w:rsidR="00584B95" w:rsidRPr="000162D2" w:rsidRDefault="00584B95" w:rsidP="00766B4F">
            <w:pPr>
              <w:rPr>
                <w:b/>
                <w:sz w:val="16"/>
                <w:szCs w:val="16"/>
              </w:rPr>
            </w:pPr>
            <w:r w:rsidRPr="000162D2">
              <w:rPr>
                <w:b/>
                <w:sz w:val="16"/>
                <w:szCs w:val="16"/>
              </w:rPr>
              <w:t>Obstacles to use of ESIF</w:t>
            </w:r>
          </w:p>
        </w:tc>
      </w:tr>
      <w:tr w:rsidR="00584B95" w:rsidRPr="000162D2" w:rsidTr="00766B4F">
        <w:tc>
          <w:tcPr>
            <w:tcW w:w="324" w:type="pct"/>
          </w:tcPr>
          <w:p w:rsidR="00584B95" w:rsidRPr="000162D2" w:rsidRDefault="00584B95" w:rsidP="00766B4F">
            <w:pPr>
              <w:rPr>
                <w:sz w:val="16"/>
                <w:szCs w:val="16"/>
              </w:rPr>
            </w:pPr>
            <w:r w:rsidRPr="000162D2">
              <w:rPr>
                <w:sz w:val="16"/>
                <w:szCs w:val="16"/>
              </w:rPr>
              <w:t>AT</w:t>
            </w:r>
          </w:p>
        </w:tc>
        <w:tc>
          <w:tcPr>
            <w:tcW w:w="1688" w:type="pct"/>
          </w:tcPr>
          <w:p w:rsidR="00584B95" w:rsidRPr="000162D2" w:rsidRDefault="00584B95" w:rsidP="00766B4F">
            <w:pPr>
              <w:rPr>
                <w:sz w:val="16"/>
                <w:szCs w:val="16"/>
              </w:rPr>
            </w:pPr>
            <w:r w:rsidRPr="000162D2">
              <w:rPr>
                <w:sz w:val="16"/>
                <w:szCs w:val="16"/>
              </w:rPr>
              <w:t>All cohesion relevant CSRs are addressed either implicitly or explicitly in the Austrian programming documents. The most important CSRs for programming are those concerning gender equality, labour market participation of women, elderly and people with migration background as well as the improvement of educational outcomes.</w:t>
            </w:r>
          </w:p>
        </w:tc>
        <w:tc>
          <w:tcPr>
            <w:tcW w:w="1812" w:type="pct"/>
          </w:tcPr>
          <w:p w:rsidR="00584B95" w:rsidRPr="000162D2" w:rsidRDefault="00584B95" w:rsidP="00766B4F">
            <w:pPr>
              <w:rPr>
                <w:sz w:val="16"/>
                <w:szCs w:val="16"/>
              </w:rPr>
            </w:pPr>
            <w:r w:rsidRPr="000162D2">
              <w:rPr>
                <w:sz w:val="16"/>
                <w:szCs w:val="16"/>
              </w:rPr>
              <w:t xml:space="preserve">The desk analysis </w:t>
            </w:r>
            <w:r>
              <w:rPr>
                <w:sz w:val="16"/>
                <w:szCs w:val="16"/>
              </w:rPr>
              <w:t xml:space="preserve">and the interviews highlighted </w:t>
            </w:r>
            <w:r w:rsidRPr="000162D2">
              <w:rPr>
                <w:sz w:val="16"/>
                <w:szCs w:val="16"/>
              </w:rPr>
              <w:t>that the CSRs/structural challenges</w:t>
            </w:r>
            <w:r>
              <w:rPr>
                <w:sz w:val="16"/>
                <w:szCs w:val="16"/>
              </w:rPr>
              <w:t xml:space="preserve"> influenced significantly</w:t>
            </w:r>
            <w:r w:rsidRPr="000162D2">
              <w:rPr>
                <w:sz w:val="16"/>
                <w:szCs w:val="16"/>
              </w:rPr>
              <w:t xml:space="preserve"> the programming and implementation of ESI Funds in Austria, at least as far as ESF is concerned. As most CSRs referred to challenges in the labour markets, gender equality and education, it was especially the Austrian ESF OP that was affected most by the European Semester. The CSRs/structural challenges are less relevant for the other funds and only some of them are addressed, implicitly, in the respective programmes.</w:t>
            </w:r>
          </w:p>
        </w:tc>
        <w:tc>
          <w:tcPr>
            <w:tcW w:w="1176" w:type="pct"/>
            <w:shd w:val="clear" w:color="auto" w:fill="auto"/>
          </w:tcPr>
          <w:p w:rsidR="00584B95" w:rsidRPr="000162D2" w:rsidRDefault="00584B95" w:rsidP="00766B4F">
            <w:pPr>
              <w:rPr>
                <w:sz w:val="16"/>
                <w:szCs w:val="16"/>
              </w:rPr>
            </w:pPr>
            <w:r w:rsidRPr="000162D2">
              <w:rPr>
                <w:sz w:val="16"/>
                <w:szCs w:val="16"/>
              </w:rPr>
              <w:t>No particular obstacles emerged, apart from the mentioned issues of limited ESI resources in Austria. Other constraints may include: human resources’ bottlenecks in the administration of the OPs and projects.</w:t>
            </w:r>
          </w:p>
        </w:tc>
      </w:tr>
      <w:tr w:rsidR="00584B95" w:rsidRPr="000162D2" w:rsidTr="00766B4F">
        <w:tc>
          <w:tcPr>
            <w:tcW w:w="324" w:type="pct"/>
          </w:tcPr>
          <w:p w:rsidR="00584B95" w:rsidRPr="000162D2" w:rsidRDefault="00584B95" w:rsidP="00766B4F">
            <w:pPr>
              <w:rPr>
                <w:sz w:val="16"/>
                <w:szCs w:val="16"/>
              </w:rPr>
            </w:pPr>
            <w:r w:rsidRPr="000162D2">
              <w:rPr>
                <w:sz w:val="16"/>
                <w:szCs w:val="16"/>
              </w:rPr>
              <w:t>BE</w:t>
            </w:r>
          </w:p>
        </w:tc>
        <w:tc>
          <w:tcPr>
            <w:tcW w:w="1688" w:type="pct"/>
          </w:tcPr>
          <w:p w:rsidR="00584B95" w:rsidRPr="000162D2" w:rsidRDefault="00584B95" w:rsidP="00766B4F">
            <w:pPr>
              <w:rPr>
                <w:sz w:val="16"/>
                <w:szCs w:val="16"/>
              </w:rPr>
            </w:pPr>
            <w:r w:rsidRPr="000162D2">
              <w:rPr>
                <w:sz w:val="16"/>
                <w:szCs w:val="16"/>
              </w:rPr>
              <w:t xml:space="preserve">The various programming documents generally address the most relevant CSR/structural challenges. </w:t>
            </w:r>
          </w:p>
          <w:p w:rsidR="00584B95" w:rsidRPr="000162D2" w:rsidRDefault="00584B95" w:rsidP="00766B4F">
            <w:pPr>
              <w:rPr>
                <w:sz w:val="16"/>
                <w:szCs w:val="16"/>
              </w:rPr>
            </w:pPr>
            <w:r w:rsidRPr="000162D2">
              <w:rPr>
                <w:sz w:val="16"/>
                <w:szCs w:val="16"/>
              </w:rPr>
              <w:t xml:space="preserve">The ESF OPs cover the recommendations related to employment, education/training and inclusion while the remaining programmes (three ERDF OPs, one EMFF OP and one EAFRD OP were </w:t>
            </w:r>
            <w:proofErr w:type="spellStart"/>
            <w:r w:rsidRPr="000162D2">
              <w:rPr>
                <w:sz w:val="16"/>
                <w:szCs w:val="16"/>
              </w:rPr>
              <w:t>anlysed</w:t>
            </w:r>
            <w:proofErr w:type="spellEnd"/>
            <w:r w:rsidRPr="000162D2">
              <w:rPr>
                <w:sz w:val="16"/>
                <w:szCs w:val="16"/>
              </w:rPr>
              <w:t>) mostly refer to the recommendation on the reduction of GHG emissions.</w:t>
            </w:r>
          </w:p>
          <w:p w:rsidR="00584B95" w:rsidRPr="000162D2" w:rsidRDefault="00584B95" w:rsidP="00766B4F">
            <w:pPr>
              <w:rPr>
                <w:sz w:val="16"/>
                <w:szCs w:val="16"/>
              </w:rPr>
            </w:pPr>
          </w:p>
        </w:tc>
        <w:tc>
          <w:tcPr>
            <w:tcW w:w="1812" w:type="pct"/>
          </w:tcPr>
          <w:p w:rsidR="00584B95" w:rsidRPr="000162D2" w:rsidRDefault="00584B95" w:rsidP="00766B4F">
            <w:pPr>
              <w:rPr>
                <w:sz w:val="16"/>
                <w:szCs w:val="16"/>
              </w:rPr>
            </w:pPr>
            <w:r w:rsidRPr="000162D2">
              <w:rPr>
                <w:sz w:val="16"/>
                <w:szCs w:val="16"/>
              </w:rPr>
              <w:t xml:space="preserve">In the four ESF OPs, </w:t>
            </w:r>
            <w:r>
              <w:rPr>
                <w:sz w:val="16"/>
                <w:szCs w:val="16"/>
              </w:rPr>
              <w:t xml:space="preserve">programming was significantly influenced by the Semester as </w:t>
            </w:r>
            <w:r w:rsidRPr="000162D2">
              <w:rPr>
                <w:sz w:val="16"/>
                <w:szCs w:val="16"/>
              </w:rPr>
              <w:t>the selection of the various priorities was largely based on the CSR whereas in the five other programmes the role of the CSR seem to be more marginal.</w:t>
            </w:r>
          </w:p>
        </w:tc>
        <w:tc>
          <w:tcPr>
            <w:tcW w:w="1176" w:type="pct"/>
          </w:tcPr>
          <w:p w:rsidR="00584B95" w:rsidRDefault="00584B95" w:rsidP="00766B4F">
            <w:pPr>
              <w:rPr>
                <w:sz w:val="16"/>
                <w:szCs w:val="16"/>
              </w:rPr>
            </w:pPr>
            <w:r>
              <w:rPr>
                <w:sz w:val="16"/>
                <w:szCs w:val="16"/>
              </w:rPr>
              <w:t>T</w:t>
            </w:r>
            <w:r w:rsidRPr="000162D2">
              <w:rPr>
                <w:sz w:val="16"/>
                <w:szCs w:val="16"/>
              </w:rPr>
              <w:t>he fact that competences are shared between various levels of government;</w:t>
            </w:r>
          </w:p>
          <w:p w:rsidR="00584B95" w:rsidRDefault="00584B95" w:rsidP="00766B4F">
            <w:pPr>
              <w:rPr>
                <w:sz w:val="16"/>
                <w:szCs w:val="16"/>
              </w:rPr>
            </w:pPr>
            <w:r>
              <w:rPr>
                <w:sz w:val="16"/>
                <w:szCs w:val="16"/>
              </w:rPr>
              <w:t>T</w:t>
            </w:r>
            <w:r w:rsidRPr="000162D2">
              <w:rPr>
                <w:sz w:val="16"/>
                <w:szCs w:val="16"/>
              </w:rPr>
              <w:t xml:space="preserve">he </w:t>
            </w:r>
            <w:r>
              <w:rPr>
                <w:sz w:val="16"/>
                <w:szCs w:val="16"/>
              </w:rPr>
              <w:t xml:space="preserve">mismatch between annual CSR and </w:t>
            </w:r>
            <w:r w:rsidRPr="000162D2">
              <w:rPr>
                <w:sz w:val="16"/>
                <w:szCs w:val="16"/>
              </w:rPr>
              <w:t>multiannual ESIF planning;</w:t>
            </w:r>
          </w:p>
          <w:p w:rsidR="00584B95" w:rsidRPr="000162D2" w:rsidRDefault="00584B95" w:rsidP="00766B4F">
            <w:pPr>
              <w:rPr>
                <w:sz w:val="16"/>
                <w:szCs w:val="16"/>
              </w:rPr>
            </w:pPr>
            <w:r>
              <w:rPr>
                <w:sz w:val="16"/>
                <w:szCs w:val="16"/>
              </w:rPr>
              <w:t>T</w:t>
            </w:r>
            <w:r w:rsidRPr="000162D2">
              <w:rPr>
                <w:sz w:val="16"/>
                <w:szCs w:val="16"/>
              </w:rPr>
              <w:t xml:space="preserve">he fact that all CSR are provided at the level of the country and none at the level of the regions.   </w:t>
            </w:r>
          </w:p>
        </w:tc>
      </w:tr>
      <w:tr w:rsidR="00584B95" w:rsidRPr="000162D2" w:rsidTr="00766B4F">
        <w:tc>
          <w:tcPr>
            <w:tcW w:w="324" w:type="pct"/>
          </w:tcPr>
          <w:p w:rsidR="00584B95" w:rsidRPr="000162D2" w:rsidRDefault="00584B95" w:rsidP="00766B4F">
            <w:pPr>
              <w:rPr>
                <w:sz w:val="16"/>
                <w:szCs w:val="16"/>
              </w:rPr>
            </w:pPr>
            <w:r w:rsidRPr="000162D2">
              <w:rPr>
                <w:sz w:val="16"/>
                <w:szCs w:val="16"/>
              </w:rPr>
              <w:t>BG</w:t>
            </w:r>
          </w:p>
        </w:tc>
        <w:tc>
          <w:tcPr>
            <w:tcW w:w="1688" w:type="pct"/>
          </w:tcPr>
          <w:p w:rsidR="00584B95" w:rsidRPr="000162D2" w:rsidRDefault="00584B95" w:rsidP="00766B4F">
            <w:pPr>
              <w:rPr>
                <w:sz w:val="16"/>
                <w:szCs w:val="16"/>
              </w:rPr>
            </w:pPr>
            <w:r w:rsidRPr="000162D2">
              <w:rPr>
                <w:sz w:val="16"/>
                <w:szCs w:val="16"/>
              </w:rPr>
              <w:t xml:space="preserve">Having relatively high alignment with the CPP and the PA, it is somehow natural that CSRs/structural challenges are adequately supported in the Bulgarian OPs. Nonetheless, it should be noted that this support varies depending on the type of OP and its objectives. Where relevant, CSRs were properly analysed and supported in all of the OPs but most comprehensively in OPGG, OPIC and OPRG. </w:t>
            </w:r>
          </w:p>
          <w:p w:rsidR="00584B95" w:rsidRPr="000162D2" w:rsidRDefault="00584B95" w:rsidP="00766B4F">
            <w:pPr>
              <w:rPr>
                <w:sz w:val="16"/>
                <w:szCs w:val="16"/>
              </w:rPr>
            </w:pPr>
            <w:r w:rsidRPr="000162D2">
              <w:rPr>
                <w:sz w:val="16"/>
                <w:szCs w:val="16"/>
              </w:rPr>
              <w:t>The different Operational Programmes target CSRs through different funds – ERDF, ESF, EAFRD, and EMFF, with ESF and ERDF being significantly more aligned with the available CSRs for Bulgaria.</w:t>
            </w:r>
          </w:p>
        </w:tc>
        <w:tc>
          <w:tcPr>
            <w:tcW w:w="1812" w:type="pct"/>
          </w:tcPr>
          <w:p w:rsidR="00584B95" w:rsidRPr="000162D2" w:rsidRDefault="00584B95" w:rsidP="00766B4F">
            <w:pPr>
              <w:rPr>
                <w:sz w:val="16"/>
                <w:szCs w:val="16"/>
              </w:rPr>
            </w:pPr>
            <w:r w:rsidRPr="000162D2">
              <w:rPr>
                <w:sz w:val="16"/>
                <w:szCs w:val="16"/>
              </w:rPr>
              <w:t>It is clear from the overall assessment that ESIF programming has been influenced by the CSRs/structural challenges. In fact, the main recommendations and directions provided in the strategic documents (e.g. the PA and the CPP) is integrated in the texts of the OPs. In most of the OPs there is very high alignment between the CSRs and the ESIF. Such would be the case, for example, with 2012 CSR 5.1 (absorption of EU funds) in OPGG, 2013 CSR 7.3 (energy networks) in OPIC, 2014 CSR 2.2 (healthcare), 2014 CSR 4.1 (reform of vocational and higher education) in OPRG, and 2012 CSR 3.3 (Roma integration strategy) in OPHR.</w:t>
            </w:r>
          </w:p>
        </w:tc>
        <w:tc>
          <w:tcPr>
            <w:tcW w:w="1176" w:type="pct"/>
          </w:tcPr>
          <w:p w:rsidR="00584B95" w:rsidRDefault="00584B95" w:rsidP="00766B4F">
            <w:pPr>
              <w:rPr>
                <w:sz w:val="16"/>
                <w:szCs w:val="16"/>
              </w:rPr>
            </w:pPr>
            <w:r w:rsidRPr="000162D2">
              <w:rPr>
                <w:sz w:val="16"/>
                <w:szCs w:val="16"/>
              </w:rPr>
              <w:t>No specific obstacle to the use of ESI Funds for pursuing structural challenges</w:t>
            </w:r>
            <w:r>
              <w:rPr>
                <w:sz w:val="16"/>
                <w:szCs w:val="16"/>
              </w:rPr>
              <w:t xml:space="preserve"> was mentioned in the interviews</w:t>
            </w:r>
            <w:r w:rsidRPr="000162D2">
              <w:rPr>
                <w:sz w:val="16"/>
                <w:szCs w:val="16"/>
              </w:rPr>
              <w:t xml:space="preserve">. </w:t>
            </w:r>
          </w:p>
          <w:p w:rsidR="00584B95" w:rsidRPr="000162D2" w:rsidRDefault="00584B95" w:rsidP="00766B4F">
            <w:pPr>
              <w:rPr>
                <w:sz w:val="16"/>
                <w:szCs w:val="16"/>
              </w:rPr>
            </w:pPr>
          </w:p>
        </w:tc>
      </w:tr>
      <w:tr w:rsidR="00584B95" w:rsidRPr="000162D2" w:rsidTr="00766B4F">
        <w:tc>
          <w:tcPr>
            <w:tcW w:w="324" w:type="pct"/>
          </w:tcPr>
          <w:p w:rsidR="00584B95" w:rsidRPr="000162D2" w:rsidRDefault="00584B95" w:rsidP="00766B4F">
            <w:pPr>
              <w:rPr>
                <w:sz w:val="16"/>
                <w:szCs w:val="16"/>
              </w:rPr>
            </w:pPr>
            <w:r w:rsidRPr="000162D2">
              <w:rPr>
                <w:sz w:val="16"/>
                <w:szCs w:val="16"/>
              </w:rPr>
              <w:t>CZ</w:t>
            </w:r>
          </w:p>
        </w:tc>
        <w:tc>
          <w:tcPr>
            <w:tcW w:w="1688" w:type="pct"/>
          </w:tcPr>
          <w:p w:rsidR="00584B95" w:rsidRPr="000162D2" w:rsidRDefault="00584B95" w:rsidP="00766B4F">
            <w:pPr>
              <w:rPr>
                <w:sz w:val="16"/>
                <w:szCs w:val="16"/>
              </w:rPr>
            </w:pPr>
            <w:r w:rsidRPr="000162D2">
              <w:rPr>
                <w:sz w:val="16"/>
                <w:szCs w:val="16"/>
              </w:rPr>
              <w:t>The absolute majority of CSRs and structural challenges raised in Country Reports have been addressed at least partially in the analysed programming documents, depending on specific thematic orientation of individual operational programmes and particular country specific recommendations. The cohesion relevant CSRs/structural challenges can be divided into three groups according to their treatment in programming documents. First, the recommendations related to an increase of availability of childcare facilities and services are addressed thoroughly by several OPs</w:t>
            </w:r>
            <w:r>
              <w:rPr>
                <w:sz w:val="16"/>
                <w:szCs w:val="16"/>
              </w:rPr>
              <w:t>.</w:t>
            </w:r>
            <w:r w:rsidRPr="000162D2">
              <w:rPr>
                <w:sz w:val="16"/>
                <w:szCs w:val="16"/>
              </w:rPr>
              <w:t xml:space="preserve"> Second, the challenges related to structural reforms in education, research evaluation and in the sphere of public administration</w:t>
            </w:r>
            <w:r>
              <w:rPr>
                <w:sz w:val="16"/>
                <w:szCs w:val="16"/>
              </w:rPr>
              <w:t xml:space="preserve"> </w:t>
            </w:r>
            <w:r w:rsidRPr="000162D2">
              <w:rPr>
                <w:sz w:val="16"/>
                <w:szCs w:val="16"/>
              </w:rPr>
              <w:t xml:space="preserve">are tackled explicitly and in a great detail and the ESIF support can be assessed as important. The third group of CSRs </w:t>
            </w:r>
            <w:r>
              <w:rPr>
                <w:sz w:val="16"/>
                <w:szCs w:val="16"/>
              </w:rPr>
              <w:t xml:space="preserve">tackled in the OPs </w:t>
            </w:r>
            <w:r w:rsidRPr="000162D2">
              <w:rPr>
                <w:sz w:val="16"/>
                <w:szCs w:val="16"/>
              </w:rPr>
              <w:t xml:space="preserve">are </w:t>
            </w:r>
            <w:r>
              <w:rPr>
                <w:sz w:val="16"/>
                <w:szCs w:val="16"/>
              </w:rPr>
              <w:t xml:space="preserve">those </w:t>
            </w:r>
            <w:r w:rsidRPr="000162D2">
              <w:rPr>
                <w:sz w:val="16"/>
                <w:szCs w:val="16"/>
              </w:rPr>
              <w:t>related to an increase in cost-efficiency of the healthcare sector and of energy efficiency of the national economy</w:t>
            </w:r>
            <w:r>
              <w:rPr>
                <w:sz w:val="16"/>
                <w:szCs w:val="16"/>
              </w:rPr>
              <w:t xml:space="preserve">, however </w:t>
            </w:r>
            <w:r w:rsidRPr="000162D2">
              <w:rPr>
                <w:sz w:val="16"/>
                <w:szCs w:val="16"/>
              </w:rPr>
              <w:t>given the complex nature of these challenges, the ESIF support can contribute only partially</w:t>
            </w:r>
            <w:r>
              <w:rPr>
                <w:sz w:val="16"/>
                <w:szCs w:val="16"/>
              </w:rPr>
              <w:t xml:space="preserve"> to address them</w:t>
            </w:r>
            <w:r w:rsidRPr="000162D2">
              <w:rPr>
                <w:sz w:val="16"/>
                <w:szCs w:val="16"/>
              </w:rPr>
              <w:t>.</w:t>
            </w:r>
          </w:p>
        </w:tc>
        <w:tc>
          <w:tcPr>
            <w:tcW w:w="1812" w:type="pct"/>
          </w:tcPr>
          <w:p w:rsidR="00584B95" w:rsidRPr="000162D2" w:rsidRDefault="00584B95" w:rsidP="00766B4F">
            <w:pPr>
              <w:rPr>
                <w:sz w:val="16"/>
                <w:szCs w:val="16"/>
              </w:rPr>
            </w:pPr>
            <w:r w:rsidRPr="000162D2">
              <w:rPr>
                <w:sz w:val="16"/>
                <w:szCs w:val="16"/>
              </w:rPr>
              <w:t>In most cases, the policy recommendations played the role of important standpoints for the definition of developmental problems and funding needs and priorities. The high alignment might be attributed also to internal needs of the Czech Republic as the majority of recommendations are in line with the desirable structural changes reflected in domestic but also in European strategic documents. In addition, the identified close interconnection of CSRs/structural challenges with ESIF programming documents can be also attributed to the fact that most of the structural recommendations are in line with the respective ex-ante conditionalities (e.g. on efficiency and transparency of public administration, namely the Public Service Act; on social inclusion of Roma people; on performance-based funding of research institutions etc.).</w:t>
            </w:r>
          </w:p>
        </w:tc>
        <w:tc>
          <w:tcPr>
            <w:tcW w:w="1176" w:type="pct"/>
          </w:tcPr>
          <w:p w:rsidR="00584B95" w:rsidRPr="000162D2" w:rsidRDefault="00584B95" w:rsidP="00766B4F">
            <w:pPr>
              <w:rPr>
                <w:sz w:val="16"/>
                <w:szCs w:val="16"/>
              </w:rPr>
            </w:pPr>
            <w:r w:rsidRPr="000162D2">
              <w:rPr>
                <w:sz w:val="16"/>
                <w:szCs w:val="16"/>
              </w:rPr>
              <w:t xml:space="preserve">Two major obstacles for using the ESIF for addressing the challenges underlying CSRs have been identified. First, </w:t>
            </w:r>
            <w:r>
              <w:rPr>
                <w:sz w:val="16"/>
                <w:szCs w:val="16"/>
              </w:rPr>
              <w:t xml:space="preserve">the interviewees mentioned </w:t>
            </w:r>
            <w:r w:rsidRPr="000162D2">
              <w:rPr>
                <w:sz w:val="16"/>
                <w:szCs w:val="16"/>
              </w:rPr>
              <w:t xml:space="preserve">the incoherence between the programming period spanning 7 years and the annual publication of CSRs makes it very difficult to address properly the CSRs, which might emerge after the approval of the relevant OP. Current design of OPs (including the N+3 rule) as well as the lengthy procedure of OP amendment limits significantly the space for incorporation of newly formulated CSRs. </w:t>
            </w:r>
          </w:p>
          <w:p w:rsidR="00584B95" w:rsidRPr="000162D2" w:rsidRDefault="00584B95" w:rsidP="00766B4F">
            <w:pPr>
              <w:rPr>
                <w:sz w:val="16"/>
                <w:szCs w:val="16"/>
              </w:rPr>
            </w:pPr>
            <w:r w:rsidRPr="000162D2">
              <w:rPr>
                <w:sz w:val="16"/>
                <w:szCs w:val="16"/>
              </w:rPr>
              <w:t xml:space="preserve">Second, the majority of CSRs do not only require investments but also regulatory intervention and the political support of key decision-makers. The ability of the authorities that are responsible for implementation of the EU Cohesion Policy to influence the political process is only limited. </w:t>
            </w:r>
          </w:p>
          <w:p w:rsidR="00584B95" w:rsidRPr="000162D2" w:rsidRDefault="00584B95" w:rsidP="00766B4F">
            <w:pPr>
              <w:rPr>
                <w:sz w:val="16"/>
                <w:szCs w:val="16"/>
              </w:rPr>
            </w:pPr>
            <w:r w:rsidRPr="000162D2">
              <w:rPr>
                <w:sz w:val="16"/>
                <w:szCs w:val="16"/>
              </w:rPr>
              <w:t xml:space="preserve">The fact that addressing of CSRs might in certain cases actually mean reallocation of resources from other activities and thus might lead to various tensions among stakeholders concerned is another potentially relevant obstacle for using ESIF for addressing CSRs, even though a rather minor one.     </w:t>
            </w:r>
          </w:p>
        </w:tc>
      </w:tr>
      <w:tr w:rsidR="00584B95" w:rsidRPr="000162D2" w:rsidTr="00766B4F">
        <w:tc>
          <w:tcPr>
            <w:tcW w:w="324" w:type="pct"/>
          </w:tcPr>
          <w:p w:rsidR="00584B95" w:rsidRPr="000162D2" w:rsidRDefault="00584B95" w:rsidP="00766B4F">
            <w:pPr>
              <w:rPr>
                <w:sz w:val="16"/>
                <w:szCs w:val="16"/>
              </w:rPr>
            </w:pPr>
            <w:r>
              <w:rPr>
                <w:sz w:val="16"/>
                <w:szCs w:val="16"/>
              </w:rPr>
              <w:t>CY</w:t>
            </w:r>
          </w:p>
        </w:tc>
        <w:tc>
          <w:tcPr>
            <w:tcW w:w="1688" w:type="pct"/>
          </w:tcPr>
          <w:p w:rsidR="00584B95" w:rsidRPr="000162D2" w:rsidRDefault="00584B95" w:rsidP="00766B4F">
            <w:pPr>
              <w:rPr>
                <w:sz w:val="16"/>
                <w:szCs w:val="16"/>
              </w:rPr>
            </w:pPr>
            <w:r>
              <w:rPr>
                <w:sz w:val="16"/>
                <w:szCs w:val="16"/>
              </w:rPr>
              <w:t>Key</w:t>
            </w:r>
            <w:r w:rsidRPr="004E1B3E">
              <w:rPr>
                <w:sz w:val="16"/>
                <w:szCs w:val="16"/>
              </w:rPr>
              <w:t xml:space="preserve"> CSRs/challenges addressed by the majority of OPs were the challenge related to the integration of young people to the labour market and the challenge associated with the introduction of RTDI measures. Challenges on Energy networks (2015 MOU 8.1 and Related challenges 2014 MOU 8.1 and 2013 MOU 9.1) and Gender equality (2013 CR 1.1) are referenced in 2 out of 4 OPs.</w:t>
            </w:r>
            <w:r>
              <w:rPr>
                <w:sz w:val="16"/>
                <w:szCs w:val="16"/>
              </w:rPr>
              <w:t xml:space="preserve"> </w:t>
            </w:r>
            <w:r w:rsidRPr="004E1B3E">
              <w:rPr>
                <w:sz w:val="16"/>
                <w:szCs w:val="16"/>
              </w:rPr>
              <w:t>ERDF OP addresses most of the challenges, except for 2012 CSR 5.1 on the enhancement of skills of the workforce, 2013 MOU 6.1 on wage setting, 2012 CR 1.1 on the enhancement of the business environment and the acceleration of the process of enforcing contracts and 2013 MOU 7.1 on the evaluation of public employment schemes. The ESF OP adequately supports all related challenges.</w:t>
            </w:r>
            <w:r>
              <w:rPr>
                <w:sz w:val="16"/>
                <w:szCs w:val="16"/>
              </w:rPr>
              <w:t xml:space="preserve"> </w:t>
            </w:r>
            <w:r w:rsidRPr="004E1B3E">
              <w:rPr>
                <w:sz w:val="16"/>
                <w:szCs w:val="16"/>
              </w:rPr>
              <w:t>EMFF and EAFRD suppor</w:t>
            </w:r>
            <w:r>
              <w:rPr>
                <w:sz w:val="16"/>
                <w:szCs w:val="16"/>
              </w:rPr>
              <w:t>t few of the challenges indirectly.</w:t>
            </w:r>
          </w:p>
        </w:tc>
        <w:tc>
          <w:tcPr>
            <w:tcW w:w="1812" w:type="pct"/>
          </w:tcPr>
          <w:p w:rsidR="00584B95" w:rsidRPr="004E1B3E" w:rsidRDefault="00584B95" w:rsidP="00766B4F">
            <w:pPr>
              <w:rPr>
                <w:sz w:val="16"/>
                <w:szCs w:val="16"/>
              </w:rPr>
            </w:pPr>
            <w:r>
              <w:rPr>
                <w:sz w:val="16"/>
                <w:szCs w:val="16"/>
              </w:rPr>
              <w:t xml:space="preserve">ESI Funds programming was significantly influenced by the Semester. </w:t>
            </w:r>
            <w:r w:rsidRPr="004E1B3E">
              <w:rPr>
                <w:sz w:val="16"/>
                <w:szCs w:val="16"/>
              </w:rPr>
              <w:t>The design of the ERDF and ESF OPs reflected the CSRs/challenges which emerged from the MOUs.</w:t>
            </w:r>
          </w:p>
          <w:p w:rsidR="00584B95" w:rsidRPr="000162D2" w:rsidRDefault="00584B95" w:rsidP="00766B4F">
            <w:pPr>
              <w:rPr>
                <w:sz w:val="16"/>
                <w:szCs w:val="16"/>
              </w:rPr>
            </w:pPr>
            <w:r>
              <w:rPr>
                <w:sz w:val="16"/>
                <w:szCs w:val="16"/>
              </w:rPr>
              <w:t xml:space="preserve">There is an indirect linkage with </w:t>
            </w:r>
            <w:r w:rsidRPr="004E1B3E">
              <w:rPr>
                <w:sz w:val="16"/>
                <w:szCs w:val="16"/>
              </w:rPr>
              <w:t xml:space="preserve">EAFRD </w:t>
            </w:r>
            <w:r>
              <w:rPr>
                <w:sz w:val="16"/>
                <w:szCs w:val="16"/>
              </w:rPr>
              <w:t xml:space="preserve">and EMFF. The former </w:t>
            </w:r>
            <w:r w:rsidRPr="004E1B3E">
              <w:rPr>
                <w:sz w:val="16"/>
                <w:szCs w:val="16"/>
              </w:rPr>
              <w:t xml:space="preserve">places emphasis on introducing innovative technologies to agricultural production, the promotion of energy efficiency. EMFF places emphasis </w:t>
            </w:r>
            <w:r>
              <w:rPr>
                <w:sz w:val="16"/>
                <w:szCs w:val="16"/>
              </w:rPr>
              <w:t xml:space="preserve">on </w:t>
            </w:r>
            <w:r w:rsidRPr="004E1B3E">
              <w:rPr>
                <w:sz w:val="16"/>
                <w:szCs w:val="16"/>
              </w:rPr>
              <w:t>business innovation</w:t>
            </w:r>
            <w:r>
              <w:rPr>
                <w:sz w:val="16"/>
                <w:szCs w:val="16"/>
              </w:rPr>
              <w:t xml:space="preserve"> and</w:t>
            </w:r>
            <w:r w:rsidRPr="004E1B3E">
              <w:rPr>
                <w:sz w:val="16"/>
                <w:szCs w:val="16"/>
              </w:rPr>
              <w:t xml:space="preserve"> skills enhancement</w:t>
            </w:r>
            <w:r>
              <w:rPr>
                <w:sz w:val="16"/>
                <w:szCs w:val="16"/>
              </w:rPr>
              <w:t>.</w:t>
            </w:r>
          </w:p>
        </w:tc>
        <w:tc>
          <w:tcPr>
            <w:tcW w:w="1176" w:type="pct"/>
          </w:tcPr>
          <w:p w:rsidR="00584B95" w:rsidRPr="00A7648E" w:rsidRDefault="00584B95" w:rsidP="00766B4F">
            <w:pPr>
              <w:rPr>
                <w:sz w:val="16"/>
                <w:szCs w:val="16"/>
                <w:lang w:val="en-US"/>
              </w:rPr>
            </w:pPr>
            <w:r w:rsidRPr="004E1B3E">
              <w:rPr>
                <w:sz w:val="16"/>
                <w:szCs w:val="16"/>
                <w:lang w:val="en-US"/>
              </w:rPr>
              <w:t>There are no specific obstacles to the</w:t>
            </w:r>
            <w:r>
              <w:rPr>
                <w:sz w:val="16"/>
                <w:szCs w:val="16"/>
                <w:lang w:val="en-US"/>
              </w:rPr>
              <w:t xml:space="preserve"> use of ESI Funds for pursuing the recommendations. </w:t>
            </w:r>
          </w:p>
        </w:tc>
      </w:tr>
      <w:tr w:rsidR="00584B95" w:rsidRPr="000162D2" w:rsidTr="00766B4F">
        <w:tc>
          <w:tcPr>
            <w:tcW w:w="324" w:type="pct"/>
          </w:tcPr>
          <w:p w:rsidR="00584B95" w:rsidRPr="000162D2" w:rsidRDefault="00584B95" w:rsidP="00766B4F">
            <w:pPr>
              <w:rPr>
                <w:sz w:val="16"/>
                <w:szCs w:val="16"/>
              </w:rPr>
            </w:pPr>
            <w:r w:rsidRPr="000162D2">
              <w:rPr>
                <w:sz w:val="16"/>
                <w:szCs w:val="16"/>
              </w:rPr>
              <w:t>DE</w:t>
            </w:r>
          </w:p>
        </w:tc>
        <w:tc>
          <w:tcPr>
            <w:tcW w:w="1688" w:type="pct"/>
          </w:tcPr>
          <w:p w:rsidR="00584B95" w:rsidRPr="000162D2" w:rsidRDefault="00584B95" w:rsidP="00766B4F">
            <w:pPr>
              <w:rPr>
                <w:sz w:val="16"/>
                <w:szCs w:val="16"/>
              </w:rPr>
            </w:pPr>
            <w:r w:rsidRPr="000162D2">
              <w:rPr>
                <w:sz w:val="16"/>
                <w:szCs w:val="16"/>
              </w:rPr>
              <w:t xml:space="preserve">Programme documents address the relevant CSR/structural challenges. They are taken into account in strategic planning and programming on the national level as the Partnership Agreement shows. The OPs react to the CSR and to the structural challenges emerging from Country Reports. Almost all CSR/structural challenges are covered in the programing documents. In many cases, they reflect the priorities that were already set at the national policy level (e.g. reducing long-term unemployment). </w:t>
            </w:r>
          </w:p>
        </w:tc>
        <w:tc>
          <w:tcPr>
            <w:tcW w:w="1812" w:type="pct"/>
          </w:tcPr>
          <w:p w:rsidR="00584B95" w:rsidRPr="000162D2" w:rsidRDefault="00584B95" w:rsidP="00766B4F">
            <w:pPr>
              <w:rPr>
                <w:sz w:val="16"/>
                <w:szCs w:val="16"/>
              </w:rPr>
            </w:pPr>
            <w:r w:rsidRPr="000162D2">
              <w:rPr>
                <w:sz w:val="16"/>
                <w:szCs w:val="16"/>
              </w:rPr>
              <w:t>Overall, CSR/structural challenges are a point of reference for programming but not an exclusive one. Given that not all CSR/structural challenges require the use of ESI Funds and that the national budget for addressing structural issues in Germany is substantially larger than the EU resources, OPs are only one of the several “instruments” that contribute to tackle CSR/structural challenges.</w:t>
            </w:r>
          </w:p>
          <w:p w:rsidR="00584B95" w:rsidRPr="000162D2" w:rsidRDefault="00584B95" w:rsidP="00766B4F">
            <w:pPr>
              <w:rPr>
                <w:sz w:val="16"/>
                <w:szCs w:val="16"/>
              </w:rPr>
            </w:pPr>
            <w:r w:rsidRPr="000162D2">
              <w:rPr>
                <w:sz w:val="16"/>
                <w:szCs w:val="16"/>
              </w:rPr>
              <w:t>As programming is mostly managed at regional (</w:t>
            </w:r>
            <w:proofErr w:type="spellStart"/>
            <w:r w:rsidRPr="000162D2">
              <w:rPr>
                <w:sz w:val="16"/>
                <w:szCs w:val="16"/>
              </w:rPr>
              <w:t>Länder</w:t>
            </w:r>
            <w:proofErr w:type="spellEnd"/>
            <w:r w:rsidRPr="000162D2">
              <w:rPr>
                <w:sz w:val="16"/>
                <w:szCs w:val="16"/>
              </w:rPr>
              <w:t>) level, the specific situation and policy priorities in the respective Land play an important role.  The influence of these priorities on the programming process is stronger than the influence of CSR.</w:t>
            </w:r>
          </w:p>
        </w:tc>
        <w:tc>
          <w:tcPr>
            <w:tcW w:w="1176" w:type="pct"/>
          </w:tcPr>
          <w:p w:rsidR="00584B95" w:rsidRPr="000162D2" w:rsidRDefault="00584B95" w:rsidP="00766B4F">
            <w:pPr>
              <w:rPr>
                <w:sz w:val="16"/>
                <w:szCs w:val="16"/>
              </w:rPr>
            </w:pPr>
            <w:r w:rsidRPr="000162D2">
              <w:rPr>
                <w:sz w:val="16"/>
                <w:szCs w:val="16"/>
              </w:rPr>
              <w:t xml:space="preserve">The nature of most CSR/structural challenges which is regulatory and can be addressed by funds only to a limited extent.  </w:t>
            </w:r>
          </w:p>
          <w:p w:rsidR="00584B95" w:rsidRPr="000162D2" w:rsidRDefault="00584B95" w:rsidP="00766B4F">
            <w:pPr>
              <w:rPr>
                <w:sz w:val="16"/>
                <w:szCs w:val="16"/>
              </w:rPr>
            </w:pPr>
            <w:r w:rsidRPr="000162D2">
              <w:rPr>
                <w:sz w:val="16"/>
                <w:szCs w:val="16"/>
              </w:rPr>
              <w:t xml:space="preserve">The distribution of competences between the different administrative levels (e.g. some recommendations concern policy areas that go beyond the sphere of intervention of </w:t>
            </w:r>
            <w:proofErr w:type="spellStart"/>
            <w:r w:rsidRPr="000162D2">
              <w:rPr>
                <w:sz w:val="16"/>
                <w:szCs w:val="16"/>
              </w:rPr>
              <w:t>Länders</w:t>
            </w:r>
            <w:proofErr w:type="spellEnd"/>
            <w:r w:rsidRPr="000162D2">
              <w:rPr>
                <w:sz w:val="16"/>
                <w:szCs w:val="16"/>
              </w:rPr>
              <w:t xml:space="preserve"> which manage the bulk of ESIF in Germany). </w:t>
            </w:r>
          </w:p>
          <w:p w:rsidR="00584B95" w:rsidRPr="000162D2" w:rsidRDefault="00584B95" w:rsidP="00766B4F">
            <w:pPr>
              <w:rPr>
                <w:sz w:val="16"/>
                <w:szCs w:val="16"/>
              </w:rPr>
            </w:pPr>
            <w:r w:rsidRPr="000162D2">
              <w:rPr>
                <w:sz w:val="16"/>
                <w:szCs w:val="16"/>
              </w:rPr>
              <w:t>The critical mass of ESI Fund resources made available in a certain context can be an important constraint</w:t>
            </w:r>
            <w:r>
              <w:rPr>
                <w:sz w:val="16"/>
                <w:szCs w:val="16"/>
              </w:rPr>
              <w:t xml:space="preserve"> for what is actually feasible.</w:t>
            </w:r>
          </w:p>
        </w:tc>
      </w:tr>
      <w:tr w:rsidR="00584B95" w:rsidRPr="000162D2" w:rsidTr="00766B4F">
        <w:tc>
          <w:tcPr>
            <w:tcW w:w="324" w:type="pct"/>
          </w:tcPr>
          <w:p w:rsidR="00584B95" w:rsidRPr="000162D2" w:rsidRDefault="00584B95" w:rsidP="00766B4F">
            <w:pPr>
              <w:rPr>
                <w:sz w:val="16"/>
                <w:szCs w:val="16"/>
              </w:rPr>
            </w:pPr>
            <w:r w:rsidRPr="000162D2">
              <w:rPr>
                <w:sz w:val="16"/>
                <w:szCs w:val="16"/>
              </w:rPr>
              <w:t>DK</w:t>
            </w:r>
          </w:p>
        </w:tc>
        <w:tc>
          <w:tcPr>
            <w:tcW w:w="1688" w:type="pct"/>
          </w:tcPr>
          <w:p w:rsidR="00584B95" w:rsidRPr="000162D2" w:rsidRDefault="00584B95" w:rsidP="00766B4F">
            <w:pPr>
              <w:rPr>
                <w:sz w:val="16"/>
                <w:szCs w:val="16"/>
              </w:rPr>
            </w:pPr>
            <w:r w:rsidRPr="000162D2">
              <w:rPr>
                <w:sz w:val="16"/>
                <w:szCs w:val="16"/>
              </w:rPr>
              <w:t xml:space="preserve">For both the ERDF and the ESF, the alignment between CSRs/structural challenges and the OPs is significant. The ESI Funds are relatively small in Denmark in comparison to most other EU countries and compared with other growth oriented policy initiatives in Denmark. They are therefore not used to pursue large structural reforms. </w:t>
            </w:r>
          </w:p>
          <w:p w:rsidR="00584B95" w:rsidRPr="000162D2" w:rsidRDefault="00584B95" w:rsidP="00766B4F">
            <w:pPr>
              <w:rPr>
                <w:sz w:val="16"/>
                <w:szCs w:val="16"/>
              </w:rPr>
            </w:pPr>
            <w:r w:rsidRPr="000162D2">
              <w:rPr>
                <w:sz w:val="16"/>
                <w:szCs w:val="16"/>
              </w:rPr>
              <w:t xml:space="preserve">The ESF is manly focused on CSRs concerning education, labour supply, employment of marginalised groups and productivity. These are addressed consistently and the </w:t>
            </w:r>
            <w:r>
              <w:rPr>
                <w:sz w:val="16"/>
                <w:szCs w:val="16"/>
              </w:rPr>
              <w:t>ESF</w:t>
            </w:r>
            <w:r w:rsidRPr="000162D2">
              <w:rPr>
                <w:sz w:val="16"/>
                <w:szCs w:val="16"/>
              </w:rPr>
              <w:t xml:space="preserve"> </w:t>
            </w:r>
            <w:r>
              <w:rPr>
                <w:sz w:val="16"/>
                <w:szCs w:val="16"/>
              </w:rPr>
              <w:t xml:space="preserve">is </w:t>
            </w:r>
            <w:r w:rsidRPr="000162D2">
              <w:rPr>
                <w:sz w:val="16"/>
                <w:szCs w:val="16"/>
              </w:rPr>
              <w:t xml:space="preserve">regarded as an appropriate tool to address these challenges. </w:t>
            </w:r>
          </w:p>
          <w:p w:rsidR="00584B95" w:rsidRPr="000162D2" w:rsidRDefault="00584B95" w:rsidP="00766B4F">
            <w:pPr>
              <w:rPr>
                <w:sz w:val="16"/>
                <w:szCs w:val="16"/>
              </w:rPr>
            </w:pPr>
            <w:r w:rsidRPr="000162D2">
              <w:rPr>
                <w:sz w:val="16"/>
                <w:szCs w:val="16"/>
              </w:rPr>
              <w:t xml:space="preserve">The ERDF is mainly focused on CSRs/structural challenges which concern productivity gains and energy efficiency (and SMEs/entrepreneurship and innovation). </w:t>
            </w:r>
          </w:p>
          <w:p w:rsidR="00584B95" w:rsidRPr="000162D2" w:rsidRDefault="00584B95" w:rsidP="00766B4F">
            <w:pPr>
              <w:rPr>
                <w:sz w:val="16"/>
                <w:szCs w:val="16"/>
              </w:rPr>
            </w:pPr>
            <w:r w:rsidRPr="000162D2">
              <w:rPr>
                <w:sz w:val="16"/>
                <w:szCs w:val="16"/>
              </w:rPr>
              <w:t>EARDF mainly target the energy/environment CSRs and to some extent vocational education. EMFF only address CSRs to a very little extent. The mentioning of the importance of transforming the fishing industry to a sustainable and climate friendly industry is the only part that relate back to CSRs.</w:t>
            </w:r>
          </w:p>
        </w:tc>
        <w:tc>
          <w:tcPr>
            <w:tcW w:w="1812" w:type="pct"/>
          </w:tcPr>
          <w:p w:rsidR="00584B95" w:rsidRPr="000162D2" w:rsidRDefault="00584B95" w:rsidP="00766B4F">
            <w:pPr>
              <w:rPr>
                <w:sz w:val="16"/>
                <w:szCs w:val="16"/>
              </w:rPr>
            </w:pPr>
            <w:r w:rsidRPr="000162D2">
              <w:rPr>
                <w:sz w:val="16"/>
                <w:szCs w:val="16"/>
              </w:rPr>
              <w:t>On the basis of the desk analysis and the interviews, the national expert concluded that the implementation of ESI Funds was influenced by CSR/structural challenges in relation to supply of labour, higher attainment rates especially in vocational training, lower drop-out rates, more apprenticeships, inclusion of marginalised groups in the labour marked, efficient shift to a low carbon economy and productivity challenges. The need to increase productivity gains is probably seen as the biggest overall challenge for Denmark by the Danish Government.</w:t>
            </w:r>
          </w:p>
        </w:tc>
        <w:tc>
          <w:tcPr>
            <w:tcW w:w="1176" w:type="pct"/>
          </w:tcPr>
          <w:p w:rsidR="00584B95" w:rsidRPr="000162D2" w:rsidRDefault="00584B95" w:rsidP="00766B4F">
            <w:pPr>
              <w:rPr>
                <w:sz w:val="16"/>
                <w:szCs w:val="16"/>
              </w:rPr>
            </w:pPr>
            <w:r w:rsidRPr="000162D2">
              <w:rPr>
                <w:sz w:val="16"/>
                <w:szCs w:val="16"/>
              </w:rPr>
              <w:t>The main obstacles to use ESI Funds for pursuing structural reforms in Denmark include: their limited financial size; the fact that they are not considered as suitable tools to address se</w:t>
            </w:r>
            <w:r>
              <w:rPr>
                <w:sz w:val="16"/>
                <w:szCs w:val="16"/>
              </w:rPr>
              <w:t xml:space="preserve">veral </w:t>
            </w:r>
            <w:r w:rsidRPr="000162D2">
              <w:rPr>
                <w:sz w:val="16"/>
                <w:szCs w:val="16"/>
              </w:rPr>
              <w:t xml:space="preserve">CSRs characterised by a regulatory nature or which cannot be directly linked to TOs.     </w:t>
            </w:r>
          </w:p>
        </w:tc>
      </w:tr>
      <w:tr w:rsidR="00584B95" w:rsidRPr="000162D2" w:rsidTr="00766B4F">
        <w:tc>
          <w:tcPr>
            <w:tcW w:w="324" w:type="pct"/>
          </w:tcPr>
          <w:p w:rsidR="00584B95" w:rsidRPr="000162D2" w:rsidRDefault="00584B95" w:rsidP="00766B4F">
            <w:pPr>
              <w:rPr>
                <w:sz w:val="16"/>
                <w:szCs w:val="16"/>
              </w:rPr>
            </w:pPr>
            <w:r w:rsidRPr="000162D2">
              <w:rPr>
                <w:sz w:val="16"/>
                <w:szCs w:val="16"/>
              </w:rPr>
              <w:t>EE</w:t>
            </w:r>
          </w:p>
        </w:tc>
        <w:tc>
          <w:tcPr>
            <w:tcW w:w="1688" w:type="pct"/>
          </w:tcPr>
          <w:p w:rsidR="00584B95" w:rsidRPr="000162D2" w:rsidRDefault="00584B95" w:rsidP="00766B4F">
            <w:pPr>
              <w:rPr>
                <w:sz w:val="16"/>
                <w:szCs w:val="16"/>
              </w:rPr>
            </w:pPr>
            <w:r w:rsidRPr="000162D2">
              <w:rPr>
                <w:sz w:val="16"/>
                <w:szCs w:val="16"/>
              </w:rPr>
              <w:t xml:space="preserve">The OP for Cohesion Policy Funding 2014-2020 (covering both the ERDF and the ESF) addresses many CSRs/structural challenges and the initiatives proposed contribute to tackle the respective challenges. The focus is on resources efficiency, employment and employability of workers, transport, labour market integration of all people, education, RTDI, energy and institutional capacity. The EAFRD and the EMFF OPs addresses certain elements of the CSRs/structural challenges. </w:t>
            </w:r>
          </w:p>
        </w:tc>
        <w:tc>
          <w:tcPr>
            <w:tcW w:w="1812" w:type="pct"/>
          </w:tcPr>
          <w:p w:rsidR="00584B95" w:rsidRPr="000162D2" w:rsidRDefault="00584B95" w:rsidP="00766B4F">
            <w:pPr>
              <w:rPr>
                <w:sz w:val="16"/>
                <w:szCs w:val="16"/>
              </w:rPr>
            </w:pPr>
            <w:r w:rsidRPr="000162D2">
              <w:rPr>
                <w:sz w:val="16"/>
                <w:szCs w:val="16"/>
              </w:rPr>
              <w:t>The starting bases for the ESI Funds programming were the Position Paper, the Partnership Agreement, the National Reform Programmes (2012, 2013 and 2014) and the 2012, as well as 2013 and 2014 CSRs. The desk analysis of the OPs, the mobilised IPs and Specific Objectives have highlighted that the ESI Funds programming was clearly influenced by the CSRs.</w:t>
            </w:r>
          </w:p>
        </w:tc>
        <w:tc>
          <w:tcPr>
            <w:tcW w:w="1176" w:type="pct"/>
          </w:tcPr>
          <w:p w:rsidR="00584B95" w:rsidRPr="000162D2" w:rsidRDefault="00584B95" w:rsidP="00766B4F">
            <w:pPr>
              <w:rPr>
                <w:sz w:val="16"/>
                <w:szCs w:val="16"/>
              </w:rPr>
            </w:pPr>
            <w:r w:rsidRPr="000162D2">
              <w:rPr>
                <w:sz w:val="16"/>
                <w:szCs w:val="16"/>
              </w:rPr>
              <w:t>No major obstacles were highlighted regarding the effective use of ESI Funds for structural reforms.</w:t>
            </w:r>
          </w:p>
        </w:tc>
      </w:tr>
      <w:tr w:rsidR="00584B95" w:rsidRPr="000162D2" w:rsidTr="00766B4F">
        <w:tc>
          <w:tcPr>
            <w:tcW w:w="324" w:type="pct"/>
          </w:tcPr>
          <w:p w:rsidR="00584B95" w:rsidRPr="000162D2" w:rsidRDefault="00584B95" w:rsidP="00766B4F">
            <w:pPr>
              <w:rPr>
                <w:sz w:val="16"/>
                <w:szCs w:val="16"/>
              </w:rPr>
            </w:pPr>
            <w:r w:rsidRPr="000162D2">
              <w:rPr>
                <w:sz w:val="16"/>
                <w:szCs w:val="16"/>
              </w:rPr>
              <w:t>ES</w:t>
            </w:r>
          </w:p>
        </w:tc>
        <w:tc>
          <w:tcPr>
            <w:tcW w:w="1688" w:type="pct"/>
          </w:tcPr>
          <w:p w:rsidR="00584B95" w:rsidRDefault="00584B95" w:rsidP="00766B4F">
            <w:pPr>
              <w:rPr>
                <w:sz w:val="16"/>
                <w:szCs w:val="16"/>
              </w:rPr>
            </w:pPr>
            <w:r w:rsidRPr="000162D2">
              <w:rPr>
                <w:sz w:val="16"/>
                <w:szCs w:val="16"/>
              </w:rPr>
              <w:t xml:space="preserve">The CSRs have been considered </w:t>
            </w:r>
            <w:r>
              <w:rPr>
                <w:sz w:val="16"/>
                <w:szCs w:val="16"/>
              </w:rPr>
              <w:t>by</w:t>
            </w:r>
            <w:r w:rsidRPr="000162D2">
              <w:rPr>
                <w:sz w:val="16"/>
                <w:szCs w:val="16"/>
              </w:rPr>
              <w:t xml:space="preserve"> explicitly </w:t>
            </w:r>
            <w:r>
              <w:rPr>
                <w:sz w:val="16"/>
                <w:szCs w:val="16"/>
              </w:rPr>
              <w:t xml:space="preserve">referring to them </w:t>
            </w:r>
            <w:r w:rsidRPr="000162D2">
              <w:rPr>
                <w:sz w:val="16"/>
                <w:szCs w:val="16"/>
              </w:rPr>
              <w:t xml:space="preserve">or </w:t>
            </w:r>
            <w:r>
              <w:rPr>
                <w:sz w:val="16"/>
                <w:szCs w:val="16"/>
              </w:rPr>
              <w:t xml:space="preserve">by taking them into account </w:t>
            </w:r>
            <w:r w:rsidRPr="000162D2">
              <w:rPr>
                <w:sz w:val="16"/>
                <w:szCs w:val="16"/>
              </w:rPr>
              <w:t>implicitly</w:t>
            </w:r>
            <w:r>
              <w:rPr>
                <w:sz w:val="16"/>
                <w:szCs w:val="16"/>
              </w:rPr>
              <w:t xml:space="preserve"> (i.e. without explicitly mentioning the recommendations but incorporating initiatives that contribute to achieve them)</w:t>
            </w:r>
            <w:r w:rsidRPr="000162D2">
              <w:rPr>
                <w:sz w:val="16"/>
                <w:szCs w:val="16"/>
              </w:rPr>
              <w:t xml:space="preserve"> when designing the lines of actions and priorities in the OPs</w:t>
            </w:r>
            <w:r>
              <w:rPr>
                <w:sz w:val="16"/>
                <w:szCs w:val="16"/>
              </w:rPr>
              <w:t>. T</w:t>
            </w:r>
            <w:r w:rsidRPr="000162D2">
              <w:rPr>
                <w:sz w:val="16"/>
                <w:szCs w:val="16"/>
              </w:rPr>
              <w:t>he alignment between CSR/structural challenges is especially significant in the case of the ESF OPs</w:t>
            </w:r>
            <w:r>
              <w:rPr>
                <w:sz w:val="16"/>
                <w:szCs w:val="16"/>
              </w:rPr>
              <w:t xml:space="preserve"> which </w:t>
            </w:r>
            <w:r w:rsidRPr="003948D8">
              <w:rPr>
                <w:sz w:val="16"/>
                <w:szCs w:val="16"/>
              </w:rPr>
              <w:t>cover all relevant 2014 CSR (3.1, 3.2; 4.1, 4.2, 4.3, 4.4 and 5.1)</w:t>
            </w:r>
            <w:r>
              <w:rPr>
                <w:sz w:val="16"/>
                <w:szCs w:val="16"/>
              </w:rPr>
              <w:t xml:space="preserve">; these </w:t>
            </w:r>
            <w:r w:rsidRPr="003948D8">
              <w:rPr>
                <w:sz w:val="16"/>
                <w:szCs w:val="16"/>
              </w:rPr>
              <w:t>address topics that the ESF has been dealing with for many years; what has changed in the current ESF OPs is the order of priorities due to the CSRs, the ESF is devoted entirely to pursue the CSRs.</w:t>
            </w:r>
          </w:p>
          <w:p w:rsidR="00584B95" w:rsidRPr="000162D2" w:rsidRDefault="00584B95" w:rsidP="00766B4F">
            <w:pPr>
              <w:rPr>
                <w:sz w:val="16"/>
                <w:szCs w:val="16"/>
              </w:rPr>
            </w:pPr>
            <w:r>
              <w:rPr>
                <w:sz w:val="16"/>
                <w:szCs w:val="16"/>
              </w:rPr>
              <w:t xml:space="preserve">The </w:t>
            </w:r>
            <w:r w:rsidRPr="003948D8">
              <w:rPr>
                <w:sz w:val="16"/>
                <w:szCs w:val="16"/>
              </w:rPr>
              <w:t>CSRs less supported by the OPs are those related to national responsibilities such as the national R</w:t>
            </w:r>
            <w:r>
              <w:rPr>
                <w:sz w:val="16"/>
                <w:szCs w:val="16"/>
              </w:rPr>
              <w:t xml:space="preserve">TDI </w:t>
            </w:r>
            <w:r w:rsidRPr="003948D8">
              <w:rPr>
                <w:sz w:val="16"/>
                <w:szCs w:val="16"/>
              </w:rPr>
              <w:t xml:space="preserve">strategy (2014 CSR 6.2, CSR 7.1) or the </w:t>
            </w:r>
            <w:r>
              <w:rPr>
                <w:sz w:val="16"/>
                <w:szCs w:val="16"/>
              </w:rPr>
              <w:t xml:space="preserve">establishment </w:t>
            </w:r>
            <w:r w:rsidRPr="003948D8">
              <w:rPr>
                <w:sz w:val="16"/>
                <w:szCs w:val="16"/>
              </w:rPr>
              <w:t>of an independent body to assess major transport infrastructures (2014 CSR 7.2).</w:t>
            </w:r>
          </w:p>
        </w:tc>
        <w:tc>
          <w:tcPr>
            <w:tcW w:w="1812" w:type="pct"/>
          </w:tcPr>
          <w:p w:rsidR="00584B95" w:rsidRPr="000162D2" w:rsidRDefault="00584B95" w:rsidP="00766B4F">
            <w:pPr>
              <w:rPr>
                <w:sz w:val="16"/>
                <w:szCs w:val="16"/>
              </w:rPr>
            </w:pPr>
            <w:r w:rsidRPr="000162D2">
              <w:rPr>
                <w:sz w:val="16"/>
                <w:szCs w:val="16"/>
              </w:rPr>
              <w:t xml:space="preserve">The CSRs/structural challenges have steered the programming and the implementation of the ESI Funds in Spain. </w:t>
            </w:r>
          </w:p>
          <w:p w:rsidR="00584B95" w:rsidRPr="000162D2" w:rsidRDefault="00584B95" w:rsidP="00766B4F">
            <w:pPr>
              <w:rPr>
                <w:sz w:val="16"/>
                <w:szCs w:val="16"/>
              </w:rPr>
            </w:pPr>
            <w:r w:rsidRPr="000162D2">
              <w:rPr>
                <w:sz w:val="16"/>
                <w:szCs w:val="16"/>
              </w:rPr>
              <w:t>The starting bases for the ESI Funds programming were the Position Paper, the Partnership Agreement, the National Reform Programmes (202, 2013 and 2014) and the 2012, as well as 2013 and 2014 CSRs. The ESI Funds programming was hence clearly influenced by the CSRs, apart from those of legislative or regulatory nature.</w:t>
            </w:r>
            <w:r>
              <w:rPr>
                <w:sz w:val="16"/>
                <w:szCs w:val="16"/>
              </w:rPr>
              <w:t xml:space="preserve"> In particular </w:t>
            </w:r>
            <w:r w:rsidRPr="00D43640">
              <w:rPr>
                <w:sz w:val="16"/>
                <w:szCs w:val="16"/>
              </w:rPr>
              <w:t>the ESF is devoted entirely to pursue the CSRs</w:t>
            </w:r>
            <w:r>
              <w:rPr>
                <w:sz w:val="16"/>
                <w:szCs w:val="16"/>
              </w:rPr>
              <w:t>.</w:t>
            </w:r>
            <w:r w:rsidRPr="00D43640">
              <w:rPr>
                <w:sz w:val="16"/>
                <w:szCs w:val="16"/>
              </w:rPr>
              <w:t xml:space="preserve"> In fact, the ESF OPs are de</w:t>
            </w:r>
            <w:r>
              <w:rPr>
                <w:sz w:val="16"/>
                <w:szCs w:val="16"/>
              </w:rPr>
              <w:t>signed t</w:t>
            </w:r>
            <w:r w:rsidRPr="00D43640">
              <w:rPr>
                <w:sz w:val="16"/>
                <w:szCs w:val="16"/>
              </w:rPr>
              <w:t>o cover the CSRs related to social inclusion and employability for vulnerable groups, fight against youth unemployment, promotion of gender equality, adaptation of qualification to labour market needs, and educational/training needs.</w:t>
            </w:r>
          </w:p>
        </w:tc>
        <w:tc>
          <w:tcPr>
            <w:tcW w:w="1176" w:type="pct"/>
          </w:tcPr>
          <w:p w:rsidR="00584B95" w:rsidRPr="000162D2" w:rsidRDefault="00584B95" w:rsidP="00766B4F">
            <w:pPr>
              <w:rPr>
                <w:sz w:val="16"/>
                <w:szCs w:val="16"/>
              </w:rPr>
            </w:pPr>
            <w:r w:rsidRPr="000162D2">
              <w:rPr>
                <w:sz w:val="16"/>
                <w:szCs w:val="16"/>
              </w:rPr>
              <w:t xml:space="preserve">No major obstacle was highlighted apart from the nature itself of CSR, namely structural challenges that imply regulatory changes are </w:t>
            </w:r>
            <w:r>
              <w:rPr>
                <w:sz w:val="16"/>
                <w:szCs w:val="16"/>
              </w:rPr>
              <w:t>more difficult to be addressed.</w:t>
            </w:r>
          </w:p>
        </w:tc>
      </w:tr>
      <w:tr w:rsidR="00584B95" w:rsidRPr="000162D2" w:rsidTr="00766B4F">
        <w:tc>
          <w:tcPr>
            <w:tcW w:w="324" w:type="pct"/>
          </w:tcPr>
          <w:p w:rsidR="00584B95" w:rsidRPr="000162D2" w:rsidRDefault="00584B95" w:rsidP="00766B4F">
            <w:pPr>
              <w:rPr>
                <w:sz w:val="16"/>
                <w:szCs w:val="16"/>
              </w:rPr>
            </w:pPr>
            <w:r w:rsidRPr="000162D2">
              <w:rPr>
                <w:sz w:val="16"/>
                <w:szCs w:val="16"/>
              </w:rPr>
              <w:t>FI</w:t>
            </w:r>
          </w:p>
        </w:tc>
        <w:tc>
          <w:tcPr>
            <w:tcW w:w="1688" w:type="pct"/>
          </w:tcPr>
          <w:p w:rsidR="00584B95" w:rsidRPr="000162D2" w:rsidRDefault="00584B95" w:rsidP="00766B4F">
            <w:pPr>
              <w:rPr>
                <w:sz w:val="16"/>
                <w:szCs w:val="16"/>
              </w:rPr>
            </w:pPr>
            <w:r w:rsidRPr="000162D2">
              <w:rPr>
                <w:sz w:val="16"/>
                <w:szCs w:val="16"/>
              </w:rPr>
              <w:t xml:space="preserve">In Finland, there is one common ERDF and ESF programme for the Mainland Finland and another for </w:t>
            </w:r>
            <w:proofErr w:type="spellStart"/>
            <w:r w:rsidRPr="000162D2">
              <w:rPr>
                <w:sz w:val="16"/>
                <w:szCs w:val="16"/>
              </w:rPr>
              <w:t>Åland</w:t>
            </w:r>
            <w:proofErr w:type="spellEnd"/>
            <w:r w:rsidRPr="000162D2">
              <w:rPr>
                <w:sz w:val="16"/>
                <w:szCs w:val="16"/>
              </w:rPr>
              <w:t xml:space="preserve"> (ERDF and ESF). The specification of priorities is based on both CSRs and national and regional analysis of challenges and development needs, as well as on the experiences of the earlier programme periods. The ESF parts in the OP are closely related with the respective CSRs on LM integration of young people, access to employment, social exclusion etc. while the connection between the ERDF parts and the CSR/structural challenges is weaker because most of the respective CSRs are general, for example the recommendation concerning the diversification of the business structure. </w:t>
            </w:r>
          </w:p>
          <w:p w:rsidR="00584B95" w:rsidRPr="000162D2" w:rsidRDefault="00584B95" w:rsidP="00766B4F">
            <w:pPr>
              <w:rPr>
                <w:sz w:val="16"/>
                <w:szCs w:val="16"/>
              </w:rPr>
            </w:pPr>
            <w:r w:rsidRPr="000162D2">
              <w:rPr>
                <w:sz w:val="16"/>
                <w:szCs w:val="16"/>
              </w:rPr>
              <w:t xml:space="preserve">The EAFRD and EMFF programmes respond to the CSRs related to competitiveness of SMEs and resource efficiency but also to employment. </w:t>
            </w:r>
          </w:p>
          <w:p w:rsidR="00584B95" w:rsidRPr="000162D2" w:rsidRDefault="00584B95" w:rsidP="00766B4F">
            <w:pPr>
              <w:rPr>
                <w:sz w:val="16"/>
                <w:szCs w:val="16"/>
              </w:rPr>
            </w:pPr>
          </w:p>
        </w:tc>
        <w:tc>
          <w:tcPr>
            <w:tcW w:w="1812" w:type="pct"/>
          </w:tcPr>
          <w:p w:rsidR="00584B95" w:rsidRPr="000162D2" w:rsidRDefault="00584B95" w:rsidP="00766B4F">
            <w:pPr>
              <w:ind w:left="32"/>
              <w:contextualSpacing/>
              <w:jc w:val="left"/>
              <w:rPr>
                <w:sz w:val="16"/>
                <w:szCs w:val="16"/>
                <w:lang w:bidi="en-US"/>
              </w:rPr>
            </w:pPr>
            <w:r w:rsidRPr="000162D2">
              <w:rPr>
                <w:sz w:val="16"/>
                <w:szCs w:val="16"/>
                <w:lang w:bidi="en-US"/>
              </w:rPr>
              <w:t xml:space="preserve">In the OP of Mainland Finland the chosen thematic objectives which will be pursued by means of the ESF and the specific objectives are closely related to the relevant CSRs. The 2012-2014 CSRs concerning the themes of labour market, education and social inclusion have followed the lines of earlier years and there was no significant change in the implementation. </w:t>
            </w:r>
          </w:p>
          <w:p w:rsidR="00584B95" w:rsidRPr="000162D2" w:rsidRDefault="00584B95" w:rsidP="00766B4F">
            <w:pPr>
              <w:ind w:left="32"/>
              <w:contextualSpacing/>
              <w:jc w:val="left"/>
              <w:rPr>
                <w:sz w:val="16"/>
                <w:szCs w:val="16"/>
                <w:lang w:bidi="en-US"/>
              </w:rPr>
            </w:pPr>
            <w:r w:rsidRPr="000162D2">
              <w:rPr>
                <w:sz w:val="16"/>
                <w:szCs w:val="16"/>
                <w:lang w:bidi="en-US"/>
              </w:rPr>
              <w:t xml:space="preserve">The CSRs concerning ERDF themes have influenced the choice of thematic objectives while the selection of the specific objectives has been based first of all on the analysis of regional challenges, especially with respect to the objectives of SME competitiveness and innovation promotion.      </w:t>
            </w:r>
          </w:p>
        </w:tc>
        <w:tc>
          <w:tcPr>
            <w:tcW w:w="1176" w:type="pct"/>
          </w:tcPr>
          <w:p w:rsidR="00584B95" w:rsidRPr="000162D2" w:rsidRDefault="00584B95" w:rsidP="00766B4F">
            <w:pPr>
              <w:rPr>
                <w:sz w:val="16"/>
                <w:szCs w:val="16"/>
              </w:rPr>
            </w:pPr>
            <w:r w:rsidRPr="000162D2">
              <w:rPr>
                <w:sz w:val="16"/>
                <w:szCs w:val="16"/>
              </w:rPr>
              <w:t xml:space="preserve">The analysis and the interviews did not highlight any specific obstacle which prevents from using ESI funds to address structural challenges in Finland. All programme documents are based on the principle that ESI funds should be used for pursuing structural reforms both at national and regional level. </w:t>
            </w:r>
          </w:p>
          <w:p w:rsidR="00584B95" w:rsidRPr="000162D2" w:rsidRDefault="00584B95" w:rsidP="00766B4F">
            <w:pPr>
              <w:rPr>
                <w:sz w:val="16"/>
                <w:szCs w:val="16"/>
              </w:rPr>
            </w:pPr>
            <w:r w:rsidRPr="000162D2">
              <w:rPr>
                <w:sz w:val="16"/>
                <w:szCs w:val="16"/>
              </w:rPr>
              <w:t xml:space="preserve">However, the changed economic environment, especially the prolonged economic downturn, may affect the implementation to some extent. For example, the declining employment in most regions makes it difficult to tackle the challenges which are concerned with training and supplementary education aimed at increasing employment of youths and vulnerable groups.     </w:t>
            </w:r>
          </w:p>
        </w:tc>
      </w:tr>
      <w:tr w:rsidR="00584B95" w:rsidRPr="000162D2" w:rsidTr="00766B4F">
        <w:tc>
          <w:tcPr>
            <w:tcW w:w="324" w:type="pct"/>
          </w:tcPr>
          <w:p w:rsidR="00584B95" w:rsidRPr="000162D2" w:rsidRDefault="00584B95" w:rsidP="00766B4F">
            <w:pPr>
              <w:rPr>
                <w:sz w:val="16"/>
                <w:szCs w:val="16"/>
              </w:rPr>
            </w:pPr>
            <w:r w:rsidRPr="000162D2">
              <w:rPr>
                <w:sz w:val="16"/>
                <w:szCs w:val="16"/>
              </w:rPr>
              <w:t>FR</w:t>
            </w:r>
          </w:p>
        </w:tc>
        <w:tc>
          <w:tcPr>
            <w:tcW w:w="1688" w:type="pct"/>
          </w:tcPr>
          <w:p w:rsidR="00584B95" w:rsidRPr="000162D2" w:rsidRDefault="00584B95" w:rsidP="00766B4F">
            <w:pPr>
              <w:rPr>
                <w:sz w:val="16"/>
                <w:szCs w:val="16"/>
              </w:rPr>
            </w:pPr>
            <w:r w:rsidRPr="000162D2">
              <w:rPr>
                <w:sz w:val="16"/>
                <w:szCs w:val="16"/>
              </w:rPr>
              <w:t>The main CSRs/structural challenges that were targeted in the programming documents are those aimed at:</w:t>
            </w:r>
          </w:p>
          <w:p w:rsidR="00584B95" w:rsidRPr="000162D2" w:rsidRDefault="00584B95" w:rsidP="00766B4F">
            <w:pPr>
              <w:rPr>
                <w:sz w:val="16"/>
                <w:szCs w:val="16"/>
              </w:rPr>
            </w:pPr>
            <w:r>
              <w:rPr>
                <w:sz w:val="16"/>
                <w:szCs w:val="16"/>
              </w:rPr>
              <w:t xml:space="preserve">• </w:t>
            </w:r>
            <w:r w:rsidRPr="000162D2">
              <w:rPr>
                <w:sz w:val="16"/>
                <w:szCs w:val="16"/>
              </w:rPr>
              <w:t>Promoting economic development through innovation and technology transfer;</w:t>
            </w:r>
          </w:p>
          <w:p w:rsidR="00584B95" w:rsidRPr="000162D2" w:rsidRDefault="00584B95" w:rsidP="00766B4F">
            <w:pPr>
              <w:rPr>
                <w:sz w:val="16"/>
                <w:szCs w:val="16"/>
              </w:rPr>
            </w:pPr>
            <w:r w:rsidRPr="000162D2">
              <w:rPr>
                <w:sz w:val="16"/>
                <w:szCs w:val="16"/>
              </w:rPr>
              <w:t>•</w:t>
            </w:r>
            <w:r>
              <w:rPr>
                <w:sz w:val="16"/>
                <w:szCs w:val="16"/>
              </w:rPr>
              <w:t xml:space="preserve"> </w:t>
            </w:r>
            <w:r w:rsidRPr="000162D2">
              <w:rPr>
                <w:sz w:val="16"/>
                <w:szCs w:val="16"/>
              </w:rPr>
              <w:t>Supporting the development of human resources and skills, by giving access to training and employment to young people, older people, vulnerable groups, and paying attention to gender equality, career guidance, life-long learning, preventing school dropouts etc.</w:t>
            </w:r>
          </w:p>
          <w:p w:rsidR="00584B95" w:rsidRPr="000162D2" w:rsidRDefault="00584B95" w:rsidP="00766B4F">
            <w:pPr>
              <w:rPr>
                <w:sz w:val="16"/>
                <w:szCs w:val="16"/>
              </w:rPr>
            </w:pPr>
            <w:r w:rsidRPr="000162D2">
              <w:rPr>
                <w:sz w:val="16"/>
                <w:szCs w:val="16"/>
              </w:rPr>
              <w:t>CSRs and structural challenges that concern how to regulate the economy and especially the wage setting-system have not been addressed not only because some of those challenges require initiatives that go beyond the sphere of intervention of ESI Funds but also because there is not a consensus at the national on these policy options.</w:t>
            </w:r>
          </w:p>
        </w:tc>
        <w:tc>
          <w:tcPr>
            <w:tcW w:w="1812" w:type="pct"/>
          </w:tcPr>
          <w:p w:rsidR="00584B95" w:rsidRPr="000162D2" w:rsidRDefault="00584B95" w:rsidP="00766B4F">
            <w:pPr>
              <w:ind w:left="32"/>
              <w:contextualSpacing/>
              <w:jc w:val="left"/>
              <w:rPr>
                <w:sz w:val="16"/>
                <w:szCs w:val="16"/>
                <w:lang w:bidi="en-US"/>
              </w:rPr>
            </w:pPr>
            <w:r w:rsidRPr="000162D2">
              <w:rPr>
                <w:sz w:val="16"/>
                <w:szCs w:val="16"/>
                <w:lang w:bidi="en-US"/>
              </w:rPr>
              <w:t>There is a broad convergence but not a direct causal relationship between some CSRs/structural challenges and national as well as regional programming.</w:t>
            </w:r>
          </w:p>
          <w:p w:rsidR="00584B95" w:rsidRPr="000162D2" w:rsidRDefault="00584B95" w:rsidP="00766B4F">
            <w:pPr>
              <w:ind w:left="32"/>
              <w:contextualSpacing/>
              <w:jc w:val="left"/>
              <w:rPr>
                <w:sz w:val="16"/>
                <w:szCs w:val="16"/>
                <w:lang w:bidi="en-US"/>
              </w:rPr>
            </w:pPr>
            <w:r w:rsidRPr="000162D2">
              <w:rPr>
                <w:sz w:val="16"/>
                <w:szCs w:val="16"/>
                <w:lang w:bidi="en-US"/>
              </w:rPr>
              <w:t xml:space="preserve">There is a strong alignment between CSR/structural challenges and ESI Funds programming in relation to the need for: </w:t>
            </w:r>
          </w:p>
          <w:p w:rsidR="00584B95" w:rsidRPr="000162D2" w:rsidRDefault="00584B95" w:rsidP="00766B4F">
            <w:pPr>
              <w:ind w:left="174" w:hanging="142"/>
              <w:contextualSpacing/>
              <w:jc w:val="left"/>
              <w:rPr>
                <w:sz w:val="16"/>
                <w:szCs w:val="16"/>
                <w:lang w:bidi="en-US"/>
              </w:rPr>
            </w:pPr>
            <w:r w:rsidRPr="000162D2">
              <w:rPr>
                <w:sz w:val="16"/>
                <w:szCs w:val="16"/>
                <w:lang w:bidi="en-US"/>
              </w:rPr>
              <w:t>•</w:t>
            </w:r>
            <w:r w:rsidRPr="000162D2">
              <w:rPr>
                <w:sz w:val="16"/>
                <w:szCs w:val="16"/>
                <w:lang w:bidi="en-US"/>
              </w:rPr>
              <w:tab/>
              <w:t xml:space="preserve">contrasting labour market segmentation (ESF and national OPs YEI) </w:t>
            </w:r>
          </w:p>
          <w:p w:rsidR="00584B95" w:rsidRPr="000162D2" w:rsidRDefault="00584B95" w:rsidP="00766B4F">
            <w:pPr>
              <w:ind w:left="174" w:hanging="142"/>
              <w:contextualSpacing/>
              <w:jc w:val="left"/>
              <w:rPr>
                <w:sz w:val="16"/>
                <w:szCs w:val="16"/>
                <w:lang w:bidi="en-US"/>
              </w:rPr>
            </w:pPr>
            <w:r w:rsidRPr="000162D2">
              <w:rPr>
                <w:sz w:val="16"/>
                <w:szCs w:val="16"/>
                <w:lang w:bidi="en-US"/>
              </w:rPr>
              <w:t>•</w:t>
            </w:r>
            <w:r w:rsidRPr="000162D2">
              <w:rPr>
                <w:sz w:val="16"/>
                <w:szCs w:val="16"/>
                <w:lang w:bidi="en-US"/>
              </w:rPr>
              <w:tab/>
              <w:t xml:space="preserve">improving the life-long learning for young people and job seekers (ESF National OP, OP YEI, all regional OPs) </w:t>
            </w:r>
          </w:p>
          <w:p w:rsidR="00584B95" w:rsidRPr="000162D2" w:rsidRDefault="00584B95" w:rsidP="00766B4F">
            <w:pPr>
              <w:ind w:left="174" w:hanging="142"/>
              <w:contextualSpacing/>
              <w:jc w:val="left"/>
              <w:rPr>
                <w:sz w:val="16"/>
                <w:szCs w:val="16"/>
                <w:lang w:bidi="en-US"/>
              </w:rPr>
            </w:pPr>
            <w:r w:rsidRPr="000162D2">
              <w:rPr>
                <w:sz w:val="16"/>
                <w:szCs w:val="16"/>
                <w:lang w:bidi="en-US"/>
              </w:rPr>
              <w:t>•</w:t>
            </w:r>
            <w:r w:rsidRPr="000162D2">
              <w:rPr>
                <w:sz w:val="16"/>
                <w:szCs w:val="16"/>
                <w:lang w:bidi="en-US"/>
              </w:rPr>
              <w:tab/>
              <w:t xml:space="preserve">supporting older people employment (national ESF OP) </w:t>
            </w:r>
          </w:p>
          <w:p w:rsidR="00584B95" w:rsidRPr="000162D2" w:rsidRDefault="00584B95" w:rsidP="00766B4F">
            <w:pPr>
              <w:ind w:left="174" w:hanging="142"/>
              <w:contextualSpacing/>
              <w:jc w:val="left"/>
              <w:rPr>
                <w:sz w:val="16"/>
                <w:szCs w:val="16"/>
                <w:lang w:bidi="en-US"/>
              </w:rPr>
            </w:pPr>
            <w:r w:rsidRPr="000162D2">
              <w:rPr>
                <w:sz w:val="16"/>
                <w:szCs w:val="16"/>
                <w:lang w:bidi="en-US"/>
              </w:rPr>
              <w:t>•</w:t>
            </w:r>
            <w:r w:rsidRPr="000162D2">
              <w:rPr>
                <w:sz w:val="16"/>
                <w:szCs w:val="16"/>
                <w:lang w:bidi="en-US"/>
              </w:rPr>
              <w:tab/>
              <w:t>promoting innovation to improve the competitiveness of companies and the economy in general (all regional ERDF ESF OPs and EARDF)</w:t>
            </w:r>
          </w:p>
        </w:tc>
        <w:tc>
          <w:tcPr>
            <w:tcW w:w="1176" w:type="pct"/>
          </w:tcPr>
          <w:p w:rsidR="00584B95" w:rsidRPr="000162D2" w:rsidRDefault="00584B95" w:rsidP="00766B4F">
            <w:pPr>
              <w:rPr>
                <w:sz w:val="16"/>
                <w:szCs w:val="16"/>
              </w:rPr>
            </w:pPr>
            <w:r w:rsidRPr="000162D2">
              <w:rPr>
                <w:sz w:val="16"/>
                <w:szCs w:val="16"/>
              </w:rPr>
              <w:t>The ESI Funds have a marginal financial weight compared to the public funding available for innovation support, SMEs development, training and life-long learning and active inclusion policies.</w:t>
            </w:r>
          </w:p>
          <w:p w:rsidR="00584B95" w:rsidRPr="000162D2" w:rsidRDefault="00584B95" w:rsidP="00766B4F">
            <w:pPr>
              <w:rPr>
                <w:sz w:val="16"/>
                <w:szCs w:val="16"/>
              </w:rPr>
            </w:pPr>
            <w:r w:rsidRPr="000162D2">
              <w:rPr>
                <w:sz w:val="16"/>
                <w:szCs w:val="16"/>
              </w:rPr>
              <w:t>A broad principle, when elaborating OPs, has been to target SOs with a value-added in the context of the existing public policies.</w:t>
            </w:r>
          </w:p>
          <w:p w:rsidR="00584B95" w:rsidRPr="000162D2" w:rsidRDefault="00584B95" w:rsidP="00766B4F">
            <w:pPr>
              <w:rPr>
                <w:sz w:val="16"/>
                <w:szCs w:val="16"/>
              </w:rPr>
            </w:pPr>
            <w:r w:rsidRPr="000162D2">
              <w:rPr>
                <w:sz w:val="16"/>
                <w:szCs w:val="16"/>
              </w:rPr>
              <w:t>Despite the Commission's proposals to simplify the use of ESI Funds, there are still problems related to the mobilisation of stakeholders, the implementation of management systems and the implementation and use of the “</w:t>
            </w:r>
            <w:proofErr w:type="spellStart"/>
            <w:r w:rsidRPr="000162D2">
              <w:rPr>
                <w:sz w:val="16"/>
                <w:szCs w:val="16"/>
              </w:rPr>
              <w:t>Synergie</w:t>
            </w:r>
            <w:proofErr w:type="spellEnd"/>
            <w:r w:rsidRPr="000162D2">
              <w:rPr>
                <w:sz w:val="16"/>
                <w:szCs w:val="16"/>
              </w:rPr>
              <w:t xml:space="preserve">” information system.     </w:t>
            </w:r>
          </w:p>
        </w:tc>
      </w:tr>
      <w:tr w:rsidR="00584B95" w:rsidRPr="000162D2" w:rsidTr="00766B4F">
        <w:tc>
          <w:tcPr>
            <w:tcW w:w="324" w:type="pct"/>
          </w:tcPr>
          <w:p w:rsidR="00584B95" w:rsidRPr="000162D2" w:rsidRDefault="00584B95" w:rsidP="00766B4F">
            <w:pPr>
              <w:rPr>
                <w:sz w:val="16"/>
                <w:szCs w:val="16"/>
              </w:rPr>
            </w:pPr>
            <w:r>
              <w:rPr>
                <w:sz w:val="16"/>
                <w:szCs w:val="16"/>
              </w:rPr>
              <w:t>GR</w:t>
            </w:r>
          </w:p>
        </w:tc>
        <w:tc>
          <w:tcPr>
            <w:tcW w:w="1688" w:type="pct"/>
          </w:tcPr>
          <w:p w:rsidR="00584B95" w:rsidRPr="000162D2" w:rsidRDefault="00584B95" w:rsidP="00766B4F">
            <w:pPr>
              <w:rPr>
                <w:sz w:val="16"/>
                <w:szCs w:val="16"/>
              </w:rPr>
            </w:pPr>
            <w:r w:rsidRPr="00222413">
              <w:rPr>
                <w:sz w:val="16"/>
                <w:szCs w:val="16"/>
              </w:rPr>
              <w:t xml:space="preserve">With the exception of EMFF, the strategy and design of all other programmes is based on </w:t>
            </w:r>
            <w:r>
              <w:rPr>
                <w:sz w:val="16"/>
                <w:szCs w:val="16"/>
              </w:rPr>
              <w:t>MoU</w:t>
            </w:r>
            <w:r w:rsidRPr="00222413">
              <w:rPr>
                <w:sz w:val="16"/>
                <w:szCs w:val="16"/>
              </w:rPr>
              <w:t>/</w:t>
            </w:r>
            <w:r>
              <w:rPr>
                <w:sz w:val="16"/>
                <w:szCs w:val="16"/>
              </w:rPr>
              <w:t xml:space="preserve">Country Reports’ </w:t>
            </w:r>
            <w:r w:rsidRPr="00222413">
              <w:rPr>
                <w:sz w:val="16"/>
                <w:szCs w:val="16"/>
              </w:rPr>
              <w:t xml:space="preserve">challenges. In practically all </w:t>
            </w:r>
            <w:r>
              <w:rPr>
                <w:sz w:val="16"/>
                <w:szCs w:val="16"/>
              </w:rPr>
              <w:t>OPs</w:t>
            </w:r>
            <w:r w:rsidRPr="00222413">
              <w:rPr>
                <w:sz w:val="16"/>
                <w:szCs w:val="16"/>
              </w:rPr>
              <w:t>, challenges related to measures against permanent unemployment, RTDI, Education and Energy Efficiency are referenced.  The tight timeframe for the fulfilment of the M</w:t>
            </w:r>
            <w:r>
              <w:rPr>
                <w:sz w:val="16"/>
                <w:szCs w:val="16"/>
              </w:rPr>
              <w:t>o</w:t>
            </w:r>
            <w:r w:rsidRPr="00222413">
              <w:rPr>
                <w:sz w:val="16"/>
                <w:szCs w:val="16"/>
              </w:rPr>
              <w:t>U reforms, which is a precondition for financial instalments often comes in contradiction with the ESI funds regulatory framework (transparency and public procurement rules), which is rather slow and bureaucratic.</w:t>
            </w:r>
          </w:p>
        </w:tc>
        <w:tc>
          <w:tcPr>
            <w:tcW w:w="1812" w:type="pct"/>
          </w:tcPr>
          <w:p w:rsidR="00584B95" w:rsidRPr="00222413" w:rsidRDefault="00584B95" w:rsidP="00766B4F">
            <w:pPr>
              <w:rPr>
                <w:sz w:val="16"/>
                <w:szCs w:val="16"/>
              </w:rPr>
            </w:pPr>
            <w:r>
              <w:rPr>
                <w:sz w:val="16"/>
                <w:szCs w:val="16"/>
              </w:rPr>
              <w:t xml:space="preserve">ESI Funds implementation </w:t>
            </w:r>
            <w:r w:rsidRPr="00222413">
              <w:rPr>
                <w:sz w:val="16"/>
                <w:szCs w:val="16"/>
              </w:rPr>
              <w:t xml:space="preserve">was significantly influenced by </w:t>
            </w:r>
            <w:r>
              <w:rPr>
                <w:sz w:val="16"/>
                <w:szCs w:val="16"/>
              </w:rPr>
              <w:t>MoU</w:t>
            </w:r>
            <w:r w:rsidRPr="00222413">
              <w:rPr>
                <w:sz w:val="16"/>
                <w:szCs w:val="16"/>
              </w:rPr>
              <w:t>/</w:t>
            </w:r>
            <w:r>
              <w:rPr>
                <w:sz w:val="16"/>
                <w:szCs w:val="16"/>
              </w:rPr>
              <w:t xml:space="preserve">Country Reports’ </w:t>
            </w:r>
            <w:r w:rsidRPr="00222413">
              <w:rPr>
                <w:sz w:val="16"/>
                <w:szCs w:val="16"/>
              </w:rPr>
              <w:t xml:space="preserve">challenges. The design of the ESF OP was based on the recommendations </w:t>
            </w:r>
            <w:r>
              <w:rPr>
                <w:sz w:val="16"/>
                <w:szCs w:val="16"/>
              </w:rPr>
              <w:t xml:space="preserve">of </w:t>
            </w:r>
            <w:r w:rsidRPr="00222413">
              <w:rPr>
                <w:sz w:val="16"/>
                <w:szCs w:val="16"/>
              </w:rPr>
              <w:t>the revi</w:t>
            </w:r>
            <w:r>
              <w:rPr>
                <w:sz w:val="16"/>
                <w:szCs w:val="16"/>
              </w:rPr>
              <w:t>sed MOU (May 2013) and the CPP.</w:t>
            </w:r>
          </w:p>
          <w:p w:rsidR="00584B95" w:rsidRPr="000162D2" w:rsidRDefault="00584B95" w:rsidP="00766B4F">
            <w:pPr>
              <w:rPr>
                <w:sz w:val="16"/>
                <w:szCs w:val="16"/>
              </w:rPr>
            </w:pPr>
            <w:r w:rsidRPr="00222413">
              <w:rPr>
                <w:sz w:val="16"/>
                <w:szCs w:val="16"/>
              </w:rPr>
              <w:t>The same applies to the majority of regional OPs (</w:t>
            </w:r>
            <w:r>
              <w:rPr>
                <w:sz w:val="16"/>
                <w:szCs w:val="16"/>
              </w:rPr>
              <w:t xml:space="preserve">e.g. </w:t>
            </w:r>
            <w:r w:rsidRPr="00222413">
              <w:rPr>
                <w:sz w:val="16"/>
                <w:szCs w:val="16"/>
              </w:rPr>
              <w:t>OP Western Greece, Western Macedonia, Central Macedonia, Pel</w:t>
            </w:r>
            <w:r>
              <w:rPr>
                <w:sz w:val="16"/>
                <w:szCs w:val="16"/>
              </w:rPr>
              <w:t>oponnese, Continental Greece</w:t>
            </w:r>
            <w:r w:rsidRPr="00222413">
              <w:rPr>
                <w:sz w:val="16"/>
                <w:szCs w:val="16"/>
              </w:rPr>
              <w:t>).</w:t>
            </w:r>
            <w:r>
              <w:rPr>
                <w:sz w:val="16"/>
                <w:szCs w:val="16"/>
              </w:rPr>
              <w:t xml:space="preserve"> To some extent also t</w:t>
            </w:r>
            <w:r w:rsidRPr="00222413">
              <w:rPr>
                <w:sz w:val="16"/>
                <w:szCs w:val="16"/>
              </w:rPr>
              <w:t xml:space="preserve">he design of EAFRD was based, among others, on the priorities of the MoU Adjustment Programme, which reflects the Council  recommendations to be included in the National Reform Programme. </w:t>
            </w:r>
          </w:p>
        </w:tc>
        <w:tc>
          <w:tcPr>
            <w:tcW w:w="1176" w:type="pct"/>
          </w:tcPr>
          <w:p w:rsidR="00584B95" w:rsidRPr="00E02615" w:rsidRDefault="00584B95" w:rsidP="00766B4F">
            <w:pPr>
              <w:rPr>
                <w:sz w:val="16"/>
                <w:szCs w:val="16"/>
              </w:rPr>
            </w:pPr>
            <w:r w:rsidRPr="00014A48">
              <w:rPr>
                <w:sz w:val="16"/>
                <w:szCs w:val="16"/>
              </w:rPr>
              <w:t>A major obstacle is time</w:t>
            </w:r>
            <w:r>
              <w:rPr>
                <w:sz w:val="16"/>
                <w:szCs w:val="16"/>
              </w:rPr>
              <w:t>. R</w:t>
            </w:r>
            <w:r w:rsidRPr="00014A48">
              <w:rPr>
                <w:sz w:val="16"/>
                <w:szCs w:val="16"/>
              </w:rPr>
              <w:t>eforms must be implemented within a limited timeframe</w:t>
            </w:r>
            <w:r>
              <w:rPr>
                <w:sz w:val="16"/>
                <w:szCs w:val="16"/>
              </w:rPr>
              <w:t xml:space="preserve"> d</w:t>
            </w:r>
            <w:r w:rsidRPr="00014A48">
              <w:rPr>
                <w:sz w:val="16"/>
                <w:szCs w:val="16"/>
              </w:rPr>
              <w:t xml:space="preserve">ictated by the MOUs while ESIF processes need at least 6 months to conclude due to lengthy maturity processes of the beneficiaries and competition rules including the </w:t>
            </w:r>
            <w:r>
              <w:rPr>
                <w:sz w:val="16"/>
                <w:szCs w:val="16"/>
              </w:rPr>
              <w:t>need for</w:t>
            </w:r>
            <w:r w:rsidRPr="00014A48">
              <w:rPr>
                <w:sz w:val="16"/>
                <w:szCs w:val="16"/>
              </w:rPr>
              <w:t xml:space="preserve"> international tenders. Other </w:t>
            </w:r>
            <w:r>
              <w:rPr>
                <w:sz w:val="16"/>
                <w:szCs w:val="16"/>
              </w:rPr>
              <w:t xml:space="preserve">obstacles: </w:t>
            </w:r>
            <w:r w:rsidRPr="00014A48">
              <w:rPr>
                <w:sz w:val="16"/>
                <w:szCs w:val="16"/>
              </w:rPr>
              <w:t>expropriations, the regulations for the prot</w:t>
            </w:r>
            <w:r>
              <w:rPr>
                <w:sz w:val="16"/>
                <w:szCs w:val="16"/>
              </w:rPr>
              <w:t>ection of cultural heritage, on</w:t>
            </w:r>
            <w:r w:rsidRPr="00014A48">
              <w:rPr>
                <w:sz w:val="16"/>
                <w:szCs w:val="16"/>
              </w:rPr>
              <w:t>going litigations, the slow jurisdiction process, enviro</w:t>
            </w:r>
            <w:r>
              <w:rPr>
                <w:sz w:val="16"/>
                <w:szCs w:val="16"/>
              </w:rPr>
              <w:t>nmental impact assessments etc.</w:t>
            </w:r>
          </w:p>
        </w:tc>
      </w:tr>
      <w:tr w:rsidR="00584B95" w:rsidRPr="000162D2" w:rsidTr="00766B4F">
        <w:tc>
          <w:tcPr>
            <w:tcW w:w="324" w:type="pct"/>
          </w:tcPr>
          <w:p w:rsidR="00584B95" w:rsidRPr="000162D2" w:rsidRDefault="00584B95" w:rsidP="00766B4F">
            <w:pPr>
              <w:rPr>
                <w:sz w:val="16"/>
                <w:szCs w:val="16"/>
              </w:rPr>
            </w:pPr>
            <w:r w:rsidRPr="000162D2">
              <w:rPr>
                <w:sz w:val="16"/>
                <w:szCs w:val="16"/>
              </w:rPr>
              <w:t>HR</w:t>
            </w:r>
          </w:p>
        </w:tc>
        <w:tc>
          <w:tcPr>
            <w:tcW w:w="1688" w:type="pct"/>
          </w:tcPr>
          <w:p w:rsidR="00584B95" w:rsidRPr="000162D2" w:rsidRDefault="00584B95" w:rsidP="00766B4F">
            <w:pPr>
              <w:rPr>
                <w:sz w:val="16"/>
                <w:szCs w:val="16"/>
              </w:rPr>
            </w:pPr>
            <w:r w:rsidRPr="000162D2">
              <w:rPr>
                <w:sz w:val="16"/>
                <w:szCs w:val="16"/>
              </w:rPr>
              <w:t>The Croatian OPs support CSR/structural challenges to a significant extent. This is particularly the case of the ESF addressing almost all issues relevant for the labour market such as the integration of young people (Croatia has one of the highest youth unemployment rates in the EU-28), labour market relevance of education and training (Croatia’s educational system is outdated and does not respond to the requirements of the labour market). However, investment priorities of the ESF go far beyond the scope of CSRs. The remaining programmes (ERDF, EAFRD, EMFF) focus on some of the key areas of CSRs: research, technology development and innovation and energy networks.</w:t>
            </w:r>
          </w:p>
        </w:tc>
        <w:tc>
          <w:tcPr>
            <w:tcW w:w="1812" w:type="pct"/>
          </w:tcPr>
          <w:p w:rsidR="00584B95" w:rsidRPr="000162D2" w:rsidRDefault="00584B95" w:rsidP="00766B4F">
            <w:pPr>
              <w:rPr>
                <w:sz w:val="16"/>
                <w:szCs w:val="16"/>
              </w:rPr>
            </w:pPr>
            <w:r w:rsidRPr="000162D2">
              <w:rPr>
                <w:sz w:val="16"/>
                <w:szCs w:val="16"/>
              </w:rPr>
              <w:t>The desk analysis showed that CSR/structural challenges played an important role in the early stage of programming. There are also numerous references to the CSRs particularly in the ESF OP and to a lesser extent in the other programmes. Programming documents addressed a variety of challenges, with a focus on labour market issues such as the access to employment and employability of workers, labour market integration of young people, improvement of the labour market relevance of education and training, but also on research and technology, energy networks and resource efficiency, business environment and institutional capacity.</w:t>
            </w:r>
          </w:p>
        </w:tc>
        <w:tc>
          <w:tcPr>
            <w:tcW w:w="1176" w:type="pct"/>
          </w:tcPr>
          <w:p w:rsidR="00584B95" w:rsidRPr="00E02615" w:rsidRDefault="00584B95" w:rsidP="00766B4F">
            <w:pPr>
              <w:rPr>
                <w:sz w:val="16"/>
                <w:szCs w:val="16"/>
              </w:rPr>
            </w:pPr>
            <w:r w:rsidRPr="00E02615">
              <w:rPr>
                <w:sz w:val="16"/>
                <w:szCs w:val="16"/>
              </w:rPr>
              <w:t>There are two main aspects to be mentioned:</w:t>
            </w:r>
          </w:p>
          <w:p w:rsidR="00584B95" w:rsidRDefault="00584B95" w:rsidP="00766B4F">
            <w:pPr>
              <w:ind w:left="174" w:hanging="142"/>
              <w:contextualSpacing/>
              <w:jc w:val="left"/>
              <w:rPr>
                <w:rFonts w:eastAsia="Times New Roman" w:cs="Times New Roman"/>
                <w:b/>
                <w:i/>
                <w:sz w:val="16"/>
                <w:szCs w:val="16"/>
                <w:lang w:bidi="en-US"/>
              </w:rPr>
            </w:pPr>
            <w:r>
              <w:rPr>
                <w:sz w:val="16"/>
                <w:szCs w:val="16"/>
              </w:rPr>
              <w:t>-</w:t>
            </w:r>
            <w:r w:rsidRPr="00E02615">
              <w:rPr>
                <w:sz w:val="16"/>
                <w:szCs w:val="16"/>
                <w:lang w:bidi="en-US"/>
              </w:rPr>
              <w:t>coordination at government level, e.g. to coordinate the ministries involved. There is also a high fragmentation and overlapping of responsibilities.</w:t>
            </w:r>
          </w:p>
          <w:p w:rsidR="00584B95" w:rsidRDefault="00584B95" w:rsidP="00766B4F">
            <w:pPr>
              <w:ind w:left="174" w:hanging="142"/>
              <w:contextualSpacing/>
              <w:jc w:val="left"/>
              <w:rPr>
                <w:rFonts w:eastAsia="Times New Roman" w:cs="Times New Roman"/>
                <w:b/>
                <w:i/>
                <w:sz w:val="16"/>
                <w:szCs w:val="16"/>
              </w:rPr>
            </w:pPr>
            <w:r w:rsidRPr="00E02615">
              <w:rPr>
                <w:sz w:val="16"/>
                <w:szCs w:val="16"/>
              </w:rPr>
              <w:t>-</w:t>
            </w:r>
            <w:r w:rsidRPr="00E02615">
              <w:rPr>
                <w:sz w:val="16"/>
                <w:szCs w:val="16"/>
                <w:lang w:bidi="en-US"/>
              </w:rPr>
              <w:t xml:space="preserve">capacity to implement sound policies, measure effectiveness, make decisions based on previous experiences, ensure effective and timely use of ESI funds.    </w:t>
            </w:r>
          </w:p>
        </w:tc>
      </w:tr>
      <w:tr w:rsidR="00584B95" w:rsidRPr="000162D2" w:rsidTr="00766B4F">
        <w:tc>
          <w:tcPr>
            <w:tcW w:w="324" w:type="pct"/>
          </w:tcPr>
          <w:p w:rsidR="00584B95" w:rsidRPr="000162D2" w:rsidRDefault="00584B95" w:rsidP="00766B4F">
            <w:pPr>
              <w:rPr>
                <w:sz w:val="16"/>
                <w:szCs w:val="16"/>
              </w:rPr>
            </w:pPr>
            <w:r w:rsidRPr="000162D2">
              <w:rPr>
                <w:sz w:val="16"/>
                <w:szCs w:val="16"/>
              </w:rPr>
              <w:t>HU</w:t>
            </w:r>
          </w:p>
        </w:tc>
        <w:tc>
          <w:tcPr>
            <w:tcW w:w="1688" w:type="pct"/>
          </w:tcPr>
          <w:p w:rsidR="00584B95" w:rsidRPr="000162D2" w:rsidRDefault="00584B95" w:rsidP="00766B4F">
            <w:pPr>
              <w:rPr>
                <w:sz w:val="16"/>
                <w:szCs w:val="16"/>
              </w:rPr>
            </w:pPr>
            <w:r w:rsidRPr="000162D2">
              <w:rPr>
                <w:sz w:val="16"/>
                <w:szCs w:val="16"/>
              </w:rPr>
              <w:t>All cohesion relevant CSRs  have been covered at least by one strategic document. Moreover, the Public Service Development OP covered some CSRs not directly relevant for cohesion but dealing with public finance, banking, corruption and liberalisation.</w:t>
            </w:r>
          </w:p>
          <w:p w:rsidR="00584B95" w:rsidRPr="000162D2" w:rsidRDefault="00584B95" w:rsidP="00766B4F">
            <w:pPr>
              <w:rPr>
                <w:sz w:val="16"/>
                <w:szCs w:val="16"/>
              </w:rPr>
            </w:pPr>
            <w:r w:rsidRPr="000162D2">
              <w:rPr>
                <w:sz w:val="16"/>
                <w:szCs w:val="16"/>
              </w:rPr>
              <w:t>The CSRs targeting poverty and social inclusion can be considered a top priority, because almost all of the strategic documents refer to them. The other main CSRs which are extremely important are the ones about employment and education. These three policy areas – education, employment and poverty – covers almost half of the recommendations each year.</w:t>
            </w:r>
          </w:p>
        </w:tc>
        <w:tc>
          <w:tcPr>
            <w:tcW w:w="1812" w:type="pct"/>
          </w:tcPr>
          <w:p w:rsidR="00584B95" w:rsidRPr="000162D2" w:rsidRDefault="00584B95" w:rsidP="00766B4F">
            <w:pPr>
              <w:rPr>
                <w:sz w:val="16"/>
                <w:szCs w:val="16"/>
              </w:rPr>
            </w:pPr>
            <w:r w:rsidRPr="000162D2">
              <w:rPr>
                <w:sz w:val="16"/>
                <w:szCs w:val="16"/>
              </w:rPr>
              <w:t xml:space="preserve">The alignment of programming documents and CSR/structural challenges was assessed as high in the PA case and medium-high in the case of the OPs considering that each of these is focused on a more limited set of challenges.  </w:t>
            </w:r>
          </w:p>
          <w:p w:rsidR="00584B95" w:rsidRPr="000162D2" w:rsidRDefault="00584B95" w:rsidP="00766B4F">
            <w:pPr>
              <w:rPr>
                <w:sz w:val="16"/>
                <w:szCs w:val="16"/>
              </w:rPr>
            </w:pPr>
            <w:r w:rsidRPr="000162D2">
              <w:rPr>
                <w:sz w:val="16"/>
                <w:szCs w:val="16"/>
              </w:rPr>
              <w:t>Two OPs are particularly important for contributing to address structural challenges and were assessed as very much aligned to the Semester’s recommendations (Economic Development and Innovation Operational Programme and Central Hungary Operational Programme), because these documents cover a large number of challenges raised.</w:t>
            </w:r>
          </w:p>
        </w:tc>
        <w:tc>
          <w:tcPr>
            <w:tcW w:w="1176" w:type="pct"/>
          </w:tcPr>
          <w:p w:rsidR="00584B95" w:rsidRPr="000162D2" w:rsidRDefault="00584B95" w:rsidP="00766B4F">
            <w:pPr>
              <w:rPr>
                <w:sz w:val="16"/>
                <w:szCs w:val="16"/>
              </w:rPr>
            </w:pPr>
            <w:r w:rsidRPr="000162D2">
              <w:rPr>
                <w:sz w:val="16"/>
                <w:szCs w:val="16"/>
              </w:rPr>
              <w:t xml:space="preserve">The lack of own resources can slow the implementation of structural reforms, and the frequent changes in the structures and human resources of relevant state organizations is also likely to hinder reforms.     </w:t>
            </w:r>
          </w:p>
        </w:tc>
      </w:tr>
      <w:tr w:rsidR="00584B95" w:rsidRPr="000162D2" w:rsidTr="00766B4F">
        <w:tc>
          <w:tcPr>
            <w:tcW w:w="324" w:type="pct"/>
          </w:tcPr>
          <w:p w:rsidR="00584B95" w:rsidRPr="000162D2" w:rsidRDefault="00584B95" w:rsidP="00766B4F">
            <w:pPr>
              <w:rPr>
                <w:sz w:val="16"/>
                <w:szCs w:val="16"/>
              </w:rPr>
            </w:pPr>
            <w:r w:rsidRPr="000162D2">
              <w:rPr>
                <w:sz w:val="16"/>
                <w:szCs w:val="16"/>
              </w:rPr>
              <w:t>IE</w:t>
            </w:r>
          </w:p>
        </w:tc>
        <w:tc>
          <w:tcPr>
            <w:tcW w:w="1688" w:type="pct"/>
          </w:tcPr>
          <w:p w:rsidR="00584B95" w:rsidRPr="000162D2" w:rsidRDefault="00584B95" w:rsidP="00766B4F">
            <w:pPr>
              <w:rPr>
                <w:sz w:val="16"/>
                <w:szCs w:val="16"/>
              </w:rPr>
            </w:pPr>
            <w:r w:rsidRPr="00D43640">
              <w:rPr>
                <w:sz w:val="16"/>
                <w:szCs w:val="16"/>
              </w:rPr>
              <w:t xml:space="preserve">Ireland was not part of the Semester process until 2014 and there were was only limited  CSR involvement before that as relevant to Cohesion policy. However, it should be emphasised that Structural Fund documentation has been influenced from the outset by imperatives that relate to the Structural Reform agenda and the ongoing actions arising from the Troika process. </w:t>
            </w:r>
            <w:r w:rsidRPr="000162D2">
              <w:rPr>
                <w:sz w:val="16"/>
                <w:szCs w:val="16"/>
              </w:rPr>
              <w:t>The OPs focus on all the cohesion relevant structural challenges as they relate to: The labour market, favouring reform and inclusion; Research, technological development and innovation; Product market reform as it relates to access to finance for SMEs and inadequate commercialisation of research; Network industries-correction of market failures.</w:t>
            </w:r>
          </w:p>
        </w:tc>
        <w:tc>
          <w:tcPr>
            <w:tcW w:w="1812" w:type="pct"/>
          </w:tcPr>
          <w:p w:rsidR="00584B95" w:rsidRPr="000162D2" w:rsidRDefault="00584B95" w:rsidP="00766B4F">
            <w:pPr>
              <w:rPr>
                <w:sz w:val="16"/>
                <w:szCs w:val="16"/>
              </w:rPr>
            </w:pPr>
            <w:r w:rsidRPr="000162D2">
              <w:rPr>
                <w:sz w:val="16"/>
                <w:szCs w:val="16"/>
              </w:rPr>
              <w:t>The issues covered in the CSRs are priorities for the Irish Government national programmes. A considerable amount of the activities funded by both ESI Funds and mainstream national programmes are relevant to addressing the CSRs, either directly or indirectly. There is strong alignment between ESI Funds programming and the CSR challenges. This is particularly the case with reform in the labour market. In deciding what should be the priorities for the use of ESI Funds the respective Irish departments have been fully aware of the importance of realising the objectives contained in the CSRs. However, it should be recognised that the volume of ESI Funds is relatively small compared to those committed by mainstream Government programmes.</w:t>
            </w:r>
          </w:p>
        </w:tc>
        <w:tc>
          <w:tcPr>
            <w:tcW w:w="1176" w:type="pct"/>
          </w:tcPr>
          <w:p w:rsidR="00584B95" w:rsidRPr="000162D2" w:rsidRDefault="00584B95" w:rsidP="00766B4F">
            <w:pPr>
              <w:rPr>
                <w:sz w:val="16"/>
                <w:szCs w:val="16"/>
              </w:rPr>
            </w:pPr>
            <w:r w:rsidRPr="000162D2">
              <w:rPr>
                <w:sz w:val="16"/>
                <w:szCs w:val="16"/>
              </w:rPr>
              <w:t xml:space="preserve">According to the analysis and the interviews there is no specific obstacle to the use of ESI Funds to pursue structural reforms in Ireland.     </w:t>
            </w:r>
          </w:p>
        </w:tc>
      </w:tr>
      <w:tr w:rsidR="00584B95" w:rsidRPr="000162D2" w:rsidTr="00766B4F">
        <w:tc>
          <w:tcPr>
            <w:tcW w:w="324" w:type="pct"/>
          </w:tcPr>
          <w:p w:rsidR="00584B95" w:rsidRPr="000162D2" w:rsidRDefault="00584B95" w:rsidP="00766B4F">
            <w:pPr>
              <w:rPr>
                <w:sz w:val="16"/>
                <w:szCs w:val="16"/>
              </w:rPr>
            </w:pPr>
            <w:r w:rsidRPr="000162D2">
              <w:rPr>
                <w:sz w:val="16"/>
                <w:szCs w:val="16"/>
              </w:rPr>
              <w:t>IT</w:t>
            </w:r>
          </w:p>
        </w:tc>
        <w:tc>
          <w:tcPr>
            <w:tcW w:w="1688" w:type="pct"/>
          </w:tcPr>
          <w:p w:rsidR="00584B95" w:rsidRPr="000162D2" w:rsidRDefault="00584B95" w:rsidP="00766B4F">
            <w:pPr>
              <w:rPr>
                <w:sz w:val="16"/>
                <w:szCs w:val="16"/>
              </w:rPr>
            </w:pPr>
            <w:r w:rsidRPr="000162D2">
              <w:rPr>
                <w:sz w:val="16"/>
                <w:szCs w:val="16"/>
              </w:rPr>
              <w:t xml:space="preserve">The OPs support the Italian CSRs and structural challenges extensively. The contribution of National OPs to the Italian CSR and structural challenges is inevitably influenced by the policy area addressed at programme level. E.g. the NOPs focusing on policy areas such as Education and Social inclusion are substantially CSR-oriented and include a relatively high number of references to structural challenges. Overall, ESF and ERDF are the most important as far as CSR coverage is concerned. </w:t>
            </w:r>
          </w:p>
          <w:p w:rsidR="00584B95" w:rsidRPr="000162D2" w:rsidRDefault="00584B95" w:rsidP="00766B4F">
            <w:pPr>
              <w:rPr>
                <w:sz w:val="16"/>
                <w:szCs w:val="16"/>
              </w:rPr>
            </w:pPr>
            <w:r w:rsidRPr="000162D2">
              <w:rPr>
                <w:sz w:val="16"/>
                <w:szCs w:val="16"/>
              </w:rPr>
              <w:t>EAFRD and EMFF programmes, include a number of references to CSR/structural challenges, but Semester indications seem to play a more marginal role.</w:t>
            </w:r>
          </w:p>
        </w:tc>
        <w:tc>
          <w:tcPr>
            <w:tcW w:w="1812" w:type="pct"/>
          </w:tcPr>
          <w:p w:rsidR="00584B95" w:rsidRPr="000162D2" w:rsidRDefault="00584B95" w:rsidP="00766B4F">
            <w:pPr>
              <w:rPr>
                <w:sz w:val="16"/>
                <w:szCs w:val="16"/>
              </w:rPr>
            </w:pPr>
            <w:r w:rsidRPr="000162D2">
              <w:rPr>
                <w:sz w:val="16"/>
                <w:szCs w:val="16"/>
              </w:rPr>
              <w:t>Cohesion relevant CSRs have extensively influenced the programming of ESI Funds. This is proved by the numerous references as well as by the justifications for the choice of Thematic Objectives, related Investment Priorities and Specific Objectives. Particular importance was given to the CSRs on: (1) Better management of EU Funds; (2) Transport infrastructure/logistics; (3) SME access to credit; (4) Youth unemployment</w:t>
            </w:r>
            <w:r>
              <w:rPr>
                <w:sz w:val="16"/>
                <w:szCs w:val="16"/>
              </w:rPr>
              <w:t>; (5) female labour market participation</w:t>
            </w:r>
            <w:r w:rsidRPr="000162D2">
              <w:rPr>
                <w:sz w:val="16"/>
                <w:szCs w:val="16"/>
              </w:rPr>
              <w:t>.</w:t>
            </w:r>
          </w:p>
        </w:tc>
        <w:tc>
          <w:tcPr>
            <w:tcW w:w="1176" w:type="pct"/>
          </w:tcPr>
          <w:p w:rsidR="00584B95" w:rsidRPr="000162D2" w:rsidRDefault="00584B95" w:rsidP="00766B4F">
            <w:pPr>
              <w:rPr>
                <w:sz w:val="16"/>
                <w:szCs w:val="16"/>
              </w:rPr>
            </w:pPr>
            <w:r>
              <w:rPr>
                <w:sz w:val="16"/>
                <w:szCs w:val="16"/>
              </w:rPr>
              <w:t xml:space="preserve">Some general issues were highlighted in the interviews. </w:t>
            </w:r>
            <w:r w:rsidRPr="000162D2">
              <w:rPr>
                <w:sz w:val="16"/>
                <w:szCs w:val="16"/>
              </w:rPr>
              <w:t xml:space="preserve">The nature of the CSRs tends to give general indications to Member States rather than specific or detailed ones. This means that some recommendations might be adequate for a number of regions (and relative OPs) but not necessarily for all of them. In order to be truly effective, a recommendation should therefore be as much accurate and tailored as possible. </w:t>
            </w:r>
            <w:r>
              <w:rPr>
                <w:sz w:val="16"/>
                <w:szCs w:val="16"/>
              </w:rPr>
              <w:t>T</w:t>
            </w:r>
            <w:r w:rsidRPr="000162D2">
              <w:rPr>
                <w:sz w:val="16"/>
                <w:szCs w:val="16"/>
              </w:rPr>
              <w:t>he mismatch between the CSRs yearly time frame and the seven-years programming cycle prevents an effective pursue of structural reforms.</w:t>
            </w:r>
          </w:p>
        </w:tc>
      </w:tr>
      <w:tr w:rsidR="00584B95" w:rsidRPr="000162D2" w:rsidTr="00766B4F">
        <w:tc>
          <w:tcPr>
            <w:tcW w:w="324" w:type="pct"/>
          </w:tcPr>
          <w:p w:rsidR="00584B95" w:rsidRPr="000162D2" w:rsidRDefault="00584B95" w:rsidP="00766B4F">
            <w:pPr>
              <w:rPr>
                <w:sz w:val="16"/>
                <w:szCs w:val="16"/>
              </w:rPr>
            </w:pPr>
            <w:r w:rsidRPr="000162D2">
              <w:rPr>
                <w:sz w:val="16"/>
                <w:szCs w:val="16"/>
              </w:rPr>
              <w:t>LT</w:t>
            </w:r>
          </w:p>
        </w:tc>
        <w:tc>
          <w:tcPr>
            <w:tcW w:w="1688" w:type="pct"/>
          </w:tcPr>
          <w:p w:rsidR="00584B95" w:rsidRPr="000162D2" w:rsidRDefault="00584B95" w:rsidP="00766B4F">
            <w:pPr>
              <w:rPr>
                <w:sz w:val="16"/>
                <w:szCs w:val="16"/>
              </w:rPr>
            </w:pPr>
            <w:r w:rsidRPr="00D43640">
              <w:rPr>
                <w:sz w:val="16"/>
                <w:szCs w:val="16"/>
              </w:rPr>
              <w:t xml:space="preserve">All cohesion relevant CSRs/structural challenges were targeted in programming documents although not all of them were addressed explicitly. Recommendations on improving employment (particularly 2012 CSR 3.1), boosting energy efficiency (2012, 2013, 2014 CSR 6.1) and reducing greenhouse gas emissions (2012 CR 2.1, 2013 CR 2.1 and 2014 3.1) were targeted most often. </w:t>
            </w:r>
            <w:r w:rsidRPr="000162D2">
              <w:rPr>
                <w:sz w:val="16"/>
                <w:szCs w:val="16"/>
              </w:rPr>
              <w:t xml:space="preserve">Even </w:t>
            </w:r>
            <w:r>
              <w:rPr>
                <w:sz w:val="16"/>
                <w:szCs w:val="16"/>
              </w:rPr>
              <w:t xml:space="preserve">when no </w:t>
            </w:r>
            <w:r w:rsidRPr="000162D2">
              <w:rPr>
                <w:sz w:val="16"/>
                <w:szCs w:val="16"/>
              </w:rPr>
              <w:t xml:space="preserve">explicit references to CSRs can be found in the OPs, the programmes are adequately aligned with the cohesion relevant CSRs/structural challenges as demonstrated by the actions and the specific objectives pursued in the OPs. </w:t>
            </w:r>
          </w:p>
          <w:p w:rsidR="00584B95" w:rsidRPr="000162D2" w:rsidRDefault="00584B95" w:rsidP="00766B4F">
            <w:pPr>
              <w:rPr>
                <w:sz w:val="16"/>
                <w:szCs w:val="16"/>
              </w:rPr>
            </w:pPr>
          </w:p>
        </w:tc>
        <w:tc>
          <w:tcPr>
            <w:tcW w:w="1812" w:type="pct"/>
          </w:tcPr>
          <w:p w:rsidR="00584B95" w:rsidRPr="000162D2" w:rsidRDefault="00584B95" w:rsidP="00766B4F">
            <w:pPr>
              <w:rPr>
                <w:sz w:val="16"/>
                <w:szCs w:val="16"/>
              </w:rPr>
            </w:pPr>
            <w:r w:rsidRPr="000162D2">
              <w:rPr>
                <w:sz w:val="16"/>
                <w:szCs w:val="16"/>
              </w:rPr>
              <w:t>The desk analysis shows that CSRs/structural challenges were important in the early stage of programming. However, the interviews suggest that, despite the coherence between the various documents, the actual alignment can be more accidental than sought: implicit references to CSRs/structural challenges found in the OPs are there because they reflect the wide range of goals of Cohesion policy. In any case, the content of the OPs is largely dependent on the development and funding needs outlined in CPP and PA and CSRs were explicitly cited in the descriptions of those needs.</w:t>
            </w:r>
          </w:p>
        </w:tc>
        <w:tc>
          <w:tcPr>
            <w:tcW w:w="1176" w:type="pct"/>
          </w:tcPr>
          <w:p w:rsidR="00584B95" w:rsidRPr="000162D2" w:rsidRDefault="00584B95" w:rsidP="00766B4F">
            <w:pPr>
              <w:rPr>
                <w:sz w:val="16"/>
                <w:szCs w:val="16"/>
              </w:rPr>
            </w:pPr>
            <w:r w:rsidRPr="000162D2">
              <w:rPr>
                <w:sz w:val="16"/>
                <w:szCs w:val="16"/>
              </w:rPr>
              <w:t>According to the interviewee, the main obstacles which may hamper the implementation of CSRs and structural reforms (including through ESI funds) are the lack of political will and the poor institutional capacities. Political will may help to ensure the correspondence between CSRs/structural challenges and ESIF programming documents. Good institutional capacities are vital for ensuring the smooth implementation of ESI funds and, accordingly, CSRs/structural challenges that these funds address.</w:t>
            </w:r>
          </w:p>
        </w:tc>
      </w:tr>
      <w:tr w:rsidR="00584B95" w:rsidRPr="000162D2" w:rsidTr="00766B4F">
        <w:tc>
          <w:tcPr>
            <w:tcW w:w="324" w:type="pct"/>
          </w:tcPr>
          <w:p w:rsidR="00584B95" w:rsidRPr="000162D2" w:rsidRDefault="00584B95" w:rsidP="00766B4F">
            <w:pPr>
              <w:rPr>
                <w:sz w:val="16"/>
                <w:szCs w:val="16"/>
              </w:rPr>
            </w:pPr>
            <w:r w:rsidRPr="000162D2">
              <w:rPr>
                <w:sz w:val="16"/>
                <w:szCs w:val="16"/>
              </w:rPr>
              <w:t>LU</w:t>
            </w:r>
          </w:p>
        </w:tc>
        <w:tc>
          <w:tcPr>
            <w:tcW w:w="1688" w:type="pct"/>
          </w:tcPr>
          <w:p w:rsidR="00584B95" w:rsidRPr="000162D2" w:rsidRDefault="00584B95" w:rsidP="00766B4F">
            <w:pPr>
              <w:rPr>
                <w:sz w:val="16"/>
                <w:szCs w:val="16"/>
              </w:rPr>
            </w:pPr>
            <w:r w:rsidRPr="000162D2">
              <w:rPr>
                <w:sz w:val="16"/>
                <w:szCs w:val="16"/>
              </w:rPr>
              <w:t>The CSRs/structural challenges, mainly those regarding the diversification of the economy and the need to conduct an adequate policy to prevent youth and migrants unemployment, which is a new situation in Luxembourg, were considered, sometimes explicitly but more often implicitly, in the 3 national programmes (ERDF, ESF and EAFRD).</w:t>
            </w:r>
          </w:p>
          <w:p w:rsidR="00584B95" w:rsidRPr="000162D2" w:rsidRDefault="00584B95" w:rsidP="00766B4F">
            <w:pPr>
              <w:rPr>
                <w:sz w:val="16"/>
                <w:szCs w:val="16"/>
              </w:rPr>
            </w:pPr>
            <w:r w:rsidRPr="000162D2">
              <w:rPr>
                <w:sz w:val="16"/>
                <w:szCs w:val="16"/>
              </w:rPr>
              <w:t xml:space="preserve">This does not imply an effective causal relationship but rather a common understanding of structural challenges to be addressed between the European Commission and the Luxembourg Authorities. </w:t>
            </w:r>
          </w:p>
        </w:tc>
        <w:tc>
          <w:tcPr>
            <w:tcW w:w="1812" w:type="pct"/>
          </w:tcPr>
          <w:p w:rsidR="00584B95" w:rsidRPr="000162D2" w:rsidRDefault="00584B95" w:rsidP="00766B4F">
            <w:pPr>
              <w:rPr>
                <w:sz w:val="16"/>
                <w:szCs w:val="16"/>
              </w:rPr>
            </w:pPr>
            <w:r w:rsidRPr="000162D2">
              <w:rPr>
                <w:sz w:val="16"/>
                <w:szCs w:val="16"/>
              </w:rPr>
              <w:t>Implementation of 2014-2020 programming was influences by CSR/structural challenges. Examples of how the various funds are used to pursue recommendations made by the Commission include the following:</w:t>
            </w:r>
          </w:p>
          <w:p w:rsidR="00584B95" w:rsidRPr="000162D2" w:rsidRDefault="00584B95" w:rsidP="00766B4F">
            <w:pPr>
              <w:ind w:left="174" w:hanging="142"/>
              <w:contextualSpacing/>
              <w:jc w:val="left"/>
              <w:rPr>
                <w:sz w:val="16"/>
                <w:szCs w:val="16"/>
                <w:lang w:bidi="en-US"/>
              </w:rPr>
            </w:pPr>
            <w:r w:rsidRPr="000162D2">
              <w:rPr>
                <w:sz w:val="16"/>
                <w:szCs w:val="16"/>
              </w:rPr>
              <w:t>•</w:t>
            </w:r>
            <w:r w:rsidRPr="000162D2">
              <w:rPr>
                <w:sz w:val="16"/>
                <w:szCs w:val="16"/>
              </w:rPr>
              <w:tab/>
            </w:r>
            <w:r w:rsidRPr="000162D2">
              <w:rPr>
                <w:sz w:val="16"/>
                <w:szCs w:val="16"/>
                <w:lang w:bidi="en-US"/>
              </w:rPr>
              <w:t>EARDF is used to: support young farmers (UP2FAb); finance supply chain development policy and business networks to improve competitiveness (UP5FAb and UP5FAd)</w:t>
            </w:r>
          </w:p>
          <w:p w:rsidR="00584B95" w:rsidRPr="000162D2" w:rsidRDefault="00584B95" w:rsidP="00766B4F">
            <w:pPr>
              <w:ind w:left="174" w:hanging="142"/>
              <w:contextualSpacing/>
              <w:jc w:val="left"/>
              <w:rPr>
                <w:sz w:val="16"/>
                <w:szCs w:val="16"/>
                <w:lang w:bidi="en-US"/>
              </w:rPr>
            </w:pPr>
            <w:r w:rsidRPr="000162D2">
              <w:rPr>
                <w:sz w:val="16"/>
                <w:szCs w:val="16"/>
                <w:lang w:bidi="en-US"/>
              </w:rPr>
              <w:t>•</w:t>
            </w:r>
            <w:r w:rsidRPr="000162D2">
              <w:rPr>
                <w:sz w:val="16"/>
                <w:szCs w:val="16"/>
                <w:lang w:bidi="en-US"/>
              </w:rPr>
              <w:tab/>
              <w:t>ERDF pursues several specific objectives aligned with the proposed recommendations such as: SO1b on technology transfer; SO4c and SO4d on energy consumption in public buildings.</w:t>
            </w:r>
          </w:p>
          <w:p w:rsidR="00584B95" w:rsidRPr="000162D2" w:rsidRDefault="00584B95" w:rsidP="00766B4F">
            <w:pPr>
              <w:ind w:left="174" w:hanging="142"/>
              <w:contextualSpacing/>
              <w:jc w:val="left"/>
              <w:rPr>
                <w:sz w:val="16"/>
                <w:szCs w:val="16"/>
              </w:rPr>
            </w:pPr>
            <w:r w:rsidRPr="000162D2">
              <w:rPr>
                <w:sz w:val="16"/>
                <w:szCs w:val="16"/>
                <w:lang w:bidi="en-US"/>
              </w:rPr>
              <w:t>•</w:t>
            </w:r>
            <w:r w:rsidRPr="000162D2">
              <w:rPr>
                <w:sz w:val="16"/>
                <w:szCs w:val="16"/>
                <w:lang w:bidi="en-US"/>
              </w:rPr>
              <w:tab/>
              <w:t>ESF addresses: youth training (SO821, SO922) and seniors (SO811, SO813).</w:t>
            </w:r>
          </w:p>
        </w:tc>
        <w:tc>
          <w:tcPr>
            <w:tcW w:w="1176" w:type="pct"/>
          </w:tcPr>
          <w:p w:rsidR="00584B95" w:rsidRPr="000162D2" w:rsidRDefault="00584B95" w:rsidP="00766B4F">
            <w:pPr>
              <w:ind w:left="32"/>
              <w:contextualSpacing/>
              <w:jc w:val="left"/>
              <w:rPr>
                <w:sz w:val="16"/>
                <w:szCs w:val="16"/>
                <w:lang w:bidi="en-US"/>
              </w:rPr>
            </w:pPr>
            <w:r w:rsidRPr="000162D2">
              <w:rPr>
                <w:sz w:val="16"/>
                <w:szCs w:val="16"/>
                <w:lang w:bidi="en-US"/>
              </w:rPr>
              <w:t>Two main obstacles to the use of ESI Funds to address structural challenges have been highlighted:</w:t>
            </w:r>
          </w:p>
          <w:p w:rsidR="00584B95" w:rsidRPr="000162D2" w:rsidRDefault="00584B95" w:rsidP="00766B4F">
            <w:pPr>
              <w:ind w:left="174" w:hanging="142"/>
              <w:contextualSpacing/>
              <w:jc w:val="left"/>
              <w:rPr>
                <w:sz w:val="16"/>
                <w:szCs w:val="16"/>
                <w:lang w:bidi="en-US"/>
              </w:rPr>
            </w:pPr>
            <w:r w:rsidRPr="000162D2">
              <w:rPr>
                <w:sz w:val="16"/>
                <w:szCs w:val="16"/>
                <w:lang w:bidi="en-US"/>
              </w:rPr>
              <w:t>•</w:t>
            </w:r>
            <w:r w:rsidRPr="000162D2">
              <w:rPr>
                <w:sz w:val="16"/>
                <w:szCs w:val="16"/>
                <w:lang w:bidi="en-US"/>
              </w:rPr>
              <w:tab/>
              <w:t>The nature and scope of some CSRs do not fit with the ESI funds regulation (e.g. minimum wage, taxes);</w:t>
            </w:r>
          </w:p>
          <w:p w:rsidR="00584B95" w:rsidRPr="000162D2" w:rsidRDefault="00584B95" w:rsidP="00766B4F">
            <w:pPr>
              <w:ind w:left="174" w:hanging="142"/>
              <w:contextualSpacing/>
              <w:jc w:val="left"/>
              <w:rPr>
                <w:sz w:val="16"/>
                <w:szCs w:val="16"/>
                <w:lang w:bidi="en-US"/>
              </w:rPr>
            </w:pPr>
            <w:r w:rsidRPr="000162D2">
              <w:rPr>
                <w:sz w:val="16"/>
                <w:szCs w:val="16"/>
                <w:lang w:bidi="en-US"/>
              </w:rPr>
              <w:t>•</w:t>
            </w:r>
            <w:r w:rsidRPr="000162D2">
              <w:rPr>
                <w:sz w:val="16"/>
                <w:szCs w:val="16"/>
                <w:lang w:bidi="en-US"/>
              </w:rPr>
              <w:tab/>
              <w:t xml:space="preserve">Some CSRs raise issues that are mostly relevant for the national policy or for cooperation between the private and the public sector (Care for old people, Health facilities) rather than for the ESI Fund programmes.     </w:t>
            </w:r>
          </w:p>
        </w:tc>
      </w:tr>
      <w:tr w:rsidR="00584B95" w:rsidRPr="000162D2" w:rsidTr="00766B4F">
        <w:trPr>
          <w:trHeight w:val="2222"/>
        </w:trPr>
        <w:tc>
          <w:tcPr>
            <w:tcW w:w="324" w:type="pct"/>
          </w:tcPr>
          <w:p w:rsidR="00584B95" w:rsidRPr="000162D2" w:rsidRDefault="00584B95" w:rsidP="00766B4F">
            <w:pPr>
              <w:rPr>
                <w:sz w:val="16"/>
                <w:szCs w:val="16"/>
              </w:rPr>
            </w:pPr>
            <w:r w:rsidRPr="000162D2">
              <w:rPr>
                <w:sz w:val="16"/>
                <w:szCs w:val="16"/>
              </w:rPr>
              <w:t>LV</w:t>
            </w:r>
          </w:p>
        </w:tc>
        <w:tc>
          <w:tcPr>
            <w:tcW w:w="1688" w:type="pct"/>
          </w:tcPr>
          <w:p w:rsidR="00584B95" w:rsidRPr="000162D2" w:rsidRDefault="00584B95" w:rsidP="00766B4F">
            <w:pPr>
              <w:rPr>
                <w:sz w:val="16"/>
                <w:szCs w:val="16"/>
              </w:rPr>
            </w:pPr>
            <w:r w:rsidRPr="000162D2">
              <w:rPr>
                <w:sz w:val="16"/>
                <w:szCs w:val="16"/>
              </w:rPr>
              <w:t>The OP Growth and Employment referenced CSRs/structural challenges either explicitly or implicitly. The document discusses at some length how the referenced recommendation goals will be achieved via in-depth discussions of investment targets, priority axes and specific objectives. Therefore, the OP was also highly aligned with cohesion relevant recommendations, missing only a challenge on transport from the 2014 Country Report (CR 3.1).</w:t>
            </w:r>
          </w:p>
        </w:tc>
        <w:tc>
          <w:tcPr>
            <w:tcW w:w="1812" w:type="pct"/>
          </w:tcPr>
          <w:p w:rsidR="00584B95" w:rsidRPr="000162D2" w:rsidRDefault="00584B95" w:rsidP="00766B4F">
            <w:pPr>
              <w:rPr>
                <w:sz w:val="16"/>
                <w:szCs w:val="16"/>
              </w:rPr>
            </w:pPr>
            <w:r w:rsidRPr="000162D2">
              <w:rPr>
                <w:sz w:val="16"/>
                <w:szCs w:val="16"/>
              </w:rPr>
              <w:t>There is close alignment between ESI Funds programming in Latvia and the CSRs/structural challenges. It would seem that the approach taken by the MA is to tackle as many of the issues as is possible given the funding that the MA has. To exemplify: reform of the higher education and sciences system, an issue much referred to in the CSRs, is one of the most frequently mentioned issues in the ESIF programming documents. The same can be said about healthcare, judicial reform, social exclusion and poverty—these issues are well represented in both the CSRs and in ESI Funds programming documents.</w:t>
            </w:r>
          </w:p>
        </w:tc>
        <w:tc>
          <w:tcPr>
            <w:tcW w:w="1176" w:type="pct"/>
          </w:tcPr>
          <w:p w:rsidR="00584B95" w:rsidRPr="000162D2" w:rsidRDefault="00584B95" w:rsidP="00766B4F">
            <w:pPr>
              <w:rPr>
                <w:sz w:val="16"/>
                <w:szCs w:val="16"/>
              </w:rPr>
            </w:pPr>
            <w:r w:rsidRPr="000162D2">
              <w:rPr>
                <w:sz w:val="16"/>
                <w:szCs w:val="16"/>
              </w:rPr>
              <w:t xml:space="preserve">The main reason for not using ESI Funds mentioned by the MA, is that there are occasions, where the line ministries see no reason to use funding to achieve the necessary goals, e.g. the same benefit can be gained via amendments in legal acts. Other than that, wherever needed, the funding provided by ESIF is believed to be used efficiently overall.     </w:t>
            </w:r>
          </w:p>
        </w:tc>
      </w:tr>
      <w:tr w:rsidR="00584B95" w:rsidRPr="000162D2" w:rsidTr="00766B4F">
        <w:tc>
          <w:tcPr>
            <w:tcW w:w="324" w:type="pct"/>
          </w:tcPr>
          <w:p w:rsidR="00584B95" w:rsidRPr="00C23452" w:rsidRDefault="00584B95" w:rsidP="00766B4F">
            <w:pPr>
              <w:rPr>
                <w:sz w:val="16"/>
                <w:szCs w:val="16"/>
              </w:rPr>
            </w:pPr>
            <w:r w:rsidRPr="00C23452">
              <w:rPr>
                <w:sz w:val="16"/>
                <w:szCs w:val="16"/>
              </w:rPr>
              <w:t>MT</w:t>
            </w:r>
          </w:p>
        </w:tc>
        <w:tc>
          <w:tcPr>
            <w:tcW w:w="1688" w:type="pct"/>
          </w:tcPr>
          <w:p w:rsidR="00584B95" w:rsidRPr="00C23452" w:rsidRDefault="00584B95" w:rsidP="00766B4F">
            <w:pPr>
              <w:rPr>
                <w:sz w:val="16"/>
                <w:szCs w:val="16"/>
              </w:rPr>
            </w:pPr>
            <w:r w:rsidRPr="00C23452">
              <w:rPr>
                <w:sz w:val="16"/>
                <w:szCs w:val="16"/>
              </w:rPr>
              <w:t xml:space="preserve">All OP, particularly the ERDF and ESF programmes, include reference to the CSR/challenges. The ESF contributes to address especially the challenges related to: Healthcare reform; Labour Market relevance of education; Early school leaving; Female employment; Efficiency of public procurement; Reform of the judicial system. </w:t>
            </w:r>
          </w:p>
          <w:p w:rsidR="00584B95" w:rsidRPr="00C23452" w:rsidRDefault="00584B95" w:rsidP="00766B4F">
            <w:pPr>
              <w:rPr>
                <w:sz w:val="16"/>
                <w:szCs w:val="16"/>
              </w:rPr>
            </w:pPr>
            <w:r w:rsidRPr="00C23452">
              <w:rPr>
                <w:sz w:val="16"/>
                <w:szCs w:val="16"/>
              </w:rPr>
              <w:t>The ERDF contribute to address CSR/structural challenges related to: Public health infrastructures; Education infrastructure; Diversification of the Energy sources; Transport GHG emissions; Waste and Water management; R</w:t>
            </w:r>
            <w:r>
              <w:rPr>
                <w:sz w:val="16"/>
                <w:szCs w:val="16"/>
              </w:rPr>
              <w:t>TDI</w:t>
            </w:r>
            <w:r w:rsidRPr="00C23452">
              <w:rPr>
                <w:sz w:val="16"/>
                <w:szCs w:val="16"/>
              </w:rPr>
              <w:t>; SMEs access to finance/venture capital funds; Investment in road transport.</w:t>
            </w:r>
          </w:p>
          <w:p w:rsidR="00584B95" w:rsidRPr="00C23452" w:rsidRDefault="00584B95" w:rsidP="00766B4F">
            <w:pPr>
              <w:rPr>
                <w:sz w:val="16"/>
                <w:szCs w:val="16"/>
              </w:rPr>
            </w:pPr>
            <w:r w:rsidRPr="00C23452">
              <w:rPr>
                <w:sz w:val="16"/>
                <w:szCs w:val="16"/>
              </w:rPr>
              <w:t xml:space="preserve">The EAFRD programme addresses certain elements of the CSRs and structural challenges in the policy area of: RTDI, Business environment, Energy networks, RES and emissions, Resources efficiency (water and waste), Combatting discrimination and poverty, Improving access to quality education and training and Improving the LM relevance of education &amp; training systems. </w:t>
            </w:r>
          </w:p>
          <w:p w:rsidR="00584B95" w:rsidRPr="00C23452" w:rsidRDefault="00584B95" w:rsidP="00766B4F">
            <w:pPr>
              <w:rPr>
                <w:sz w:val="16"/>
                <w:szCs w:val="16"/>
              </w:rPr>
            </w:pPr>
            <w:r w:rsidRPr="00C23452">
              <w:rPr>
                <w:sz w:val="16"/>
                <w:szCs w:val="16"/>
              </w:rPr>
              <w:t>Although including only implicit references to CSR/structural challenges, the EMFF programme addresses them systematically in relation to research and innovation, SMEs in fishery and aquaculture sectors, safeguarding ecosystems, support to professional training.</w:t>
            </w:r>
          </w:p>
        </w:tc>
        <w:tc>
          <w:tcPr>
            <w:tcW w:w="1812" w:type="pct"/>
          </w:tcPr>
          <w:p w:rsidR="00584B95" w:rsidRPr="008B0066" w:rsidRDefault="00584B95" w:rsidP="00766B4F">
            <w:pPr>
              <w:rPr>
                <w:sz w:val="16"/>
                <w:szCs w:val="16"/>
              </w:rPr>
            </w:pPr>
            <w:r w:rsidRPr="00C23452">
              <w:rPr>
                <w:sz w:val="16"/>
                <w:szCs w:val="16"/>
              </w:rPr>
              <w:t xml:space="preserve">In general </w:t>
            </w:r>
            <w:r w:rsidRPr="00072E24">
              <w:rPr>
                <w:sz w:val="16"/>
                <w:szCs w:val="16"/>
              </w:rPr>
              <w:t xml:space="preserve">there is </w:t>
            </w:r>
            <w:r w:rsidRPr="00A7648E">
              <w:rPr>
                <w:sz w:val="16"/>
                <w:szCs w:val="16"/>
              </w:rPr>
              <w:t>substantial alignment</w:t>
            </w:r>
            <w:r w:rsidRPr="00072E24">
              <w:rPr>
                <w:sz w:val="16"/>
                <w:szCs w:val="16"/>
              </w:rPr>
              <w:t xml:space="preserve"> between the ESI Funds programming and  CSRs and structural challenges. The recommendations plaid a central role in programming and implementation, at least as far as ESF and ERDF</w:t>
            </w:r>
            <w:r w:rsidRPr="008B0066">
              <w:rPr>
                <w:sz w:val="16"/>
                <w:szCs w:val="16"/>
              </w:rPr>
              <w:t xml:space="preserve"> are concerned.</w:t>
            </w:r>
          </w:p>
          <w:p w:rsidR="00584B95" w:rsidRPr="00C23452" w:rsidRDefault="00584B95" w:rsidP="00766B4F">
            <w:pPr>
              <w:rPr>
                <w:sz w:val="16"/>
                <w:szCs w:val="16"/>
              </w:rPr>
            </w:pPr>
            <w:r w:rsidRPr="008B0066">
              <w:rPr>
                <w:sz w:val="16"/>
                <w:szCs w:val="16"/>
              </w:rPr>
              <w:t>The SO and the actions included in the programmes are relatively exhaustive on how the OPs support</w:t>
            </w:r>
            <w:r w:rsidRPr="00C23452">
              <w:rPr>
                <w:sz w:val="16"/>
                <w:szCs w:val="16"/>
              </w:rPr>
              <w:t xml:space="preserve"> the challenges.</w:t>
            </w:r>
          </w:p>
        </w:tc>
        <w:tc>
          <w:tcPr>
            <w:tcW w:w="1176" w:type="pct"/>
          </w:tcPr>
          <w:p w:rsidR="00584B95" w:rsidRPr="00C23452" w:rsidRDefault="00584B95" w:rsidP="00766B4F">
            <w:pPr>
              <w:rPr>
                <w:sz w:val="16"/>
                <w:szCs w:val="16"/>
              </w:rPr>
            </w:pPr>
            <w:r>
              <w:rPr>
                <w:sz w:val="16"/>
                <w:szCs w:val="16"/>
              </w:rPr>
              <w:t>T</w:t>
            </w:r>
            <w:r w:rsidRPr="00C23452">
              <w:rPr>
                <w:sz w:val="16"/>
                <w:szCs w:val="16"/>
              </w:rPr>
              <w:t xml:space="preserve">he recommendations need to be addressed through a regulatory change which cannot be implemented by the MAs or is beyond their control. </w:t>
            </w:r>
          </w:p>
          <w:p w:rsidR="00584B95" w:rsidRPr="000162D2" w:rsidRDefault="00584B95" w:rsidP="00766B4F">
            <w:pPr>
              <w:rPr>
                <w:sz w:val="16"/>
                <w:szCs w:val="16"/>
              </w:rPr>
            </w:pPr>
            <w:r w:rsidRPr="00C23452">
              <w:rPr>
                <w:sz w:val="16"/>
                <w:szCs w:val="16"/>
              </w:rPr>
              <w:t>Also, the need for concentration on a limited number of priorities could clash with those structural challenges which require extensive interventions, possibly in multiple directions.</w:t>
            </w:r>
          </w:p>
        </w:tc>
      </w:tr>
      <w:tr w:rsidR="00584B95" w:rsidRPr="000162D2" w:rsidTr="00766B4F">
        <w:tc>
          <w:tcPr>
            <w:tcW w:w="324" w:type="pct"/>
          </w:tcPr>
          <w:p w:rsidR="00584B95" w:rsidRPr="000162D2" w:rsidRDefault="00584B95" w:rsidP="00766B4F">
            <w:pPr>
              <w:rPr>
                <w:sz w:val="16"/>
                <w:szCs w:val="16"/>
              </w:rPr>
            </w:pPr>
            <w:r w:rsidRPr="000162D2">
              <w:rPr>
                <w:sz w:val="16"/>
                <w:szCs w:val="16"/>
              </w:rPr>
              <w:t>NL</w:t>
            </w:r>
          </w:p>
        </w:tc>
        <w:tc>
          <w:tcPr>
            <w:tcW w:w="1688" w:type="pct"/>
          </w:tcPr>
          <w:p w:rsidR="00584B95" w:rsidRPr="000162D2" w:rsidRDefault="00584B95" w:rsidP="00766B4F">
            <w:pPr>
              <w:rPr>
                <w:sz w:val="16"/>
                <w:szCs w:val="16"/>
              </w:rPr>
            </w:pPr>
            <w:r w:rsidRPr="000162D2">
              <w:rPr>
                <w:sz w:val="16"/>
                <w:szCs w:val="16"/>
              </w:rPr>
              <w:t>Even though most cohesion relevant challenges are addressed, to a varying degree in the programming documents, the interviews suggest that the total amount of available ESI Funds in the Netherlands is too small to target all the CSRs. As a consequence the regions have made different choices on the most relevant challenges to deal with. For example: the West Netherlands OP is focused on the “energy-related” and “labour market-related” CSR. At the national level, as highlighted during the interview with the ministry of Economic Affairs, the focus is on the “innovation” and “low carbon energy-related” CSRs/structural challenges.</w:t>
            </w:r>
          </w:p>
        </w:tc>
        <w:tc>
          <w:tcPr>
            <w:tcW w:w="1812" w:type="pct"/>
          </w:tcPr>
          <w:p w:rsidR="00584B95" w:rsidRPr="000162D2" w:rsidRDefault="00584B95" w:rsidP="00766B4F">
            <w:pPr>
              <w:rPr>
                <w:sz w:val="16"/>
                <w:szCs w:val="16"/>
              </w:rPr>
            </w:pPr>
            <w:r w:rsidRPr="000162D2">
              <w:rPr>
                <w:sz w:val="16"/>
                <w:szCs w:val="16"/>
              </w:rPr>
              <w:t xml:space="preserve">There is alignment between the ESI Funds programmes and the CSR/structural challenges. </w:t>
            </w:r>
          </w:p>
          <w:p w:rsidR="00584B95" w:rsidRPr="000162D2" w:rsidRDefault="00584B95" w:rsidP="00766B4F">
            <w:pPr>
              <w:rPr>
                <w:sz w:val="16"/>
                <w:szCs w:val="16"/>
              </w:rPr>
            </w:pPr>
            <w:r w:rsidRPr="000162D2">
              <w:rPr>
                <w:sz w:val="16"/>
                <w:szCs w:val="16"/>
              </w:rPr>
              <w:t xml:space="preserve">The major themes in the ESI programmes are directly derived from the CSRs, viz. “innovation”- and “low carbon energy”. </w:t>
            </w:r>
          </w:p>
          <w:p w:rsidR="00584B95" w:rsidRPr="000162D2" w:rsidRDefault="00584B95" w:rsidP="00766B4F">
            <w:pPr>
              <w:rPr>
                <w:sz w:val="16"/>
                <w:szCs w:val="16"/>
              </w:rPr>
            </w:pPr>
            <w:r w:rsidRPr="000162D2">
              <w:rPr>
                <w:sz w:val="16"/>
                <w:szCs w:val="16"/>
              </w:rPr>
              <w:t>On the other hand however not all CSRs were dealt with in the program.</w:t>
            </w:r>
          </w:p>
        </w:tc>
        <w:tc>
          <w:tcPr>
            <w:tcW w:w="1176" w:type="pct"/>
          </w:tcPr>
          <w:p w:rsidR="00584B95" w:rsidRPr="000162D2" w:rsidRDefault="00584B95" w:rsidP="00766B4F">
            <w:pPr>
              <w:rPr>
                <w:sz w:val="16"/>
                <w:szCs w:val="16"/>
              </w:rPr>
            </w:pPr>
            <w:r w:rsidRPr="000162D2">
              <w:rPr>
                <w:sz w:val="16"/>
                <w:szCs w:val="16"/>
              </w:rPr>
              <w:t>Not all structural challenges were targeted through ESI funds, because the total resources are not considered sufficient to address the complex issues fully. Different choices had to be made by each OP strategy.</w:t>
            </w:r>
          </w:p>
        </w:tc>
      </w:tr>
      <w:tr w:rsidR="00584B95" w:rsidRPr="000162D2" w:rsidTr="00766B4F">
        <w:tc>
          <w:tcPr>
            <w:tcW w:w="324" w:type="pct"/>
          </w:tcPr>
          <w:p w:rsidR="00584B95" w:rsidRPr="000162D2" w:rsidRDefault="00584B95" w:rsidP="00766B4F">
            <w:pPr>
              <w:rPr>
                <w:sz w:val="16"/>
                <w:szCs w:val="16"/>
              </w:rPr>
            </w:pPr>
            <w:r w:rsidRPr="000162D2">
              <w:rPr>
                <w:sz w:val="16"/>
                <w:szCs w:val="16"/>
              </w:rPr>
              <w:t>PL</w:t>
            </w:r>
          </w:p>
        </w:tc>
        <w:tc>
          <w:tcPr>
            <w:tcW w:w="1688" w:type="pct"/>
          </w:tcPr>
          <w:p w:rsidR="00584B95" w:rsidRPr="000162D2" w:rsidRDefault="00584B95" w:rsidP="00766B4F">
            <w:pPr>
              <w:rPr>
                <w:sz w:val="16"/>
                <w:szCs w:val="16"/>
              </w:rPr>
            </w:pPr>
            <w:r w:rsidRPr="000162D2">
              <w:rPr>
                <w:sz w:val="16"/>
                <w:szCs w:val="16"/>
              </w:rPr>
              <w:t xml:space="preserve">The various programming documents generally address the cohesion relevant CSR/structural challenges, and the proposed actions seem to reasonably contribute to tackle these. </w:t>
            </w:r>
          </w:p>
          <w:p w:rsidR="00584B95" w:rsidRPr="000162D2" w:rsidRDefault="00584B95" w:rsidP="00766B4F">
            <w:pPr>
              <w:rPr>
                <w:sz w:val="16"/>
                <w:szCs w:val="16"/>
              </w:rPr>
            </w:pPr>
            <w:r w:rsidRPr="000162D2">
              <w:rPr>
                <w:sz w:val="16"/>
                <w:szCs w:val="16"/>
              </w:rPr>
              <w:t>The sectoral and regional OPs covered the most important recommendations specified for Poland, i.e. support for R&amp;D and innovation, sustainable energy, waste management, institutional capacities (mainly in the area of e-administration and e-public services), as well as female, 50+ and youth participation in the labour market. Issues related to employment, education, training, life-long learning and social inclusion were also included in the programming documents. However, some recommendations – like those referring to the labour market segmentation– were found to be besides the main stream of activities within the ESI funds, and were not reflected in the programming documents.</w:t>
            </w:r>
          </w:p>
        </w:tc>
        <w:tc>
          <w:tcPr>
            <w:tcW w:w="1812" w:type="pct"/>
          </w:tcPr>
          <w:p w:rsidR="00584B95" w:rsidRPr="000162D2" w:rsidRDefault="00584B95" w:rsidP="00766B4F">
            <w:pPr>
              <w:rPr>
                <w:sz w:val="16"/>
                <w:szCs w:val="16"/>
              </w:rPr>
            </w:pPr>
            <w:r w:rsidRPr="000162D2">
              <w:rPr>
                <w:sz w:val="16"/>
                <w:szCs w:val="16"/>
              </w:rPr>
              <w:t>It is difficult to assess to what extent CSRs/structural challenges influenced directly ESI Funds programming. The reason is that CSRs/structural challenges are focused on issues that are widely known and generally accepted as important, and present in the debate on socio-economic development of Poland. Most of them (e.g. R&amp;D, innovation, labour market, institutional capacity, railway investment) have been known – and valid – for many years. It is very likely that even without CSRs/structural challenges the Polish OPs would have been largely similar to the existing ones. However, the role of CSR/structural challenges is not negligible either: they helped to focus – to some extent – the OPs on key challenges.</w:t>
            </w:r>
          </w:p>
        </w:tc>
        <w:tc>
          <w:tcPr>
            <w:tcW w:w="1176" w:type="pct"/>
          </w:tcPr>
          <w:p w:rsidR="00584B95" w:rsidRPr="000162D2" w:rsidRDefault="00584B95" w:rsidP="00766B4F">
            <w:pPr>
              <w:rPr>
                <w:sz w:val="16"/>
                <w:szCs w:val="16"/>
              </w:rPr>
            </w:pPr>
            <w:r w:rsidRPr="000162D2">
              <w:rPr>
                <w:sz w:val="16"/>
                <w:szCs w:val="16"/>
              </w:rPr>
              <w:t>No particular obstacles as far as cohesion relevant CSR are concerned. Also, short-term challenges linked to some urgency cannot – and perhaps should not – be directly addresse</w:t>
            </w:r>
            <w:r>
              <w:rPr>
                <w:sz w:val="16"/>
                <w:szCs w:val="16"/>
              </w:rPr>
              <w:t>d</w:t>
            </w:r>
            <w:r w:rsidRPr="000162D2">
              <w:rPr>
                <w:sz w:val="16"/>
                <w:szCs w:val="16"/>
              </w:rPr>
              <w:t xml:space="preserve"> by the ESI Funds since </w:t>
            </w:r>
            <w:r>
              <w:rPr>
                <w:sz w:val="16"/>
                <w:szCs w:val="16"/>
              </w:rPr>
              <w:t>Cohesion</w:t>
            </w:r>
            <w:r w:rsidRPr="000162D2">
              <w:rPr>
                <w:sz w:val="16"/>
                <w:szCs w:val="16"/>
              </w:rPr>
              <w:t xml:space="preserve"> policy should be of long-term character, and a policy that reacts to quickly changing domestic and international situation.</w:t>
            </w:r>
          </w:p>
        </w:tc>
      </w:tr>
      <w:tr w:rsidR="00584B95" w:rsidRPr="000162D2" w:rsidTr="00766B4F">
        <w:tc>
          <w:tcPr>
            <w:tcW w:w="324" w:type="pct"/>
          </w:tcPr>
          <w:p w:rsidR="00584B95" w:rsidRPr="000162D2" w:rsidRDefault="00584B95" w:rsidP="00766B4F">
            <w:pPr>
              <w:rPr>
                <w:sz w:val="16"/>
                <w:szCs w:val="16"/>
              </w:rPr>
            </w:pPr>
            <w:r w:rsidRPr="000162D2">
              <w:rPr>
                <w:sz w:val="16"/>
                <w:szCs w:val="16"/>
              </w:rPr>
              <w:t>PT</w:t>
            </w:r>
          </w:p>
        </w:tc>
        <w:tc>
          <w:tcPr>
            <w:tcW w:w="1688" w:type="pct"/>
          </w:tcPr>
          <w:p w:rsidR="00584B95" w:rsidRPr="000162D2" w:rsidRDefault="00584B95" w:rsidP="00766B4F">
            <w:pPr>
              <w:rPr>
                <w:sz w:val="16"/>
                <w:szCs w:val="16"/>
              </w:rPr>
            </w:pPr>
            <w:r w:rsidRPr="000162D2">
              <w:rPr>
                <w:sz w:val="16"/>
                <w:szCs w:val="16"/>
              </w:rPr>
              <w:t xml:space="preserve">Until June 2014, the Portuguese public policies were heavily dependent of the macroeconomic conditionalities and the Memorandum of Understanding that was determinant for the design of the Partnership Agreement (PA). All the 2011 recommendations of the Council implementing decision on granting Union financial assistance to Portugal are implicitly referred to in the Position Paper (CPP), and therefore play a central role in this document. Although there are only a few explicit references to CSRs in the PA, it implicitly covers most of the CSRs presented in 2012, 2013 and 2014. </w:t>
            </w:r>
          </w:p>
        </w:tc>
        <w:tc>
          <w:tcPr>
            <w:tcW w:w="1812" w:type="pct"/>
          </w:tcPr>
          <w:p w:rsidR="00584B95" w:rsidRPr="000162D2" w:rsidRDefault="00584B95" w:rsidP="00766B4F">
            <w:pPr>
              <w:rPr>
                <w:sz w:val="16"/>
                <w:szCs w:val="16"/>
              </w:rPr>
            </w:pPr>
            <w:r w:rsidRPr="000162D2">
              <w:rPr>
                <w:sz w:val="16"/>
                <w:szCs w:val="16"/>
              </w:rPr>
              <w:t>There is a great overall alignment between the priorities presented in the Portuguese ESI Funds programming documents and the structural challenges/CSRs. This implicit relation is evident from the analysis of all the programming documents. It should be highlighted that, in retrospective, a great part of the issues addressed by the structural challenges/CSRs produced in the context of the European Semester were already steering the programming and implementation of ESI Funds in the previous programming period.</w:t>
            </w:r>
          </w:p>
        </w:tc>
        <w:tc>
          <w:tcPr>
            <w:tcW w:w="1176" w:type="pct"/>
          </w:tcPr>
          <w:p w:rsidR="00584B95" w:rsidRPr="000162D2" w:rsidRDefault="00584B95" w:rsidP="00766B4F">
            <w:pPr>
              <w:rPr>
                <w:sz w:val="16"/>
                <w:szCs w:val="16"/>
              </w:rPr>
            </w:pPr>
            <w:r w:rsidRPr="000162D2">
              <w:rPr>
                <w:sz w:val="16"/>
                <w:szCs w:val="16"/>
              </w:rPr>
              <w:t>The structural challenges that were put in evidence in the 2011 Recommendations and implicitly presented in the CPP were more related with legislation and regulation measures, not as much with investment and, therefore, in these cases the use of ESI Funds to address them was not pertinent. Other than this, the ESI Funds have been used extensively to pursue structural reforms in Portugal. In the current programming period there is still no evaluation study focused on the implementation of the ESI Funds, and it is too early to evaluate its effectiveness. However, in the previous programming period ESI Funds were already allocated to most of the areas targeted by the latest CSRs, and its results showed significant progresses – although still insufficient to solve all the structural challenges, especially in an adverse macro-economic context.</w:t>
            </w:r>
          </w:p>
        </w:tc>
      </w:tr>
      <w:tr w:rsidR="00584B95" w:rsidRPr="000162D2" w:rsidTr="00766B4F">
        <w:tc>
          <w:tcPr>
            <w:tcW w:w="324" w:type="pct"/>
          </w:tcPr>
          <w:p w:rsidR="00584B95" w:rsidRPr="000162D2" w:rsidRDefault="00584B95" w:rsidP="00766B4F">
            <w:pPr>
              <w:rPr>
                <w:sz w:val="16"/>
                <w:szCs w:val="16"/>
              </w:rPr>
            </w:pPr>
            <w:r w:rsidRPr="000162D2">
              <w:rPr>
                <w:sz w:val="16"/>
                <w:szCs w:val="16"/>
              </w:rPr>
              <w:t>RO</w:t>
            </w:r>
          </w:p>
        </w:tc>
        <w:tc>
          <w:tcPr>
            <w:tcW w:w="1688" w:type="pct"/>
          </w:tcPr>
          <w:p w:rsidR="00584B95" w:rsidRPr="000162D2" w:rsidRDefault="00584B95" w:rsidP="00766B4F">
            <w:pPr>
              <w:rPr>
                <w:sz w:val="16"/>
                <w:szCs w:val="16"/>
              </w:rPr>
            </w:pPr>
            <w:r w:rsidRPr="000162D2">
              <w:rPr>
                <w:sz w:val="16"/>
                <w:szCs w:val="16"/>
              </w:rPr>
              <w:t xml:space="preserve">CSRs/structural challenges played a central role in the programming process and appear to be central in most of the Operational Programmes. The OPs are addressing all the relevant cohesion challenges (except a small number of regulatory ones) A large number of cohesion relevant policy areas (twenty) are covered. </w:t>
            </w:r>
            <w:r>
              <w:rPr>
                <w:sz w:val="16"/>
                <w:szCs w:val="16"/>
              </w:rPr>
              <w:t>O</w:t>
            </w:r>
            <w:r w:rsidRPr="00D43640">
              <w:rPr>
                <w:sz w:val="16"/>
                <w:szCs w:val="16"/>
              </w:rPr>
              <w:t xml:space="preserve">nly four challenges are not referred to in OPs, and all four are purely regulatory: 2012 MU7.1 and 2014 CSR 2.3 regarding employment protection legislation, adaption of the </w:t>
            </w:r>
            <w:proofErr w:type="spellStart"/>
            <w:r w:rsidRPr="00D43640">
              <w:rPr>
                <w:sz w:val="16"/>
                <w:szCs w:val="16"/>
              </w:rPr>
              <w:t>flexicurity</w:t>
            </w:r>
            <w:proofErr w:type="spellEnd"/>
            <w:r w:rsidRPr="00D43640">
              <w:rPr>
                <w:sz w:val="16"/>
                <w:szCs w:val="16"/>
              </w:rPr>
              <w:t xml:space="preserve"> principles and reduction of tax burden for low and middle income earners; 2012 MU 5.1 and 2014 CSR 4.3 concerning the wage setting system and transparency of the minimum wage setting. </w:t>
            </w:r>
            <w:r w:rsidRPr="000162D2">
              <w:rPr>
                <w:sz w:val="16"/>
                <w:szCs w:val="16"/>
              </w:rPr>
              <w:t xml:space="preserve"> </w:t>
            </w:r>
          </w:p>
        </w:tc>
        <w:tc>
          <w:tcPr>
            <w:tcW w:w="1812" w:type="pct"/>
          </w:tcPr>
          <w:p w:rsidR="00584B95" w:rsidRPr="000162D2" w:rsidRDefault="00584B95" w:rsidP="00766B4F">
            <w:pPr>
              <w:rPr>
                <w:sz w:val="16"/>
                <w:szCs w:val="16"/>
              </w:rPr>
            </w:pPr>
            <w:r w:rsidRPr="000162D2">
              <w:rPr>
                <w:sz w:val="16"/>
                <w:szCs w:val="16"/>
              </w:rPr>
              <w:t>In the ESF, ERDF and CF OPs, the CSRs/structural challenges have a central role in the programme strategy, with clear explicit or implicit references in different sections of the OPs, a large number of challenges addressed and/or a large proportion of the specific objectives of the OP related to CSRs/structural challenges. In the NRDP and OPFMA CSRs/structural challenges do not have a central role, due to the nature of the interventions focused on agriculture, rural development fishery and maritime affairs, which are not directly targeted by the CSRs.</w:t>
            </w:r>
          </w:p>
          <w:p w:rsidR="00584B95" w:rsidRPr="000162D2" w:rsidRDefault="00584B95" w:rsidP="00766B4F">
            <w:pPr>
              <w:rPr>
                <w:sz w:val="16"/>
                <w:szCs w:val="16"/>
              </w:rPr>
            </w:pPr>
            <w:r w:rsidRPr="000162D2">
              <w:rPr>
                <w:sz w:val="16"/>
                <w:szCs w:val="16"/>
              </w:rPr>
              <w:t>Both in the programming and the implementation phase, CSRs are rigorously managed with a coordination role assumed by Ministry of European Funds, working closely with Ministry of External Affairs, responsible for National Reform Programmes and the CSRs.</w:t>
            </w:r>
          </w:p>
        </w:tc>
        <w:tc>
          <w:tcPr>
            <w:tcW w:w="1176" w:type="pct"/>
          </w:tcPr>
          <w:p w:rsidR="00584B95" w:rsidRPr="000162D2" w:rsidRDefault="00584B95" w:rsidP="00766B4F">
            <w:pPr>
              <w:rPr>
                <w:sz w:val="16"/>
                <w:szCs w:val="16"/>
              </w:rPr>
            </w:pPr>
            <w:r w:rsidRPr="000162D2">
              <w:rPr>
                <w:sz w:val="16"/>
                <w:szCs w:val="16"/>
              </w:rPr>
              <w:t>The main obstacles in using ESI Funds to pursue the structural reforms is the insufficient capacity of the authorities responsible for the management of funds and of the beneficiaries, already manifested in the 2007-2013 programming period. The persistence of this weaknesses is reflected at present in the delay in the implementation of the OPs, including the TA measures which were planned to support the administrative capacity development, and the slow progress in achieving the ex-ante conditionalities.</w:t>
            </w:r>
          </w:p>
        </w:tc>
      </w:tr>
      <w:tr w:rsidR="00584B95" w:rsidRPr="000162D2" w:rsidTr="00766B4F">
        <w:tc>
          <w:tcPr>
            <w:tcW w:w="324" w:type="pct"/>
          </w:tcPr>
          <w:p w:rsidR="00584B95" w:rsidRPr="000162D2" w:rsidRDefault="00584B95" w:rsidP="00766B4F">
            <w:pPr>
              <w:rPr>
                <w:sz w:val="16"/>
                <w:szCs w:val="16"/>
              </w:rPr>
            </w:pPr>
            <w:r w:rsidRPr="000162D2">
              <w:rPr>
                <w:sz w:val="16"/>
                <w:szCs w:val="16"/>
              </w:rPr>
              <w:t>SI</w:t>
            </w:r>
          </w:p>
        </w:tc>
        <w:tc>
          <w:tcPr>
            <w:tcW w:w="1688" w:type="pct"/>
          </w:tcPr>
          <w:p w:rsidR="00584B95" w:rsidRPr="000162D2" w:rsidRDefault="00584B95" w:rsidP="00766B4F">
            <w:pPr>
              <w:rPr>
                <w:sz w:val="16"/>
                <w:szCs w:val="16"/>
              </w:rPr>
            </w:pPr>
            <w:r w:rsidRPr="000162D2">
              <w:rPr>
                <w:sz w:val="16"/>
                <w:szCs w:val="16"/>
              </w:rPr>
              <w:t>All cohesion relevant CSRs/structural challenges were targeted in programming documents, especially in the PA, although not all of them were addressed explicitly. The CSRs/structural challenges which are not covered at all deal with the following issues: Adjust employment protection legislation as regards permanent contracts in order to reduce labour market segmentation (2012 CSR 4.1), Energy infrastructure (2012 Country Report 1.1), Sustainable restructuring of over-indebted/ undercapitalised but viable companies through market-based solutions (2013 CSR 9.1).</w:t>
            </w:r>
          </w:p>
        </w:tc>
        <w:tc>
          <w:tcPr>
            <w:tcW w:w="1812" w:type="pct"/>
          </w:tcPr>
          <w:p w:rsidR="00584B95" w:rsidRPr="000162D2" w:rsidRDefault="00584B95" w:rsidP="00766B4F">
            <w:pPr>
              <w:rPr>
                <w:sz w:val="16"/>
                <w:szCs w:val="16"/>
              </w:rPr>
            </w:pPr>
            <w:r w:rsidRPr="000162D2">
              <w:rPr>
                <w:sz w:val="16"/>
                <w:szCs w:val="16"/>
              </w:rPr>
              <w:t xml:space="preserve">The desk analysis and the interview showed that CSRs/structural challenges were important in the early stage of programming. </w:t>
            </w:r>
          </w:p>
          <w:p w:rsidR="00584B95" w:rsidRPr="000162D2" w:rsidRDefault="00584B95" w:rsidP="00766B4F">
            <w:pPr>
              <w:rPr>
                <w:sz w:val="16"/>
                <w:szCs w:val="16"/>
              </w:rPr>
            </w:pPr>
            <w:r w:rsidRPr="000162D2">
              <w:rPr>
                <w:sz w:val="16"/>
                <w:szCs w:val="16"/>
              </w:rPr>
              <w:t xml:space="preserve">Overall, it can be concluded that ESI funds will support the implementation of CSRs/structural reforms in relation to health, long-term care, employment of older workers, public administration and life-long-learning but to a limited extent, due to the limited funds and to the complexity of structural reforms, which would need a very broad, systematic and inclusive approach. </w:t>
            </w:r>
          </w:p>
        </w:tc>
        <w:tc>
          <w:tcPr>
            <w:tcW w:w="1176" w:type="pct"/>
          </w:tcPr>
          <w:p w:rsidR="00584B95" w:rsidRPr="000162D2" w:rsidRDefault="00584B95" w:rsidP="00766B4F">
            <w:pPr>
              <w:rPr>
                <w:sz w:val="16"/>
                <w:szCs w:val="16"/>
              </w:rPr>
            </w:pPr>
            <w:r w:rsidRPr="000162D2">
              <w:rPr>
                <w:sz w:val="16"/>
                <w:szCs w:val="16"/>
              </w:rPr>
              <w:t>The main obstacles that hamper the use of ESI Funds to address CSRs/structural challenges include:</w:t>
            </w:r>
            <w:r>
              <w:rPr>
                <w:sz w:val="16"/>
                <w:szCs w:val="16"/>
              </w:rPr>
              <w:t xml:space="preserve"> in some areas the funds are </w:t>
            </w:r>
            <w:r w:rsidRPr="000162D2">
              <w:rPr>
                <w:sz w:val="16"/>
                <w:szCs w:val="16"/>
              </w:rPr>
              <w:t xml:space="preserve">limited </w:t>
            </w:r>
            <w:r>
              <w:rPr>
                <w:sz w:val="16"/>
                <w:szCs w:val="16"/>
              </w:rPr>
              <w:t xml:space="preserve">to be able to address </w:t>
            </w:r>
            <w:r w:rsidRPr="000162D2">
              <w:rPr>
                <w:sz w:val="16"/>
                <w:szCs w:val="16"/>
              </w:rPr>
              <w:t>complex structural reforms; CSRs are not always adequately communicated; horizontal coordination between ministries is not adequate (CSRs very often require inter-ministerial coordination); different views among political parties, ministries and experts on what would be politically and economically feasible.</w:t>
            </w:r>
          </w:p>
        </w:tc>
      </w:tr>
      <w:tr w:rsidR="00584B95" w:rsidRPr="000162D2" w:rsidTr="00766B4F">
        <w:tc>
          <w:tcPr>
            <w:tcW w:w="324" w:type="pct"/>
          </w:tcPr>
          <w:p w:rsidR="00584B95" w:rsidRPr="000162D2" w:rsidRDefault="00584B95" w:rsidP="00766B4F">
            <w:pPr>
              <w:rPr>
                <w:sz w:val="16"/>
                <w:szCs w:val="16"/>
              </w:rPr>
            </w:pPr>
            <w:r w:rsidRPr="000162D2">
              <w:rPr>
                <w:sz w:val="16"/>
                <w:szCs w:val="16"/>
              </w:rPr>
              <w:t>SK</w:t>
            </w:r>
          </w:p>
        </w:tc>
        <w:tc>
          <w:tcPr>
            <w:tcW w:w="1688" w:type="pct"/>
          </w:tcPr>
          <w:p w:rsidR="00584B95" w:rsidRDefault="00584B95" w:rsidP="00766B4F">
            <w:pPr>
              <w:rPr>
                <w:sz w:val="16"/>
                <w:szCs w:val="16"/>
              </w:rPr>
            </w:pPr>
            <w:r w:rsidRPr="000162D2">
              <w:rPr>
                <w:sz w:val="16"/>
                <w:szCs w:val="16"/>
              </w:rPr>
              <w:t xml:space="preserve">All cohesion relevant CSRs/structural challenges are either explicitly quoted or implicitly addressed in all the Operational Programmes, especially those funded by ERDF/CF and ESF. The CSRs/structural challenges have been addressed in the Country Position Paper and integrated in the Partnership Agreement and in the Operational Programmes at the beginning of the present programming period. </w:t>
            </w:r>
          </w:p>
          <w:p w:rsidR="00584B95" w:rsidRPr="000162D2" w:rsidRDefault="00584B95" w:rsidP="00766B4F">
            <w:pPr>
              <w:rPr>
                <w:sz w:val="16"/>
                <w:szCs w:val="16"/>
              </w:rPr>
            </w:pPr>
          </w:p>
          <w:p w:rsidR="00584B95" w:rsidRPr="000162D2" w:rsidRDefault="00584B95" w:rsidP="00766B4F">
            <w:pPr>
              <w:rPr>
                <w:sz w:val="16"/>
                <w:szCs w:val="16"/>
              </w:rPr>
            </w:pPr>
          </w:p>
        </w:tc>
        <w:tc>
          <w:tcPr>
            <w:tcW w:w="1812" w:type="pct"/>
          </w:tcPr>
          <w:p w:rsidR="00584B95" w:rsidRPr="000162D2" w:rsidRDefault="00584B95" w:rsidP="00766B4F">
            <w:pPr>
              <w:rPr>
                <w:sz w:val="16"/>
                <w:szCs w:val="16"/>
              </w:rPr>
            </w:pPr>
            <w:r w:rsidRPr="000162D2">
              <w:rPr>
                <w:sz w:val="16"/>
                <w:szCs w:val="16"/>
              </w:rPr>
              <w:t>The CSRs/structural challenges focusing on labour market, public employment services, social inclusion, energy efficiency, energy market, public administration, education, regional accessibility as well as marginalised Roma Communities, business environment and R&amp;D support are integrated in the OPs and their priority axes. There is high alignment between the CSRs/structural challenges and the ESIF objectives. The extent to which this strategic alignment will be reflected in actual spending can be assessed only in the next years.</w:t>
            </w:r>
          </w:p>
        </w:tc>
        <w:tc>
          <w:tcPr>
            <w:tcW w:w="1176" w:type="pct"/>
          </w:tcPr>
          <w:p w:rsidR="00584B95" w:rsidRPr="000162D2" w:rsidRDefault="00584B95" w:rsidP="00766B4F">
            <w:pPr>
              <w:rPr>
                <w:sz w:val="16"/>
                <w:szCs w:val="16"/>
              </w:rPr>
            </w:pPr>
            <w:r w:rsidRPr="000162D2">
              <w:rPr>
                <w:sz w:val="16"/>
                <w:szCs w:val="16"/>
              </w:rPr>
              <w:t>The main obstacle which hampers the implementation of CSRs/structural reforms and which was highlighted in the interview is the insufficient volume of national resources and the lack of credible national policies which makes it difficult to address the challenges raised. A lot of CSRs/structural reforms (e.g. labour market, integration of marginalised groups, RTDI, education etc.) are periodically raised by the European Commission, however their implementation requires political commitment and political will.</w:t>
            </w:r>
          </w:p>
        </w:tc>
      </w:tr>
      <w:tr w:rsidR="00584B95" w:rsidRPr="000162D2" w:rsidTr="00766B4F">
        <w:tc>
          <w:tcPr>
            <w:tcW w:w="324" w:type="pct"/>
          </w:tcPr>
          <w:p w:rsidR="00584B95" w:rsidRPr="000162D2" w:rsidRDefault="00584B95" w:rsidP="00766B4F">
            <w:pPr>
              <w:rPr>
                <w:sz w:val="16"/>
                <w:szCs w:val="16"/>
              </w:rPr>
            </w:pPr>
            <w:r w:rsidRPr="000162D2">
              <w:rPr>
                <w:sz w:val="16"/>
                <w:szCs w:val="16"/>
              </w:rPr>
              <w:t>SE</w:t>
            </w:r>
          </w:p>
        </w:tc>
        <w:tc>
          <w:tcPr>
            <w:tcW w:w="1688" w:type="pct"/>
          </w:tcPr>
          <w:p w:rsidR="00584B95" w:rsidRPr="000162D2" w:rsidRDefault="00584B95" w:rsidP="00766B4F">
            <w:pPr>
              <w:rPr>
                <w:sz w:val="16"/>
                <w:szCs w:val="16"/>
              </w:rPr>
            </w:pPr>
            <w:r>
              <w:rPr>
                <w:sz w:val="16"/>
                <w:szCs w:val="16"/>
              </w:rPr>
              <w:t>C</w:t>
            </w:r>
            <w:r w:rsidRPr="00D43640">
              <w:rPr>
                <w:sz w:val="16"/>
                <w:szCs w:val="16"/>
              </w:rPr>
              <w:t xml:space="preserve">ohesion relevant CRSs/structural challenges were targeted either explicitly or implicitly in all programming documents. </w:t>
            </w:r>
            <w:r w:rsidRPr="000162D2">
              <w:rPr>
                <w:sz w:val="16"/>
                <w:szCs w:val="16"/>
              </w:rPr>
              <w:t xml:space="preserve">The connection between the CSRs/structural challenges and the Swedish OPs is clear in relation to the ESF priorities concerning labour market participation and social inclusion. There is also a significant linkage between CSR/structural challenges and ERDF choices in relation to innovation, competitiveness of SMEs, R&amp;D and sustainability (i.e. recycling and reduction of emissions).  </w:t>
            </w:r>
          </w:p>
          <w:p w:rsidR="00584B95" w:rsidRPr="000162D2" w:rsidRDefault="00584B95" w:rsidP="00766B4F">
            <w:pPr>
              <w:rPr>
                <w:sz w:val="16"/>
                <w:szCs w:val="16"/>
              </w:rPr>
            </w:pPr>
          </w:p>
        </w:tc>
        <w:tc>
          <w:tcPr>
            <w:tcW w:w="1812" w:type="pct"/>
          </w:tcPr>
          <w:p w:rsidR="00584B95" w:rsidRPr="000162D2" w:rsidRDefault="00584B95" w:rsidP="00766B4F">
            <w:pPr>
              <w:rPr>
                <w:sz w:val="16"/>
                <w:szCs w:val="16"/>
              </w:rPr>
            </w:pPr>
            <w:r w:rsidRPr="000162D2">
              <w:rPr>
                <w:sz w:val="16"/>
                <w:szCs w:val="16"/>
              </w:rPr>
              <w:t xml:space="preserve">Overall the CSR and the structural challenges highlighted in the Country Reports </w:t>
            </w:r>
            <w:r>
              <w:rPr>
                <w:sz w:val="16"/>
                <w:szCs w:val="16"/>
              </w:rPr>
              <w:t xml:space="preserve">had a significant influence on </w:t>
            </w:r>
            <w:r w:rsidRPr="000162D2">
              <w:rPr>
                <w:sz w:val="16"/>
                <w:szCs w:val="16"/>
              </w:rPr>
              <w:t>programming. The selection of priorities is based on both CSRs and national and regional analysis of challenges and development needs, as well as on the experiences of the earlier programming periods.</w:t>
            </w:r>
          </w:p>
        </w:tc>
        <w:tc>
          <w:tcPr>
            <w:tcW w:w="1176" w:type="pct"/>
          </w:tcPr>
          <w:p w:rsidR="00584B95" w:rsidRPr="000162D2" w:rsidRDefault="00584B95" w:rsidP="00766B4F">
            <w:pPr>
              <w:rPr>
                <w:sz w:val="16"/>
                <w:szCs w:val="16"/>
              </w:rPr>
            </w:pPr>
            <w:r w:rsidRPr="000162D2">
              <w:rPr>
                <w:sz w:val="16"/>
                <w:szCs w:val="16"/>
              </w:rPr>
              <w:t>The desk analysis and the interviews carried out in Sweden did not point out any obstacle hampering an effective use of ESI funds to contribute to address structural challenges. All programme documents are based on the principle that ESI funds should be used for pursuing structural reforms both at national and regional level.</w:t>
            </w:r>
            <w:r>
              <w:rPr>
                <w:sz w:val="16"/>
                <w:szCs w:val="16"/>
              </w:rPr>
              <w:t xml:space="preserve"> However, as in other </w:t>
            </w:r>
            <w:r w:rsidRPr="00A114B7">
              <w:rPr>
                <w:sz w:val="16"/>
                <w:szCs w:val="16"/>
              </w:rPr>
              <w:t xml:space="preserve">MS where </w:t>
            </w:r>
            <w:r>
              <w:rPr>
                <w:sz w:val="16"/>
                <w:szCs w:val="16"/>
              </w:rPr>
              <w:t xml:space="preserve">the </w:t>
            </w:r>
            <w:r w:rsidRPr="00A114B7">
              <w:rPr>
                <w:sz w:val="16"/>
                <w:szCs w:val="16"/>
              </w:rPr>
              <w:t xml:space="preserve">share of ESIF is limited compared to national budgets </w:t>
            </w:r>
            <w:r>
              <w:rPr>
                <w:sz w:val="16"/>
                <w:szCs w:val="16"/>
              </w:rPr>
              <w:t xml:space="preserve">(e.g. </w:t>
            </w:r>
            <w:r w:rsidRPr="00A114B7">
              <w:rPr>
                <w:sz w:val="16"/>
                <w:szCs w:val="16"/>
              </w:rPr>
              <w:t>UK, DE, NL</w:t>
            </w:r>
            <w:r>
              <w:rPr>
                <w:sz w:val="16"/>
                <w:szCs w:val="16"/>
              </w:rPr>
              <w:t xml:space="preserve">), the contribution of the funds </w:t>
            </w:r>
            <w:r w:rsidRPr="00A114B7">
              <w:rPr>
                <w:sz w:val="16"/>
                <w:szCs w:val="16"/>
              </w:rPr>
              <w:t xml:space="preserve">to support reforms </w:t>
            </w:r>
            <w:r>
              <w:rPr>
                <w:sz w:val="16"/>
                <w:szCs w:val="16"/>
              </w:rPr>
              <w:t>can only be marginal</w:t>
            </w:r>
            <w:r w:rsidRPr="00A114B7">
              <w:rPr>
                <w:sz w:val="16"/>
                <w:szCs w:val="16"/>
              </w:rPr>
              <w:t>.</w:t>
            </w:r>
            <w:r w:rsidRPr="000162D2">
              <w:rPr>
                <w:sz w:val="16"/>
                <w:szCs w:val="16"/>
              </w:rPr>
              <w:t xml:space="preserve">     </w:t>
            </w:r>
          </w:p>
        </w:tc>
      </w:tr>
      <w:tr w:rsidR="00584B95" w:rsidRPr="000162D2" w:rsidTr="00766B4F">
        <w:tc>
          <w:tcPr>
            <w:tcW w:w="324" w:type="pct"/>
          </w:tcPr>
          <w:p w:rsidR="00584B95" w:rsidRPr="000162D2" w:rsidRDefault="00584B95" w:rsidP="00766B4F">
            <w:pPr>
              <w:rPr>
                <w:sz w:val="16"/>
                <w:szCs w:val="16"/>
              </w:rPr>
            </w:pPr>
            <w:r w:rsidRPr="000162D2">
              <w:rPr>
                <w:sz w:val="16"/>
                <w:szCs w:val="16"/>
              </w:rPr>
              <w:t>UK</w:t>
            </w:r>
          </w:p>
        </w:tc>
        <w:tc>
          <w:tcPr>
            <w:tcW w:w="1688" w:type="pct"/>
          </w:tcPr>
          <w:p w:rsidR="00584B95" w:rsidRPr="000162D2" w:rsidRDefault="00584B95" w:rsidP="00766B4F">
            <w:pPr>
              <w:rPr>
                <w:sz w:val="16"/>
                <w:szCs w:val="16"/>
              </w:rPr>
            </w:pPr>
            <w:r w:rsidRPr="000162D2">
              <w:rPr>
                <w:sz w:val="16"/>
                <w:szCs w:val="16"/>
              </w:rPr>
              <w:t xml:space="preserve">The OP incorporate the CSR/ structural reforms and there is general alignment. </w:t>
            </w:r>
          </w:p>
          <w:p w:rsidR="00584B95" w:rsidRPr="000162D2" w:rsidRDefault="00584B95" w:rsidP="00766B4F">
            <w:pPr>
              <w:rPr>
                <w:sz w:val="16"/>
                <w:szCs w:val="16"/>
              </w:rPr>
            </w:pPr>
            <w:r w:rsidRPr="000162D2">
              <w:rPr>
                <w:sz w:val="16"/>
                <w:szCs w:val="16"/>
              </w:rPr>
              <w:t>The ERDF OPs consider RTDI, access to finance for SMEs, the low carbon economy, climate change, floods and environmental protection, road transport and national infrastructure. The ESF OPs include initiatives which are in line with recommendations made by CSR such as: measures to place emphasis on addressing skill mismatches; measures to reduce the number of young people with low basic skills; improving lifelong learning opportunities; efforts to reduce social exclusion and child poverty in low-income households including the availability of affordable childcare. The focus of EAFRD in relation to CSR is on improving the competitiveness of the farming sector. The EMFF also addresses the relevant structural issues as they relate to research and innovation, competitiveness and the labour market.</w:t>
            </w:r>
          </w:p>
        </w:tc>
        <w:tc>
          <w:tcPr>
            <w:tcW w:w="1812" w:type="pct"/>
          </w:tcPr>
          <w:p w:rsidR="00584B95" w:rsidRPr="000162D2" w:rsidRDefault="00584B95" w:rsidP="00766B4F">
            <w:pPr>
              <w:rPr>
                <w:sz w:val="16"/>
                <w:szCs w:val="16"/>
              </w:rPr>
            </w:pPr>
            <w:r w:rsidRPr="000162D2">
              <w:rPr>
                <w:sz w:val="16"/>
                <w:szCs w:val="16"/>
              </w:rPr>
              <w:t>Implementation is influenced by the CSR and structural challenges because there is close alignment between them. According to the desk analysis and the interviews, a considerable amount of the activities funded through ESI Funds will be used to address the relevant CSRs. The structural issues covered by the CSRs/structural challenges are in line with the priorities identified by UK as being of relevance for its national programming. Examples include support for SMEs and ensuring access to finance, addressing skill issues particularly as they relate to young people, tackling social exclusion, the need for better leverage of the science base, renewable energy and structural bottlenecks as they relate to infrastructure.</w:t>
            </w:r>
          </w:p>
        </w:tc>
        <w:tc>
          <w:tcPr>
            <w:tcW w:w="1176" w:type="pct"/>
          </w:tcPr>
          <w:p w:rsidR="00584B95" w:rsidRPr="000162D2" w:rsidRDefault="00584B95" w:rsidP="00766B4F">
            <w:pPr>
              <w:rPr>
                <w:sz w:val="16"/>
                <w:szCs w:val="16"/>
              </w:rPr>
            </w:pPr>
            <w:r w:rsidRPr="000162D2">
              <w:rPr>
                <w:sz w:val="16"/>
                <w:szCs w:val="16"/>
              </w:rPr>
              <w:t xml:space="preserve">There are no obvious obstacles which to the use of ESI Fund in pursuing reforms but it is not clear why there is a need for an annual cycle to the CSR process, particularly since the timing is so tight between the drafting of relevant documentation and the emergence of the annual CSRs. In the UK ESI is not going to have a particularly big impact in terms of the broader objectives of the National Reform Programme because of its relative size, but this would not necessarily be the case in other countries where the Funds are a far greater part of activity in any area of reform.      </w:t>
            </w:r>
          </w:p>
        </w:tc>
      </w:tr>
    </w:tbl>
    <w:p w:rsidR="00584B95" w:rsidRDefault="00584B95" w:rsidP="00584B95">
      <w:pPr>
        <w:jc w:val="left"/>
      </w:pPr>
    </w:p>
    <w:p w:rsidR="009E0D5A" w:rsidRPr="00584B95" w:rsidRDefault="009E0D5A" w:rsidP="00584B95"/>
    <w:sectPr w:rsidR="009E0D5A" w:rsidRPr="00584B95" w:rsidSect="00584B95">
      <w:pgSz w:w="16839" w:h="11907" w:orient="landscape" w:code="9"/>
      <w:pgMar w:top="1701" w:right="1418" w:bottom="1418" w:left="851" w:header="567"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B3F" w:rsidRDefault="009F0B3F">
      <w:pPr>
        <w:spacing w:after="0" w:line="240" w:lineRule="auto"/>
      </w:pPr>
      <w:r>
        <w:separator/>
      </w:r>
    </w:p>
  </w:endnote>
  <w:endnote w:type="continuationSeparator" w:id="0">
    <w:p w:rsidR="009F0B3F" w:rsidRDefault="009F0B3F">
      <w:pPr>
        <w:spacing w:after="0" w:line="240" w:lineRule="auto"/>
      </w:pPr>
      <w:r>
        <w:continuationSeparator/>
      </w:r>
    </w:p>
  </w:endnote>
  <w:endnote w:type="continuationNotice" w:id="1">
    <w:p w:rsidR="009F0B3F" w:rsidRDefault="009F0B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olkhov">
    <w:altName w:val="Microsoft YaHei"/>
    <w:charset w:val="00"/>
    <w:family w:val="auto"/>
    <w:pitch w:val="variable"/>
    <w:sig w:usb0="800000A7" w:usb1="1000004B"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A15" w:rsidRDefault="00631A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41C" w:rsidRDefault="00F7741C" w:rsidP="00CE2335">
    <w:pPr>
      <w:spacing w:after="0"/>
      <w:jc w:val="center"/>
      <w:rPr>
        <w:sz w:val="18"/>
      </w:rPr>
    </w:pPr>
    <w:r w:rsidRPr="00213AE8">
      <w:rPr>
        <w:sz w:val="18"/>
      </w:rPr>
      <w:t xml:space="preserve">Directorate-General for </w:t>
    </w:r>
    <w:r>
      <w:rPr>
        <w:sz w:val="18"/>
      </w:rPr>
      <w:t>Employment, Social Affairs and</w:t>
    </w:r>
    <w:r w:rsidRPr="0084455C">
      <w:rPr>
        <w:sz w:val="18"/>
      </w:rPr>
      <w:t xml:space="preserve"> Inclusion</w:t>
    </w:r>
  </w:p>
  <w:p w:rsidR="00F7741C" w:rsidRPr="0056134F" w:rsidRDefault="00F7741C" w:rsidP="00CE2335">
    <w:pPr>
      <w:spacing w:after="0"/>
      <w:jc w:val="center"/>
      <w:rPr>
        <w:sz w:val="18"/>
        <w:lang w:val="sv-SE"/>
      </w:rPr>
    </w:pPr>
    <w:r w:rsidRPr="0056134F">
      <w:rPr>
        <w:color w:val="FF0000"/>
        <w:sz w:val="18"/>
        <w:lang w:val="sv-SE"/>
      </w:rPr>
      <w:t xml:space="preserve">First Interim Report  </w:t>
    </w:r>
  </w:p>
  <w:p w:rsidR="00F7741C" w:rsidRPr="0056134F" w:rsidRDefault="00F7741C">
    <w:pPr>
      <w:pStyle w:val="Footer"/>
      <w:rPr>
        <w:lang w:val="sv-SE"/>
      </w:rPr>
    </w:pPr>
    <w:r w:rsidRPr="0056134F">
      <w:rPr>
        <w:lang w:val="sv-SE"/>
      </w:rPr>
      <w:t>2016</w:t>
    </w:r>
    <w:r w:rsidRPr="0056134F">
      <w:rPr>
        <w:lang w:val="sv-SE"/>
      </w:rPr>
      <w:tab/>
    </w:r>
    <w:r w:rsidRPr="0056134F">
      <w:rPr>
        <w:lang w:val="sv-SE"/>
      </w:rPr>
      <w:tab/>
    </w:r>
    <w:r w:rsidRPr="0056134F">
      <w:rPr>
        <w:lang w:val="sv-SE"/>
      </w:rPr>
      <w:tab/>
    </w:r>
    <w:r w:rsidRPr="0056134F">
      <w:rPr>
        <w:lang w:val="sv-SE"/>
      </w:rPr>
      <w:tab/>
    </w:r>
    <w:r w:rsidRPr="0056134F">
      <w:rPr>
        <w:lang w:val="sv-SE"/>
      </w:rPr>
      <w:tab/>
    </w:r>
    <w:r w:rsidRPr="0056134F">
      <w:rPr>
        <w:lang w:val="sv-SE"/>
      </w:rPr>
      <w:tab/>
    </w:r>
    <w:r w:rsidRPr="0056134F">
      <w:rPr>
        <w:lang w:val="sv-SE"/>
      </w:rPr>
      <w:tab/>
    </w:r>
    <w:r w:rsidRPr="0056134F">
      <w:rPr>
        <w:lang w:val="sv-SE"/>
      </w:rPr>
      <w:tab/>
    </w:r>
    <w:r w:rsidRPr="0056134F">
      <w:rPr>
        <w:lang w:val="sv-SE"/>
      </w:rPr>
      <w:tab/>
    </w:r>
    <w:r w:rsidRPr="0056134F">
      <w:rPr>
        <w:lang w:val="sv-SE"/>
      </w:rPr>
      <w:tab/>
      <w:t xml:space="preserve">EUR </w:t>
    </w:r>
    <w:r w:rsidRPr="0056134F">
      <w:rPr>
        <w:color w:val="FF0000"/>
        <w:sz w:val="18"/>
        <w:lang w:val="sv-SE"/>
      </w:rPr>
      <w:t xml:space="preserve">[number] </w:t>
    </w:r>
    <w:r w:rsidRPr="0056134F">
      <w:rPr>
        <w:sz w:val="18"/>
        <w:lang w:val="sv-SE"/>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41C" w:rsidRDefault="00F7741C" w:rsidP="00CE2335">
    <w:pPr>
      <w:pStyle w:val="FooterDate"/>
      <w:ind w:right="-1"/>
      <w:rPr>
        <w:rFonts w:cs="Arial"/>
        <w:sz w:val="18"/>
        <w:szCs w:val="18"/>
      </w:rPr>
    </w:pPr>
    <w:r>
      <w:rPr>
        <w:noProof/>
        <w:lang w:val="en-GB" w:eastAsia="en-GB"/>
      </w:rPr>
      <mc:AlternateContent>
        <mc:Choice Requires="wps">
          <w:drawing>
            <wp:anchor distT="0" distB="0" distL="114300" distR="114300" simplePos="0" relativeHeight="251664384" behindDoc="0" locked="0" layoutInCell="1" allowOverlap="1" wp14:anchorId="21635886" wp14:editId="7B47C566">
              <wp:simplePos x="0" y="0"/>
              <wp:positionH relativeFrom="margin">
                <wp:align>center</wp:align>
              </wp:positionH>
              <wp:positionV relativeFrom="margin">
                <wp:posOffset>8155305</wp:posOffset>
              </wp:positionV>
              <wp:extent cx="842645" cy="288290"/>
              <wp:effectExtent l="0" t="0" r="0" b="0"/>
              <wp:wrapSquare wrapText="bothSides"/>
              <wp:docPr id="13"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645" cy="288290"/>
                      </a:xfrm>
                      <a:prstGeom prst="rect">
                        <a:avLst/>
                      </a:prstGeom>
                      <a:solidFill>
                        <a:srgbClr val="0023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6" style="position:absolute;margin-left:0;margin-top:642.15pt;width:66.35pt;height:22.7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" fillcolor="#002395" stroked="f">
              <w10:wrap type="square" anchorx="margin" anchory="margin"/>
            </v:rect>
          </w:pict>
        </mc:Fallback>
      </mc:AlternateContent>
    </w:r>
    <w:r>
      <w:rPr>
        <w:noProof/>
        <w:lang w:val="en-GB" w:eastAsia="en-GB"/>
      </w:rPr>
      <mc:AlternateContent>
        <mc:Choice Requires="wps">
          <w:drawing>
            <wp:anchor distT="0" distB="0" distL="114300" distR="114300" simplePos="0" relativeHeight="251663360" behindDoc="0" locked="0" layoutInCell="1" allowOverlap="1" wp14:anchorId="0B6CC727" wp14:editId="6720E8A0">
              <wp:simplePos x="0" y="0"/>
              <wp:positionH relativeFrom="column">
                <wp:posOffset>4281170</wp:posOffset>
              </wp:positionH>
              <wp:positionV relativeFrom="margin">
                <wp:posOffset>9475470</wp:posOffset>
              </wp:positionV>
              <wp:extent cx="1438275" cy="561975"/>
              <wp:effectExtent l="0" t="0" r="9525" b="9525"/>
              <wp:wrapNone/>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561975"/>
                      </a:xfrm>
                      <a:prstGeom prst="rect">
                        <a:avLst/>
                      </a:prstGeom>
                      <a:noFill/>
                      <a:ln>
                        <a:noFill/>
                      </a:ln>
                      <a:extLst>
                        <a:ext uri="{909E8E84-426E-40DD-AFC4-6F175D3DCCD1}">
                          <a14:hiddenFill xmlns:a14="http://schemas.microsoft.com/office/drawing/2010/main">
                            <a:solidFill>
                              <a:srgbClr val="002395"/>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41C" w:rsidRPr="00696241" w:rsidRDefault="00F7741C" w:rsidP="00CE2335">
                          <w:pPr>
                            <w:pStyle w:val="FooterDate"/>
                            <w:ind w:right="-1"/>
                            <w:jc w:val="right"/>
                            <w:rPr>
                              <w:rFonts w:cs="Arial"/>
                              <w:szCs w:val="16"/>
                            </w:rPr>
                          </w:pPr>
                          <w:r w:rsidRPr="00696241">
                            <w:rPr>
                              <w:rFonts w:cs="Arial"/>
                              <w:szCs w:val="16"/>
                            </w:rPr>
                            <w:t xml:space="preserve">EUR </w:t>
                          </w:r>
                          <w:r w:rsidRPr="00696241">
                            <w:rPr>
                              <w:rFonts w:cs="Arial"/>
                              <w:color w:val="FF0000"/>
                              <w:szCs w:val="16"/>
                            </w:rPr>
                            <w:t>[</w:t>
                          </w:r>
                          <w:proofErr w:type="spellStart"/>
                          <w:r w:rsidRPr="00696241">
                            <w:rPr>
                              <w:rFonts w:cs="Arial"/>
                              <w:color w:val="FF0000"/>
                              <w:szCs w:val="16"/>
                            </w:rPr>
                            <w:t>number</w:t>
                          </w:r>
                          <w:proofErr w:type="spellEnd"/>
                          <w:r w:rsidRPr="00696241">
                            <w:rPr>
                              <w:rFonts w:cs="Arial"/>
                              <w:color w:val="FF0000"/>
                              <w:szCs w:val="16"/>
                            </w:rPr>
                            <w:t xml:space="preserve">] </w:t>
                          </w:r>
                          <w:r w:rsidRPr="00696241">
                            <w:rPr>
                              <w:rFonts w:cs="Arial"/>
                              <w:szCs w:val="16"/>
                            </w:rPr>
                            <w:t>EN</w:t>
                          </w:r>
                        </w:p>
                        <w:p w:rsidR="00F7741C" w:rsidRDefault="00F7741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 o:spid="_x0000_s1026" type="#_x0000_t202" style="position:absolute;left:0;text-align:left;margin-left:337.1pt;margin-top:746.1pt;width:113.2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" filled="f" fillcolor="#002395" stroked="f">
              <v:textbox inset="0,0,0,0">
                <w:txbxContent>
                  <w:p w:rsidR="00F7741C" w:rsidRPr="00696241" w:rsidRDefault="00F7741C" w:rsidP="00CE2335">
                    <w:pPr>
                      <w:pStyle w:val="FooterDate"/>
                      <w:ind w:right="-1"/>
                      <w:jc w:val="right"/>
                      <w:rPr>
                        <w:rFonts w:cs="Arial"/>
                        <w:szCs w:val="16"/>
                      </w:rPr>
                    </w:pPr>
                    <w:r w:rsidRPr="00696241">
                      <w:rPr>
                        <w:rFonts w:cs="Arial"/>
                        <w:szCs w:val="16"/>
                      </w:rPr>
                      <w:t xml:space="preserve">EUR </w:t>
                    </w:r>
                    <w:r w:rsidRPr="00696241">
                      <w:rPr>
                        <w:rFonts w:cs="Arial"/>
                        <w:color w:val="FF0000"/>
                        <w:szCs w:val="16"/>
                      </w:rPr>
                      <w:t>[</w:t>
                    </w:r>
                    <w:proofErr w:type="spellStart"/>
                    <w:r w:rsidRPr="00696241">
                      <w:rPr>
                        <w:rFonts w:cs="Arial"/>
                        <w:color w:val="FF0000"/>
                        <w:szCs w:val="16"/>
                      </w:rPr>
                      <w:t>number</w:t>
                    </w:r>
                    <w:proofErr w:type="spellEnd"/>
                    <w:r w:rsidRPr="00696241">
                      <w:rPr>
                        <w:rFonts w:cs="Arial"/>
                        <w:color w:val="FF0000"/>
                        <w:szCs w:val="16"/>
                      </w:rPr>
                      <w:t xml:space="preserve">] </w:t>
                    </w:r>
                    <w:r w:rsidRPr="00696241">
                      <w:rPr>
                        <w:rFonts w:cs="Arial"/>
                        <w:szCs w:val="16"/>
                      </w:rPr>
                      <w:t>EN</w:t>
                    </w:r>
                  </w:p>
                  <w:p w:rsidR="00F7741C" w:rsidRDefault="00F7741C"/>
                </w:txbxContent>
              </v:textbox>
              <w10:wrap anchory="margin"/>
            </v:shape>
          </w:pict>
        </mc:Fallback>
      </mc:AlternateContent>
    </w:r>
  </w:p>
  <w:p w:rsidR="00F7741C" w:rsidRDefault="00F7741C" w:rsidP="00CE2335">
    <w:pPr>
      <w:pStyle w:val="FooterDate"/>
      <w:ind w:right="-1"/>
      <w:rPr>
        <w:rFonts w:cs="Arial"/>
        <w:sz w:val="18"/>
        <w:szCs w:val="18"/>
      </w:rPr>
    </w:pPr>
    <w:r>
      <w:rPr>
        <w:rFonts w:cs="Arial"/>
        <w:sz w:val="18"/>
        <w:szCs w:val="18"/>
      </w:rPr>
      <w:t>Ismeri Europa</w:t>
    </w:r>
  </w:p>
  <w:p w:rsidR="00F7741C" w:rsidRDefault="00F7741C" w:rsidP="00CE2335">
    <w:pPr>
      <w:pStyle w:val="FooterDate"/>
      <w:ind w:right="-1"/>
      <w:rPr>
        <w:rFonts w:cs="Arial"/>
        <w:sz w:val="18"/>
        <w:szCs w:val="18"/>
      </w:rPr>
    </w:pPr>
    <w:r>
      <w:rPr>
        <w:rFonts w:cs="Arial"/>
        <w:sz w:val="18"/>
        <w:szCs w:val="18"/>
        <w:lang w:val="en-GB"/>
      </w:rPr>
      <w:t>November</w:t>
    </w:r>
    <w:r>
      <w:rPr>
        <w:rFonts w:cs="Arial"/>
        <w:sz w:val="18"/>
        <w:szCs w:val="18"/>
      </w:rPr>
      <w:t xml:space="preserve"> 2016</w:t>
    </w:r>
  </w:p>
  <w:p w:rsidR="00F7741C" w:rsidRPr="001D2A51" w:rsidRDefault="00F7741C" w:rsidP="00CE2335">
    <w:pPr>
      <w:pStyle w:val="FooterDate"/>
      <w:ind w:right="-1"/>
      <w:rPr>
        <w:rFonts w:cs="Arial"/>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41C" w:rsidRPr="006B26AA" w:rsidRDefault="00F7741C" w:rsidP="00CE2335">
    <w:pPr>
      <w:pStyle w:val="Footer"/>
      <w:rPr>
        <w:szCs w:val="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056355"/>
      <w:docPartObj>
        <w:docPartGallery w:val="Page Numbers (Bottom of Page)"/>
        <w:docPartUnique/>
      </w:docPartObj>
    </w:sdtPr>
    <w:sdtEndPr/>
    <w:sdtContent>
      <w:p w:rsidR="00F7741C" w:rsidRDefault="00F7741C">
        <w:pPr>
          <w:pStyle w:val="Footer"/>
          <w:jc w:val="right"/>
        </w:pPr>
        <w:r>
          <w:fldChar w:fldCharType="begin"/>
        </w:r>
        <w:r>
          <w:instrText>PAGE   \* MERGEFORMAT</w:instrText>
        </w:r>
        <w:r>
          <w:fldChar w:fldCharType="separate"/>
        </w:r>
        <w:r w:rsidR="00631A15" w:rsidRPr="00631A15">
          <w:rPr>
            <w:noProof/>
            <w:lang w:val="it-IT"/>
          </w:rPr>
          <w:t>41</w:t>
        </w:r>
        <w:r>
          <w:rPr>
            <w:noProof/>
            <w:lang w:val="it-IT"/>
          </w:rPr>
          <w:fldChar w:fldCharType="end"/>
        </w:r>
      </w:p>
    </w:sdtContent>
  </w:sdt>
  <w:p w:rsidR="00F7741C" w:rsidRDefault="00F7741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7561572"/>
      <w:docPartObj>
        <w:docPartGallery w:val="Page Numbers (Bottom of Page)"/>
        <w:docPartUnique/>
      </w:docPartObj>
    </w:sdtPr>
    <w:sdtEndPr/>
    <w:sdtContent>
      <w:p w:rsidR="00F7741C" w:rsidRDefault="00F7741C">
        <w:pPr>
          <w:pStyle w:val="Footer"/>
          <w:jc w:val="right"/>
        </w:pPr>
        <w:r>
          <w:fldChar w:fldCharType="begin"/>
        </w:r>
        <w:r>
          <w:instrText>PAGE   \* MERGEFORMAT</w:instrText>
        </w:r>
        <w:r>
          <w:fldChar w:fldCharType="separate"/>
        </w:r>
        <w:r w:rsidR="00631A15" w:rsidRPr="00631A15">
          <w:rPr>
            <w:noProof/>
            <w:lang w:val="it-IT"/>
          </w:rPr>
          <w:t>47</w:t>
        </w:r>
        <w:r>
          <w:rPr>
            <w:noProof/>
            <w:lang w:val="it-IT"/>
          </w:rPr>
          <w:fldChar w:fldCharType="end"/>
        </w:r>
      </w:p>
    </w:sdtContent>
  </w:sdt>
  <w:p w:rsidR="00F7741C" w:rsidRDefault="00F7741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1833967"/>
      <w:docPartObj>
        <w:docPartGallery w:val="Page Numbers (Bottom of Page)"/>
        <w:docPartUnique/>
      </w:docPartObj>
    </w:sdtPr>
    <w:sdtEndPr/>
    <w:sdtContent>
      <w:p w:rsidR="00F7741C" w:rsidRDefault="00F7741C">
        <w:pPr>
          <w:pStyle w:val="Footer"/>
          <w:jc w:val="right"/>
        </w:pPr>
        <w:r>
          <w:fldChar w:fldCharType="begin"/>
        </w:r>
        <w:r>
          <w:instrText>PAGE   \* MERGEFORMAT</w:instrText>
        </w:r>
        <w:r>
          <w:fldChar w:fldCharType="separate"/>
        </w:r>
        <w:r w:rsidR="00631A15" w:rsidRPr="00631A15">
          <w:rPr>
            <w:noProof/>
            <w:lang w:val="it-IT"/>
          </w:rPr>
          <w:t>61</w:t>
        </w:r>
        <w:r>
          <w:rPr>
            <w:noProof/>
            <w:lang w:val="it-IT"/>
          </w:rPr>
          <w:fldChar w:fldCharType="end"/>
        </w:r>
      </w:p>
    </w:sdtContent>
  </w:sdt>
  <w:p w:rsidR="00F7741C" w:rsidRDefault="00F7741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370130"/>
      <w:docPartObj>
        <w:docPartGallery w:val="Page Numbers (Bottom of Page)"/>
        <w:docPartUnique/>
      </w:docPartObj>
    </w:sdtPr>
    <w:sdtEndPr/>
    <w:sdtContent>
      <w:p w:rsidR="00F7741C" w:rsidRDefault="00F7741C">
        <w:pPr>
          <w:pStyle w:val="Footer"/>
          <w:jc w:val="right"/>
        </w:pPr>
        <w:r>
          <w:fldChar w:fldCharType="begin"/>
        </w:r>
        <w:r>
          <w:instrText>PAGE   \* MERGEFORMAT</w:instrText>
        </w:r>
        <w:r>
          <w:fldChar w:fldCharType="separate"/>
        </w:r>
        <w:r w:rsidR="00631A15" w:rsidRPr="00631A15">
          <w:rPr>
            <w:noProof/>
            <w:lang w:val="it-IT"/>
          </w:rPr>
          <w:t>64</w:t>
        </w:r>
        <w:r>
          <w:rPr>
            <w:noProof/>
            <w:lang w:val="it-IT"/>
          </w:rPr>
          <w:fldChar w:fldCharType="end"/>
        </w:r>
      </w:p>
    </w:sdtContent>
  </w:sdt>
  <w:p w:rsidR="00F7741C" w:rsidRDefault="00F7741C">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41C" w:rsidRDefault="00F7741C">
    <w:pPr>
      <w:pStyle w:val="Footer"/>
      <w:jc w:val="right"/>
    </w:pPr>
    <w:r>
      <w:fldChar w:fldCharType="begin"/>
    </w:r>
    <w:r>
      <w:instrText>PAGE   \* MERGEFORMAT</w:instrText>
    </w:r>
    <w:r>
      <w:fldChar w:fldCharType="separate"/>
    </w:r>
    <w:r w:rsidR="00631A15" w:rsidRPr="00631A15">
      <w:rPr>
        <w:noProof/>
        <w:lang w:val="it-IT"/>
      </w:rPr>
      <w:t>126</w:t>
    </w:r>
    <w:r>
      <w:rPr>
        <w:noProof/>
        <w:lang w:val="it-IT"/>
      </w:rPr>
      <w:fldChar w:fldCharType="end"/>
    </w:r>
  </w:p>
  <w:p w:rsidR="00F7741C" w:rsidRDefault="00F774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B3F" w:rsidRDefault="009F0B3F">
      <w:pPr>
        <w:spacing w:after="0" w:line="240" w:lineRule="auto"/>
      </w:pPr>
      <w:r>
        <w:separator/>
      </w:r>
    </w:p>
  </w:footnote>
  <w:footnote w:type="continuationSeparator" w:id="0">
    <w:p w:rsidR="009F0B3F" w:rsidRDefault="009F0B3F">
      <w:pPr>
        <w:spacing w:after="0" w:line="240" w:lineRule="auto"/>
      </w:pPr>
      <w:r>
        <w:continuationSeparator/>
      </w:r>
    </w:p>
  </w:footnote>
  <w:footnote w:type="continuationNotice" w:id="1">
    <w:p w:rsidR="009F0B3F" w:rsidRDefault="009F0B3F">
      <w:pPr>
        <w:spacing w:after="0" w:line="240" w:lineRule="auto"/>
      </w:pPr>
    </w:p>
  </w:footnote>
  <w:footnote w:id="2">
    <w:p w:rsidR="00F7741C" w:rsidRPr="000D7F8F" w:rsidRDefault="00F7741C" w:rsidP="002D58AB">
      <w:pPr>
        <w:pStyle w:val="FootnoteText"/>
      </w:pPr>
      <w:r w:rsidRPr="003F580E">
        <w:rPr>
          <w:rStyle w:val="FootnoteReference"/>
        </w:rPr>
        <w:footnoteRef/>
      </w:r>
      <w:r w:rsidRPr="003F580E">
        <w:t xml:space="preserve"> The Stability and Growth Pact was reinforced by: the Six Pack, which became law in December 2011, the Two Pack introduced in May 2013 and the Treaty on Stability, Coordination and Governance, which came into force in January 2013 in its 25 signatory countries.</w:t>
      </w:r>
    </w:p>
  </w:footnote>
  <w:footnote w:id="3">
    <w:p w:rsidR="00F7741C" w:rsidRPr="00BF5E96" w:rsidRDefault="00F7741C" w:rsidP="00673544">
      <w:pPr>
        <w:pStyle w:val="FootnoteText"/>
      </w:pPr>
      <w:r>
        <w:rPr>
          <w:rStyle w:val="FootnoteReference"/>
        </w:rPr>
        <w:footnoteRef/>
      </w:r>
      <w:r>
        <w:t xml:space="preserve"> Regulation (EU) 1303/2013, 17 December 2013, Art 2(35).</w:t>
      </w:r>
    </w:p>
  </w:footnote>
  <w:footnote w:id="4">
    <w:p w:rsidR="00F7741C" w:rsidRPr="006F7C23" w:rsidRDefault="00F7741C" w:rsidP="002D58AB">
      <w:pPr>
        <w:pStyle w:val="FootnoteText"/>
      </w:pPr>
      <w:r>
        <w:rPr>
          <w:rStyle w:val="FootnoteReference"/>
        </w:rPr>
        <w:footnoteRef/>
      </w:r>
      <w:r>
        <w:t xml:space="preserve"> </w:t>
      </w:r>
      <w:r w:rsidRPr="003F580E">
        <w:t xml:space="preserve">The two mentioned studies are forthcoming. </w:t>
      </w:r>
    </w:p>
  </w:footnote>
  <w:footnote w:id="5">
    <w:p w:rsidR="00F7741C" w:rsidRPr="00D51564" w:rsidRDefault="00F7741C" w:rsidP="008A4F83">
      <w:pPr>
        <w:pStyle w:val="FootnoteText"/>
      </w:pPr>
      <w:r>
        <w:rPr>
          <w:rStyle w:val="FootnoteReference"/>
        </w:rPr>
        <w:footnoteRef/>
      </w:r>
      <w:r>
        <w:t xml:space="preserve"> It is also worth mentioning Article 23 of the CPR: “measures linking effectiveness of ESI Funds to sound economic governance”. This sets out that the Commission may request a Member State to review and propose amendments to its Partnership Agreement and </w:t>
      </w:r>
      <w:r w:rsidRPr="006D5A79">
        <w:t>relevant programmes, where this is necessary to support the implementation of relevant Council Recommendations or to maximise the growth and competitiveness impact of the ESI Funds in Member States receiving financial assistance</w:t>
      </w:r>
      <w:r>
        <w:t xml:space="preserve"> (see CPR for detailed information on macro-economic conditionality)</w:t>
      </w:r>
      <w:r w:rsidRPr="006D5A79">
        <w:t>.</w:t>
      </w:r>
    </w:p>
  </w:footnote>
  <w:footnote w:id="6">
    <w:p w:rsidR="00F7741C" w:rsidRPr="00B416BB" w:rsidRDefault="00F7741C" w:rsidP="00764D07">
      <w:pPr>
        <w:pStyle w:val="FootnoteText"/>
      </w:pPr>
      <w:r>
        <w:rPr>
          <w:rStyle w:val="FootnoteReference"/>
        </w:rPr>
        <w:footnoteRef/>
      </w:r>
      <w:r>
        <w:t xml:space="preserve"> See COM(2015) 600 final.  .</w:t>
      </w:r>
    </w:p>
  </w:footnote>
  <w:footnote w:id="7">
    <w:p w:rsidR="00F7741C" w:rsidRPr="003E12C1" w:rsidRDefault="00F7741C">
      <w:pPr>
        <w:pStyle w:val="FootnoteText"/>
      </w:pPr>
      <w:r>
        <w:rPr>
          <w:rStyle w:val="FootnoteReference"/>
        </w:rPr>
        <w:footnoteRef/>
      </w:r>
      <w:r>
        <w:t xml:space="preserve"> Regulation (EU)1304/2013, 17 December 2013, sets the ESF thematic concentration at 80%, 70% and 60% for more developed, transition and less developed regions respectively. Regulation (EU) 1301/2013, 17 December 2013 sets the ERDF thematic concentration; for instance, in less developed regions, at least 50% of the total at national level should be allocated to two or more of the TOs set out in points 1, 2, 3 and 4 of the first paragraph of Article 9 of Regulation (EU) No 1303/2013; while at least 12% of total ERDF shall be allocated to the TO set out in point 4 of the first paragraph of Article 9 of Regulation (EU) No 1303/2013. For transition regions and more developed regions the minimum percentages are respectively: 60%-15% and 80%-20%.</w:t>
      </w:r>
    </w:p>
  </w:footnote>
  <w:footnote w:id="8">
    <w:p w:rsidR="00F7741C" w:rsidRPr="00252598" w:rsidRDefault="00F7741C">
      <w:pPr>
        <w:pStyle w:val="FootnoteText"/>
      </w:pPr>
      <w:r>
        <w:rPr>
          <w:rStyle w:val="FootnoteReference"/>
        </w:rPr>
        <w:footnoteRef/>
      </w:r>
      <w:r>
        <w:t xml:space="preserve"> Most of the CSR sub-parts are assigned to several categories e.g. the same recommendation may be classified in 2 areas, one as primary and the other as secondary; there is no one-to-one correspondence between a given CSR and a category. On the contrary our mapping is univocal. While this more limited degree of freedom (i.e. one and only one correspondence between a challenge and a policy area) may have required, in some cases, to make clear cut/trenchant choices, on the other hand it allows to process the mapping information easily and use it in the following tasks (which is the main purpose of the mapping effort).    </w:t>
      </w:r>
    </w:p>
  </w:footnote>
  <w:footnote w:id="9">
    <w:p w:rsidR="00F7741C" w:rsidRPr="00252598" w:rsidRDefault="00F7741C">
      <w:pPr>
        <w:pStyle w:val="FootnoteText"/>
      </w:pPr>
      <w:r>
        <w:rPr>
          <w:rStyle w:val="FootnoteReference"/>
        </w:rPr>
        <w:footnoteRef/>
      </w:r>
      <w:r>
        <w:t xml:space="preserve"> In some cases (for some countries and for certain years) the breakdown of CSR into sub-parts is very detailed and captures all the different challenges underlying the recommendations. In other cases CSR were not broken down at all or only to a limited extent. This variability in the approach seems to reflect the fact that the classification was carried out by several different people following different logics. </w:t>
      </w:r>
    </w:p>
  </w:footnote>
  <w:footnote w:id="10">
    <w:p w:rsidR="00F7741C" w:rsidRPr="005B31C0" w:rsidRDefault="00F7741C">
      <w:pPr>
        <w:pStyle w:val="FootnoteText"/>
      </w:pPr>
      <w:r>
        <w:rPr>
          <w:rStyle w:val="FootnoteReference"/>
        </w:rPr>
        <w:footnoteRef/>
      </w:r>
      <w:r>
        <w:t xml:space="preserve"> </w:t>
      </w:r>
      <w:r w:rsidRPr="005B31C0">
        <w:t xml:space="preserve">DG Education, DG Agri, DG Mare, DG </w:t>
      </w:r>
      <w:proofErr w:type="spellStart"/>
      <w:r w:rsidRPr="005B31C0">
        <w:t>Sante</w:t>
      </w:r>
      <w:proofErr w:type="spellEnd"/>
      <w:r>
        <w:t>, DG Just.</w:t>
      </w:r>
    </w:p>
  </w:footnote>
  <w:footnote w:id="11">
    <w:p w:rsidR="00F7741C" w:rsidRPr="00485846" w:rsidRDefault="00F7741C" w:rsidP="00855E30">
      <w:pPr>
        <w:pStyle w:val="FootnoteText"/>
      </w:pPr>
      <w:r>
        <w:rPr>
          <w:rStyle w:val="FootnoteReference"/>
        </w:rPr>
        <w:footnoteRef/>
      </w:r>
      <w:r>
        <w:t xml:space="preserve"> </w:t>
      </w:r>
      <w:r w:rsidRPr="00485846">
        <w:t xml:space="preserve">Measures laid </w:t>
      </w:r>
      <w:r>
        <w:t>down</w:t>
      </w:r>
      <w:r w:rsidRPr="00485846">
        <w:t xml:space="preserve"> in </w:t>
      </w:r>
      <w:r>
        <w:t xml:space="preserve">the EU </w:t>
      </w:r>
      <w:r w:rsidRPr="00485846">
        <w:t xml:space="preserve">Implementing </w:t>
      </w:r>
      <w:r>
        <w:t>D</w:t>
      </w:r>
      <w:r w:rsidRPr="00485846">
        <w:t>ecision</w:t>
      </w:r>
      <w:r>
        <w:t>s</w:t>
      </w:r>
      <w:r w:rsidRPr="00485846">
        <w:t xml:space="preserve"> and further specified in the Memorandum of Understanding</w:t>
      </w:r>
      <w:r>
        <w:t xml:space="preserve">, </w:t>
      </w:r>
      <w:r w:rsidRPr="00485846">
        <w:t xml:space="preserve">quoted </w:t>
      </w:r>
      <w:r>
        <w:t xml:space="preserve">in the </w:t>
      </w:r>
      <w:r w:rsidRPr="00485846">
        <w:t>Council Recommendation on the National Reform Programme</w:t>
      </w:r>
      <w:r>
        <w:t>,</w:t>
      </w:r>
      <w:r w:rsidRPr="00485846">
        <w:t xml:space="preserve"> were considered in the cases of Romania, Ireland</w:t>
      </w:r>
      <w:r>
        <w:t xml:space="preserve"> and</w:t>
      </w:r>
      <w:r w:rsidRPr="00485846">
        <w:t xml:space="preserve"> Portugal</w:t>
      </w:r>
      <w:r>
        <w:t xml:space="preserve">. </w:t>
      </w:r>
      <w:r w:rsidRPr="00485846">
        <w:t xml:space="preserve"> </w:t>
      </w:r>
    </w:p>
  </w:footnote>
  <w:footnote w:id="12">
    <w:p w:rsidR="00F7741C" w:rsidRPr="005B31C0" w:rsidRDefault="00F7741C">
      <w:pPr>
        <w:pStyle w:val="FootnoteText"/>
      </w:pPr>
      <w:r>
        <w:rPr>
          <w:rStyle w:val="FootnoteReference"/>
        </w:rPr>
        <w:footnoteRef/>
      </w:r>
      <w:r>
        <w:t xml:space="preserve"> </w:t>
      </w:r>
      <w:r w:rsidRPr="005B31C0">
        <w:t xml:space="preserve">The analysis of challenges for Greece and Cyprus is ongoing. </w:t>
      </w:r>
    </w:p>
  </w:footnote>
  <w:footnote w:id="13">
    <w:p w:rsidR="00F7741C" w:rsidRPr="00DA7F9D" w:rsidRDefault="00F7741C">
      <w:pPr>
        <w:pStyle w:val="FootnoteText"/>
      </w:pPr>
      <w:r>
        <w:rPr>
          <w:rStyle w:val="FootnoteReference"/>
        </w:rPr>
        <w:footnoteRef/>
      </w:r>
      <w:r>
        <w:t xml:space="preserve"> For information on reiteration see below. For information on relevant 2015 CSR/structural challenges, in relation to which OPs and Funds were actually mobilised, see the Overview Tables compiled by national experts</w:t>
      </w:r>
    </w:p>
  </w:footnote>
  <w:footnote w:id="14">
    <w:p w:rsidR="00F7741C" w:rsidRPr="00C34469" w:rsidRDefault="00F7741C">
      <w:pPr>
        <w:pStyle w:val="FootnoteText"/>
      </w:pPr>
      <w:r>
        <w:rPr>
          <w:rStyle w:val="FootnoteReference"/>
        </w:rPr>
        <w:footnoteRef/>
      </w:r>
      <w:r>
        <w:t xml:space="preserve"> </w:t>
      </w:r>
      <w:r w:rsidRPr="00C34469">
        <w:t>See Table 1, p. 16.</w:t>
      </w:r>
    </w:p>
  </w:footnote>
  <w:footnote w:id="15">
    <w:p w:rsidR="00F7741C" w:rsidRPr="001D721B" w:rsidRDefault="00F7741C">
      <w:pPr>
        <w:pStyle w:val="FootnoteText"/>
      </w:pPr>
      <w:r w:rsidRPr="00C34469">
        <w:rPr>
          <w:rStyle w:val="FootnoteReference"/>
        </w:rPr>
        <w:footnoteRef/>
      </w:r>
      <w:r w:rsidRPr="00C34469">
        <w:t xml:space="preserve"> For the Country Position Papers, see Annex 3. For the Partnership Agreements, see Annex 4.</w:t>
      </w:r>
    </w:p>
  </w:footnote>
  <w:footnote w:id="16">
    <w:p w:rsidR="00F7741C" w:rsidRPr="003671B0" w:rsidRDefault="00F7741C">
      <w:pPr>
        <w:pStyle w:val="FootnoteText"/>
      </w:pPr>
      <w:r>
        <w:rPr>
          <w:rStyle w:val="FootnoteReference"/>
        </w:rPr>
        <w:footnoteRef/>
      </w:r>
      <w:r>
        <w:t xml:space="preserve"> </w:t>
      </w:r>
      <w:r w:rsidRPr="003671B0">
        <w:t>Although</w:t>
      </w:r>
      <w:r>
        <w:t xml:space="preserve"> Portugal was a “programme country” and</w:t>
      </w:r>
      <w:r w:rsidRPr="003671B0">
        <w:t xml:space="preserve"> there were no CSRs back in 2013, the Council Implementing Decision 2011/344/EU art.3</w:t>
      </w:r>
      <w:r>
        <w:t>, in line with the MoU,</w:t>
      </w:r>
      <w:r w:rsidRPr="003671B0">
        <w:t xml:space="preserve"> includes a number of required measures to be adopted, distributed per year (2011, 2012, 2013). </w:t>
      </w:r>
      <w:r>
        <w:t>T</w:t>
      </w:r>
      <w:r w:rsidRPr="003671B0">
        <w:t xml:space="preserve">he 2012 and 2013 required measures </w:t>
      </w:r>
      <w:r>
        <w:t xml:space="preserve">were </w:t>
      </w:r>
      <w:r w:rsidRPr="003671B0">
        <w:t xml:space="preserve">mapped </w:t>
      </w:r>
      <w:r>
        <w:t xml:space="preserve">and considered in the analysis. </w:t>
      </w:r>
    </w:p>
  </w:footnote>
  <w:footnote w:id="17">
    <w:p w:rsidR="00F7741C" w:rsidRPr="003671B0" w:rsidRDefault="00F7741C">
      <w:pPr>
        <w:pStyle w:val="FootnoteText"/>
      </w:pPr>
      <w:r>
        <w:rPr>
          <w:rStyle w:val="FootnoteReference"/>
        </w:rPr>
        <w:footnoteRef/>
      </w:r>
      <w:r>
        <w:t xml:space="preserve"> The list of people interviewed is included in the Annex: Country Fiches. </w:t>
      </w:r>
    </w:p>
  </w:footnote>
  <w:footnote w:id="18">
    <w:p w:rsidR="00F7741C" w:rsidRPr="00CA1A32" w:rsidRDefault="00F7741C" w:rsidP="003D0E01">
      <w:pPr>
        <w:pStyle w:val="FootnoteText"/>
      </w:pPr>
      <w:r w:rsidRPr="00C32951">
        <w:rPr>
          <w:rStyle w:val="FootnoteReference"/>
        </w:rPr>
        <w:footnoteRef/>
      </w:r>
      <w:r w:rsidRPr="00C32951">
        <w:rPr>
          <w:rStyle w:val="FootnoteReference"/>
        </w:rPr>
        <w:t xml:space="preserve"> </w:t>
      </w:r>
      <w:r w:rsidRPr="00CA1A32">
        <w:t>This cannot be considered a general rule as it depends on the level of decentralisation. Therefore regional OPs are more relevant in the context of the present study for “regionalised” Member States, namely those characterised by a high degree of decentralisation of power</w:t>
      </w:r>
      <w:r>
        <w:t xml:space="preserve"> (e.g. Italy and Spain)</w:t>
      </w:r>
      <w:r w:rsidRPr="00CA1A32">
        <w:t xml:space="preserve">.   </w:t>
      </w:r>
    </w:p>
  </w:footnote>
  <w:footnote w:id="19">
    <w:p w:rsidR="00F7741C" w:rsidRPr="00200B99" w:rsidRDefault="00F7741C" w:rsidP="003D0E01">
      <w:pPr>
        <w:pStyle w:val="FootnoteText"/>
      </w:pPr>
      <w:r>
        <w:rPr>
          <w:rStyle w:val="FootnoteReference"/>
        </w:rPr>
        <w:footnoteRef/>
      </w:r>
      <w:r>
        <w:t xml:space="preserve"> According to the CPR (art.5), during preparation and progress monitoring, the following partners are to be involved and consulted: (a) competent regional, local, urban and other public authorities; (b) economic and social partners; and (c) bodies representing civil society, including environmental partners, non-governmental organisations, and bodies responsible for promoting equality and non-discrimination.</w:t>
      </w:r>
    </w:p>
  </w:footnote>
  <w:footnote w:id="20">
    <w:p w:rsidR="00F7741C" w:rsidRPr="00647D87" w:rsidRDefault="00F7741C" w:rsidP="003D0E01">
      <w:pPr>
        <w:pStyle w:val="FootnoteText"/>
      </w:pPr>
      <w:r>
        <w:rPr>
          <w:rStyle w:val="FootnoteReference"/>
        </w:rPr>
        <w:footnoteRef/>
      </w:r>
      <w:r>
        <w:t xml:space="preserve"> As defined in Art. 2 of the CPR, ‘</w:t>
      </w:r>
      <w:r w:rsidRPr="00647D87">
        <w:t>specific objective</w:t>
      </w:r>
      <w:r>
        <w:t xml:space="preserve">’ </w:t>
      </w:r>
      <w:r w:rsidRPr="00647D87">
        <w:t>means the result to which an investment priority or Union priority contributes in a specific national or regional context through actions or measures un</w:t>
      </w:r>
      <w:r>
        <w:t>dertaken within such a priority. Art. 27 states that ‘</w:t>
      </w:r>
      <w:r w:rsidRPr="00647D87">
        <w:t>Each programme shall define priorities setting out specific objectives, financial appropriations of support from the ESI Funds and corresponding national co-financing, including amounts related to the performance reserve, which may be public or private in accordance with the Fund-specific rules</w:t>
      </w:r>
      <w:r>
        <w:t>’</w:t>
      </w:r>
      <w:r w:rsidRPr="00647D87">
        <w:t>.</w:t>
      </w:r>
      <w:r>
        <w:t xml:space="preserve"> </w:t>
      </w:r>
    </w:p>
  </w:footnote>
  <w:footnote w:id="21">
    <w:p w:rsidR="00F7741C" w:rsidRPr="001F64DC" w:rsidRDefault="00F7741C">
      <w:pPr>
        <w:pStyle w:val="FootnoteText"/>
      </w:pPr>
      <w:r>
        <w:rPr>
          <w:rStyle w:val="FootnoteReference"/>
        </w:rPr>
        <w:footnoteRef/>
      </w:r>
      <w:r>
        <w:t xml:space="preserve"> See for instance: </w:t>
      </w:r>
      <w:r w:rsidRPr="001F64DC">
        <w:t>http://ec.europa.eu/regional_policy/en/policy/evaluations/ec/2007-2013/#1</w:t>
      </w:r>
      <w:r>
        <w:t xml:space="preserve"> </w:t>
      </w:r>
    </w:p>
  </w:footnote>
  <w:footnote w:id="22">
    <w:p w:rsidR="00F7741C" w:rsidRDefault="00F7741C">
      <w:pPr>
        <w:pStyle w:val="FootnoteText"/>
      </w:pPr>
      <w:r>
        <w:rPr>
          <w:rStyle w:val="FootnoteReference"/>
        </w:rPr>
        <w:footnoteRef/>
      </w:r>
      <w:r>
        <w:t xml:space="preserve"> </w:t>
      </w:r>
      <w:r w:rsidRPr="00766B4F">
        <w:t>These are selected examples of indicators. A more comprehensive view of SO is provided in the Excel summary tables.</w:t>
      </w:r>
    </w:p>
  </w:footnote>
  <w:footnote w:id="23">
    <w:p w:rsidR="00F7741C" w:rsidRPr="009C72C9" w:rsidRDefault="00F7741C" w:rsidP="0035443E">
      <w:pPr>
        <w:pStyle w:val="FootnoteText"/>
        <w:rPr>
          <w:lang w:val="en-US"/>
        </w:rPr>
      </w:pPr>
      <w:r>
        <w:rPr>
          <w:rStyle w:val="FootnoteReference"/>
        </w:rPr>
        <w:footnoteRef/>
      </w:r>
      <w:r w:rsidRPr="00515DDB">
        <w:rPr>
          <w:lang w:val="en-US"/>
        </w:rPr>
        <w:t xml:space="preserve"> VISTO is a portal develope</w:t>
      </w:r>
      <w:r>
        <w:rPr>
          <w:lang w:val="en-US"/>
        </w:rPr>
        <w:t xml:space="preserve">d by the Italian Development and Economic Cohesion Department. It provides estimates on the implementation duration of operations concerning sectors such as Transport, Environment, Water management, etc. Please make reference to </w:t>
      </w:r>
      <w:r w:rsidRPr="00AD6855">
        <w:rPr>
          <w:lang w:val="en-US"/>
        </w:rPr>
        <w:t>http://dpsweb.dps.gov.it/VISTO/</w:t>
      </w:r>
      <w:r>
        <w:rPr>
          <w:lang w:val="en-US"/>
        </w:rPr>
        <w:t xml:space="preserve">. </w:t>
      </w:r>
    </w:p>
  </w:footnote>
  <w:footnote w:id="24">
    <w:p w:rsidR="00F7741C" w:rsidRPr="00BB42CA" w:rsidRDefault="00F7741C" w:rsidP="005C3C4E">
      <w:pPr>
        <w:pStyle w:val="FootnoteText"/>
      </w:pPr>
      <w:r>
        <w:rPr>
          <w:rStyle w:val="FootnoteReference"/>
        </w:rPr>
        <w:footnoteRef/>
      </w:r>
      <w:r>
        <w:t xml:space="preserve"> The p</w:t>
      </w:r>
      <w:r w:rsidRPr="00BB42CA">
        <w:t>olicy areas, 10 (wage setting) and 14 (Deprived urban and rural communities)</w:t>
      </w:r>
      <w:r>
        <w:t xml:space="preserve"> are not considered as there is no</w:t>
      </w:r>
      <w:r w:rsidRPr="00BB42CA">
        <w:t xml:space="preserve"> intervention field</w:t>
      </w:r>
      <w:r>
        <w:t xml:space="preserve"> which can be directly </w:t>
      </w:r>
      <w:r w:rsidRPr="00BB42CA">
        <w:t>linked</w:t>
      </w:r>
      <w:r>
        <w:t xml:space="preserve"> to them. The policy areas 22-27 are also not covered as they are not ESIF relevant.</w:t>
      </w:r>
    </w:p>
  </w:footnote>
  <w:footnote w:id="25">
    <w:p w:rsidR="00F7741C" w:rsidRPr="00DA5EAA" w:rsidRDefault="00F7741C" w:rsidP="00F52A46">
      <w:pPr>
        <w:pStyle w:val="FootnoteText"/>
      </w:pPr>
      <w:r>
        <w:rPr>
          <w:rStyle w:val="FootnoteReference"/>
        </w:rPr>
        <w:footnoteRef/>
      </w:r>
      <w:r>
        <w:t xml:space="preserve"> P</w:t>
      </w:r>
      <w:r w:rsidRPr="00DA5EAA">
        <w:t xml:space="preserve">roportion of the country's </w:t>
      </w:r>
      <w:r>
        <w:t>allocations in a certain policy area</w:t>
      </w:r>
      <w:r w:rsidRPr="00DA5EAA">
        <w:t xml:space="preserve"> divided by the proportion of </w:t>
      </w:r>
      <w:r>
        <w:t>EU allocations in the same policy area.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A15" w:rsidRDefault="00631A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95" w:type="dxa"/>
      <w:tblBorders>
        <w:bottom w:val="single" w:sz="4" w:space="0" w:color="7F7F7F"/>
      </w:tblBorders>
      <w:tblLayout w:type="fixed"/>
      <w:tblCellMar>
        <w:left w:w="0" w:type="dxa"/>
        <w:right w:w="0" w:type="dxa"/>
      </w:tblCellMar>
      <w:tblLook w:val="0000" w:firstRow="0" w:lastRow="0" w:firstColumn="0" w:lastColumn="0" w:noHBand="0" w:noVBand="0"/>
    </w:tblPr>
    <w:tblGrid>
      <w:gridCol w:w="1117"/>
      <w:gridCol w:w="6532"/>
      <w:gridCol w:w="1146"/>
    </w:tblGrid>
    <w:tr w:rsidR="00F7741C" w:rsidTr="00CE2335">
      <w:trPr>
        <w:trHeight w:val="1597"/>
      </w:trPr>
      <w:tc>
        <w:tcPr>
          <w:tcW w:w="1117" w:type="dxa"/>
        </w:tcPr>
        <w:p w:rsidR="00F7741C" w:rsidRDefault="00F7741C" w:rsidP="00CE2335">
          <w:pPr>
            <w:pStyle w:val="ZCom"/>
          </w:pPr>
          <w:r>
            <w:rPr>
              <w:b/>
              <w:sz w:val="36"/>
              <w:szCs w:val="36"/>
            </w:rPr>
            <w:br w:type="page"/>
          </w:r>
          <w:r>
            <w:rPr>
              <w:b/>
              <w:sz w:val="36"/>
              <w:szCs w:val="36"/>
            </w:rPr>
            <w:br w:type="page"/>
          </w:r>
          <w:r w:rsidRPr="00B9193E">
            <w:rPr>
              <w:rFonts w:ascii="Verdana" w:hAnsi="Verdana"/>
              <w:b/>
              <w:color w:val="333333"/>
              <w:sz w:val="36"/>
              <w:szCs w:val="36"/>
            </w:rPr>
            <w:br w:type="page"/>
          </w:r>
        </w:p>
      </w:tc>
      <w:tc>
        <w:tcPr>
          <w:tcW w:w="6532" w:type="dxa"/>
          <w:vAlign w:val="center"/>
        </w:tcPr>
        <w:p w:rsidR="00F7741C" w:rsidRDefault="00F7741C" w:rsidP="00CE2335">
          <w:pPr>
            <w:pStyle w:val="ZDGName"/>
            <w:jc w:val="center"/>
            <w:rPr>
              <w:rFonts w:ascii="Verdana" w:hAnsi="Verdana"/>
              <w:caps/>
              <w:sz w:val="18"/>
              <w:szCs w:val="18"/>
            </w:rPr>
          </w:pPr>
        </w:p>
        <w:p w:rsidR="00F7741C" w:rsidRPr="00DC39C7" w:rsidRDefault="00F7741C" w:rsidP="00CE2335">
          <w:pPr>
            <w:jc w:val="center"/>
            <w:rPr>
              <w:b/>
              <w:sz w:val="18"/>
              <w:szCs w:val="18"/>
              <w:u w:val="single"/>
            </w:rPr>
          </w:pPr>
          <w:r>
            <w:rPr>
              <w:b/>
              <w:color w:val="808080"/>
              <w:sz w:val="18"/>
              <w:szCs w:val="18"/>
            </w:rPr>
            <w:t xml:space="preserve">Title of the </w:t>
          </w:r>
          <w:r w:rsidRPr="002A726D">
            <w:rPr>
              <w:rStyle w:val="HeaderTitleChar"/>
              <w:rFonts w:eastAsiaTheme="minorHAnsi"/>
            </w:rPr>
            <w:t>document</w:t>
          </w:r>
        </w:p>
      </w:tc>
      <w:tc>
        <w:tcPr>
          <w:tcW w:w="1146" w:type="dxa"/>
        </w:tcPr>
        <w:p w:rsidR="00F7741C" w:rsidRDefault="00F7741C" w:rsidP="00CE2335">
          <w:pPr>
            <w:pStyle w:val="ZCom"/>
          </w:pPr>
        </w:p>
        <w:p w:rsidR="00F7741C" w:rsidRDefault="00F7741C" w:rsidP="00CE2335">
          <w:pPr>
            <w:pStyle w:val="ZDGName"/>
          </w:pPr>
        </w:p>
        <w:p w:rsidR="00F7741C" w:rsidRDefault="00F7741C" w:rsidP="00CE2335">
          <w:pPr>
            <w:pStyle w:val="ZDGName"/>
          </w:pPr>
        </w:p>
        <w:p w:rsidR="00F7741C" w:rsidRPr="007D46C5" w:rsidRDefault="00F7741C" w:rsidP="00CE2335">
          <w:pPr>
            <w:pStyle w:val="ZDGName"/>
          </w:pPr>
        </w:p>
      </w:tc>
    </w:tr>
  </w:tbl>
  <w:p w:rsidR="00F7741C" w:rsidRDefault="00F7741C" w:rsidP="00CE2335">
    <w:pPr>
      <w:pStyle w:val="Header"/>
      <w:ind w:right="-74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41C" w:rsidRDefault="00F7741C" w:rsidP="00CE2335">
    <w:pPr>
      <w:pStyle w:val="Header"/>
      <w:tabs>
        <w:tab w:val="left" w:pos="7513"/>
      </w:tabs>
      <w:jc w:val="center"/>
    </w:pPr>
    <w:r>
      <w:rPr>
        <w:noProof/>
        <w:lang w:eastAsia="en-GB"/>
      </w:rPr>
      <w:drawing>
        <wp:anchor distT="0" distB="0" distL="114300" distR="114300" simplePos="0" relativeHeight="251662336" behindDoc="1" locked="0" layoutInCell="1" allowOverlap="1" wp14:anchorId="68F32EBD" wp14:editId="545507BD">
          <wp:simplePos x="0" y="0"/>
          <wp:positionH relativeFrom="margin">
            <wp:posOffset>-923290</wp:posOffset>
          </wp:positionH>
          <wp:positionV relativeFrom="margin">
            <wp:posOffset>288290</wp:posOffset>
          </wp:positionV>
          <wp:extent cx="7345045" cy="7423785"/>
          <wp:effectExtent l="0" t="0" r="0" b="0"/>
          <wp:wrapNone/>
          <wp:docPr id="7" name="Picture 7" descr="Description: Description: Description: C:\Documents and Settings\lenain\Local Settings\Temporary Internet Files\Content.Word\griff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Documents and Settings\lenain\Local Settings\Temporary Internet Files\Content.Word\griffe_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5045" cy="7423785"/>
                  </a:xfrm>
                  <a:prstGeom prst="rect">
                    <a:avLst/>
                  </a:prstGeom>
                  <a:noFill/>
                  <a:ln>
                    <a:noFill/>
                  </a:ln>
                </pic:spPr>
              </pic:pic>
            </a:graphicData>
          </a:graphic>
        </wp:anchor>
      </w:drawing>
    </w:r>
    <w:r>
      <w:rPr>
        <w:noProof/>
        <w:lang w:eastAsia="en-GB"/>
      </w:rPr>
      <w:drawing>
        <wp:inline distT="0" distB="0" distL="0" distR="0" wp14:anchorId="5D16B9E5" wp14:editId="4BE67708">
          <wp:extent cx="2266950" cy="1743075"/>
          <wp:effectExtent l="0" t="0" r="0" b="0"/>
          <wp:docPr id="5" name="Picture 5" descr="LOGO-CE for Word EN 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E for Word EN Posit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6950" cy="174307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41C" w:rsidRPr="00623ED0" w:rsidRDefault="00F7741C" w:rsidP="00CE2335">
    <w:pPr>
      <w:pStyle w:val="Header"/>
      <w:tabs>
        <w:tab w:val="left" w:pos="7513"/>
      </w:tabs>
      <w:ind w:left="4153" w:hanging="4153"/>
      <w:jc w:val="center"/>
      <w:rPr>
        <w:lang w:val="fr-B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41C" w:rsidRPr="00E15F27" w:rsidRDefault="00F7741C" w:rsidP="00CE2335">
    <w:pPr>
      <w:pStyle w:val="Header"/>
      <w:jc w:val="center"/>
      <w:rPr>
        <w:color w:val="808080" w:themeColor="background1" w:themeShade="80"/>
        <w:lang w:val="fr-B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FFFFFF83"/>
    <w:multiLevelType w:val="singleLevel"/>
    <w:tmpl w:val="40F6821A"/>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1EBF311C"/>
    <w:multiLevelType w:val="hybridMultilevel"/>
    <w:tmpl w:val="A894A7F0"/>
    <w:lvl w:ilvl="0" w:tplc="389E59A4">
      <w:start w:val="1"/>
      <w:numFmt w:val="bullet"/>
      <w:lvlText w:val=""/>
      <w:lvlJc w:val="left"/>
      <w:pPr>
        <w:ind w:left="720" w:hanging="360"/>
      </w:pPr>
      <w:rPr>
        <w:rFonts w:ascii="Symbol" w:hAnsi="Symbol"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18359F8"/>
    <w:multiLevelType w:val="hybridMultilevel"/>
    <w:tmpl w:val="2C425F80"/>
    <w:lvl w:ilvl="0" w:tplc="11C8A93C">
      <w:start w:val="1"/>
      <w:numFmt w:val="bullet"/>
      <w:pStyle w:val="Aufzhlung"/>
      <w:lvlText w:val="›"/>
      <w:lvlJc w:val="left"/>
      <w:pPr>
        <w:ind w:left="360" w:hanging="360"/>
      </w:pPr>
      <w:rPr>
        <w:rFonts w:ascii="Arial" w:hAnsi="Arial" w:hint="default"/>
        <w:b w:val="0"/>
        <w:i w:val="0"/>
        <w:color w:val="auto"/>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4">
    <w:nsid w:val="230D5912"/>
    <w:multiLevelType w:val="hybridMultilevel"/>
    <w:tmpl w:val="9DF2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BAE63C0"/>
    <w:multiLevelType w:val="multilevel"/>
    <w:tmpl w:val="DA9ADD9C"/>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2D315A89"/>
    <w:multiLevelType w:val="multilevel"/>
    <w:tmpl w:val="9E8A883C"/>
    <w:lvl w:ilvl="0">
      <w:start w:val="1"/>
      <w:numFmt w:val="decimal"/>
      <w:lvlText w:val="%1)"/>
      <w:lvlJc w:val="left"/>
      <w:pPr>
        <w:tabs>
          <w:tab w:val="num" w:pos="340"/>
        </w:tabs>
        <w:ind w:left="340" w:hanging="340"/>
      </w:pPr>
      <w:rPr>
        <w:rFonts w:hint="default"/>
        <w:color w:val="0067AC"/>
        <w:sz w:val="18"/>
      </w:rPr>
    </w:lvl>
    <w:lvl w:ilvl="1">
      <w:start w:val="1"/>
      <w:numFmt w:val="bullet"/>
      <w:pStyle w:val="BTBullet2"/>
      <w:lvlText w:val="–"/>
      <w:lvlJc w:val="left"/>
      <w:pPr>
        <w:tabs>
          <w:tab w:val="num" w:pos="680"/>
        </w:tabs>
        <w:ind w:left="680" w:hanging="340"/>
      </w:pPr>
      <w:rPr>
        <w:rFonts w:ascii="Arial" w:hAnsi="Arial" w:hint="default"/>
        <w:color w:val="0067AC"/>
      </w:rPr>
    </w:lvl>
    <w:lvl w:ilvl="2">
      <w:start w:val="1"/>
      <w:numFmt w:val="bullet"/>
      <w:pStyle w:val="BTBullet3"/>
      <w:lvlText w:val="○"/>
      <w:lvlJc w:val="left"/>
      <w:pPr>
        <w:tabs>
          <w:tab w:val="num" w:pos="680"/>
        </w:tabs>
        <w:ind w:left="1020" w:hanging="340"/>
      </w:pPr>
      <w:rPr>
        <w:rFonts w:ascii="Arial" w:hAnsi="Arial" w:hint="default"/>
        <w:color w:val="0067AC"/>
      </w:rPr>
    </w:lvl>
    <w:lvl w:ilvl="3">
      <w:start w:val="1"/>
      <w:numFmt w:val="none"/>
      <w:suff w:val="nothing"/>
      <w:lvlText w:val=""/>
      <w:lvlJc w:val="left"/>
      <w:pPr>
        <w:ind w:left="1020" w:firstLine="0"/>
      </w:pPr>
      <w:rPr>
        <w:rFonts w:hint="default"/>
      </w:rPr>
    </w:lvl>
    <w:lvl w:ilvl="4">
      <w:start w:val="1"/>
      <w:numFmt w:val="none"/>
      <w:suff w:val="nothing"/>
      <w:lvlText w:val=""/>
      <w:lvlJc w:val="left"/>
      <w:pPr>
        <w:ind w:left="1020" w:firstLine="0"/>
      </w:pPr>
      <w:rPr>
        <w:rFonts w:hint="default"/>
      </w:rPr>
    </w:lvl>
    <w:lvl w:ilvl="5">
      <w:start w:val="1"/>
      <w:numFmt w:val="none"/>
      <w:suff w:val="nothing"/>
      <w:lvlText w:val=""/>
      <w:lvlJc w:val="left"/>
      <w:pPr>
        <w:ind w:left="1020" w:firstLine="0"/>
      </w:pPr>
      <w:rPr>
        <w:rFonts w:hint="default"/>
      </w:rPr>
    </w:lvl>
    <w:lvl w:ilvl="6">
      <w:start w:val="1"/>
      <w:numFmt w:val="none"/>
      <w:suff w:val="nothing"/>
      <w:lvlText w:val=""/>
      <w:lvlJc w:val="left"/>
      <w:pPr>
        <w:ind w:left="1020" w:firstLine="0"/>
      </w:pPr>
      <w:rPr>
        <w:rFonts w:hint="default"/>
      </w:rPr>
    </w:lvl>
    <w:lvl w:ilvl="7">
      <w:start w:val="1"/>
      <w:numFmt w:val="none"/>
      <w:suff w:val="nothing"/>
      <w:lvlText w:val=""/>
      <w:lvlJc w:val="left"/>
      <w:pPr>
        <w:ind w:left="1020" w:firstLine="0"/>
      </w:pPr>
      <w:rPr>
        <w:rFonts w:hint="default"/>
      </w:rPr>
    </w:lvl>
    <w:lvl w:ilvl="8">
      <w:start w:val="1"/>
      <w:numFmt w:val="none"/>
      <w:suff w:val="nothing"/>
      <w:lvlText w:val=""/>
      <w:lvlJc w:val="left"/>
      <w:pPr>
        <w:ind w:left="1020" w:firstLine="0"/>
      </w:pPr>
      <w:rPr>
        <w:rFonts w:hint="default"/>
      </w:rPr>
    </w:lvl>
  </w:abstractNum>
  <w:abstractNum w:abstractNumId="7">
    <w:nsid w:val="338B1893"/>
    <w:multiLevelType w:val="hybridMultilevel"/>
    <w:tmpl w:val="05A02004"/>
    <w:lvl w:ilvl="0" w:tplc="ADA8847E">
      <w:start w:val="1"/>
      <w:numFmt w:val="bullet"/>
      <w:pStyle w:val="ListParagraph"/>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6EA45DBA"/>
    <w:multiLevelType w:val="multilevel"/>
    <w:tmpl w:val="D6E0D7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73F6021A"/>
    <w:multiLevelType w:val="hybridMultilevel"/>
    <w:tmpl w:val="19D6832C"/>
    <w:lvl w:ilvl="0" w:tplc="DE0ABC0A">
      <w:start w:val="1"/>
      <w:numFmt w:val="bullet"/>
      <w:pStyle w:val="Bulletpoint1"/>
      <w:lvlText w:val=""/>
      <w:lvlJc w:val="left"/>
      <w:pPr>
        <w:ind w:left="720" w:hanging="360"/>
      </w:pPr>
      <w:rPr>
        <w:rFonts w:ascii="Symbol" w:hAnsi="Symbol" w:hint="default"/>
        <w:color w:val="002395"/>
      </w:rPr>
    </w:lvl>
    <w:lvl w:ilvl="1" w:tplc="E5CA32CC">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8193287"/>
    <w:multiLevelType w:val="hybridMultilevel"/>
    <w:tmpl w:val="C8F4D3F0"/>
    <w:lvl w:ilvl="0" w:tplc="340C2A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8385CBB"/>
    <w:multiLevelType w:val="hybridMultilevel"/>
    <w:tmpl w:val="F84280BA"/>
    <w:lvl w:ilvl="0" w:tplc="FA9AA220">
      <w:start w:val="1"/>
      <w:numFmt w:val="bullet"/>
      <w:pStyle w:val="bullettable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FE37582"/>
    <w:multiLevelType w:val="hybridMultilevel"/>
    <w:tmpl w:val="B44A17C4"/>
    <w:lvl w:ilvl="0" w:tplc="98F43D72">
      <w:start w:val="1"/>
      <w:numFmt w:val="decimal"/>
      <w:pStyle w:val="TitolotabelleAppendix"/>
      <w:lvlText w:val="Tab. 7.%1."/>
      <w:lvlJc w:val="left"/>
      <w:pPr>
        <w:ind w:left="700" w:hanging="360"/>
      </w:pPr>
      <w:rPr>
        <w:rFonts w:cs="Times New Roman" w:hint="default"/>
      </w:rPr>
    </w:lvl>
    <w:lvl w:ilvl="1" w:tplc="04100019" w:tentative="1">
      <w:start w:val="1"/>
      <w:numFmt w:val="lowerLetter"/>
      <w:lvlText w:val="%2."/>
      <w:lvlJc w:val="left"/>
      <w:pPr>
        <w:ind w:left="3240" w:hanging="360"/>
      </w:pPr>
    </w:lvl>
    <w:lvl w:ilvl="2" w:tplc="0410001B" w:tentative="1">
      <w:start w:val="1"/>
      <w:numFmt w:val="lowerRoman"/>
      <w:lvlText w:val="%3."/>
      <w:lvlJc w:val="right"/>
      <w:pPr>
        <w:ind w:left="3960" w:hanging="180"/>
      </w:pPr>
    </w:lvl>
    <w:lvl w:ilvl="3" w:tplc="0410000F" w:tentative="1">
      <w:start w:val="1"/>
      <w:numFmt w:val="decimal"/>
      <w:lvlText w:val="%4."/>
      <w:lvlJc w:val="left"/>
      <w:pPr>
        <w:ind w:left="4680" w:hanging="360"/>
      </w:pPr>
    </w:lvl>
    <w:lvl w:ilvl="4" w:tplc="04100019" w:tentative="1">
      <w:start w:val="1"/>
      <w:numFmt w:val="lowerLetter"/>
      <w:lvlText w:val="%5."/>
      <w:lvlJc w:val="left"/>
      <w:pPr>
        <w:ind w:left="5400" w:hanging="360"/>
      </w:pPr>
    </w:lvl>
    <w:lvl w:ilvl="5" w:tplc="0410001B" w:tentative="1">
      <w:start w:val="1"/>
      <w:numFmt w:val="lowerRoman"/>
      <w:lvlText w:val="%6."/>
      <w:lvlJc w:val="right"/>
      <w:pPr>
        <w:ind w:left="6120" w:hanging="180"/>
      </w:pPr>
    </w:lvl>
    <w:lvl w:ilvl="6" w:tplc="0410000F" w:tentative="1">
      <w:start w:val="1"/>
      <w:numFmt w:val="decimal"/>
      <w:lvlText w:val="%7."/>
      <w:lvlJc w:val="left"/>
      <w:pPr>
        <w:ind w:left="6840" w:hanging="360"/>
      </w:pPr>
    </w:lvl>
    <w:lvl w:ilvl="7" w:tplc="04100019" w:tentative="1">
      <w:start w:val="1"/>
      <w:numFmt w:val="lowerLetter"/>
      <w:lvlText w:val="%8."/>
      <w:lvlJc w:val="left"/>
      <w:pPr>
        <w:ind w:left="7560" w:hanging="360"/>
      </w:pPr>
    </w:lvl>
    <w:lvl w:ilvl="8" w:tplc="0410001B" w:tentative="1">
      <w:start w:val="1"/>
      <w:numFmt w:val="lowerRoman"/>
      <w:lvlText w:val="%9."/>
      <w:lvlJc w:val="right"/>
      <w:pPr>
        <w:ind w:left="8280" w:hanging="180"/>
      </w:pPr>
    </w:lvl>
  </w:abstractNum>
  <w:num w:numId="1">
    <w:abstractNumId w:val="5"/>
  </w:num>
  <w:num w:numId="2">
    <w:abstractNumId w:val="3"/>
  </w:num>
  <w:num w:numId="3">
    <w:abstractNumId w:val="1"/>
  </w:num>
  <w:num w:numId="4">
    <w:abstractNumId w:val="12"/>
  </w:num>
  <w:num w:numId="5">
    <w:abstractNumId w:val="7"/>
  </w:num>
  <w:num w:numId="6">
    <w:abstractNumId w:val="0"/>
  </w:num>
  <w:num w:numId="7">
    <w:abstractNumId w:val="9"/>
  </w:num>
  <w:num w:numId="8">
    <w:abstractNumId w:val="10"/>
  </w:num>
  <w:num w:numId="9">
    <w:abstractNumId w:val="11"/>
  </w:num>
  <w:num w:numId="10">
    <w:abstractNumId w:val="6"/>
  </w:num>
  <w:num w:numId="11">
    <w:abstractNumId w:val="4"/>
  </w:num>
  <w:num w:numId="12">
    <w:abstractNumId w:val="2"/>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num>
  <w:num w:numId="17">
    <w:abstractNumId w:val="11"/>
  </w:num>
  <w:num w:numId="1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E6654F"/>
    <w:rsid w:val="00000239"/>
    <w:rsid w:val="00003319"/>
    <w:rsid w:val="00003EAF"/>
    <w:rsid w:val="000042C7"/>
    <w:rsid w:val="000058C4"/>
    <w:rsid w:val="0000691D"/>
    <w:rsid w:val="00007544"/>
    <w:rsid w:val="00007E5D"/>
    <w:rsid w:val="000117EE"/>
    <w:rsid w:val="00012290"/>
    <w:rsid w:val="00013278"/>
    <w:rsid w:val="000136B4"/>
    <w:rsid w:val="00014A48"/>
    <w:rsid w:val="00014B98"/>
    <w:rsid w:val="00015031"/>
    <w:rsid w:val="000160D3"/>
    <w:rsid w:val="00017B2E"/>
    <w:rsid w:val="00017E70"/>
    <w:rsid w:val="000202AF"/>
    <w:rsid w:val="00020F11"/>
    <w:rsid w:val="000222EB"/>
    <w:rsid w:val="00025E12"/>
    <w:rsid w:val="00026275"/>
    <w:rsid w:val="00027470"/>
    <w:rsid w:val="0002761A"/>
    <w:rsid w:val="00027C03"/>
    <w:rsid w:val="00027F4A"/>
    <w:rsid w:val="00032995"/>
    <w:rsid w:val="00033317"/>
    <w:rsid w:val="00033476"/>
    <w:rsid w:val="000338F9"/>
    <w:rsid w:val="0003408E"/>
    <w:rsid w:val="000345DA"/>
    <w:rsid w:val="0003469D"/>
    <w:rsid w:val="0003560C"/>
    <w:rsid w:val="000358EC"/>
    <w:rsid w:val="00035EE0"/>
    <w:rsid w:val="00036CCD"/>
    <w:rsid w:val="0004038C"/>
    <w:rsid w:val="00040512"/>
    <w:rsid w:val="000412A5"/>
    <w:rsid w:val="00042042"/>
    <w:rsid w:val="00042A3F"/>
    <w:rsid w:val="0004305D"/>
    <w:rsid w:val="00043156"/>
    <w:rsid w:val="000442EE"/>
    <w:rsid w:val="0004463C"/>
    <w:rsid w:val="00044F86"/>
    <w:rsid w:val="000452C5"/>
    <w:rsid w:val="00046986"/>
    <w:rsid w:val="00046CB5"/>
    <w:rsid w:val="0005003E"/>
    <w:rsid w:val="0005085B"/>
    <w:rsid w:val="00051833"/>
    <w:rsid w:val="00052154"/>
    <w:rsid w:val="000554CE"/>
    <w:rsid w:val="00055A42"/>
    <w:rsid w:val="00055A98"/>
    <w:rsid w:val="00056C4F"/>
    <w:rsid w:val="00057C11"/>
    <w:rsid w:val="000622ED"/>
    <w:rsid w:val="000632CA"/>
    <w:rsid w:val="00064CAC"/>
    <w:rsid w:val="000651B0"/>
    <w:rsid w:val="00066D2B"/>
    <w:rsid w:val="00067197"/>
    <w:rsid w:val="00067915"/>
    <w:rsid w:val="00067D38"/>
    <w:rsid w:val="00070D02"/>
    <w:rsid w:val="000710FC"/>
    <w:rsid w:val="000711AA"/>
    <w:rsid w:val="000721B7"/>
    <w:rsid w:val="00072E24"/>
    <w:rsid w:val="0007302A"/>
    <w:rsid w:val="000737FD"/>
    <w:rsid w:val="000739AF"/>
    <w:rsid w:val="00073CF6"/>
    <w:rsid w:val="00074297"/>
    <w:rsid w:val="000748BD"/>
    <w:rsid w:val="000776B9"/>
    <w:rsid w:val="00080FFA"/>
    <w:rsid w:val="00081E6E"/>
    <w:rsid w:val="000821DA"/>
    <w:rsid w:val="00082263"/>
    <w:rsid w:val="0008262E"/>
    <w:rsid w:val="00082C80"/>
    <w:rsid w:val="00085780"/>
    <w:rsid w:val="00090527"/>
    <w:rsid w:val="00090D2A"/>
    <w:rsid w:val="00091878"/>
    <w:rsid w:val="00092822"/>
    <w:rsid w:val="0009412C"/>
    <w:rsid w:val="00094428"/>
    <w:rsid w:val="00094A73"/>
    <w:rsid w:val="00094B8E"/>
    <w:rsid w:val="0009510E"/>
    <w:rsid w:val="00095ECF"/>
    <w:rsid w:val="00096F59"/>
    <w:rsid w:val="00097A12"/>
    <w:rsid w:val="00097A7E"/>
    <w:rsid w:val="00097D41"/>
    <w:rsid w:val="000A18AC"/>
    <w:rsid w:val="000A265C"/>
    <w:rsid w:val="000A3B20"/>
    <w:rsid w:val="000A3C9E"/>
    <w:rsid w:val="000A4935"/>
    <w:rsid w:val="000A6D88"/>
    <w:rsid w:val="000B09F5"/>
    <w:rsid w:val="000B0B41"/>
    <w:rsid w:val="000B2B6A"/>
    <w:rsid w:val="000B31D1"/>
    <w:rsid w:val="000B32FE"/>
    <w:rsid w:val="000B66E6"/>
    <w:rsid w:val="000B6718"/>
    <w:rsid w:val="000B7DAB"/>
    <w:rsid w:val="000C0AA3"/>
    <w:rsid w:val="000C0DA0"/>
    <w:rsid w:val="000C309A"/>
    <w:rsid w:val="000C33D3"/>
    <w:rsid w:val="000C3821"/>
    <w:rsid w:val="000C3B1B"/>
    <w:rsid w:val="000C3F79"/>
    <w:rsid w:val="000C4510"/>
    <w:rsid w:val="000C51B8"/>
    <w:rsid w:val="000C71D3"/>
    <w:rsid w:val="000C73B9"/>
    <w:rsid w:val="000C7ED6"/>
    <w:rsid w:val="000D03C9"/>
    <w:rsid w:val="000D1091"/>
    <w:rsid w:val="000D344B"/>
    <w:rsid w:val="000D4A36"/>
    <w:rsid w:val="000D4D37"/>
    <w:rsid w:val="000D6045"/>
    <w:rsid w:val="000D7F8F"/>
    <w:rsid w:val="000E23A0"/>
    <w:rsid w:val="000E2967"/>
    <w:rsid w:val="000E29BB"/>
    <w:rsid w:val="000E3437"/>
    <w:rsid w:val="000E3877"/>
    <w:rsid w:val="000E38F4"/>
    <w:rsid w:val="000E48C4"/>
    <w:rsid w:val="000E4AE6"/>
    <w:rsid w:val="000E5AD9"/>
    <w:rsid w:val="000E5CAC"/>
    <w:rsid w:val="000E5FDD"/>
    <w:rsid w:val="000E7C93"/>
    <w:rsid w:val="000F075E"/>
    <w:rsid w:val="000F1EEB"/>
    <w:rsid w:val="000F27B8"/>
    <w:rsid w:val="000F3010"/>
    <w:rsid w:val="000F32C4"/>
    <w:rsid w:val="000F3A15"/>
    <w:rsid w:val="000F3A77"/>
    <w:rsid w:val="000F3BAA"/>
    <w:rsid w:val="000F408E"/>
    <w:rsid w:val="000F6E58"/>
    <w:rsid w:val="000F7B53"/>
    <w:rsid w:val="0010241E"/>
    <w:rsid w:val="00102542"/>
    <w:rsid w:val="001027D8"/>
    <w:rsid w:val="00102ADF"/>
    <w:rsid w:val="00103A72"/>
    <w:rsid w:val="001054E2"/>
    <w:rsid w:val="001074DF"/>
    <w:rsid w:val="0010761E"/>
    <w:rsid w:val="00107CE7"/>
    <w:rsid w:val="00110D9A"/>
    <w:rsid w:val="00111672"/>
    <w:rsid w:val="001116AC"/>
    <w:rsid w:val="00111794"/>
    <w:rsid w:val="0011196A"/>
    <w:rsid w:val="001121C5"/>
    <w:rsid w:val="00112556"/>
    <w:rsid w:val="00112C0C"/>
    <w:rsid w:val="001147B5"/>
    <w:rsid w:val="0011672B"/>
    <w:rsid w:val="001169F7"/>
    <w:rsid w:val="00116D6A"/>
    <w:rsid w:val="00117630"/>
    <w:rsid w:val="00121FCA"/>
    <w:rsid w:val="001225EE"/>
    <w:rsid w:val="00125393"/>
    <w:rsid w:val="00125E7D"/>
    <w:rsid w:val="00131325"/>
    <w:rsid w:val="00133E17"/>
    <w:rsid w:val="00134227"/>
    <w:rsid w:val="0013641C"/>
    <w:rsid w:val="00137031"/>
    <w:rsid w:val="001401F4"/>
    <w:rsid w:val="001405DC"/>
    <w:rsid w:val="00140618"/>
    <w:rsid w:val="00140C40"/>
    <w:rsid w:val="00141E5C"/>
    <w:rsid w:val="00141F7C"/>
    <w:rsid w:val="00142740"/>
    <w:rsid w:val="00143913"/>
    <w:rsid w:val="001443C5"/>
    <w:rsid w:val="00144D5E"/>
    <w:rsid w:val="001452FB"/>
    <w:rsid w:val="001453D3"/>
    <w:rsid w:val="00145465"/>
    <w:rsid w:val="00145B01"/>
    <w:rsid w:val="00145BF6"/>
    <w:rsid w:val="00145ED6"/>
    <w:rsid w:val="00147227"/>
    <w:rsid w:val="001518E8"/>
    <w:rsid w:val="00153BDA"/>
    <w:rsid w:val="00154940"/>
    <w:rsid w:val="0015609F"/>
    <w:rsid w:val="00156AD9"/>
    <w:rsid w:val="00156B7A"/>
    <w:rsid w:val="00157278"/>
    <w:rsid w:val="00157A15"/>
    <w:rsid w:val="00157EEA"/>
    <w:rsid w:val="00157F19"/>
    <w:rsid w:val="0016038A"/>
    <w:rsid w:val="00160941"/>
    <w:rsid w:val="00160947"/>
    <w:rsid w:val="0016150C"/>
    <w:rsid w:val="0016173A"/>
    <w:rsid w:val="00161841"/>
    <w:rsid w:val="0016287F"/>
    <w:rsid w:val="00163911"/>
    <w:rsid w:val="00164191"/>
    <w:rsid w:val="00164D71"/>
    <w:rsid w:val="00165708"/>
    <w:rsid w:val="00166F7A"/>
    <w:rsid w:val="00171016"/>
    <w:rsid w:val="00171A1A"/>
    <w:rsid w:val="00172A0B"/>
    <w:rsid w:val="001732FB"/>
    <w:rsid w:val="00173ADA"/>
    <w:rsid w:val="001765EA"/>
    <w:rsid w:val="00176677"/>
    <w:rsid w:val="00183DCC"/>
    <w:rsid w:val="00183EE0"/>
    <w:rsid w:val="001845B2"/>
    <w:rsid w:val="001848EF"/>
    <w:rsid w:val="00185969"/>
    <w:rsid w:val="00185EBA"/>
    <w:rsid w:val="001861F4"/>
    <w:rsid w:val="00187132"/>
    <w:rsid w:val="001872A8"/>
    <w:rsid w:val="00187B50"/>
    <w:rsid w:val="001903C0"/>
    <w:rsid w:val="00191339"/>
    <w:rsid w:val="001914DE"/>
    <w:rsid w:val="0019240E"/>
    <w:rsid w:val="00192B28"/>
    <w:rsid w:val="00193647"/>
    <w:rsid w:val="00193A85"/>
    <w:rsid w:val="00193CA7"/>
    <w:rsid w:val="001944C2"/>
    <w:rsid w:val="00195312"/>
    <w:rsid w:val="00195FCE"/>
    <w:rsid w:val="00196A5B"/>
    <w:rsid w:val="001974EF"/>
    <w:rsid w:val="001A1B42"/>
    <w:rsid w:val="001A31EC"/>
    <w:rsid w:val="001A4E3F"/>
    <w:rsid w:val="001A5256"/>
    <w:rsid w:val="001A6EC9"/>
    <w:rsid w:val="001A6F35"/>
    <w:rsid w:val="001A7113"/>
    <w:rsid w:val="001B0B5C"/>
    <w:rsid w:val="001B2361"/>
    <w:rsid w:val="001B2A25"/>
    <w:rsid w:val="001B2CAD"/>
    <w:rsid w:val="001B45DA"/>
    <w:rsid w:val="001B465A"/>
    <w:rsid w:val="001B4EAE"/>
    <w:rsid w:val="001B7976"/>
    <w:rsid w:val="001C1235"/>
    <w:rsid w:val="001C3B35"/>
    <w:rsid w:val="001C44B9"/>
    <w:rsid w:val="001C47E7"/>
    <w:rsid w:val="001C5332"/>
    <w:rsid w:val="001C6AAF"/>
    <w:rsid w:val="001C70C1"/>
    <w:rsid w:val="001D0B3C"/>
    <w:rsid w:val="001D14ED"/>
    <w:rsid w:val="001D17E6"/>
    <w:rsid w:val="001D180D"/>
    <w:rsid w:val="001D18E9"/>
    <w:rsid w:val="001D20CA"/>
    <w:rsid w:val="001D3F83"/>
    <w:rsid w:val="001D46D1"/>
    <w:rsid w:val="001D5715"/>
    <w:rsid w:val="001D589B"/>
    <w:rsid w:val="001D6587"/>
    <w:rsid w:val="001D721B"/>
    <w:rsid w:val="001E07FA"/>
    <w:rsid w:val="001E2A3A"/>
    <w:rsid w:val="001E6022"/>
    <w:rsid w:val="001E60EE"/>
    <w:rsid w:val="001E61F5"/>
    <w:rsid w:val="001E6A84"/>
    <w:rsid w:val="001E7127"/>
    <w:rsid w:val="001E7330"/>
    <w:rsid w:val="001F0078"/>
    <w:rsid w:val="001F04CD"/>
    <w:rsid w:val="001F071F"/>
    <w:rsid w:val="001F07F2"/>
    <w:rsid w:val="001F0A92"/>
    <w:rsid w:val="001F25CC"/>
    <w:rsid w:val="001F2908"/>
    <w:rsid w:val="001F3AA4"/>
    <w:rsid w:val="001F50E2"/>
    <w:rsid w:val="001F64DC"/>
    <w:rsid w:val="001F6578"/>
    <w:rsid w:val="001F6E66"/>
    <w:rsid w:val="001F7230"/>
    <w:rsid w:val="001F76C0"/>
    <w:rsid w:val="001F7817"/>
    <w:rsid w:val="001F7F46"/>
    <w:rsid w:val="002006DC"/>
    <w:rsid w:val="0020092F"/>
    <w:rsid w:val="00200B99"/>
    <w:rsid w:val="0020179B"/>
    <w:rsid w:val="00201E51"/>
    <w:rsid w:val="00201E84"/>
    <w:rsid w:val="00202C92"/>
    <w:rsid w:val="00202CE0"/>
    <w:rsid w:val="00203757"/>
    <w:rsid w:val="00203D0A"/>
    <w:rsid w:val="00204249"/>
    <w:rsid w:val="002051BA"/>
    <w:rsid w:val="00206A19"/>
    <w:rsid w:val="00207AB0"/>
    <w:rsid w:val="00213249"/>
    <w:rsid w:val="002135FE"/>
    <w:rsid w:val="00213F4E"/>
    <w:rsid w:val="00214482"/>
    <w:rsid w:val="002149D3"/>
    <w:rsid w:val="002151BE"/>
    <w:rsid w:val="00216132"/>
    <w:rsid w:val="00216617"/>
    <w:rsid w:val="00221399"/>
    <w:rsid w:val="00221CD0"/>
    <w:rsid w:val="00222413"/>
    <w:rsid w:val="0022267E"/>
    <w:rsid w:val="00222B03"/>
    <w:rsid w:val="00223C92"/>
    <w:rsid w:val="00223F62"/>
    <w:rsid w:val="0022400A"/>
    <w:rsid w:val="00224027"/>
    <w:rsid w:val="00224C3D"/>
    <w:rsid w:val="00225FEC"/>
    <w:rsid w:val="002276BB"/>
    <w:rsid w:val="00227D28"/>
    <w:rsid w:val="0023076F"/>
    <w:rsid w:val="00231EDA"/>
    <w:rsid w:val="0023638C"/>
    <w:rsid w:val="002409A0"/>
    <w:rsid w:val="00240A94"/>
    <w:rsid w:val="002419E4"/>
    <w:rsid w:val="002421E0"/>
    <w:rsid w:val="0024517D"/>
    <w:rsid w:val="002457E0"/>
    <w:rsid w:val="00245CF0"/>
    <w:rsid w:val="00245E25"/>
    <w:rsid w:val="00245FAE"/>
    <w:rsid w:val="00247945"/>
    <w:rsid w:val="00250E49"/>
    <w:rsid w:val="002511C0"/>
    <w:rsid w:val="00252598"/>
    <w:rsid w:val="002525AA"/>
    <w:rsid w:val="00252654"/>
    <w:rsid w:val="00252EC8"/>
    <w:rsid w:val="0025420D"/>
    <w:rsid w:val="00254AE0"/>
    <w:rsid w:val="00254B12"/>
    <w:rsid w:val="00254EB7"/>
    <w:rsid w:val="0025566E"/>
    <w:rsid w:val="00255736"/>
    <w:rsid w:val="00257645"/>
    <w:rsid w:val="00257884"/>
    <w:rsid w:val="00263477"/>
    <w:rsid w:val="00263DEB"/>
    <w:rsid w:val="00264168"/>
    <w:rsid w:val="00265929"/>
    <w:rsid w:val="00266325"/>
    <w:rsid w:val="00266EA7"/>
    <w:rsid w:val="00270A53"/>
    <w:rsid w:val="002710C9"/>
    <w:rsid w:val="002710D9"/>
    <w:rsid w:val="002715F4"/>
    <w:rsid w:val="0027437C"/>
    <w:rsid w:val="0027456B"/>
    <w:rsid w:val="002758D5"/>
    <w:rsid w:val="00275FA1"/>
    <w:rsid w:val="00277F15"/>
    <w:rsid w:val="00280599"/>
    <w:rsid w:val="00281201"/>
    <w:rsid w:val="002815AD"/>
    <w:rsid w:val="00282072"/>
    <w:rsid w:val="00284E1F"/>
    <w:rsid w:val="00287DEE"/>
    <w:rsid w:val="00291251"/>
    <w:rsid w:val="002923A4"/>
    <w:rsid w:val="002936DF"/>
    <w:rsid w:val="00295BA2"/>
    <w:rsid w:val="00297867"/>
    <w:rsid w:val="002A0475"/>
    <w:rsid w:val="002A4352"/>
    <w:rsid w:val="002A44E2"/>
    <w:rsid w:val="002A4C6C"/>
    <w:rsid w:val="002A5283"/>
    <w:rsid w:val="002A5F5B"/>
    <w:rsid w:val="002A6367"/>
    <w:rsid w:val="002A6DE0"/>
    <w:rsid w:val="002A7AF3"/>
    <w:rsid w:val="002A7B08"/>
    <w:rsid w:val="002A7CE0"/>
    <w:rsid w:val="002A7FF8"/>
    <w:rsid w:val="002B0DB1"/>
    <w:rsid w:val="002B10AF"/>
    <w:rsid w:val="002B29EF"/>
    <w:rsid w:val="002B34D4"/>
    <w:rsid w:val="002B3BB7"/>
    <w:rsid w:val="002B4C2E"/>
    <w:rsid w:val="002B5CE0"/>
    <w:rsid w:val="002B6720"/>
    <w:rsid w:val="002C1A09"/>
    <w:rsid w:val="002C27AA"/>
    <w:rsid w:val="002C2947"/>
    <w:rsid w:val="002C2A59"/>
    <w:rsid w:val="002C4615"/>
    <w:rsid w:val="002C4B19"/>
    <w:rsid w:val="002C65C0"/>
    <w:rsid w:val="002C6D1A"/>
    <w:rsid w:val="002C713F"/>
    <w:rsid w:val="002C73E1"/>
    <w:rsid w:val="002C7F17"/>
    <w:rsid w:val="002D0078"/>
    <w:rsid w:val="002D09B2"/>
    <w:rsid w:val="002D0E86"/>
    <w:rsid w:val="002D22C6"/>
    <w:rsid w:val="002D25D8"/>
    <w:rsid w:val="002D438E"/>
    <w:rsid w:val="002D4416"/>
    <w:rsid w:val="002D57D0"/>
    <w:rsid w:val="002D58AB"/>
    <w:rsid w:val="002D7636"/>
    <w:rsid w:val="002E1973"/>
    <w:rsid w:val="002E5056"/>
    <w:rsid w:val="002E549D"/>
    <w:rsid w:val="002E5E7D"/>
    <w:rsid w:val="002E5F07"/>
    <w:rsid w:val="002E5F52"/>
    <w:rsid w:val="002E681C"/>
    <w:rsid w:val="002E6C93"/>
    <w:rsid w:val="002E6E21"/>
    <w:rsid w:val="002F0678"/>
    <w:rsid w:val="002F0992"/>
    <w:rsid w:val="002F1A6C"/>
    <w:rsid w:val="002F286B"/>
    <w:rsid w:val="002F6006"/>
    <w:rsid w:val="002F6C61"/>
    <w:rsid w:val="002F7A97"/>
    <w:rsid w:val="0030095B"/>
    <w:rsid w:val="0030140C"/>
    <w:rsid w:val="00301615"/>
    <w:rsid w:val="003026BA"/>
    <w:rsid w:val="0030332A"/>
    <w:rsid w:val="00303A98"/>
    <w:rsid w:val="00304C9F"/>
    <w:rsid w:val="003063CC"/>
    <w:rsid w:val="003078D3"/>
    <w:rsid w:val="003103E7"/>
    <w:rsid w:val="00310879"/>
    <w:rsid w:val="003108AF"/>
    <w:rsid w:val="003109FB"/>
    <w:rsid w:val="003118A9"/>
    <w:rsid w:val="00311C91"/>
    <w:rsid w:val="00313E37"/>
    <w:rsid w:val="00315A56"/>
    <w:rsid w:val="00316EE0"/>
    <w:rsid w:val="003206CE"/>
    <w:rsid w:val="0032078A"/>
    <w:rsid w:val="003207D0"/>
    <w:rsid w:val="0032219E"/>
    <w:rsid w:val="0032262D"/>
    <w:rsid w:val="00322C9D"/>
    <w:rsid w:val="00323503"/>
    <w:rsid w:val="00323E92"/>
    <w:rsid w:val="0032426D"/>
    <w:rsid w:val="00325636"/>
    <w:rsid w:val="00325AF7"/>
    <w:rsid w:val="00326460"/>
    <w:rsid w:val="003269AD"/>
    <w:rsid w:val="00326D52"/>
    <w:rsid w:val="0032707E"/>
    <w:rsid w:val="00331313"/>
    <w:rsid w:val="00331E3F"/>
    <w:rsid w:val="00332037"/>
    <w:rsid w:val="003334F4"/>
    <w:rsid w:val="00333806"/>
    <w:rsid w:val="00334A50"/>
    <w:rsid w:val="00335A73"/>
    <w:rsid w:val="00335C4A"/>
    <w:rsid w:val="00335E32"/>
    <w:rsid w:val="003362B2"/>
    <w:rsid w:val="00336C73"/>
    <w:rsid w:val="00337D19"/>
    <w:rsid w:val="00340C33"/>
    <w:rsid w:val="00341525"/>
    <w:rsid w:val="00343F75"/>
    <w:rsid w:val="003450A3"/>
    <w:rsid w:val="003462E3"/>
    <w:rsid w:val="003468E9"/>
    <w:rsid w:val="00346D5E"/>
    <w:rsid w:val="00347637"/>
    <w:rsid w:val="0035039C"/>
    <w:rsid w:val="003504B4"/>
    <w:rsid w:val="00350D2E"/>
    <w:rsid w:val="003511A3"/>
    <w:rsid w:val="00351F59"/>
    <w:rsid w:val="003523F9"/>
    <w:rsid w:val="0035443E"/>
    <w:rsid w:val="003560D9"/>
    <w:rsid w:val="003565B1"/>
    <w:rsid w:val="00357A1A"/>
    <w:rsid w:val="00360EE3"/>
    <w:rsid w:val="00363C04"/>
    <w:rsid w:val="0036423F"/>
    <w:rsid w:val="003646F3"/>
    <w:rsid w:val="00365C5C"/>
    <w:rsid w:val="00365E05"/>
    <w:rsid w:val="003671B0"/>
    <w:rsid w:val="003709D1"/>
    <w:rsid w:val="00371B76"/>
    <w:rsid w:val="00373C4D"/>
    <w:rsid w:val="00375134"/>
    <w:rsid w:val="00375B03"/>
    <w:rsid w:val="00377191"/>
    <w:rsid w:val="00380E6A"/>
    <w:rsid w:val="00381C70"/>
    <w:rsid w:val="0038272E"/>
    <w:rsid w:val="00382AFA"/>
    <w:rsid w:val="00382BC0"/>
    <w:rsid w:val="003832F2"/>
    <w:rsid w:val="0038345F"/>
    <w:rsid w:val="00383C28"/>
    <w:rsid w:val="0038496A"/>
    <w:rsid w:val="00385225"/>
    <w:rsid w:val="0038560B"/>
    <w:rsid w:val="00387D0F"/>
    <w:rsid w:val="00390B0F"/>
    <w:rsid w:val="00390D15"/>
    <w:rsid w:val="00392176"/>
    <w:rsid w:val="00392471"/>
    <w:rsid w:val="00393F10"/>
    <w:rsid w:val="003948D8"/>
    <w:rsid w:val="00395B28"/>
    <w:rsid w:val="00395F8D"/>
    <w:rsid w:val="00396144"/>
    <w:rsid w:val="003961B2"/>
    <w:rsid w:val="00396AF6"/>
    <w:rsid w:val="00397259"/>
    <w:rsid w:val="003A0290"/>
    <w:rsid w:val="003A57F9"/>
    <w:rsid w:val="003A5E5C"/>
    <w:rsid w:val="003A743D"/>
    <w:rsid w:val="003A7A7E"/>
    <w:rsid w:val="003B0BA0"/>
    <w:rsid w:val="003B1C14"/>
    <w:rsid w:val="003B1FD4"/>
    <w:rsid w:val="003B3543"/>
    <w:rsid w:val="003B4D78"/>
    <w:rsid w:val="003B5022"/>
    <w:rsid w:val="003B6AC2"/>
    <w:rsid w:val="003C45E3"/>
    <w:rsid w:val="003C51C1"/>
    <w:rsid w:val="003C62A0"/>
    <w:rsid w:val="003C6892"/>
    <w:rsid w:val="003C6EE3"/>
    <w:rsid w:val="003C7D5B"/>
    <w:rsid w:val="003D0E01"/>
    <w:rsid w:val="003D276B"/>
    <w:rsid w:val="003D2EA0"/>
    <w:rsid w:val="003D3BB0"/>
    <w:rsid w:val="003D4861"/>
    <w:rsid w:val="003D4C9C"/>
    <w:rsid w:val="003D7F1D"/>
    <w:rsid w:val="003E12C1"/>
    <w:rsid w:val="003E14D8"/>
    <w:rsid w:val="003E1858"/>
    <w:rsid w:val="003E20C4"/>
    <w:rsid w:val="003E300E"/>
    <w:rsid w:val="003E3665"/>
    <w:rsid w:val="003E3AE4"/>
    <w:rsid w:val="003E5BA0"/>
    <w:rsid w:val="003E6032"/>
    <w:rsid w:val="003E6437"/>
    <w:rsid w:val="003E6562"/>
    <w:rsid w:val="003E6BA0"/>
    <w:rsid w:val="003E6D3B"/>
    <w:rsid w:val="003E7198"/>
    <w:rsid w:val="003E7C3F"/>
    <w:rsid w:val="003F0CA9"/>
    <w:rsid w:val="003F0D1C"/>
    <w:rsid w:val="003F2A8F"/>
    <w:rsid w:val="003F3C5C"/>
    <w:rsid w:val="003F482F"/>
    <w:rsid w:val="003F580E"/>
    <w:rsid w:val="003F6DD0"/>
    <w:rsid w:val="003F7121"/>
    <w:rsid w:val="003F790F"/>
    <w:rsid w:val="0040035D"/>
    <w:rsid w:val="004007FE"/>
    <w:rsid w:val="00401257"/>
    <w:rsid w:val="004022D5"/>
    <w:rsid w:val="00403317"/>
    <w:rsid w:val="0040369C"/>
    <w:rsid w:val="00403BCC"/>
    <w:rsid w:val="00406FFC"/>
    <w:rsid w:val="004072B8"/>
    <w:rsid w:val="00407902"/>
    <w:rsid w:val="00407F80"/>
    <w:rsid w:val="0041179A"/>
    <w:rsid w:val="00412A5C"/>
    <w:rsid w:val="00412AE0"/>
    <w:rsid w:val="004153C4"/>
    <w:rsid w:val="00415B49"/>
    <w:rsid w:val="0041758E"/>
    <w:rsid w:val="00417F0B"/>
    <w:rsid w:val="004203C5"/>
    <w:rsid w:val="00421D42"/>
    <w:rsid w:val="00422E43"/>
    <w:rsid w:val="00423177"/>
    <w:rsid w:val="00423461"/>
    <w:rsid w:val="00424020"/>
    <w:rsid w:val="0042473D"/>
    <w:rsid w:val="0042526E"/>
    <w:rsid w:val="004259F7"/>
    <w:rsid w:val="004266A9"/>
    <w:rsid w:val="00426C76"/>
    <w:rsid w:val="00427E11"/>
    <w:rsid w:val="00430EE8"/>
    <w:rsid w:val="00431993"/>
    <w:rsid w:val="00433002"/>
    <w:rsid w:val="004335E3"/>
    <w:rsid w:val="0043433F"/>
    <w:rsid w:val="0043667B"/>
    <w:rsid w:val="0043683E"/>
    <w:rsid w:val="00436FA7"/>
    <w:rsid w:val="0043756A"/>
    <w:rsid w:val="00441F37"/>
    <w:rsid w:val="00443CDC"/>
    <w:rsid w:val="00445862"/>
    <w:rsid w:val="004463B5"/>
    <w:rsid w:val="00446B69"/>
    <w:rsid w:val="00446FB4"/>
    <w:rsid w:val="00447B2B"/>
    <w:rsid w:val="0045008D"/>
    <w:rsid w:val="00450129"/>
    <w:rsid w:val="004509EF"/>
    <w:rsid w:val="00451C38"/>
    <w:rsid w:val="00452626"/>
    <w:rsid w:val="00453A96"/>
    <w:rsid w:val="004545BA"/>
    <w:rsid w:val="00454BC0"/>
    <w:rsid w:val="00455296"/>
    <w:rsid w:val="0045576A"/>
    <w:rsid w:val="004562DA"/>
    <w:rsid w:val="00456A8C"/>
    <w:rsid w:val="00456FC8"/>
    <w:rsid w:val="00460041"/>
    <w:rsid w:val="004608C0"/>
    <w:rsid w:val="0046185D"/>
    <w:rsid w:val="00461E46"/>
    <w:rsid w:val="0046309E"/>
    <w:rsid w:val="00463F5D"/>
    <w:rsid w:val="004657FF"/>
    <w:rsid w:val="00466533"/>
    <w:rsid w:val="00467758"/>
    <w:rsid w:val="004719F5"/>
    <w:rsid w:val="00473433"/>
    <w:rsid w:val="0047413E"/>
    <w:rsid w:val="0047489D"/>
    <w:rsid w:val="00474C2D"/>
    <w:rsid w:val="004755DD"/>
    <w:rsid w:val="00476597"/>
    <w:rsid w:val="00477C39"/>
    <w:rsid w:val="00477F75"/>
    <w:rsid w:val="00480BD6"/>
    <w:rsid w:val="0048415B"/>
    <w:rsid w:val="004843D3"/>
    <w:rsid w:val="004847E2"/>
    <w:rsid w:val="004861DE"/>
    <w:rsid w:val="00486BB5"/>
    <w:rsid w:val="00487353"/>
    <w:rsid w:val="00490991"/>
    <w:rsid w:val="00491886"/>
    <w:rsid w:val="00491B76"/>
    <w:rsid w:val="00491CA5"/>
    <w:rsid w:val="004932A4"/>
    <w:rsid w:val="00493438"/>
    <w:rsid w:val="00495011"/>
    <w:rsid w:val="00495CBC"/>
    <w:rsid w:val="004970E9"/>
    <w:rsid w:val="004A0F3A"/>
    <w:rsid w:val="004A17CD"/>
    <w:rsid w:val="004A2A7C"/>
    <w:rsid w:val="004A33DF"/>
    <w:rsid w:val="004A341F"/>
    <w:rsid w:val="004A4447"/>
    <w:rsid w:val="004A4578"/>
    <w:rsid w:val="004A49C3"/>
    <w:rsid w:val="004A5F95"/>
    <w:rsid w:val="004A61C4"/>
    <w:rsid w:val="004A7388"/>
    <w:rsid w:val="004B0236"/>
    <w:rsid w:val="004B2079"/>
    <w:rsid w:val="004B2DE9"/>
    <w:rsid w:val="004B3E73"/>
    <w:rsid w:val="004B4705"/>
    <w:rsid w:val="004B7B72"/>
    <w:rsid w:val="004B7DBC"/>
    <w:rsid w:val="004C00D9"/>
    <w:rsid w:val="004C07CB"/>
    <w:rsid w:val="004C0C39"/>
    <w:rsid w:val="004C14B1"/>
    <w:rsid w:val="004C317C"/>
    <w:rsid w:val="004C3422"/>
    <w:rsid w:val="004C41D6"/>
    <w:rsid w:val="004C5303"/>
    <w:rsid w:val="004C5865"/>
    <w:rsid w:val="004C58E8"/>
    <w:rsid w:val="004C6794"/>
    <w:rsid w:val="004C70B8"/>
    <w:rsid w:val="004D09E8"/>
    <w:rsid w:val="004D0E63"/>
    <w:rsid w:val="004D2336"/>
    <w:rsid w:val="004D2D79"/>
    <w:rsid w:val="004D5325"/>
    <w:rsid w:val="004D68AB"/>
    <w:rsid w:val="004D69E4"/>
    <w:rsid w:val="004D7221"/>
    <w:rsid w:val="004D79E2"/>
    <w:rsid w:val="004E0D41"/>
    <w:rsid w:val="004E1443"/>
    <w:rsid w:val="004E1B3E"/>
    <w:rsid w:val="004E239B"/>
    <w:rsid w:val="004E2DE2"/>
    <w:rsid w:val="004E3898"/>
    <w:rsid w:val="004E3F39"/>
    <w:rsid w:val="004E4848"/>
    <w:rsid w:val="004E4E46"/>
    <w:rsid w:val="004E5ECA"/>
    <w:rsid w:val="004E6EE5"/>
    <w:rsid w:val="004E71EB"/>
    <w:rsid w:val="004F01EB"/>
    <w:rsid w:val="004F162E"/>
    <w:rsid w:val="004F1D16"/>
    <w:rsid w:val="004F2278"/>
    <w:rsid w:val="004F47BD"/>
    <w:rsid w:val="004F4873"/>
    <w:rsid w:val="004F5315"/>
    <w:rsid w:val="004F771E"/>
    <w:rsid w:val="0050060F"/>
    <w:rsid w:val="005025B2"/>
    <w:rsid w:val="00503351"/>
    <w:rsid w:val="005036E7"/>
    <w:rsid w:val="00503C93"/>
    <w:rsid w:val="00504F00"/>
    <w:rsid w:val="00507AD5"/>
    <w:rsid w:val="00510262"/>
    <w:rsid w:val="00511852"/>
    <w:rsid w:val="00511B2C"/>
    <w:rsid w:val="005123BF"/>
    <w:rsid w:val="005125ED"/>
    <w:rsid w:val="00513B60"/>
    <w:rsid w:val="00514F3F"/>
    <w:rsid w:val="005159AF"/>
    <w:rsid w:val="00516E80"/>
    <w:rsid w:val="005177C9"/>
    <w:rsid w:val="00517F88"/>
    <w:rsid w:val="005201DF"/>
    <w:rsid w:val="005219F0"/>
    <w:rsid w:val="0052219A"/>
    <w:rsid w:val="0052459D"/>
    <w:rsid w:val="00524B4B"/>
    <w:rsid w:val="00524C8C"/>
    <w:rsid w:val="005251C4"/>
    <w:rsid w:val="00525522"/>
    <w:rsid w:val="005256C4"/>
    <w:rsid w:val="00525C1B"/>
    <w:rsid w:val="00526886"/>
    <w:rsid w:val="00526FBE"/>
    <w:rsid w:val="005270D3"/>
    <w:rsid w:val="00527580"/>
    <w:rsid w:val="00527C86"/>
    <w:rsid w:val="00527DCD"/>
    <w:rsid w:val="00530065"/>
    <w:rsid w:val="00530143"/>
    <w:rsid w:val="00530BD3"/>
    <w:rsid w:val="00531623"/>
    <w:rsid w:val="005336B8"/>
    <w:rsid w:val="00534080"/>
    <w:rsid w:val="005342A3"/>
    <w:rsid w:val="005352FB"/>
    <w:rsid w:val="0053536C"/>
    <w:rsid w:val="00535552"/>
    <w:rsid w:val="0053715F"/>
    <w:rsid w:val="005374DD"/>
    <w:rsid w:val="00540372"/>
    <w:rsid w:val="005407F3"/>
    <w:rsid w:val="005413DB"/>
    <w:rsid w:val="0054182A"/>
    <w:rsid w:val="00543812"/>
    <w:rsid w:val="005440BC"/>
    <w:rsid w:val="005442B0"/>
    <w:rsid w:val="00544AE8"/>
    <w:rsid w:val="00544E2B"/>
    <w:rsid w:val="00544F7E"/>
    <w:rsid w:val="005455D3"/>
    <w:rsid w:val="00545758"/>
    <w:rsid w:val="00546264"/>
    <w:rsid w:val="0054637B"/>
    <w:rsid w:val="00547663"/>
    <w:rsid w:val="00551A55"/>
    <w:rsid w:val="00552311"/>
    <w:rsid w:val="00552CA9"/>
    <w:rsid w:val="0055379B"/>
    <w:rsid w:val="0055415F"/>
    <w:rsid w:val="00554EF7"/>
    <w:rsid w:val="00555081"/>
    <w:rsid w:val="005554E7"/>
    <w:rsid w:val="0055664E"/>
    <w:rsid w:val="00557619"/>
    <w:rsid w:val="005609A3"/>
    <w:rsid w:val="0056134F"/>
    <w:rsid w:val="005614F2"/>
    <w:rsid w:val="005628E2"/>
    <w:rsid w:val="00562AF8"/>
    <w:rsid w:val="00562CA8"/>
    <w:rsid w:val="00563A22"/>
    <w:rsid w:val="00563D5D"/>
    <w:rsid w:val="00564BDB"/>
    <w:rsid w:val="00566639"/>
    <w:rsid w:val="0056729F"/>
    <w:rsid w:val="00567880"/>
    <w:rsid w:val="00567D48"/>
    <w:rsid w:val="0057173E"/>
    <w:rsid w:val="00574190"/>
    <w:rsid w:val="00574A2D"/>
    <w:rsid w:val="0057610B"/>
    <w:rsid w:val="0058140A"/>
    <w:rsid w:val="0058255B"/>
    <w:rsid w:val="00583925"/>
    <w:rsid w:val="00583962"/>
    <w:rsid w:val="00584492"/>
    <w:rsid w:val="00584B95"/>
    <w:rsid w:val="00585A9D"/>
    <w:rsid w:val="00586F57"/>
    <w:rsid w:val="005910C0"/>
    <w:rsid w:val="00592041"/>
    <w:rsid w:val="0059247B"/>
    <w:rsid w:val="00592491"/>
    <w:rsid w:val="00592AB5"/>
    <w:rsid w:val="005930BB"/>
    <w:rsid w:val="00595C2C"/>
    <w:rsid w:val="0059662C"/>
    <w:rsid w:val="0059734D"/>
    <w:rsid w:val="00597455"/>
    <w:rsid w:val="0059799D"/>
    <w:rsid w:val="005A03AA"/>
    <w:rsid w:val="005A0AF5"/>
    <w:rsid w:val="005A11DC"/>
    <w:rsid w:val="005A19F1"/>
    <w:rsid w:val="005A1E04"/>
    <w:rsid w:val="005A28DC"/>
    <w:rsid w:val="005A29AD"/>
    <w:rsid w:val="005A2D89"/>
    <w:rsid w:val="005A35C3"/>
    <w:rsid w:val="005A401F"/>
    <w:rsid w:val="005A4476"/>
    <w:rsid w:val="005A5A55"/>
    <w:rsid w:val="005A6002"/>
    <w:rsid w:val="005A689E"/>
    <w:rsid w:val="005A6E62"/>
    <w:rsid w:val="005A77FE"/>
    <w:rsid w:val="005B0216"/>
    <w:rsid w:val="005B0FDF"/>
    <w:rsid w:val="005B1215"/>
    <w:rsid w:val="005B266E"/>
    <w:rsid w:val="005B31C0"/>
    <w:rsid w:val="005B394F"/>
    <w:rsid w:val="005B4120"/>
    <w:rsid w:val="005B4E82"/>
    <w:rsid w:val="005B5045"/>
    <w:rsid w:val="005B5421"/>
    <w:rsid w:val="005B6A60"/>
    <w:rsid w:val="005C0CEA"/>
    <w:rsid w:val="005C0D95"/>
    <w:rsid w:val="005C24AB"/>
    <w:rsid w:val="005C263E"/>
    <w:rsid w:val="005C2C01"/>
    <w:rsid w:val="005C34AE"/>
    <w:rsid w:val="005C3C4E"/>
    <w:rsid w:val="005C3F8B"/>
    <w:rsid w:val="005C4E5A"/>
    <w:rsid w:val="005C5399"/>
    <w:rsid w:val="005C5563"/>
    <w:rsid w:val="005C5A2E"/>
    <w:rsid w:val="005C61EC"/>
    <w:rsid w:val="005C6DE3"/>
    <w:rsid w:val="005C7EA3"/>
    <w:rsid w:val="005D1500"/>
    <w:rsid w:val="005D1CDF"/>
    <w:rsid w:val="005D1F82"/>
    <w:rsid w:val="005D2E57"/>
    <w:rsid w:val="005D55D6"/>
    <w:rsid w:val="005D5C1E"/>
    <w:rsid w:val="005D6077"/>
    <w:rsid w:val="005D60BB"/>
    <w:rsid w:val="005D6DED"/>
    <w:rsid w:val="005D7576"/>
    <w:rsid w:val="005D7DD7"/>
    <w:rsid w:val="005E0AEB"/>
    <w:rsid w:val="005E2527"/>
    <w:rsid w:val="005E2B0E"/>
    <w:rsid w:val="005E3106"/>
    <w:rsid w:val="005E35F6"/>
    <w:rsid w:val="005E3C6A"/>
    <w:rsid w:val="005E4E9C"/>
    <w:rsid w:val="005E5236"/>
    <w:rsid w:val="005E5D2B"/>
    <w:rsid w:val="005F0275"/>
    <w:rsid w:val="005F0940"/>
    <w:rsid w:val="005F0CD2"/>
    <w:rsid w:val="005F127E"/>
    <w:rsid w:val="005F2DD1"/>
    <w:rsid w:val="005F38FF"/>
    <w:rsid w:val="005F409A"/>
    <w:rsid w:val="005F40FC"/>
    <w:rsid w:val="005F63A9"/>
    <w:rsid w:val="005F6828"/>
    <w:rsid w:val="005F70AD"/>
    <w:rsid w:val="006000A6"/>
    <w:rsid w:val="00601369"/>
    <w:rsid w:val="00601414"/>
    <w:rsid w:val="00601AF4"/>
    <w:rsid w:val="00601D6E"/>
    <w:rsid w:val="00602841"/>
    <w:rsid w:val="00602BD3"/>
    <w:rsid w:val="0060300F"/>
    <w:rsid w:val="006033CD"/>
    <w:rsid w:val="0060358F"/>
    <w:rsid w:val="00603D6F"/>
    <w:rsid w:val="00604C97"/>
    <w:rsid w:val="006062A6"/>
    <w:rsid w:val="006064D1"/>
    <w:rsid w:val="00612925"/>
    <w:rsid w:val="00614140"/>
    <w:rsid w:val="006144FD"/>
    <w:rsid w:val="00615DF1"/>
    <w:rsid w:val="0061607F"/>
    <w:rsid w:val="006173B8"/>
    <w:rsid w:val="00617634"/>
    <w:rsid w:val="006207B8"/>
    <w:rsid w:val="00622D11"/>
    <w:rsid w:val="006231ED"/>
    <w:rsid w:val="00623400"/>
    <w:rsid w:val="00623E27"/>
    <w:rsid w:val="00624497"/>
    <w:rsid w:val="00624AF6"/>
    <w:rsid w:val="0062579B"/>
    <w:rsid w:val="00625CFA"/>
    <w:rsid w:val="00626ECE"/>
    <w:rsid w:val="00627AFE"/>
    <w:rsid w:val="006307A2"/>
    <w:rsid w:val="00631A15"/>
    <w:rsid w:val="006320C8"/>
    <w:rsid w:val="006337DB"/>
    <w:rsid w:val="00634DD0"/>
    <w:rsid w:val="0063513F"/>
    <w:rsid w:val="006357FF"/>
    <w:rsid w:val="00637358"/>
    <w:rsid w:val="00643245"/>
    <w:rsid w:val="006438E5"/>
    <w:rsid w:val="00643B7E"/>
    <w:rsid w:val="0064439B"/>
    <w:rsid w:val="006443AC"/>
    <w:rsid w:val="00644414"/>
    <w:rsid w:val="006446EB"/>
    <w:rsid w:val="00645C31"/>
    <w:rsid w:val="006460B4"/>
    <w:rsid w:val="006466E0"/>
    <w:rsid w:val="00646778"/>
    <w:rsid w:val="006478A5"/>
    <w:rsid w:val="00647F66"/>
    <w:rsid w:val="00650134"/>
    <w:rsid w:val="00652EB8"/>
    <w:rsid w:val="006537F6"/>
    <w:rsid w:val="006548DC"/>
    <w:rsid w:val="00654F03"/>
    <w:rsid w:val="00655B7B"/>
    <w:rsid w:val="00656008"/>
    <w:rsid w:val="0065706D"/>
    <w:rsid w:val="00660A96"/>
    <w:rsid w:val="00661488"/>
    <w:rsid w:val="00662519"/>
    <w:rsid w:val="00662EA1"/>
    <w:rsid w:val="00665449"/>
    <w:rsid w:val="00665828"/>
    <w:rsid w:val="00665D22"/>
    <w:rsid w:val="0066681C"/>
    <w:rsid w:val="0066695A"/>
    <w:rsid w:val="00666E3E"/>
    <w:rsid w:val="006675FD"/>
    <w:rsid w:val="00667689"/>
    <w:rsid w:val="0066773F"/>
    <w:rsid w:val="006714B0"/>
    <w:rsid w:val="00671804"/>
    <w:rsid w:val="0067237C"/>
    <w:rsid w:val="006726A2"/>
    <w:rsid w:val="0067299C"/>
    <w:rsid w:val="00673544"/>
    <w:rsid w:val="00674292"/>
    <w:rsid w:val="006746D1"/>
    <w:rsid w:val="00675E79"/>
    <w:rsid w:val="00676876"/>
    <w:rsid w:val="00677DA7"/>
    <w:rsid w:val="00681068"/>
    <w:rsid w:val="00681E49"/>
    <w:rsid w:val="00681ED5"/>
    <w:rsid w:val="0068297F"/>
    <w:rsid w:val="006829B0"/>
    <w:rsid w:val="00682BF6"/>
    <w:rsid w:val="0068376F"/>
    <w:rsid w:val="0068527C"/>
    <w:rsid w:val="0069071F"/>
    <w:rsid w:val="00690A93"/>
    <w:rsid w:val="00690C28"/>
    <w:rsid w:val="006911C7"/>
    <w:rsid w:val="00692148"/>
    <w:rsid w:val="00692934"/>
    <w:rsid w:val="006938B7"/>
    <w:rsid w:val="0069397B"/>
    <w:rsid w:val="00693A2F"/>
    <w:rsid w:val="0069416A"/>
    <w:rsid w:val="00694CDD"/>
    <w:rsid w:val="006962D0"/>
    <w:rsid w:val="006964A1"/>
    <w:rsid w:val="00696568"/>
    <w:rsid w:val="006A0622"/>
    <w:rsid w:val="006A171B"/>
    <w:rsid w:val="006A1F4E"/>
    <w:rsid w:val="006A240F"/>
    <w:rsid w:val="006A28DC"/>
    <w:rsid w:val="006A313B"/>
    <w:rsid w:val="006A32BB"/>
    <w:rsid w:val="006A3AB1"/>
    <w:rsid w:val="006A3B35"/>
    <w:rsid w:val="006A6067"/>
    <w:rsid w:val="006B1D71"/>
    <w:rsid w:val="006B32B8"/>
    <w:rsid w:val="006B3400"/>
    <w:rsid w:val="006B4D7B"/>
    <w:rsid w:val="006B52F8"/>
    <w:rsid w:val="006B6245"/>
    <w:rsid w:val="006B7098"/>
    <w:rsid w:val="006B7AFD"/>
    <w:rsid w:val="006C05E7"/>
    <w:rsid w:val="006C0865"/>
    <w:rsid w:val="006C0C0F"/>
    <w:rsid w:val="006C1E86"/>
    <w:rsid w:val="006C1EB2"/>
    <w:rsid w:val="006C5946"/>
    <w:rsid w:val="006C7365"/>
    <w:rsid w:val="006D0A32"/>
    <w:rsid w:val="006D0BC1"/>
    <w:rsid w:val="006D2F32"/>
    <w:rsid w:val="006D4763"/>
    <w:rsid w:val="006D5A79"/>
    <w:rsid w:val="006D5D58"/>
    <w:rsid w:val="006D65C7"/>
    <w:rsid w:val="006D760E"/>
    <w:rsid w:val="006E0FFF"/>
    <w:rsid w:val="006E127B"/>
    <w:rsid w:val="006E2277"/>
    <w:rsid w:val="006E28AD"/>
    <w:rsid w:val="006E457E"/>
    <w:rsid w:val="006E6033"/>
    <w:rsid w:val="006E60E6"/>
    <w:rsid w:val="006E64CC"/>
    <w:rsid w:val="006E653C"/>
    <w:rsid w:val="006E6BEA"/>
    <w:rsid w:val="006E77E4"/>
    <w:rsid w:val="006E7841"/>
    <w:rsid w:val="006F0D38"/>
    <w:rsid w:val="006F0E16"/>
    <w:rsid w:val="006F214F"/>
    <w:rsid w:val="006F312F"/>
    <w:rsid w:val="006F41BF"/>
    <w:rsid w:val="006F4218"/>
    <w:rsid w:val="006F434C"/>
    <w:rsid w:val="006F525E"/>
    <w:rsid w:val="006F652C"/>
    <w:rsid w:val="006F6BE0"/>
    <w:rsid w:val="006F79A3"/>
    <w:rsid w:val="006F7C23"/>
    <w:rsid w:val="006F7C35"/>
    <w:rsid w:val="00700B95"/>
    <w:rsid w:val="00702F2F"/>
    <w:rsid w:val="00705488"/>
    <w:rsid w:val="007061CB"/>
    <w:rsid w:val="007075B5"/>
    <w:rsid w:val="0070767D"/>
    <w:rsid w:val="0071005F"/>
    <w:rsid w:val="00712E5A"/>
    <w:rsid w:val="0071418B"/>
    <w:rsid w:val="00714831"/>
    <w:rsid w:val="00714F7A"/>
    <w:rsid w:val="00715371"/>
    <w:rsid w:val="00715F93"/>
    <w:rsid w:val="00716288"/>
    <w:rsid w:val="00716523"/>
    <w:rsid w:val="00716FAE"/>
    <w:rsid w:val="007207FB"/>
    <w:rsid w:val="00720983"/>
    <w:rsid w:val="00720D6A"/>
    <w:rsid w:val="007215D9"/>
    <w:rsid w:val="00722F1D"/>
    <w:rsid w:val="00723C47"/>
    <w:rsid w:val="007240C7"/>
    <w:rsid w:val="0072481B"/>
    <w:rsid w:val="0072527D"/>
    <w:rsid w:val="00725578"/>
    <w:rsid w:val="007263E3"/>
    <w:rsid w:val="00726EE0"/>
    <w:rsid w:val="00727EF5"/>
    <w:rsid w:val="00732BFB"/>
    <w:rsid w:val="00736FE8"/>
    <w:rsid w:val="00740D0B"/>
    <w:rsid w:val="007424D3"/>
    <w:rsid w:val="00742CE7"/>
    <w:rsid w:val="00743786"/>
    <w:rsid w:val="00743C43"/>
    <w:rsid w:val="007450C2"/>
    <w:rsid w:val="007458FE"/>
    <w:rsid w:val="00746407"/>
    <w:rsid w:val="0074642E"/>
    <w:rsid w:val="00747428"/>
    <w:rsid w:val="00747FFB"/>
    <w:rsid w:val="00752680"/>
    <w:rsid w:val="00752C37"/>
    <w:rsid w:val="007545D5"/>
    <w:rsid w:val="007547C6"/>
    <w:rsid w:val="00755250"/>
    <w:rsid w:val="00756179"/>
    <w:rsid w:val="007570F5"/>
    <w:rsid w:val="00761B6A"/>
    <w:rsid w:val="00762182"/>
    <w:rsid w:val="00762239"/>
    <w:rsid w:val="007622DA"/>
    <w:rsid w:val="00762AB3"/>
    <w:rsid w:val="00763646"/>
    <w:rsid w:val="0076422C"/>
    <w:rsid w:val="00764251"/>
    <w:rsid w:val="00764C28"/>
    <w:rsid w:val="00764D07"/>
    <w:rsid w:val="00766262"/>
    <w:rsid w:val="00766AB5"/>
    <w:rsid w:val="00766B4F"/>
    <w:rsid w:val="007674B8"/>
    <w:rsid w:val="00767A5D"/>
    <w:rsid w:val="00770145"/>
    <w:rsid w:val="00770316"/>
    <w:rsid w:val="007703D7"/>
    <w:rsid w:val="007707E8"/>
    <w:rsid w:val="007712C0"/>
    <w:rsid w:val="00771BF3"/>
    <w:rsid w:val="007732B5"/>
    <w:rsid w:val="00774606"/>
    <w:rsid w:val="00774AC9"/>
    <w:rsid w:val="00774B3D"/>
    <w:rsid w:val="007751D2"/>
    <w:rsid w:val="0077530A"/>
    <w:rsid w:val="00776F17"/>
    <w:rsid w:val="00777CEF"/>
    <w:rsid w:val="00777D72"/>
    <w:rsid w:val="00780138"/>
    <w:rsid w:val="00780608"/>
    <w:rsid w:val="00780873"/>
    <w:rsid w:val="00780EFF"/>
    <w:rsid w:val="00781CE0"/>
    <w:rsid w:val="0078227F"/>
    <w:rsid w:val="00782A43"/>
    <w:rsid w:val="0078530E"/>
    <w:rsid w:val="007853C1"/>
    <w:rsid w:val="00786491"/>
    <w:rsid w:val="00787054"/>
    <w:rsid w:val="00792095"/>
    <w:rsid w:val="00793D73"/>
    <w:rsid w:val="00795921"/>
    <w:rsid w:val="00795DBD"/>
    <w:rsid w:val="00797A3E"/>
    <w:rsid w:val="007A13D0"/>
    <w:rsid w:val="007A2858"/>
    <w:rsid w:val="007A2F4C"/>
    <w:rsid w:val="007A2FD0"/>
    <w:rsid w:val="007A308D"/>
    <w:rsid w:val="007A391C"/>
    <w:rsid w:val="007A5E91"/>
    <w:rsid w:val="007A5EFF"/>
    <w:rsid w:val="007A6398"/>
    <w:rsid w:val="007A6DEF"/>
    <w:rsid w:val="007A73E1"/>
    <w:rsid w:val="007A7635"/>
    <w:rsid w:val="007A7A4F"/>
    <w:rsid w:val="007B00A0"/>
    <w:rsid w:val="007B1504"/>
    <w:rsid w:val="007B2D7F"/>
    <w:rsid w:val="007B3CE3"/>
    <w:rsid w:val="007B4775"/>
    <w:rsid w:val="007B55BF"/>
    <w:rsid w:val="007B5E20"/>
    <w:rsid w:val="007B675D"/>
    <w:rsid w:val="007B79B4"/>
    <w:rsid w:val="007C0168"/>
    <w:rsid w:val="007C08BC"/>
    <w:rsid w:val="007C0C91"/>
    <w:rsid w:val="007C16A0"/>
    <w:rsid w:val="007C326A"/>
    <w:rsid w:val="007C491A"/>
    <w:rsid w:val="007C641C"/>
    <w:rsid w:val="007C6E05"/>
    <w:rsid w:val="007C722E"/>
    <w:rsid w:val="007C7794"/>
    <w:rsid w:val="007D05C7"/>
    <w:rsid w:val="007D1021"/>
    <w:rsid w:val="007D13B0"/>
    <w:rsid w:val="007D2E7E"/>
    <w:rsid w:val="007D2FD7"/>
    <w:rsid w:val="007D3757"/>
    <w:rsid w:val="007D3A95"/>
    <w:rsid w:val="007D5040"/>
    <w:rsid w:val="007D5CBE"/>
    <w:rsid w:val="007D5FFC"/>
    <w:rsid w:val="007D7997"/>
    <w:rsid w:val="007E0A15"/>
    <w:rsid w:val="007E0A67"/>
    <w:rsid w:val="007E0E89"/>
    <w:rsid w:val="007E11F0"/>
    <w:rsid w:val="007E22B7"/>
    <w:rsid w:val="007E2877"/>
    <w:rsid w:val="007E29F9"/>
    <w:rsid w:val="007E3F7E"/>
    <w:rsid w:val="007E4F4E"/>
    <w:rsid w:val="007E6AA5"/>
    <w:rsid w:val="007E6EB1"/>
    <w:rsid w:val="007F11B0"/>
    <w:rsid w:val="007F13F5"/>
    <w:rsid w:val="007F3E1F"/>
    <w:rsid w:val="007F5032"/>
    <w:rsid w:val="007F5E82"/>
    <w:rsid w:val="007F62D0"/>
    <w:rsid w:val="007F697D"/>
    <w:rsid w:val="007F7579"/>
    <w:rsid w:val="007F7B03"/>
    <w:rsid w:val="00800160"/>
    <w:rsid w:val="0080199B"/>
    <w:rsid w:val="00801B84"/>
    <w:rsid w:val="0080204E"/>
    <w:rsid w:val="00802302"/>
    <w:rsid w:val="00803026"/>
    <w:rsid w:val="008033DE"/>
    <w:rsid w:val="00803465"/>
    <w:rsid w:val="00803950"/>
    <w:rsid w:val="00803B10"/>
    <w:rsid w:val="00803B12"/>
    <w:rsid w:val="00803DDA"/>
    <w:rsid w:val="008042F0"/>
    <w:rsid w:val="008060E5"/>
    <w:rsid w:val="00806305"/>
    <w:rsid w:val="008064AC"/>
    <w:rsid w:val="008076CE"/>
    <w:rsid w:val="00807960"/>
    <w:rsid w:val="00807C11"/>
    <w:rsid w:val="00810526"/>
    <w:rsid w:val="00810FD3"/>
    <w:rsid w:val="00811BC3"/>
    <w:rsid w:val="008141FB"/>
    <w:rsid w:val="00815359"/>
    <w:rsid w:val="00816144"/>
    <w:rsid w:val="0081675B"/>
    <w:rsid w:val="0081692F"/>
    <w:rsid w:val="00816F8C"/>
    <w:rsid w:val="008170E3"/>
    <w:rsid w:val="00817C98"/>
    <w:rsid w:val="00822451"/>
    <w:rsid w:val="00823D39"/>
    <w:rsid w:val="008242DC"/>
    <w:rsid w:val="00824E64"/>
    <w:rsid w:val="0082580E"/>
    <w:rsid w:val="00825917"/>
    <w:rsid w:val="00826503"/>
    <w:rsid w:val="00830746"/>
    <w:rsid w:val="00831A18"/>
    <w:rsid w:val="00831C6F"/>
    <w:rsid w:val="00831D6D"/>
    <w:rsid w:val="00832D85"/>
    <w:rsid w:val="00836F04"/>
    <w:rsid w:val="00837908"/>
    <w:rsid w:val="008403F0"/>
    <w:rsid w:val="00841103"/>
    <w:rsid w:val="00841331"/>
    <w:rsid w:val="008413A7"/>
    <w:rsid w:val="00841C18"/>
    <w:rsid w:val="00842412"/>
    <w:rsid w:val="00842429"/>
    <w:rsid w:val="00842609"/>
    <w:rsid w:val="00842E74"/>
    <w:rsid w:val="00845845"/>
    <w:rsid w:val="00845D67"/>
    <w:rsid w:val="008501F3"/>
    <w:rsid w:val="00850C06"/>
    <w:rsid w:val="008519A3"/>
    <w:rsid w:val="008521C9"/>
    <w:rsid w:val="0085230F"/>
    <w:rsid w:val="008524C2"/>
    <w:rsid w:val="0085331D"/>
    <w:rsid w:val="0085336F"/>
    <w:rsid w:val="0085486C"/>
    <w:rsid w:val="00854D59"/>
    <w:rsid w:val="00855E30"/>
    <w:rsid w:val="00856B26"/>
    <w:rsid w:val="00857447"/>
    <w:rsid w:val="00857CC7"/>
    <w:rsid w:val="00863D92"/>
    <w:rsid w:val="008650E7"/>
    <w:rsid w:val="00865B78"/>
    <w:rsid w:val="00866080"/>
    <w:rsid w:val="00870463"/>
    <w:rsid w:val="00870B1F"/>
    <w:rsid w:val="00871D94"/>
    <w:rsid w:val="00872535"/>
    <w:rsid w:val="00873801"/>
    <w:rsid w:val="0087442B"/>
    <w:rsid w:val="00875030"/>
    <w:rsid w:val="00875528"/>
    <w:rsid w:val="00875FF2"/>
    <w:rsid w:val="008762F3"/>
    <w:rsid w:val="00876493"/>
    <w:rsid w:val="00881616"/>
    <w:rsid w:val="0088175E"/>
    <w:rsid w:val="008818C8"/>
    <w:rsid w:val="00881B0D"/>
    <w:rsid w:val="00881B74"/>
    <w:rsid w:val="008823DC"/>
    <w:rsid w:val="008829AA"/>
    <w:rsid w:val="00884540"/>
    <w:rsid w:val="0088601E"/>
    <w:rsid w:val="00887AF3"/>
    <w:rsid w:val="008909FC"/>
    <w:rsid w:val="00891AF2"/>
    <w:rsid w:val="00892EFD"/>
    <w:rsid w:val="00893521"/>
    <w:rsid w:val="00893F7A"/>
    <w:rsid w:val="00894636"/>
    <w:rsid w:val="00895295"/>
    <w:rsid w:val="00895AC2"/>
    <w:rsid w:val="00895CC8"/>
    <w:rsid w:val="00895E22"/>
    <w:rsid w:val="008968DE"/>
    <w:rsid w:val="00897FA0"/>
    <w:rsid w:val="008A0147"/>
    <w:rsid w:val="008A0B20"/>
    <w:rsid w:val="008A122A"/>
    <w:rsid w:val="008A1EA0"/>
    <w:rsid w:val="008A37B3"/>
    <w:rsid w:val="008A461E"/>
    <w:rsid w:val="008A4F83"/>
    <w:rsid w:val="008A6070"/>
    <w:rsid w:val="008A7494"/>
    <w:rsid w:val="008A7CA5"/>
    <w:rsid w:val="008B0066"/>
    <w:rsid w:val="008B0B01"/>
    <w:rsid w:val="008B0C69"/>
    <w:rsid w:val="008B19BC"/>
    <w:rsid w:val="008B1A79"/>
    <w:rsid w:val="008B28E2"/>
    <w:rsid w:val="008B2C6D"/>
    <w:rsid w:val="008B320E"/>
    <w:rsid w:val="008B3649"/>
    <w:rsid w:val="008B47C8"/>
    <w:rsid w:val="008B5596"/>
    <w:rsid w:val="008B580B"/>
    <w:rsid w:val="008B6D1C"/>
    <w:rsid w:val="008B6D64"/>
    <w:rsid w:val="008B7841"/>
    <w:rsid w:val="008B784C"/>
    <w:rsid w:val="008C0447"/>
    <w:rsid w:val="008C0561"/>
    <w:rsid w:val="008C1856"/>
    <w:rsid w:val="008C1B8C"/>
    <w:rsid w:val="008C1D9E"/>
    <w:rsid w:val="008C209F"/>
    <w:rsid w:val="008C269B"/>
    <w:rsid w:val="008C562A"/>
    <w:rsid w:val="008C5A09"/>
    <w:rsid w:val="008C6164"/>
    <w:rsid w:val="008C6924"/>
    <w:rsid w:val="008C6A3F"/>
    <w:rsid w:val="008C6B47"/>
    <w:rsid w:val="008C6F38"/>
    <w:rsid w:val="008C7056"/>
    <w:rsid w:val="008C780B"/>
    <w:rsid w:val="008D0DD3"/>
    <w:rsid w:val="008D134D"/>
    <w:rsid w:val="008D148A"/>
    <w:rsid w:val="008D1D2B"/>
    <w:rsid w:val="008D2140"/>
    <w:rsid w:val="008D2392"/>
    <w:rsid w:val="008D603C"/>
    <w:rsid w:val="008D7180"/>
    <w:rsid w:val="008D7928"/>
    <w:rsid w:val="008D7B6C"/>
    <w:rsid w:val="008D7B71"/>
    <w:rsid w:val="008E0694"/>
    <w:rsid w:val="008E1B99"/>
    <w:rsid w:val="008E1C1B"/>
    <w:rsid w:val="008E23CA"/>
    <w:rsid w:val="008E3AD7"/>
    <w:rsid w:val="008E40C5"/>
    <w:rsid w:val="008E5934"/>
    <w:rsid w:val="008E6986"/>
    <w:rsid w:val="008F033D"/>
    <w:rsid w:val="008F0C8F"/>
    <w:rsid w:val="008F3D4F"/>
    <w:rsid w:val="008F3E92"/>
    <w:rsid w:val="008F4A24"/>
    <w:rsid w:val="008F51D5"/>
    <w:rsid w:val="008F75D6"/>
    <w:rsid w:val="008F7AFD"/>
    <w:rsid w:val="0090139C"/>
    <w:rsid w:val="0090167C"/>
    <w:rsid w:val="009017A7"/>
    <w:rsid w:val="00902305"/>
    <w:rsid w:val="00903218"/>
    <w:rsid w:val="00903A27"/>
    <w:rsid w:val="00904419"/>
    <w:rsid w:val="00906295"/>
    <w:rsid w:val="0091037F"/>
    <w:rsid w:val="00912A11"/>
    <w:rsid w:val="00913AFF"/>
    <w:rsid w:val="00914A58"/>
    <w:rsid w:val="00914DED"/>
    <w:rsid w:val="00917185"/>
    <w:rsid w:val="00920049"/>
    <w:rsid w:val="009200F6"/>
    <w:rsid w:val="009206EA"/>
    <w:rsid w:val="009212D2"/>
    <w:rsid w:val="00921C45"/>
    <w:rsid w:val="009222F4"/>
    <w:rsid w:val="00923D2B"/>
    <w:rsid w:val="00926150"/>
    <w:rsid w:val="00927CC3"/>
    <w:rsid w:val="00930087"/>
    <w:rsid w:val="009301A8"/>
    <w:rsid w:val="009307B6"/>
    <w:rsid w:val="009307C7"/>
    <w:rsid w:val="009316A3"/>
    <w:rsid w:val="00932B99"/>
    <w:rsid w:val="00934025"/>
    <w:rsid w:val="0093453C"/>
    <w:rsid w:val="009347E3"/>
    <w:rsid w:val="00934A9B"/>
    <w:rsid w:val="00936CAD"/>
    <w:rsid w:val="0094017B"/>
    <w:rsid w:val="009409DA"/>
    <w:rsid w:val="009424D5"/>
    <w:rsid w:val="00942A62"/>
    <w:rsid w:val="00945C76"/>
    <w:rsid w:val="009460FC"/>
    <w:rsid w:val="00946387"/>
    <w:rsid w:val="009465A0"/>
    <w:rsid w:val="0094685C"/>
    <w:rsid w:val="00950DCD"/>
    <w:rsid w:val="00951090"/>
    <w:rsid w:val="00951302"/>
    <w:rsid w:val="00951888"/>
    <w:rsid w:val="009522C0"/>
    <w:rsid w:val="00952614"/>
    <w:rsid w:val="009529BE"/>
    <w:rsid w:val="00955272"/>
    <w:rsid w:val="009561C0"/>
    <w:rsid w:val="009561C8"/>
    <w:rsid w:val="00956D1E"/>
    <w:rsid w:val="00961FAB"/>
    <w:rsid w:val="00961FD1"/>
    <w:rsid w:val="00962DDF"/>
    <w:rsid w:val="009635AB"/>
    <w:rsid w:val="00966282"/>
    <w:rsid w:val="00966737"/>
    <w:rsid w:val="00967559"/>
    <w:rsid w:val="00967BA3"/>
    <w:rsid w:val="00967E15"/>
    <w:rsid w:val="00967E6F"/>
    <w:rsid w:val="00971810"/>
    <w:rsid w:val="009726B7"/>
    <w:rsid w:val="009731FD"/>
    <w:rsid w:val="00974718"/>
    <w:rsid w:val="00974D8E"/>
    <w:rsid w:val="009750DF"/>
    <w:rsid w:val="00975EE9"/>
    <w:rsid w:val="009777A5"/>
    <w:rsid w:val="009778C5"/>
    <w:rsid w:val="009803DF"/>
    <w:rsid w:val="00981DFF"/>
    <w:rsid w:val="00982393"/>
    <w:rsid w:val="00982776"/>
    <w:rsid w:val="00982C97"/>
    <w:rsid w:val="00984A2B"/>
    <w:rsid w:val="00984ADA"/>
    <w:rsid w:val="0098774D"/>
    <w:rsid w:val="00992381"/>
    <w:rsid w:val="00995D8D"/>
    <w:rsid w:val="009961EC"/>
    <w:rsid w:val="009971C3"/>
    <w:rsid w:val="00997ADF"/>
    <w:rsid w:val="009A0FDD"/>
    <w:rsid w:val="009A1295"/>
    <w:rsid w:val="009A200C"/>
    <w:rsid w:val="009A2BF5"/>
    <w:rsid w:val="009A5CE2"/>
    <w:rsid w:val="009A7758"/>
    <w:rsid w:val="009B19DB"/>
    <w:rsid w:val="009B204B"/>
    <w:rsid w:val="009B308F"/>
    <w:rsid w:val="009B3C64"/>
    <w:rsid w:val="009B3E72"/>
    <w:rsid w:val="009B3FC1"/>
    <w:rsid w:val="009B503E"/>
    <w:rsid w:val="009B61BA"/>
    <w:rsid w:val="009B6989"/>
    <w:rsid w:val="009C16E2"/>
    <w:rsid w:val="009C1D0E"/>
    <w:rsid w:val="009C1E8F"/>
    <w:rsid w:val="009C2206"/>
    <w:rsid w:val="009C3119"/>
    <w:rsid w:val="009C35F7"/>
    <w:rsid w:val="009C39BF"/>
    <w:rsid w:val="009C4165"/>
    <w:rsid w:val="009C4FE3"/>
    <w:rsid w:val="009C589F"/>
    <w:rsid w:val="009C6378"/>
    <w:rsid w:val="009C6ED1"/>
    <w:rsid w:val="009C72C9"/>
    <w:rsid w:val="009C7AB8"/>
    <w:rsid w:val="009D1931"/>
    <w:rsid w:val="009D23E4"/>
    <w:rsid w:val="009D3A5F"/>
    <w:rsid w:val="009D463C"/>
    <w:rsid w:val="009D6F49"/>
    <w:rsid w:val="009D715F"/>
    <w:rsid w:val="009D742C"/>
    <w:rsid w:val="009D784F"/>
    <w:rsid w:val="009D79D0"/>
    <w:rsid w:val="009E0CFD"/>
    <w:rsid w:val="009E0D5A"/>
    <w:rsid w:val="009E2A0F"/>
    <w:rsid w:val="009E2F93"/>
    <w:rsid w:val="009E36CC"/>
    <w:rsid w:val="009E4509"/>
    <w:rsid w:val="009E4BA9"/>
    <w:rsid w:val="009E5113"/>
    <w:rsid w:val="009E5D53"/>
    <w:rsid w:val="009F089B"/>
    <w:rsid w:val="009F0B3F"/>
    <w:rsid w:val="009F143A"/>
    <w:rsid w:val="009F145F"/>
    <w:rsid w:val="009F19EA"/>
    <w:rsid w:val="009F1CEF"/>
    <w:rsid w:val="009F2553"/>
    <w:rsid w:val="009F2569"/>
    <w:rsid w:val="009F266D"/>
    <w:rsid w:val="009F2BEF"/>
    <w:rsid w:val="009F2D51"/>
    <w:rsid w:val="009F4016"/>
    <w:rsid w:val="009F4368"/>
    <w:rsid w:val="009F4ADC"/>
    <w:rsid w:val="009F4B4D"/>
    <w:rsid w:val="009F5D81"/>
    <w:rsid w:val="009F5E22"/>
    <w:rsid w:val="009F6685"/>
    <w:rsid w:val="009F7C09"/>
    <w:rsid w:val="00A01665"/>
    <w:rsid w:val="00A01C2A"/>
    <w:rsid w:val="00A02832"/>
    <w:rsid w:val="00A03778"/>
    <w:rsid w:val="00A03E48"/>
    <w:rsid w:val="00A048E0"/>
    <w:rsid w:val="00A04F06"/>
    <w:rsid w:val="00A06EAC"/>
    <w:rsid w:val="00A0711B"/>
    <w:rsid w:val="00A074A5"/>
    <w:rsid w:val="00A10C76"/>
    <w:rsid w:val="00A114B7"/>
    <w:rsid w:val="00A11939"/>
    <w:rsid w:val="00A1223C"/>
    <w:rsid w:val="00A12CBA"/>
    <w:rsid w:val="00A13C29"/>
    <w:rsid w:val="00A208E2"/>
    <w:rsid w:val="00A21332"/>
    <w:rsid w:val="00A2273D"/>
    <w:rsid w:val="00A233E7"/>
    <w:rsid w:val="00A23565"/>
    <w:rsid w:val="00A24012"/>
    <w:rsid w:val="00A2543B"/>
    <w:rsid w:val="00A25A84"/>
    <w:rsid w:val="00A2788E"/>
    <w:rsid w:val="00A27B6F"/>
    <w:rsid w:val="00A30531"/>
    <w:rsid w:val="00A30B29"/>
    <w:rsid w:val="00A30FFF"/>
    <w:rsid w:val="00A315D3"/>
    <w:rsid w:val="00A31716"/>
    <w:rsid w:val="00A323C8"/>
    <w:rsid w:val="00A333E7"/>
    <w:rsid w:val="00A338A2"/>
    <w:rsid w:val="00A33EDE"/>
    <w:rsid w:val="00A34358"/>
    <w:rsid w:val="00A34B54"/>
    <w:rsid w:val="00A34CC2"/>
    <w:rsid w:val="00A35217"/>
    <w:rsid w:val="00A3555D"/>
    <w:rsid w:val="00A356C5"/>
    <w:rsid w:val="00A35760"/>
    <w:rsid w:val="00A35CAE"/>
    <w:rsid w:val="00A36ED2"/>
    <w:rsid w:val="00A37767"/>
    <w:rsid w:val="00A401BB"/>
    <w:rsid w:val="00A40510"/>
    <w:rsid w:val="00A405FC"/>
    <w:rsid w:val="00A42830"/>
    <w:rsid w:val="00A440C9"/>
    <w:rsid w:val="00A44683"/>
    <w:rsid w:val="00A44E1B"/>
    <w:rsid w:val="00A44EB3"/>
    <w:rsid w:val="00A453D0"/>
    <w:rsid w:val="00A510E9"/>
    <w:rsid w:val="00A51EA7"/>
    <w:rsid w:val="00A52288"/>
    <w:rsid w:val="00A52F85"/>
    <w:rsid w:val="00A5511B"/>
    <w:rsid w:val="00A55F5E"/>
    <w:rsid w:val="00A56327"/>
    <w:rsid w:val="00A5658F"/>
    <w:rsid w:val="00A56D89"/>
    <w:rsid w:val="00A5792A"/>
    <w:rsid w:val="00A57937"/>
    <w:rsid w:val="00A57C67"/>
    <w:rsid w:val="00A57F69"/>
    <w:rsid w:val="00A60431"/>
    <w:rsid w:val="00A6190B"/>
    <w:rsid w:val="00A623F0"/>
    <w:rsid w:val="00A6315B"/>
    <w:rsid w:val="00A63246"/>
    <w:rsid w:val="00A63A6F"/>
    <w:rsid w:val="00A65B0E"/>
    <w:rsid w:val="00A6666F"/>
    <w:rsid w:val="00A676F3"/>
    <w:rsid w:val="00A707CD"/>
    <w:rsid w:val="00A727D9"/>
    <w:rsid w:val="00A7323F"/>
    <w:rsid w:val="00A74290"/>
    <w:rsid w:val="00A74E87"/>
    <w:rsid w:val="00A75405"/>
    <w:rsid w:val="00A75D08"/>
    <w:rsid w:val="00A75D2C"/>
    <w:rsid w:val="00A769E2"/>
    <w:rsid w:val="00A76AAB"/>
    <w:rsid w:val="00A76C62"/>
    <w:rsid w:val="00A77BCC"/>
    <w:rsid w:val="00A801CA"/>
    <w:rsid w:val="00A8155D"/>
    <w:rsid w:val="00A81CEF"/>
    <w:rsid w:val="00A81CFC"/>
    <w:rsid w:val="00A82577"/>
    <w:rsid w:val="00A82B1D"/>
    <w:rsid w:val="00A848FE"/>
    <w:rsid w:val="00A87AEB"/>
    <w:rsid w:val="00A91619"/>
    <w:rsid w:val="00A92744"/>
    <w:rsid w:val="00A92EEF"/>
    <w:rsid w:val="00A93076"/>
    <w:rsid w:val="00A93208"/>
    <w:rsid w:val="00A934FF"/>
    <w:rsid w:val="00A93551"/>
    <w:rsid w:val="00A93D29"/>
    <w:rsid w:val="00A94703"/>
    <w:rsid w:val="00A95948"/>
    <w:rsid w:val="00A95CC7"/>
    <w:rsid w:val="00A95DC1"/>
    <w:rsid w:val="00A95DE7"/>
    <w:rsid w:val="00A95F9E"/>
    <w:rsid w:val="00A97B30"/>
    <w:rsid w:val="00A97D72"/>
    <w:rsid w:val="00AA036C"/>
    <w:rsid w:val="00AA16ED"/>
    <w:rsid w:val="00AA1D1D"/>
    <w:rsid w:val="00AA2704"/>
    <w:rsid w:val="00AA321C"/>
    <w:rsid w:val="00AA3E2C"/>
    <w:rsid w:val="00AA4B98"/>
    <w:rsid w:val="00AA5A96"/>
    <w:rsid w:val="00AA7428"/>
    <w:rsid w:val="00AA7C82"/>
    <w:rsid w:val="00AB0B84"/>
    <w:rsid w:val="00AB1004"/>
    <w:rsid w:val="00AB27E9"/>
    <w:rsid w:val="00AB45A8"/>
    <w:rsid w:val="00AB51B6"/>
    <w:rsid w:val="00AB56AF"/>
    <w:rsid w:val="00AB5F4C"/>
    <w:rsid w:val="00AB7959"/>
    <w:rsid w:val="00AC085F"/>
    <w:rsid w:val="00AC0FC9"/>
    <w:rsid w:val="00AC13AB"/>
    <w:rsid w:val="00AC2BC5"/>
    <w:rsid w:val="00AC2E6C"/>
    <w:rsid w:val="00AC4999"/>
    <w:rsid w:val="00AC5E8F"/>
    <w:rsid w:val="00AC70D6"/>
    <w:rsid w:val="00AD0807"/>
    <w:rsid w:val="00AD1093"/>
    <w:rsid w:val="00AD212B"/>
    <w:rsid w:val="00AD355C"/>
    <w:rsid w:val="00AD59CC"/>
    <w:rsid w:val="00AD66DA"/>
    <w:rsid w:val="00AD6855"/>
    <w:rsid w:val="00AD7C9E"/>
    <w:rsid w:val="00AE2018"/>
    <w:rsid w:val="00AE4B28"/>
    <w:rsid w:val="00AE5458"/>
    <w:rsid w:val="00AE55E4"/>
    <w:rsid w:val="00AE70E2"/>
    <w:rsid w:val="00AE7337"/>
    <w:rsid w:val="00AF02A5"/>
    <w:rsid w:val="00AF0944"/>
    <w:rsid w:val="00AF1AD4"/>
    <w:rsid w:val="00AF2A9B"/>
    <w:rsid w:val="00AF383F"/>
    <w:rsid w:val="00AF43BA"/>
    <w:rsid w:val="00AF48A9"/>
    <w:rsid w:val="00AF5B25"/>
    <w:rsid w:val="00AF5F9E"/>
    <w:rsid w:val="00B01200"/>
    <w:rsid w:val="00B0219A"/>
    <w:rsid w:val="00B027E4"/>
    <w:rsid w:val="00B03485"/>
    <w:rsid w:val="00B03555"/>
    <w:rsid w:val="00B038E2"/>
    <w:rsid w:val="00B03D6E"/>
    <w:rsid w:val="00B04023"/>
    <w:rsid w:val="00B0496F"/>
    <w:rsid w:val="00B10342"/>
    <w:rsid w:val="00B10A59"/>
    <w:rsid w:val="00B127A1"/>
    <w:rsid w:val="00B12CAB"/>
    <w:rsid w:val="00B13249"/>
    <w:rsid w:val="00B14AF2"/>
    <w:rsid w:val="00B15682"/>
    <w:rsid w:val="00B15920"/>
    <w:rsid w:val="00B1711C"/>
    <w:rsid w:val="00B17CA0"/>
    <w:rsid w:val="00B17CFD"/>
    <w:rsid w:val="00B21451"/>
    <w:rsid w:val="00B21C49"/>
    <w:rsid w:val="00B21F0E"/>
    <w:rsid w:val="00B22C9D"/>
    <w:rsid w:val="00B23C3A"/>
    <w:rsid w:val="00B2419D"/>
    <w:rsid w:val="00B24914"/>
    <w:rsid w:val="00B25639"/>
    <w:rsid w:val="00B25809"/>
    <w:rsid w:val="00B27006"/>
    <w:rsid w:val="00B276E2"/>
    <w:rsid w:val="00B27FD0"/>
    <w:rsid w:val="00B314C2"/>
    <w:rsid w:val="00B3246F"/>
    <w:rsid w:val="00B3589A"/>
    <w:rsid w:val="00B36529"/>
    <w:rsid w:val="00B36567"/>
    <w:rsid w:val="00B3777B"/>
    <w:rsid w:val="00B37A47"/>
    <w:rsid w:val="00B416BB"/>
    <w:rsid w:val="00B418BA"/>
    <w:rsid w:val="00B42487"/>
    <w:rsid w:val="00B42F4C"/>
    <w:rsid w:val="00B43006"/>
    <w:rsid w:val="00B438F4"/>
    <w:rsid w:val="00B44630"/>
    <w:rsid w:val="00B448F7"/>
    <w:rsid w:val="00B4575F"/>
    <w:rsid w:val="00B4632B"/>
    <w:rsid w:val="00B50B28"/>
    <w:rsid w:val="00B51D3E"/>
    <w:rsid w:val="00B52143"/>
    <w:rsid w:val="00B52E8E"/>
    <w:rsid w:val="00B52F70"/>
    <w:rsid w:val="00B52F7D"/>
    <w:rsid w:val="00B52FD5"/>
    <w:rsid w:val="00B533AF"/>
    <w:rsid w:val="00B54FB0"/>
    <w:rsid w:val="00B554F8"/>
    <w:rsid w:val="00B6096F"/>
    <w:rsid w:val="00B62564"/>
    <w:rsid w:val="00B642E2"/>
    <w:rsid w:val="00B70BCF"/>
    <w:rsid w:val="00B71225"/>
    <w:rsid w:val="00B751A0"/>
    <w:rsid w:val="00B7741A"/>
    <w:rsid w:val="00B77A24"/>
    <w:rsid w:val="00B806D1"/>
    <w:rsid w:val="00B80A2D"/>
    <w:rsid w:val="00B83FD8"/>
    <w:rsid w:val="00B8496D"/>
    <w:rsid w:val="00B84C0C"/>
    <w:rsid w:val="00B86DD0"/>
    <w:rsid w:val="00B873A9"/>
    <w:rsid w:val="00B900E3"/>
    <w:rsid w:val="00B90CAE"/>
    <w:rsid w:val="00B90CF8"/>
    <w:rsid w:val="00B9163B"/>
    <w:rsid w:val="00B91D98"/>
    <w:rsid w:val="00B91EEE"/>
    <w:rsid w:val="00B92407"/>
    <w:rsid w:val="00B92C7A"/>
    <w:rsid w:val="00B93C1B"/>
    <w:rsid w:val="00B94F9D"/>
    <w:rsid w:val="00B96370"/>
    <w:rsid w:val="00BA0FCB"/>
    <w:rsid w:val="00BA1433"/>
    <w:rsid w:val="00BA1649"/>
    <w:rsid w:val="00BA249B"/>
    <w:rsid w:val="00BA31D4"/>
    <w:rsid w:val="00BA462D"/>
    <w:rsid w:val="00BA751E"/>
    <w:rsid w:val="00BA762C"/>
    <w:rsid w:val="00BB1391"/>
    <w:rsid w:val="00BB1DBE"/>
    <w:rsid w:val="00BB24CF"/>
    <w:rsid w:val="00BB34D4"/>
    <w:rsid w:val="00BB3A79"/>
    <w:rsid w:val="00BB457E"/>
    <w:rsid w:val="00BB522D"/>
    <w:rsid w:val="00BB5C15"/>
    <w:rsid w:val="00BB7F40"/>
    <w:rsid w:val="00BC0B8D"/>
    <w:rsid w:val="00BC199C"/>
    <w:rsid w:val="00BC2F72"/>
    <w:rsid w:val="00BC31B0"/>
    <w:rsid w:val="00BC45D8"/>
    <w:rsid w:val="00BD03D7"/>
    <w:rsid w:val="00BD041B"/>
    <w:rsid w:val="00BD0B4A"/>
    <w:rsid w:val="00BD1431"/>
    <w:rsid w:val="00BD1590"/>
    <w:rsid w:val="00BD1B7C"/>
    <w:rsid w:val="00BD1F27"/>
    <w:rsid w:val="00BD271B"/>
    <w:rsid w:val="00BD2D83"/>
    <w:rsid w:val="00BD31EC"/>
    <w:rsid w:val="00BD4A4E"/>
    <w:rsid w:val="00BD4DAA"/>
    <w:rsid w:val="00BD5169"/>
    <w:rsid w:val="00BD5AC3"/>
    <w:rsid w:val="00BD67B0"/>
    <w:rsid w:val="00BD6B22"/>
    <w:rsid w:val="00BD7A34"/>
    <w:rsid w:val="00BE091D"/>
    <w:rsid w:val="00BE258A"/>
    <w:rsid w:val="00BE388D"/>
    <w:rsid w:val="00BE407C"/>
    <w:rsid w:val="00BE40EE"/>
    <w:rsid w:val="00BE4A67"/>
    <w:rsid w:val="00BE4B9E"/>
    <w:rsid w:val="00BE7609"/>
    <w:rsid w:val="00BF0342"/>
    <w:rsid w:val="00BF183C"/>
    <w:rsid w:val="00BF1891"/>
    <w:rsid w:val="00BF1910"/>
    <w:rsid w:val="00BF22A3"/>
    <w:rsid w:val="00BF2493"/>
    <w:rsid w:val="00BF28B7"/>
    <w:rsid w:val="00BF396D"/>
    <w:rsid w:val="00BF3DDE"/>
    <w:rsid w:val="00BF4ABB"/>
    <w:rsid w:val="00BF5154"/>
    <w:rsid w:val="00BF5E96"/>
    <w:rsid w:val="00BF6477"/>
    <w:rsid w:val="00BF7F10"/>
    <w:rsid w:val="00C00A07"/>
    <w:rsid w:val="00C01035"/>
    <w:rsid w:val="00C01BF1"/>
    <w:rsid w:val="00C031C4"/>
    <w:rsid w:val="00C0343C"/>
    <w:rsid w:val="00C039D7"/>
    <w:rsid w:val="00C040EB"/>
    <w:rsid w:val="00C05445"/>
    <w:rsid w:val="00C058A6"/>
    <w:rsid w:val="00C05957"/>
    <w:rsid w:val="00C06288"/>
    <w:rsid w:val="00C06FD3"/>
    <w:rsid w:val="00C07CE1"/>
    <w:rsid w:val="00C10061"/>
    <w:rsid w:val="00C1038C"/>
    <w:rsid w:val="00C109D0"/>
    <w:rsid w:val="00C11456"/>
    <w:rsid w:val="00C12670"/>
    <w:rsid w:val="00C131CB"/>
    <w:rsid w:val="00C164FD"/>
    <w:rsid w:val="00C16CA3"/>
    <w:rsid w:val="00C1726A"/>
    <w:rsid w:val="00C175EC"/>
    <w:rsid w:val="00C20F0D"/>
    <w:rsid w:val="00C211FE"/>
    <w:rsid w:val="00C2124A"/>
    <w:rsid w:val="00C22AD9"/>
    <w:rsid w:val="00C24411"/>
    <w:rsid w:val="00C25102"/>
    <w:rsid w:val="00C27F81"/>
    <w:rsid w:val="00C30AB8"/>
    <w:rsid w:val="00C31F61"/>
    <w:rsid w:val="00C32EDB"/>
    <w:rsid w:val="00C34469"/>
    <w:rsid w:val="00C35BE3"/>
    <w:rsid w:val="00C35E2F"/>
    <w:rsid w:val="00C424ED"/>
    <w:rsid w:val="00C43477"/>
    <w:rsid w:val="00C44B91"/>
    <w:rsid w:val="00C44B9D"/>
    <w:rsid w:val="00C450FD"/>
    <w:rsid w:val="00C451D4"/>
    <w:rsid w:val="00C45529"/>
    <w:rsid w:val="00C458FC"/>
    <w:rsid w:val="00C45B3E"/>
    <w:rsid w:val="00C45D4B"/>
    <w:rsid w:val="00C46653"/>
    <w:rsid w:val="00C47B2E"/>
    <w:rsid w:val="00C47BBE"/>
    <w:rsid w:val="00C50331"/>
    <w:rsid w:val="00C50542"/>
    <w:rsid w:val="00C50634"/>
    <w:rsid w:val="00C50D1B"/>
    <w:rsid w:val="00C50F75"/>
    <w:rsid w:val="00C52091"/>
    <w:rsid w:val="00C52D5A"/>
    <w:rsid w:val="00C52F7F"/>
    <w:rsid w:val="00C54A96"/>
    <w:rsid w:val="00C55468"/>
    <w:rsid w:val="00C603C9"/>
    <w:rsid w:val="00C610F8"/>
    <w:rsid w:val="00C6169B"/>
    <w:rsid w:val="00C617C3"/>
    <w:rsid w:val="00C62149"/>
    <w:rsid w:val="00C62717"/>
    <w:rsid w:val="00C641FC"/>
    <w:rsid w:val="00C65FA3"/>
    <w:rsid w:val="00C66000"/>
    <w:rsid w:val="00C669D1"/>
    <w:rsid w:val="00C67299"/>
    <w:rsid w:val="00C67A66"/>
    <w:rsid w:val="00C704A0"/>
    <w:rsid w:val="00C7278D"/>
    <w:rsid w:val="00C73BC7"/>
    <w:rsid w:val="00C74054"/>
    <w:rsid w:val="00C74521"/>
    <w:rsid w:val="00C7736E"/>
    <w:rsid w:val="00C80A4C"/>
    <w:rsid w:val="00C817EA"/>
    <w:rsid w:val="00C827C4"/>
    <w:rsid w:val="00C82ACA"/>
    <w:rsid w:val="00C8307E"/>
    <w:rsid w:val="00C83B26"/>
    <w:rsid w:val="00C842E1"/>
    <w:rsid w:val="00C8535F"/>
    <w:rsid w:val="00C858CC"/>
    <w:rsid w:val="00C861F7"/>
    <w:rsid w:val="00C86692"/>
    <w:rsid w:val="00C867C7"/>
    <w:rsid w:val="00C86B52"/>
    <w:rsid w:val="00C9075B"/>
    <w:rsid w:val="00C9140F"/>
    <w:rsid w:val="00C9146D"/>
    <w:rsid w:val="00C93F83"/>
    <w:rsid w:val="00C94F52"/>
    <w:rsid w:val="00C94F88"/>
    <w:rsid w:val="00C94FD4"/>
    <w:rsid w:val="00C9549F"/>
    <w:rsid w:val="00C95FBF"/>
    <w:rsid w:val="00C964C3"/>
    <w:rsid w:val="00C965A8"/>
    <w:rsid w:val="00C96852"/>
    <w:rsid w:val="00C968D6"/>
    <w:rsid w:val="00C96BC5"/>
    <w:rsid w:val="00CA0481"/>
    <w:rsid w:val="00CA1CE0"/>
    <w:rsid w:val="00CA212B"/>
    <w:rsid w:val="00CA244D"/>
    <w:rsid w:val="00CA284E"/>
    <w:rsid w:val="00CA2DE3"/>
    <w:rsid w:val="00CA6CB0"/>
    <w:rsid w:val="00CA78C1"/>
    <w:rsid w:val="00CA7A30"/>
    <w:rsid w:val="00CA7F40"/>
    <w:rsid w:val="00CB095F"/>
    <w:rsid w:val="00CB0BCE"/>
    <w:rsid w:val="00CB126E"/>
    <w:rsid w:val="00CB2555"/>
    <w:rsid w:val="00CB2C9B"/>
    <w:rsid w:val="00CB36FA"/>
    <w:rsid w:val="00CB4783"/>
    <w:rsid w:val="00CB5117"/>
    <w:rsid w:val="00CB6138"/>
    <w:rsid w:val="00CB6B67"/>
    <w:rsid w:val="00CB74F2"/>
    <w:rsid w:val="00CC0C06"/>
    <w:rsid w:val="00CC106A"/>
    <w:rsid w:val="00CC1206"/>
    <w:rsid w:val="00CC121E"/>
    <w:rsid w:val="00CC1857"/>
    <w:rsid w:val="00CC23D2"/>
    <w:rsid w:val="00CC2BCD"/>
    <w:rsid w:val="00CC2C8C"/>
    <w:rsid w:val="00CC31F7"/>
    <w:rsid w:val="00CC3966"/>
    <w:rsid w:val="00CC3A59"/>
    <w:rsid w:val="00CC429D"/>
    <w:rsid w:val="00CC4441"/>
    <w:rsid w:val="00CC4B28"/>
    <w:rsid w:val="00CC4D44"/>
    <w:rsid w:val="00CC634C"/>
    <w:rsid w:val="00CC640A"/>
    <w:rsid w:val="00CC6709"/>
    <w:rsid w:val="00CC6A5F"/>
    <w:rsid w:val="00CC6E29"/>
    <w:rsid w:val="00CD0836"/>
    <w:rsid w:val="00CD1804"/>
    <w:rsid w:val="00CD1824"/>
    <w:rsid w:val="00CD3288"/>
    <w:rsid w:val="00CD3D45"/>
    <w:rsid w:val="00CD3F41"/>
    <w:rsid w:val="00CD58AC"/>
    <w:rsid w:val="00CD6822"/>
    <w:rsid w:val="00CE0136"/>
    <w:rsid w:val="00CE04D1"/>
    <w:rsid w:val="00CE0EB0"/>
    <w:rsid w:val="00CE15D8"/>
    <w:rsid w:val="00CE2335"/>
    <w:rsid w:val="00CE27F0"/>
    <w:rsid w:val="00CE28E3"/>
    <w:rsid w:val="00CE4F7A"/>
    <w:rsid w:val="00CE5ACC"/>
    <w:rsid w:val="00CE60B0"/>
    <w:rsid w:val="00CE67AF"/>
    <w:rsid w:val="00CE7E83"/>
    <w:rsid w:val="00CF0CCE"/>
    <w:rsid w:val="00CF0CF3"/>
    <w:rsid w:val="00CF0E32"/>
    <w:rsid w:val="00CF27EE"/>
    <w:rsid w:val="00CF3EFC"/>
    <w:rsid w:val="00CF3F93"/>
    <w:rsid w:val="00CF5713"/>
    <w:rsid w:val="00CF73A8"/>
    <w:rsid w:val="00CF79EF"/>
    <w:rsid w:val="00CF7FC2"/>
    <w:rsid w:val="00D00710"/>
    <w:rsid w:val="00D01974"/>
    <w:rsid w:val="00D02D01"/>
    <w:rsid w:val="00D02DD9"/>
    <w:rsid w:val="00D04F1D"/>
    <w:rsid w:val="00D050B7"/>
    <w:rsid w:val="00D05D0C"/>
    <w:rsid w:val="00D0784A"/>
    <w:rsid w:val="00D078F3"/>
    <w:rsid w:val="00D07AB5"/>
    <w:rsid w:val="00D07C48"/>
    <w:rsid w:val="00D10A66"/>
    <w:rsid w:val="00D10FD8"/>
    <w:rsid w:val="00D11B28"/>
    <w:rsid w:val="00D1383F"/>
    <w:rsid w:val="00D13C79"/>
    <w:rsid w:val="00D1430B"/>
    <w:rsid w:val="00D144D5"/>
    <w:rsid w:val="00D14951"/>
    <w:rsid w:val="00D14DA5"/>
    <w:rsid w:val="00D154BB"/>
    <w:rsid w:val="00D16802"/>
    <w:rsid w:val="00D17190"/>
    <w:rsid w:val="00D17396"/>
    <w:rsid w:val="00D17A31"/>
    <w:rsid w:val="00D2059C"/>
    <w:rsid w:val="00D20C12"/>
    <w:rsid w:val="00D217C8"/>
    <w:rsid w:val="00D238B6"/>
    <w:rsid w:val="00D23D3F"/>
    <w:rsid w:val="00D2400C"/>
    <w:rsid w:val="00D240F7"/>
    <w:rsid w:val="00D25030"/>
    <w:rsid w:val="00D25F91"/>
    <w:rsid w:val="00D27065"/>
    <w:rsid w:val="00D27A3C"/>
    <w:rsid w:val="00D27A8F"/>
    <w:rsid w:val="00D27C23"/>
    <w:rsid w:val="00D303E5"/>
    <w:rsid w:val="00D303F5"/>
    <w:rsid w:val="00D3134E"/>
    <w:rsid w:val="00D3171F"/>
    <w:rsid w:val="00D3197F"/>
    <w:rsid w:val="00D320DF"/>
    <w:rsid w:val="00D3287B"/>
    <w:rsid w:val="00D32A6A"/>
    <w:rsid w:val="00D339E3"/>
    <w:rsid w:val="00D33EAA"/>
    <w:rsid w:val="00D34739"/>
    <w:rsid w:val="00D365C3"/>
    <w:rsid w:val="00D3724B"/>
    <w:rsid w:val="00D4074E"/>
    <w:rsid w:val="00D40F51"/>
    <w:rsid w:val="00D410D5"/>
    <w:rsid w:val="00D41150"/>
    <w:rsid w:val="00D42275"/>
    <w:rsid w:val="00D43237"/>
    <w:rsid w:val="00D43640"/>
    <w:rsid w:val="00D44E33"/>
    <w:rsid w:val="00D44F07"/>
    <w:rsid w:val="00D4518C"/>
    <w:rsid w:val="00D452E5"/>
    <w:rsid w:val="00D452EC"/>
    <w:rsid w:val="00D4563C"/>
    <w:rsid w:val="00D47711"/>
    <w:rsid w:val="00D47840"/>
    <w:rsid w:val="00D50393"/>
    <w:rsid w:val="00D505E1"/>
    <w:rsid w:val="00D50952"/>
    <w:rsid w:val="00D51564"/>
    <w:rsid w:val="00D54196"/>
    <w:rsid w:val="00D54435"/>
    <w:rsid w:val="00D54848"/>
    <w:rsid w:val="00D55023"/>
    <w:rsid w:val="00D55042"/>
    <w:rsid w:val="00D55B27"/>
    <w:rsid w:val="00D6059F"/>
    <w:rsid w:val="00D6064D"/>
    <w:rsid w:val="00D60861"/>
    <w:rsid w:val="00D60D22"/>
    <w:rsid w:val="00D61B9E"/>
    <w:rsid w:val="00D625C6"/>
    <w:rsid w:val="00D63B55"/>
    <w:rsid w:val="00D64E51"/>
    <w:rsid w:val="00D6539D"/>
    <w:rsid w:val="00D6604A"/>
    <w:rsid w:val="00D667F3"/>
    <w:rsid w:val="00D66B1F"/>
    <w:rsid w:val="00D66FF9"/>
    <w:rsid w:val="00D701FD"/>
    <w:rsid w:val="00D70A2F"/>
    <w:rsid w:val="00D71009"/>
    <w:rsid w:val="00D72599"/>
    <w:rsid w:val="00D727FC"/>
    <w:rsid w:val="00D73154"/>
    <w:rsid w:val="00D73ECC"/>
    <w:rsid w:val="00D740DC"/>
    <w:rsid w:val="00D74973"/>
    <w:rsid w:val="00D75DB6"/>
    <w:rsid w:val="00D7605C"/>
    <w:rsid w:val="00D761D4"/>
    <w:rsid w:val="00D76CD6"/>
    <w:rsid w:val="00D77011"/>
    <w:rsid w:val="00D77B23"/>
    <w:rsid w:val="00D80283"/>
    <w:rsid w:val="00D80516"/>
    <w:rsid w:val="00D8098C"/>
    <w:rsid w:val="00D80CC7"/>
    <w:rsid w:val="00D8139E"/>
    <w:rsid w:val="00D81C85"/>
    <w:rsid w:val="00D84DD7"/>
    <w:rsid w:val="00D858BC"/>
    <w:rsid w:val="00D85D7D"/>
    <w:rsid w:val="00D8639E"/>
    <w:rsid w:val="00D92CA8"/>
    <w:rsid w:val="00D933C1"/>
    <w:rsid w:val="00D933FA"/>
    <w:rsid w:val="00D95749"/>
    <w:rsid w:val="00D95E2F"/>
    <w:rsid w:val="00D95EBF"/>
    <w:rsid w:val="00D96210"/>
    <w:rsid w:val="00DA14D7"/>
    <w:rsid w:val="00DA15AA"/>
    <w:rsid w:val="00DA184C"/>
    <w:rsid w:val="00DA2116"/>
    <w:rsid w:val="00DA35BC"/>
    <w:rsid w:val="00DA480A"/>
    <w:rsid w:val="00DA5A3A"/>
    <w:rsid w:val="00DA5D23"/>
    <w:rsid w:val="00DA5EAA"/>
    <w:rsid w:val="00DA636E"/>
    <w:rsid w:val="00DA7F9D"/>
    <w:rsid w:val="00DB0147"/>
    <w:rsid w:val="00DB030E"/>
    <w:rsid w:val="00DB122A"/>
    <w:rsid w:val="00DB15D7"/>
    <w:rsid w:val="00DB32DE"/>
    <w:rsid w:val="00DB3450"/>
    <w:rsid w:val="00DB3A9B"/>
    <w:rsid w:val="00DB50A1"/>
    <w:rsid w:val="00DC479F"/>
    <w:rsid w:val="00DC47F4"/>
    <w:rsid w:val="00DC52E1"/>
    <w:rsid w:val="00DC567C"/>
    <w:rsid w:val="00DC601B"/>
    <w:rsid w:val="00DC7AE1"/>
    <w:rsid w:val="00DC7DE6"/>
    <w:rsid w:val="00DD052A"/>
    <w:rsid w:val="00DD1107"/>
    <w:rsid w:val="00DD19D2"/>
    <w:rsid w:val="00DD1B0D"/>
    <w:rsid w:val="00DD48F8"/>
    <w:rsid w:val="00DD712A"/>
    <w:rsid w:val="00DD78D3"/>
    <w:rsid w:val="00DE095E"/>
    <w:rsid w:val="00DE0A08"/>
    <w:rsid w:val="00DE3DC7"/>
    <w:rsid w:val="00DE3FCB"/>
    <w:rsid w:val="00DE4191"/>
    <w:rsid w:val="00DE49CE"/>
    <w:rsid w:val="00DE4E71"/>
    <w:rsid w:val="00DE4F61"/>
    <w:rsid w:val="00DE6639"/>
    <w:rsid w:val="00DE6D1F"/>
    <w:rsid w:val="00DE737B"/>
    <w:rsid w:val="00DE7C77"/>
    <w:rsid w:val="00DE7D41"/>
    <w:rsid w:val="00DE7EC8"/>
    <w:rsid w:val="00DF04FA"/>
    <w:rsid w:val="00DF2A6E"/>
    <w:rsid w:val="00DF2CE4"/>
    <w:rsid w:val="00DF3404"/>
    <w:rsid w:val="00DF3517"/>
    <w:rsid w:val="00DF37EC"/>
    <w:rsid w:val="00DF4CF2"/>
    <w:rsid w:val="00DF6DCD"/>
    <w:rsid w:val="00DF7975"/>
    <w:rsid w:val="00DF7C10"/>
    <w:rsid w:val="00E00129"/>
    <w:rsid w:val="00E01BBB"/>
    <w:rsid w:val="00E021A8"/>
    <w:rsid w:val="00E02487"/>
    <w:rsid w:val="00E02615"/>
    <w:rsid w:val="00E0287F"/>
    <w:rsid w:val="00E02AAA"/>
    <w:rsid w:val="00E02C0D"/>
    <w:rsid w:val="00E039D3"/>
    <w:rsid w:val="00E05319"/>
    <w:rsid w:val="00E05876"/>
    <w:rsid w:val="00E060B7"/>
    <w:rsid w:val="00E062F9"/>
    <w:rsid w:val="00E06A56"/>
    <w:rsid w:val="00E06F99"/>
    <w:rsid w:val="00E107D1"/>
    <w:rsid w:val="00E10C90"/>
    <w:rsid w:val="00E12134"/>
    <w:rsid w:val="00E14614"/>
    <w:rsid w:val="00E146A0"/>
    <w:rsid w:val="00E14CE8"/>
    <w:rsid w:val="00E14F17"/>
    <w:rsid w:val="00E1549E"/>
    <w:rsid w:val="00E15B60"/>
    <w:rsid w:val="00E15E36"/>
    <w:rsid w:val="00E165BB"/>
    <w:rsid w:val="00E17698"/>
    <w:rsid w:val="00E17B7A"/>
    <w:rsid w:val="00E20723"/>
    <w:rsid w:val="00E20C26"/>
    <w:rsid w:val="00E20FCE"/>
    <w:rsid w:val="00E21718"/>
    <w:rsid w:val="00E218CE"/>
    <w:rsid w:val="00E22D47"/>
    <w:rsid w:val="00E239FC"/>
    <w:rsid w:val="00E23AB2"/>
    <w:rsid w:val="00E24211"/>
    <w:rsid w:val="00E24F53"/>
    <w:rsid w:val="00E2529C"/>
    <w:rsid w:val="00E25D13"/>
    <w:rsid w:val="00E2610D"/>
    <w:rsid w:val="00E26121"/>
    <w:rsid w:val="00E26D99"/>
    <w:rsid w:val="00E30389"/>
    <w:rsid w:val="00E30C4F"/>
    <w:rsid w:val="00E32346"/>
    <w:rsid w:val="00E3419F"/>
    <w:rsid w:val="00E34428"/>
    <w:rsid w:val="00E34557"/>
    <w:rsid w:val="00E347BA"/>
    <w:rsid w:val="00E3599A"/>
    <w:rsid w:val="00E35E2E"/>
    <w:rsid w:val="00E36791"/>
    <w:rsid w:val="00E36904"/>
    <w:rsid w:val="00E374BF"/>
    <w:rsid w:val="00E37E12"/>
    <w:rsid w:val="00E401FF"/>
    <w:rsid w:val="00E404ED"/>
    <w:rsid w:val="00E40634"/>
    <w:rsid w:val="00E407B3"/>
    <w:rsid w:val="00E40C79"/>
    <w:rsid w:val="00E40E39"/>
    <w:rsid w:val="00E4209D"/>
    <w:rsid w:val="00E42B95"/>
    <w:rsid w:val="00E430FF"/>
    <w:rsid w:val="00E4366F"/>
    <w:rsid w:val="00E436EA"/>
    <w:rsid w:val="00E43BCD"/>
    <w:rsid w:val="00E43D13"/>
    <w:rsid w:val="00E44688"/>
    <w:rsid w:val="00E44790"/>
    <w:rsid w:val="00E44796"/>
    <w:rsid w:val="00E452E0"/>
    <w:rsid w:val="00E459BA"/>
    <w:rsid w:val="00E47414"/>
    <w:rsid w:val="00E47AD0"/>
    <w:rsid w:val="00E50675"/>
    <w:rsid w:val="00E50696"/>
    <w:rsid w:val="00E5103A"/>
    <w:rsid w:val="00E517FA"/>
    <w:rsid w:val="00E51BB1"/>
    <w:rsid w:val="00E52D8E"/>
    <w:rsid w:val="00E52FD6"/>
    <w:rsid w:val="00E5321A"/>
    <w:rsid w:val="00E55819"/>
    <w:rsid w:val="00E561A1"/>
    <w:rsid w:val="00E57521"/>
    <w:rsid w:val="00E57A55"/>
    <w:rsid w:val="00E6050A"/>
    <w:rsid w:val="00E60A5A"/>
    <w:rsid w:val="00E61048"/>
    <w:rsid w:val="00E612DE"/>
    <w:rsid w:val="00E612E6"/>
    <w:rsid w:val="00E61D85"/>
    <w:rsid w:val="00E62857"/>
    <w:rsid w:val="00E63271"/>
    <w:rsid w:val="00E63916"/>
    <w:rsid w:val="00E63BAE"/>
    <w:rsid w:val="00E64CB1"/>
    <w:rsid w:val="00E6654F"/>
    <w:rsid w:val="00E667F4"/>
    <w:rsid w:val="00E66D2E"/>
    <w:rsid w:val="00E672DD"/>
    <w:rsid w:val="00E709C3"/>
    <w:rsid w:val="00E70F7F"/>
    <w:rsid w:val="00E71168"/>
    <w:rsid w:val="00E71DC1"/>
    <w:rsid w:val="00E71EC3"/>
    <w:rsid w:val="00E7204D"/>
    <w:rsid w:val="00E731C2"/>
    <w:rsid w:val="00E73AE1"/>
    <w:rsid w:val="00E74B3D"/>
    <w:rsid w:val="00E751AB"/>
    <w:rsid w:val="00E757D0"/>
    <w:rsid w:val="00E75C27"/>
    <w:rsid w:val="00E76314"/>
    <w:rsid w:val="00E77349"/>
    <w:rsid w:val="00E77508"/>
    <w:rsid w:val="00E8026F"/>
    <w:rsid w:val="00E82467"/>
    <w:rsid w:val="00E826E9"/>
    <w:rsid w:val="00E83950"/>
    <w:rsid w:val="00E83C77"/>
    <w:rsid w:val="00E83DC0"/>
    <w:rsid w:val="00E83EE3"/>
    <w:rsid w:val="00E84109"/>
    <w:rsid w:val="00E84312"/>
    <w:rsid w:val="00E845A1"/>
    <w:rsid w:val="00E86992"/>
    <w:rsid w:val="00E86F62"/>
    <w:rsid w:val="00E878B0"/>
    <w:rsid w:val="00E87AA8"/>
    <w:rsid w:val="00E90D47"/>
    <w:rsid w:val="00E91101"/>
    <w:rsid w:val="00E91C5D"/>
    <w:rsid w:val="00E92D02"/>
    <w:rsid w:val="00E93495"/>
    <w:rsid w:val="00E94C89"/>
    <w:rsid w:val="00E97F0E"/>
    <w:rsid w:val="00EA01E8"/>
    <w:rsid w:val="00EA1079"/>
    <w:rsid w:val="00EA1304"/>
    <w:rsid w:val="00EA1493"/>
    <w:rsid w:val="00EA2367"/>
    <w:rsid w:val="00EA2EA7"/>
    <w:rsid w:val="00EA403E"/>
    <w:rsid w:val="00EA4CF1"/>
    <w:rsid w:val="00EA517A"/>
    <w:rsid w:val="00EA64CE"/>
    <w:rsid w:val="00EB009F"/>
    <w:rsid w:val="00EB3268"/>
    <w:rsid w:val="00EB65D9"/>
    <w:rsid w:val="00EB67C3"/>
    <w:rsid w:val="00EB71D4"/>
    <w:rsid w:val="00EB7E4C"/>
    <w:rsid w:val="00EC081B"/>
    <w:rsid w:val="00EC1212"/>
    <w:rsid w:val="00EC2022"/>
    <w:rsid w:val="00EC29D1"/>
    <w:rsid w:val="00EC2BE2"/>
    <w:rsid w:val="00EC42CD"/>
    <w:rsid w:val="00EC5D01"/>
    <w:rsid w:val="00EC79D4"/>
    <w:rsid w:val="00ED0638"/>
    <w:rsid w:val="00ED1D85"/>
    <w:rsid w:val="00ED3BBA"/>
    <w:rsid w:val="00ED4FE0"/>
    <w:rsid w:val="00ED58B6"/>
    <w:rsid w:val="00ED79B2"/>
    <w:rsid w:val="00EE0B4C"/>
    <w:rsid w:val="00EE0CB9"/>
    <w:rsid w:val="00EE1569"/>
    <w:rsid w:val="00EE27E4"/>
    <w:rsid w:val="00EE2C7A"/>
    <w:rsid w:val="00EE5529"/>
    <w:rsid w:val="00EE6BC0"/>
    <w:rsid w:val="00EE7260"/>
    <w:rsid w:val="00EF08A8"/>
    <w:rsid w:val="00EF0A92"/>
    <w:rsid w:val="00EF0B4C"/>
    <w:rsid w:val="00EF123F"/>
    <w:rsid w:val="00EF1DAF"/>
    <w:rsid w:val="00EF1FE7"/>
    <w:rsid w:val="00EF2AC6"/>
    <w:rsid w:val="00EF3A15"/>
    <w:rsid w:val="00EF4BE6"/>
    <w:rsid w:val="00EF70F0"/>
    <w:rsid w:val="00EF79CE"/>
    <w:rsid w:val="00EF79EF"/>
    <w:rsid w:val="00F00411"/>
    <w:rsid w:val="00F015EC"/>
    <w:rsid w:val="00F01BF5"/>
    <w:rsid w:val="00F02467"/>
    <w:rsid w:val="00F03FC0"/>
    <w:rsid w:val="00F04B3F"/>
    <w:rsid w:val="00F05D0B"/>
    <w:rsid w:val="00F06375"/>
    <w:rsid w:val="00F06AF3"/>
    <w:rsid w:val="00F07884"/>
    <w:rsid w:val="00F10405"/>
    <w:rsid w:val="00F113DF"/>
    <w:rsid w:val="00F11CD9"/>
    <w:rsid w:val="00F12477"/>
    <w:rsid w:val="00F131AA"/>
    <w:rsid w:val="00F135C2"/>
    <w:rsid w:val="00F139B6"/>
    <w:rsid w:val="00F1580F"/>
    <w:rsid w:val="00F167BB"/>
    <w:rsid w:val="00F169B6"/>
    <w:rsid w:val="00F17F31"/>
    <w:rsid w:val="00F206C0"/>
    <w:rsid w:val="00F207AB"/>
    <w:rsid w:val="00F20C45"/>
    <w:rsid w:val="00F210C8"/>
    <w:rsid w:val="00F225FE"/>
    <w:rsid w:val="00F23339"/>
    <w:rsid w:val="00F23D47"/>
    <w:rsid w:val="00F23FD8"/>
    <w:rsid w:val="00F2431A"/>
    <w:rsid w:val="00F24906"/>
    <w:rsid w:val="00F24BB5"/>
    <w:rsid w:val="00F25485"/>
    <w:rsid w:val="00F30987"/>
    <w:rsid w:val="00F3112D"/>
    <w:rsid w:val="00F31B2E"/>
    <w:rsid w:val="00F31C9B"/>
    <w:rsid w:val="00F325EB"/>
    <w:rsid w:val="00F32ECC"/>
    <w:rsid w:val="00F3428B"/>
    <w:rsid w:val="00F34875"/>
    <w:rsid w:val="00F35BFB"/>
    <w:rsid w:val="00F375EB"/>
    <w:rsid w:val="00F37C1A"/>
    <w:rsid w:val="00F37D50"/>
    <w:rsid w:val="00F40A63"/>
    <w:rsid w:val="00F40FC3"/>
    <w:rsid w:val="00F42D1F"/>
    <w:rsid w:val="00F42F5C"/>
    <w:rsid w:val="00F43168"/>
    <w:rsid w:val="00F437B7"/>
    <w:rsid w:val="00F449C6"/>
    <w:rsid w:val="00F453D7"/>
    <w:rsid w:val="00F454B6"/>
    <w:rsid w:val="00F45CE5"/>
    <w:rsid w:val="00F464DA"/>
    <w:rsid w:val="00F471FF"/>
    <w:rsid w:val="00F47433"/>
    <w:rsid w:val="00F479EF"/>
    <w:rsid w:val="00F514C2"/>
    <w:rsid w:val="00F51818"/>
    <w:rsid w:val="00F522EB"/>
    <w:rsid w:val="00F52A46"/>
    <w:rsid w:val="00F53473"/>
    <w:rsid w:val="00F54955"/>
    <w:rsid w:val="00F54D10"/>
    <w:rsid w:val="00F56064"/>
    <w:rsid w:val="00F5693E"/>
    <w:rsid w:val="00F569E7"/>
    <w:rsid w:val="00F56B5E"/>
    <w:rsid w:val="00F6178D"/>
    <w:rsid w:val="00F62F72"/>
    <w:rsid w:val="00F632A6"/>
    <w:rsid w:val="00F635C5"/>
    <w:rsid w:val="00F63835"/>
    <w:rsid w:val="00F63F7C"/>
    <w:rsid w:val="00F63FE6"/>
    <w:rsid w:val="00F67E7D"/>
    <w:rsid w:val="00F74611"/>
    <w:rsid w:val="00F7741C"/>
    <w:rsid w:val="00F81936"/>
    <w:rsid w:val="00F82109"/>
    <w:rsid w:val="00F82F7F"/>
    <w:rsid w:val="00F836E0"/>
    <w:rsid w:val="00F84D7A"/>
    <w:rsid w:val="00F84E05"/>
    <w:rsid w:val="00F85738"/>
    <w:rsid w:val="00F85DD0"/>
    <w:rsid w:val="00F85EC5"/>
    <w:rsid w:val="00F864C9"/>
    <w:rsid w:val="00F86A1E"/>
    <w:rsid w:val="00F90276"/>
    <w:rsid w:val="00F9077C"/>
    <w:rsid w:val="00F9187A"/>
    <w:rsid w:val="00F91B21"/>
    <w:rsid w:val="00F91C0A"/>
    <w:rsid w:val="00F92FAF"/>
    <w:rsid w:val="00F94D2B"/>
    <w:rsid w:val="00F97B35"/>
    <w:rsid w:val="00F97E9D"/>
    <w:rsid w:val="00FA0E98"/>
    <w:rsid w:val="00FA191F"/>
    <w:rsid w:val="00FA23F5"/>
    <w:rsid w:val="00FA40AB"/>
    <w:rsid w:val="00FA4374"/>
    <w:rsid w:val="00FA50C0"/>
    <w:rsid w:val="00FA520B"/>
    <w:rsid w:val="00FA55CD"/>
    <w:rsid w:val="00FA6061"/>
    <w:rsid w:val="00FA71CB"/>
    <w:rsid w:val="00FA7235"/>
    <w:rsid w:val="00FA7E17"/>
    <w:rsid w:val="00FB0E6A"/>
    <w:rsid w:val="00FB2AA3"/>
    <w:rsid w:val="00FB3674"/>
    <w:rsid w:val="00FB40B0"/>
    <w:rsid w:val="00FB4EB9"/>
    <w:rsid w:val="00FB72A0"/>
    <w:rsid w:val="00FB7584"/>
    <w:rsid w:val="00FB7C04"/>
    <w:rsid w:val="00FC1B05"/>
    <w:rsid w:val="00FC2857"/>
    <w:rsid w:val="00FC32FB"/>
    <w:rsid w:val="00FC41D3"/>
    <w:rsid w:val="00FC4721"/>
    <w:rsid w:val="00FC4D0B"/>
    <w:rsid w:val="00FC5A13"/>
    <w:rsid w:val="00FC7A5B"/>
    <w:rsid w:val="00FC7F61"/>
    <w:rsid w:val="00FD0978"/>
    <w:rsid w:val="00FD0D33"/>
    <w:rsid w:val="00FD1B48"/>
    <w:rsid w:val="00FD1F0B"/>
    <w:rsid w:val="00FD2C52"/>
    <w:rsid w:val="00FD2FF3"/>
    <w:rsid w:val="00FD330F"/>
    <w:rsid w:val="00FD454C"/>
    <w:rsid w:val="00FD56E7"/>
    <w:rsid w:val="00FD5AA1"/>
    <w:rsid w:val="00FD6963"/>
    <w:rsid w:val="00FE1A34"/>
    <w:rsid w:val="00FE2C36"/>
    <w:rsid w:val="00FE3265"/>
    <w:rsid w:val="00FE367B"/>
    <w:rsid w:val="00FE397F"/>
    <w:rsid w:val="00FE5C6A"/>
    <w:rsid w:val="00FE5D6B"/>
    <w:rsid w:val="00FE7842"/>
    <w:rsid w:val="00FE78BE"/>
    <w:rsid w:val="00FF1B1D"/>
    <w:rsid w:val="00FF1E39"/>
    <w:rsid w:val="00FF2260"/>
    <w:rsid w:val="00FF2A09"/>
    <w:rsid w:val="00FF30FD"/>
    <w:rsid w:val="00FF40E4"/>
    <w:rsid w:val="00FF4B95"/>
    <w:rsid w:val="00FF4BB8"/>
    <w:rsid w:val="00FF4F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28" w:qFormat="1"/>
    <w:lsdException w:name="heading 7" w:uiPriority="28" w:qFormat="1"/>
    <w:lsdException w:name="heading 8" w:uiPriority="28" w:qFormat="1"/>
    <w:lsdException w:name="heading 9" w:uiPriority="2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6"/>
    <w:lsdException w:name="List Bullet 2" w:uiPriority="14"/>
    <w:lsdException w:name="List Bullet 5" w:uiPriority="0"/>
    <w:lsdException w:name="Title" w:semiHidden="0" w:uiPriority="0" w:unhideWhenUsed="0" w:qFormat="1"/>
    <w:lsdException w:name="Default Paragraph Font" w:uiPriority="1"/>
    <w:lsdException w:name="Body Text" w:uiPriority="6"/>
    <w:lsdException w:name="Subtitle" w:semiHidden="0" w:uiPriority="59" w:unhideWhenUsed="0" w:qFormat="1"/>
    <w:lsdException w:name="Strong" w:semiHidden="0" w:uiPriority="11"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59"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6A32BB"/>
    <w:pPr>
      <w:jc w:val="both"/>
    </w:pPr>
    <w:rPr>
      <w:rFonts w:ascii="Verdana" w:hAnsi="Verdana"/>
      <w:sz w:val="20"/>
    </w:rPr>
  </w:style>
  <w:style w:type="paragraph" w:styleId="Heading1">
    <w:name w:val="heading 1"/>
    <w:basedOn w:val="Normal"/>
    <w:next w:val="Normal"/>
    <w:link w:val="Heading1Char"/>
    <w:uiPriority w:val="1"/>
    <w:qFormat/>
    <w:rsid w:val="005C5563"/>
    <w:pPr>
      <w:numPr>
        <w:numId w:val="1"/>
      </w:numPr>
      <w:spacing w:after="240" w:line="240" w:lineRule="auto"/>
      <w:ind w:left="851" w:hanging="851"/>
      <w:outlineLvl w:val="0"/>
    </w:pPr>
    <w:rPr>
      <w:rFonts w:eastAsia="Times New Roman" w:cs="Times New Roman"/>
      <w:b/>
      <w:caps/>
      <w:sz w:val="24"/>
    </w:rPr>
  </w:style>
  <w:style w:type="paragraph" w:styleId="Heading2">
    <w:name w:val="heading 2"/>
    <w:basedOn w:val="Normal"/>
    <w:next w:val="Normal"/>
    <w:link w:val="Heading2Char"/>
    <w:uiPriority w:val="1"/>
    <w:unhideWhenUsed/>
    <w:qFormat/>
    <w:rsid w:val="005C5563"/>
    <w:pPr>
      <w:numPr>
        <w:ilvl w:val="1"/>
        <w:numId w:val="1"/>
      </w:numPr>
      <w:spacing w:before="120" w:after="240" w:line="240" w:lineRule="auto"/>
      <w:ind w:left="851" w:hanging="851"/>
      <w:outlineLvl w:val="1"/>
    </w:pPr>
    <w:rPr>
      <w:rFonts w:eastAsia="Times New Roman" w:cs="Times New Roman"/>
      <w:b/>
      <w:i/>
      <w:sz w:val="22"/>
      <w:szCs w:val="20"/>
    </w:rPr>
  </w:style>
  <w:style w:type="paragraph" w:styleId="Heading3">
    <w:name w:val="heading 3"/>
    <w:basedOn w:val="Normal"/>
    <w:next w:val="Normal"/>
    <w:link w:val="Heading3Char"/>
    <w:uiPriority w:val="1"/>
    <w:unhideWhenUsed/>
    <w:qFormat/>
    <w:rsid w:val="005C5563"/>
    <w:pPr>
      <w:keepNext/>
      <w:keepLines/>
      <w:numPr>
        <w:ilvl w:val="2"/>
        <w:numId w:val="1"/>
      </w:numPr>
      <w:spacing w:before="200" w:after="120"/>
      <w:ind w:left="851" w:hanging="851"/>
      <w:outlineLvl w:val="2"/>
    </w:pPr>
    <w:rPr>
      <w:rFonts w:eastAsiaTheme="majorEastAsia" w:cstheme="majorBidi"/>
      <w:b/>
      <w:bCs/>
    </w:rPr>
  </w:style>
  <w:style w:type="paragraph" w:styleId="Heading4">
    <w:name w:val="heading 4"/>
    <w:basedOn w:val="Normal"/>
    <w:next w:val="Normal"/>
    <w:link w:val="Heading4Char"/>
    <w:uiPriority w:val="1"/>
    <w:semiHidden/>
    <w:qFormat/>
    <w:rsid w:val="00891AF2"/>
    <w:pPr>
      <w:keepNext/>
      <w:keepLines/>
      <w:spacing w:before="200" w:after="60" w:line="312" w:lineRule="auto"/>
      <w:ind w:left="864" w:hanging="864"/>
      <w:outlineLvl w:val="3"/>
    </w:pPr>
    <w:rPr>
      <w:rFonts w:asciiTheme="majorHAnsi" w:eastAsiaTheme="majorEastAsia" w:hAnsiTheme="majorHAnsi" w:cstheme="majorBidi"/>
      <w:b/>
      <w:bCs/>
      <w:i/>
      <w:iCs/>
      <w:color w:val="4F81BD" w:themeColor="accent1"/>
      <w:sz w:val="19"/>
      <w:szCs w:val="24"/>
      <w:lang w:eastAsia="zh-CN"/>
    </w:rPr>
  </w:style>
  <w:style w:type="paragraph" w:styleId="Heading5">
    <w:name w:val="heading 5"/>
    <w:basedOn w:val="Normal"/>
    <w:next w:val="Normal"/>
    <w:link w:val="Heading5Char"/>
    <w:uiPriority w:val="1"/>
    <w:semiHidden/>
    <w:qFormat/>
    <w:rsid w:val="00891AF2"/>
    <w:pPr>
      <w:keepNext/>
      <w:keepLines/>
      <w:spacing w:before="200" w:after="60" w:line="312" w:lineRule="auto"/>
      <w:ind w:left="1008" w:hanging="1008"/>
      <w:outlineLvl w:val="4"/>
    </w:pPr>
    <w:rPr>
      <w:rFonts w:asciiTheme="majorHAnsi" w:eastAsiaTheme="majorEastAsia" w:hAnsiTheme="majorHAnsi" w:cstheme="majorBidi"/>
      <w:color w:val="243F60" w:themeColor="accent1" w:themeShade="7F"/>
      <w:sz w:val="19"/>
      <w:szCs w:val="24"/>
      <w:lang w:eastAsia="zh-CN"/>
    </w:rPr>
  </w:style>
  <w:style w:type="paragraph" w:styleId="Heading6">
    <w:name w:val="heading 6"/>
    <w:basedOn w:val="Normal"/>
    <w:next w:val="Normal"/>
    <w:link w:val="Heading6Char"/>
    <w:uiPriority w:val="28"/>
    <w:semiHidden/>
    <w:qFormat/>
    <w:rsid w:val="00891AF2"/>
    <w:pPr>
      <w:keepNext/>
      <w:keepLines/>
      <w:spacing w:before="200" w:after="60" w:line="312" w:lineRule="auto"/>
      <w:ind w:left="1152" w:hanging="1152"/>
      <w:outlineLvl w:val="5"/>
    </w:pPr>
    <w:rPr>
      <w:rFonts w:asciiTheme="majorHAnsi" w:eastAsiaTheme="majorEastAsia" w:hAnsiTheme="majorHAnsi" w:cstheme="majorBidi"/>
      <w:i/>
      <w:iCs/>
      <w:color w:val="243F60" w:themeColor="accent1" w:themeShade="7F"/>
      <w:sz w:val="19"/>
      <w:szCs w:val="24"/>
      <w:lang w:eastAsia="zh-CN"/>
    </w:rPr>
  </w:style>
  <w:style w:type="paragraph" w:styleId="Heading7">
    <w:name w:val="heading 7"/>
    <w:basedOn w:val="Normal"/>
    <w:next w:val="Normal"/>
    <w:link w:val="Heading7Char"/>
    <w:uiPriority w:val="28"/>
    <w:semiHidden/>
    <w:qFormat/>
    <w:rsid w:val="00891AF2"/>
    <w:pPr>
      <w:keepNext/>
      <w:keepLines/>
      <w:spacing w:before="200" w:after="60" w:line="312" w:lineRule="auto"/>
      <w:ind w:left="1296" w:hanging="1296"/>
      <w:outlineLvl w:val="6"/>
    </w:pPr>
    <w:rPr>
      <w:rFonts w:asciiTheme="majorHAnsi" w:eastAsiaTheme="majorEastAsia" w:hAnsiTheme="majorHAnsi" w:cstheme="majorBidi"/>
      <w:i/>
      <w:iCs/>
      <w:color w:val="404040" w:themeColor="text1" w:themeTint="BF"/>
      <w:sz w:val="19"/>
      <w:szCs w:val="24"/>
      <w:lang w:eastAsia="zh-CN"/>
    </w:rPr>
  </w:style>
  <w:style w:type="paragraph" w:styleId="Heading8">
    <w:name w:val="heading 8"/>
    <w:basedOn w:val="Normal"/>
    <w:next w:val="Normal"/>
    <w:link w:val="Heading8Char"/>
    <w:uiPriority w:val="28"/>
    <w:semiHidden/>
    <w:qFormat/>
    <w:rsid w:val="00891AF2"/>
    <w:pPr>
      <w:keepNext/>
      <w:keepLines/>
      <w:spacing w:before="200" w:after="60" w:line="312" w:lineRule="auto"/>
      <w:ind w:left="1440" w:hanging="1440"/>
      <w:outlineLvl w:val="7"/>
    </w:pPr>
    <w:rPr>
      <w:rFonts w:asciiTheme="majorHAnsi" w:eastAsiaTheme="majorEastAsia" w:hAnsiTheme="majorHAnsi" w:cstheme="majorBidi"/>
      <w:color w:val="404040" w:themeColor="text1" w:themeTint="BF"/>
      <w:sz w:val="19"/>
      <w:szCs w:val="20"/>
      <w:lang w:eastAsia="zh-CN"/>
    </w:rPr>
  </w:style>
  <w:style w:type="paragraph" w:styleId="Heading9">
    <w:name w:val="heading 9"/>
    <w:basedOn w:val="Normal"/>
    <w:next w:val="Normal"/>
    <w:link w:val="Heading9Char"/>
    <w:uiPriority w:val="28"/>
    <w:semiHidden/>
    <w:qFormat/>
    <w:rsid w:val="00891AF2"/>
    <w:pPr>
      <w:keepNext/>
      <w:keepLines/>
      <w:spacing w:before="200" w:after="60" w:line="312" w:lineRule="auto"/>
      <w:ind w:left="1584" w:hanging="1584"/>
      <w:outlineLvl w:val="8"/>
    </w:pPr>
    <w:rPr>
      <w:rFonts w:asciiTheme="majorHAnsi" w:eastAsiaTheme="majorEastAsia" w:hAnsiTheme="majorHAnsi" w:cstheme="majorBidi"/>
      <w:i/>
      <w:iCs/>
      <w:color w:val="404040" w:themeColor="text1" w:themeTint="BF"/>
      <w:sz w:val="19"/>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C5563"/>
    <w:rPr>
      <w:rFonts w:ascii="Verdana" w:eastAsia="Times New Roman" w:hAnsi="Verdana" w:cs="Times New Roman"/>
      <w:b/>
      <w:caps/>
      <w:sz w:val="24"/>
    </w:rPr>
  </w:style>
  <w:style w:type="character" w:customStyle="1" w:styleId="Heading2Char">
    <w:name w:val="Heading 2 Char"/>
    <w:basedOn w:val="DefaultParagraphFont"/>
    <w:link w:val="Heading2"/>
    <w:uiPriority w:val="1"/>
    <w:rsid w:val="005C5563"/>
    <w:rPr>
      <w:rFonts w:ascii="Verdana" w:eastAsia="Times New Roman" w:hAnsi="Verdana" w:cs="Times New Roman"/>
      <w:b/>
      <w:i/>
      <w:szCs w:val="20"/>
    </w:rPr>
  </w:style>
  <w:style w:type="character" w:customStyle="1" w:styleId="Heading3Char">
    <w:name w:val="Heading 3 Char"/>
    <w:basedOn w:val="DefaultParagraphFont"/>
    <w:link w:val="Heading3"/>
    <w:uiPriority w:val="1"/>
    <w:rsid w:val="005C5563"/>
    <w:rPr>
      <w:rFonts w:ascii="Verdana" w:eastAsiaTheme="majorEastAsia" w:hAnsi="Verdana" w:cstheme="majorBidi"/>
      <w:b/>
      <w:bCs/>
      <w:sz w:val="20"/>
    </w:rPr>
  </w:style>
  <w:style w:type="character" w:customStyle="1" w:styleId="Heading4Char">
    <w:name w:val="Heading 4 Char"/>
    <w:basedOn w:val="DefaultParagraphFont"/>
    <w:link w:val="Heading4"/>
    <w:uiPriority w:val="1"/>
    <w:semiHidden/>
    <w:rsid w:val="00891AF2"/>
    <w:rPr>
      <w:rFonts w:asciiTheme="majorHAnsi" w:eastAsiaTheme="majorEastAsia" w:hAnsiTheme="majorHAnsi" w:cstheme="majorBidi"/>
      <w:b/>
      <w:bCs/>
      <w:i/>
      <w:iCs/>
      <w:color w:val="4F81BD" w:themeColor="accent1"/>
      <w:sz w:val="19"/>
      <w:szCs w:val="24"/>
      <w:lang w:eastAsia="zh-CN"/>
    </w:rPr>
  </w:style>
  <w:style w:type="character" w:customStyle="1" w:styleId="Heading5Char">
    <w:name w:val="Heading 5 Char"/>
    <w:basedOn w:val="DefaultParagraphFont"/>
    <w:link w:val="Heading5"/>
    <w:uiPriority w:val="1"/>
    <w:semiHidden/>
    <w:rsid w:val="00891AF2"/>
    <w:rPr>
      <w:rFonts w:asciiTheme="majorHAnsi" w:eastAsiaTheme="majorEastAsia" w:hAnsiTheme="majorHAnsi" w:cstheme="majorBidi"/>
      <w:color w:val="243F60" w:themeColor="accent1" w:themeShade="7F"/>
      <w:sz w:val="19"/>
      <w:szCs w:val="24"/>
      <w:lang w:eastAsia="zh-CN"/>
    </w:rPr>
  </w:style>
  <w:style w:type="character" w:customStyle="1" w:styleId="Heading6Char">
    <w:name w:val="Heading 6 Char"/>
    <w:basedOn w:val="DefaultParagraphFont"/>
    <w:link w:val="Heading6"/>
    <w:uiPriority w:val="28"/>
    <w:semiHidden/>
    <w:rsid w:val="00891AF2"/>
    <w:rPr>
      <w:rFonts w:asciiTheme="majorHAnsi" w:eastAsiaTheme="majorEastAsia" w:hAnsiTheme="majorHAnsi" w:cstheme="majorBidi"/>
      <w:i/>
      <w:iCs/>
      <w:color w:val="243F60" w:themeColor="accent1" w:themeShade="7F"/>
      <w:sz w:val="19"/>
      <w:szCs w:val="24"/>
      <w:lang w:eastAsia="zh-CN"/>
    </w:rPr>
  </w:style>
  <w:style w:type="character" w:customStyle="1" w:styleId="Heading7Char">
    <w:name w:val="Heading 7 Char"/>
    <w:basedOn w:val="DefaultParagraphFont"/>
    <w:link w:val="Heading7"/>
    <w:uiPriority w:val="28"/>
    <w:semiHidden/>
    <w:rsid w:val="00891AF2"/>
    <w:rPr>
      <w:rFonts w:asciiTheme="majorHAnsi" w:eastAsiaTheme="majorEastAsia" w:hAnsiTheme="majorHAnsi" w:cstheme="majorBidi"/>
      <w:i/>
      <w:iCs/>
      <w:color w:val="404040" w:themeColor="text1" w:themeTint="BF"/>
      <w:sz w:val="19"/>
      <w:szCs w:val="24"/>
      <w:lang w:eastAsia="zh-CN"/>
    </w:rPr>
  </w:style>
  <w:style w:type="character" w:customStyle="1" w:styleId="Heading8Char">
    <w:name w:val="Heading 8 Char"/>
    <w:basedOn w:val="DefaultParagraphFont"/>
    <w:link w:val="Heading8"/>
    <w:uiPriority w:val="28"/>
    <w:semiHidden/>
    <w:rsid w:val="00891AF2"/>
    <w:rPr>
      <w:rFonts w:asciiTheme="majorHAnsi" w:eastAsiaTheme="majorEastAsia" w:hAnsiTheme="majorHAnsi" w:cstheme="majorBidi"/>
      <w:color w:val="404040" w:themeColor="text1" w:themeTint="BF"/>
      <w:sz w:val="19"/>
      <w:szCs w:val="20"/>
      <w:lang w:eastAsia="zh-CN"/>
    </w:rPr>
  </w:style>
  <w:style w:type="character" w:customStyle="1" w:styleId="Heading9Char">
    <w:name w:val="Heading 9 Char"/>
    <w:basedOn w:val="DefaultParagraphFont"/>
    <w:link w:val="Heading9"/>
    <w:uiPriority w:val="28"/>
    <w:semiHidden/>
    <w:rsid w:val="00891AF2"/>
    <w:rPr>
      <w:rFonts w:asciiTheme="majorHAnsi" w:eastAsiaTheme="majorEastAsia" w:hAnsiTheme="majorHAnsi" w:cstheme="majorBidi"/>
      <w:i/>
      <w:iCs/>
      <w:color w:val="404040" w:themeColor="text1" w:themeTint="BF"/>
      <w:sz w:val="19"/>
      <w:szCs w:val="20"/>
      <w:lang w:eastAsia="zh-CN"/>
    </w:rPr>
  </w:style>
  <w:style w:type="paragraph" w:styleId="ListParagraph">
    <w:name w:val="List Paragraph"/>
    <w:aliases w:val="Normal bullet 2,List Paragraph1,Bullet 1,Listă paragraf,Paragraph,Bullet EY,List L1,List Paragraph2,ERP-List Paragraph,List Paragraph11,Bullet list,Normal bullet 21,List Paragraph111,Bullet list1,Numbered List,Bullets,Yellow Bullet,lp1"/>
    <w:basedOn w:val="Normal"/>
    <w:link w:val="ListParagraphChar"/>
    <w:uiPriority w:val="34"/>
    <w:qFormat/>
    <w:rsid w:val="00665828"/>
    <w:pPr>
      <w:numPr>
        <w:numId w:val="5"/>
      </w:numPr>
    </w:pPr>
  </w:style>
  <w:style w:type="character" w:customStyle="1" w:styleId="ListParagraphChar">
    <w:name w:val="List Paragraph Char"/>
    <w:aliases w:val="Normal bullet 2 Char,List Paragraph1 Char,Bullet 1 Char,Listă paragraf Char,Paragraph Char,Bullet EY Char,List L1 Char,List Paragraph2 Char,ERP-List Paragraph Char,List Paragraph11 Char,Bullet list Char,Normal bullet 21 Char,lp1 Char"/>
    <w:link w:val="ListParagraph"/>
    <w:uiPriority w:val="34"/>
    <w:qFormat/>
    <w:rsid w:val="00665828"/>
    <w:rPr>
      <w:rFonts w:ascii="Verdana" w:hAnsi="Verdana"/>
      <w:sz w:val="20"/>
    </w:rPr>
  </w:style>
  <w:style w:type="character" w:styleId="Hyperlink">
    <w:name w:val="Hyperlink"/>
    <w:basedOn w:val="DefaultParagraphFont"/>
    <w:uiPriority w:val="99"/>
    <w:unhideWhenUsed/>
    <w:rsid w:val="0053536C"/>
    <w:rPr>
      <w:color w:val="0000FF" w:themeColor="hyperlink"/>
      <w:u w:val="single"/>
    </w:rPr>
  </w:style>
  <w:style w:type="paragraph" w:styleId="BalloonText">
    <w:name w:val="Balloon Text"/>
    <w:basedOn w:val="Normal"/>
    <w:link w:val="BalloonTextChar"/>
    <w:uiPriority w:val="99"/>
    <w:semiHidden/>
    <w:unhideWhenUsed/>
    <w:rsid w:val="00D933FA"/>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D933FA"/>
    <w:rPr>
      <w:rFonts w:ascii="Tahoma" w:hAnsi="Tahoma" w:cs="Tahoma"/>
      <w:szCs w:val="16"/>
    </w:rPr>
  </w:style>
  <w:style w:type="paragraph" w:styleId="Footer">
    <w:name w:val="footer"/>
    <w:basedOn w:val="Normal"/>
    <w:link w:val="FooterChar"/>
    <w:uiPriority w:val="99"/>
    <w:unhideWhenUsed/>
    <w:rsid w:val="007A5EF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A5EFF"/>
  </w:style>
  <w:style w:type="paragraph" w:styleId="Header">
    <w:name w:val="header"/>
    <w:basedOn w:val="Normal"/>
    <w:link w:val="HeaderChar"/>
    <w:uiPriority w:val="99"/>
    <w:unhideWhenUsed/>
    <w:rsid w:val="007A5EFF"/>
    <w:pPr>
      <w:tabs>
        <w:tab w:val="center" w:pos="4536"/>
        <w:tab w:val="right" w:pos="9072"/>
      </w:tabs>
      <w:spacing w:after="0" w:line="240" w:lineRule="auto"/>
    </w:pPr>
  </w:style>
  <w:style w:type="character" w:customStyle="1" w:styleId="HeaderChar">
    <w:name w:val="Header Char"/>
    <w:basedOn w:val="DefaultParagraphFont"/>
    <w:link w:val="Header"/>
    <w:uiPriority w:val="99"/>
    <w:rsid w:val="007A5EFF"/>
  </w:style>
  <w:style w:type="paragraph" w:customStyle="1" w:styleId="ZCom">
    <w:name w:val="Z_Com"/>
    <w:basedOn w:val="Normal"/>
    <w:next w:val="ZDGName"/>
    <w:rsid w:val="007A5EFF"/>
    <w:pPr>
      <w:widowControl w:val="0"/>
      <w:autoSpaceDE w:val="0"/>
      <w:autoSpaceDN w:val="0"/>
      <w:spacing w:after="0" w:line="240" w:lineRule="auto"/>
      <w:ind w:right="85"/>
    </w:pPr>
    <w:rPr>
      <w:rFonts w:ascii="Arial" w:eastAsia="Times New Roman" w:hAnsi="Arial" w:cs="Arial"/>
      <w:sz w:val="24"/>
      <w:szCs w:val="24"/>
      <w:lang w:val="fr-FR" w:eastAsia="en-GB"/>
    </w:rPr>
  </w:style>
  <w:style w:type="paragraph" w:customStyle="1" w:styleId="ZDGName">
    <w:name w:val="Z_DGName"/>
    <w:basedOn w:val="Normal"/>
    <w:rsid w:val="007A5EFF"/>
    <w:pPr>
      <w:widowControl w:val="0"/>
      <w:autoSpaceDE w:val="0"/>
      <w:autoSpaceDN w:val="0"/>
      <w:spacing w:after="0" w:line="240" w:lineRule="auto"/>
      <w:ind w:right="85"/>
    </w:pPr>
    <w:rPr>
      <w:rFonts w:ascii="Arial" w:eastAsia="Times New Roman" w:hAnsi="Arial" w:cs="Arial"/>
      <w:sz w:val="16"/>
      <w:szCs w:val="16"/>
      <w:lang w:val="fr-FR" w:eastAsia="en-GB"/>
    </w:rPr>
  </w:style>
  <w:style w:type="paragraph" w:customStyle="1" w:styleId="FooterDate">
    <w:name w:val="Footer Date"/>
    <w:basedOn w:val="Footer"/>
    <w:link w:val="FooterDateChar"/>
    <w:rsid w:val="007A5EFF"/>
    <w:pPr>
      <w:tabs>
        <w:tab w:val="clear" w:pos="4536"/>
        <w:tab w:val="clear" w:pos="9072"/>
        <w:tab w:val="right" w:pos="9240"/>
      </w:tabs>
      <w:ind w:right="-567"/>
    </w:pPr>
    <w:rPr>
      <w:rFonts w:eastAsia="Times New Roman" w:cs="Times New Roman"/>
      <w:sz w:val="16"/>
      <w:szCs w:val="20"/>
      <w:lang w:val="it-IT"/>
    </w:rPr>
  </w:style>
  <w:style w:type="character" w:customStyle="1" w:styleId="FooterDateChar">
    <w:name w:val="Footer Date Char"/>
    <w:link w:val="FooterDate"/>
    <w:rsid w:val="007A5EFF"/>
    <w:rPr>
      <w:rFonts w:ascii="Verdana" w:eastAsia="Times New Roman" w:hAnsi="Verdana" w:cs="Times New Roman"/>
      <w:sz w:val="16"/>
      <w:szCs w:val="20"/>
      <w:lang w:val="it-IT"/>
    </w:rPr>
  </w:style>
  <w:style w:type="paragraph" w:customStyle="1" w:styleId="HeaderTitle">
    <w:name w:val="Header Title"/>
    <w:basedOn w:val="Normal"/>
    <w:link w:val="HeaderTitleChar"/>
    <w:rsid w:val="007A5EFF"/>
    <w:pPr>
      <w:spacing w:after="240" w:line="240" w:lineRule="auto"/>
      <w:jc w:val="center"/>
    </w:pPr>
    <w:rPr>
      <w:rFonts w:eastAsia="Times New Roman" w:cs="Times New Roman"/>
      <w:b/>
      <w:color w:val="808080"/>
      <w:sz w:val="18"/>
      <w:szCs w:val="18"/>
      <w:lang w:val="fr-FR"/>
    </w:rPr>
  </w:style>
  <w:style w:type="character" w:customStyle="1" w:styleId="HeaderTitleChar">
    <w:name w:val="Header Title Char"/>
    <w:link w:val="HeaderTitle"/>
    <w:rsid w:val="007A5EFF"/>
    <w:rPr>
      <w:rFonts w:ascii="Verdana" w:eastAsia="Times New Roman" w:hAnsi="Verdana" w:cs="Times New Roman"/>
      <w:b/>
      <w:color w:val="808080"/>
      <w:sz w:val="18"/>
      <w:szCs w:val="18"/>
      <w:lang w:val="fr-FR"/>
    </w:rPr>
  </w:style>
  <w:style w:type="paragraph" w:styleId="TOCHeading">
    <w:name w:val="TOC Heading"/>
    <w:basedOn w:val="Heading1"/>
    <w:next w:val="Normal"/>
    <w:uiPriority w:val="39"/>
    <w:unhideWhenUsed/>
    <w:qFormat/>
    <w:rsid w:val="00347637"/>
    <w:pPr>
      <w:keepNext/>
      <w:keepLines/>
      <w:numPr>
        <w:numId w:val="0"/>
      </w:numPr>
      <w:spacing w:before="480" w:after="0" w:line="276" w:lineRule="auto"/>
      <w:outlineLvl w:val="9"/>
    </w:pPr>
    <w:rPr>
      <w:rFonts w:asciiTheme="majorHAnsi" w:eastAsiaTheme="majorEastAsia" w:hAnsiTheme="majorHAnsi" w:cstheme="majorBidi"/>
      <w:bCs/>
      <w:caps w:val="0"/>
      <w:color w:val="365F91" w:themeColor="accent1" w:themeShade="BF"/>
      <w:sz w:val="28"/>
      <w:szCs w:val="28"/>
      <w:lang w:eastAsia="en-GB"/>
    </w:rPr>
  </w:style>
  <w:style w:type="paragraph" w:styleId="TOC1">
    <w:name w:val="toc 1"/>
    <w:basedOn w:val="Normal"/>
    <w:next w:val="Normal"/>
    <w:autoRedefine/>
    <w:uiPriority w:val="39"/>
    <w:unhideWhenUsed/>
    <w:rsid w:val="00800160"/>
    <w:pPr>
      <w:tabs>
        <w:tab w:val="right" w:leader="dot" w:pos="8778"/>
      </w:tabs>
      <w:spacing w:before="240" w:after="120"/>
      <w:ind w:left="720" w:hanging="720"/>
    </w:pPr>
    <w:rPr>
      <w:b/>
      <w:sz w:val="22"/>
    </w:rPr>
  </w:style>
  <w:style w:type="paragraph" w:styleId="TOC2">
    <w:name w:val="toc 2"/>
    <w:basedOn w:val="Normal"/>
    <w:next w:val="Normal"/>
    <w:autoRedefine/>
    <w:uiPriority w:val="39"/>
    <w:unhideWhenUsed/>
    <w:rsid w:val="004C41D6"/>
    <w:pPr>
      <w:tabs>
        <w:tab w:val="left" w:pos="880"/>
        <w:tab w:val="right" w:leader="dot" w:pos="8778"/>
      </w:tabs>
      <w:spacing w:after="100"/>
      <w:ind w:left="941" w:hanging="720"/>
    </w:pPr>
  </w:style>
  <w:style w:type="table" w:styleId="TableGrid">
    <w:name w:val="Table Grid"/>
    <w:aliases w:val="CV1,HTG,CV table,chiffres,Tableau D,Table EY,Table Finalité"/>
    <w:basedOn w:val="TableNormal"/>
    <w:uiPriority w:val="59"/>
    <w:rsid w:val="00E52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47637"/>
    <w:pPr>
      <w:spacing w:after="100"/>
      <w:ind w:left="440"/>
    </w:pPr>
  </w:style>
  <w:style w:type="paragraph" w:styleId="FootnoteText">
    <w:name w:val="footnote text"/>
    <w:aliases w:val="Footnote Text Char1 Char,Footnote Text Char Char Char,Footnote Text Char1 Char Char Char,Footnote Text Char Char Char Char Char,Footnote Text Char1 Char1 Char,Footnote Text Char Char Char1 Char,Schriftart: 9 pt,fn,C,Fußnote,ft"/>
    <w:basedOn w:val="Normal"/>
    <w:link w:val="FootnoteTextChar"/>
    <w:uiPriority w:val="99"/>
    <w:unhideWhenUsed/>
    <w:qFormat/>
    <w:rsid w:val="0011196A"/>
    <w:pPr>
      <w:spacing w:after="0" w:line="240" w:lineRule="auto"/>
    </w:pPr>
    <w:rPr>
      <w:sz w:val="18"/>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 Char,Footnote Text Char Char Char1 Char Char,fn Char"/>
    <w:basedOn w:val="DefaultParagraphFont"/>
    <w:link w:val="FootnoteText"/>
    <w:uiPriority w:val="99"/>
    <w:rsid w:val="0011196A"/>
    <w:rPr>
      <w:rFonts w:ascii="Verdana" w:hAnsi="Verdana"/>
      <w:sz w:val="18"/>
      <w:szCs w:val="20"/>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SUPE,Ref"/>
    <w:basedOn w:val="DefaultParagraphFont"/>
    <w:link w:val="CharCharChar"/>
    <w:uiPriority w:val="99"/>
    <w:qFormat/>
    <w:rsid w:val="0071005F"/>
    <w:rPr>
      <w:vertAlign w:val="superscript"/>
    </w:rPr>
  </w:style>
  <w:style w:type="paragraph" w:customStyle="1" w:styleId="CharCharChar">
    <w:name w:val="Char Char Char"/>
    <w:basedOn w:val="Normal"/>
    <w:link w:val="FootnoteReference"/>
    <w:uiPriority w:val="99"/>
    <w:rsid w:val="00891AF2"/>
    <w:pPr>
      <w:spacing w:after="160" w:line="240" w:lineRule="exact"/>
    </w:pPr>
    <w:rPr>
      <w:vertAlign w:val="superscript"/>
    </w:rPr>
  </w:style>
  <w:style w:type="paragraph" w:styleId="Caption">
    <w:name w:val="caption"/>
    <w:aliases w:val="Tabelkop,Caption-tables,Table legend,Tab_Überschrift,Figure reference,Caption (ALL),Caption - Centre Graphic, Char Char Char,Caption1 Char Char Char Char Char Char Char Char,Caption1 Char Char Char Char Char Char Char Char Tegn Tegn Tegn"/>
    <w:basedOn w:val="Normal"/>
    <w:next w:val="Normal"/>
    <w:link w:val="CaptionChar"/>
    <w:uiPriority w:val="35"/>
    <w:qFormat/>
    <w:rsid w:val="002F0678"/>
    <w:rPr>
      <w:b/>
    </w:rPr>
  </w:style>
  <w:style w:type="character" w:customStyle="1" w:styleId="CaptionChar">
    <w:name w:val="Caption Char"/>
    <w:aliases w:val="Tabelkop Char,Caption-tables Char,Table legend Char,Tab_Überschrift Char,Figure reference Char,Caption (ALL) Char,Caption - Centre Graphic Char, Char Char Char Char,Caption1 Char Char Char Char Char Char Char Char Char"/>
    <w:basedOn w:val="DefaultParagraphFont"/>
    <w:link w:val="Caption"/>
    <w:uiPriority w:val="35"/>
    <w:rsid w:val="002F0678"/>
    <w:rPr>
      <w:rFonts w:ascii="Verdana" w:hAnsi="Verdana"/>
      <w:b/>
      <w:sz w:val="20"/>
    </w:rPr>
  </w:style>
  <w:style w:type="paragraph" w:styleId="Title">
    <w:name w:val="Title"/>
    <w:basedOn w:val="Normal"/>
    <w:next w:val="Normal"/>
    <w:link w:val="TitleChar"/>
    <w:qFormat/>
    <w:rsid w:val="00891AF2"/>
    <w:pPr>
      <w:pBdr>
        <w:bottom w:val="single" w:sz="8" w:space="4" w:color="4F81BD" w:themeColor="accent1"/>
      </w:pBdr>
      <w:spacing w:after="320" w:line="680" w:lineRule="exact"/>
      <w:contextualSpacing/>
    </w:pPr>
    <w:rPr>
      <w:rFonts w:ascii="Volkhov" w:eastAsiaTheme="majorEastAsia" w:hAnsi="Volkhov" w:cstheme="majorBidi"/>
      <w:color w:val="49484D"/>
      <w:spacing w:val="5"/>
      <w:kern w:val="28"/>
      <w:sz w:val="54"/>
      <w:szCs w:val="52"/>
      <w:lang w:eastAsia="zh-CN"/>
    </w:rPr>
  </w:style>
  <w:style w:type="character" w:customStyle="1" w:styleId="TitleChar">
    <w:name w:val="Title Char"/>
    <w:basedOn w:val="DefaultParagraphFont"/>
    <w:link w:val="Title"/>
    <w:rsid w:val="00891AF2"/>
    <w:rPr>
      <w:rFonts w:ascii="Volkhov" w:eastAsiaTheme="majorEastAsia" w:hAnsi="Volkhov" w:cstheme="majorBidi"/>
      <w:color w:val="49484D"/>
      <w:spacing w:val="5"/>
      <w:kern w:val="28"/>
      <w:sz w:val="54"/>
      <w:szCs w:val="52"/>
      <w:lang w:eastAsia="zh-CN"/>
    </w:rPr>
  </w:style>
  <w:style w:type="paragraph" w:styleId="Subtitle">
    <w:name w:val="Subtitle"/>
    <w:basedOn w:val="Normal"/>
    <w:next w:val="Normal"/>
    <w:link w:val="SubtitleChar"/>
    <w:uiPriority w:val="59"/>
    <w:rsid w:val="00891AF2"/>
    <w:pPr>
      <w:numPr>
        <w:ilvl w:val="1"/>
      </w:numPr>
      <w:spacing w:after="60" w:line="312" w:lineRule="auto"/>
    </w:pPr>
    <w:rPr>
      <w:rFonts w:asciiTheme="majorHAnsi" w:eastAsiaTheme="majorEastAsia" w:hAnsiTheme="majorHAnsi" w:cstheme="majorBidi"/>
      <w:i/>
      <w:iCs/>
      <w:color w:val="4F81BD" w:themeColor="accent1"/>
      <w:spacing w:val="15"/>
      <w:sz w:val="19"/>
      <w:szCs w:val="24"/>
      <w:lang w:eastAsia="zh-CN"/>
    </w:rPr>
  </w:style>
  <w:style w:type="character" w:customStyle="1" w:styleId="SubtitleChar">
    <w:name w:val="Subtitle Char"/>
    <w:basedOn w:val="DefaultParagraphFont"/>
    <w:link w:val="Subtitle"/>
    <w:uiPriority w:val="59"/>
    <w:rsid w:val="00891AF2"/>
    <w:rPr>
      <w:rFonts w:asciiTheme="majorHAnsi" w:eastAsiaTheme="majorEastAsia" w:hAnsiTheme="majorHAnsi" w:cstheme="majorBidi"/>
      <w:i/>
      <w:iCs/>
      <w:color w:val="4F81BD" w:themeColor="accent1"/>
      <w:spacing w:val="15"/>
      <w:sz w:val="19"/>
      <w:szCs w:val="24"/>
      <w:lang w:eastAsia="zh-CN"/>
    </w:rPr>
  </w:style>
  <w:style w:type="character" w:styleId="Strong">
    <w:name w:val="Strong"/>
    <w:basedOn w:val="DefaultParagraphFont"/>
    <w:uiPriority w:val="11"/>
    <w:rsid w:val="00891AF2"/>
    <w:rPr>
      <w:b/>
      <w:bCs/>
    </w:rPr>
  </w:style>
  <w:style w:type="paragraph" w:customStyle="1" w:styleId="HervorhebenKursiv">
    <w:name w:val="Hervorheben Kursiv"/>
    <w:basedOn w:val="Normal"/>
    <w:next w:val="Normal"/>
    <w:link w:val="HervorhebenKursivZchn"/>
    <w:uiPriority w:val="2"/>
    <w:qFormat/>
    <w:rsid w:val="00891AF2"/>
    <w:pPr>
      <w:spacing w:before="120" w:after="120" w:line="312" w:lineRule="auto"/>
    </w:pPr>
    <w:rPr>
      <w:rFonts w:ascii="Arial" w:eastAsia="SimSun" w:hAnsi="Arial" w:cs="Times New Roman"/>
      <w:i/>
      <w:sz w:val="19"/>
      <w:szCs w:val="24"/>
      <w:lang w:eastAsia="zh-CN"/>
    </w:rPr>
  </w:style>
  <w:style w:type="character" w:customStyle="1" w:styleId="HervorhebenKursivZchn">
    <w:name w:val="Hervorheben Kursiv Zchn"/>
    <w:basedOn w:val="DefaultParagraphFont"/>
    <w:link w:val="HervorhebenKursiv"/>
    <w:uiPriority w:val="2"/>
    <w:rsid w:val="00891AF2"/>
    <w:rPr>
      <w:rFonts w:ascii="Arial" w:eastAsia="SimSun" w:hAnsi="Arial" w:cs="Times New Roman"/>
      <w:i/>
      <w:sz w:val="19"/>
      <w:szCs w:val="24"/>
      <w:lang w:eastAsia="zh-CN"/>
    </w:rPr>
  </w:style>
  <w:style w:type="paragraph" w:styleId="NoSpacing">
    <w:name w:val="No Spacing"/>
    <w:uiPriority w:val="99"/>
    <w:rsid w:val="00891AF2"/>
    <w:pPr>
      <w:spacing w:after="0" w:line="240" w:lineRule="auto"/>
    </w:pPr>
    <w:rPr>
      <w:rFonts w:ascii="Times New Roman" w:eastAsia="SimSun" w:hAnsi="Times New Roman" w:cs="Times New Roman"/>
      <w:sz w:val="20"/>
      <w:szCs w:val="20"/>
      <w:lang w:val="de-AT"/>
    </w:rPr>
  </w:style>
  <w:style w:type="paragraph" w:styleId="Quote">
    <w:name w:val="Quote"/>
    <w:basedOn w:val="Normal"/>
    <w:next w:val="Normal"/>
    <w:link w:val="QuoteChar"/>
    <w:uiPriority w:val="99"/>
    <w:rsid w:val="00891AF2"/>
    <w:pPr>
      <w:spacing w:after="60" w:line="312" w:lineRule="auto"/>
    </w:pPr>
    <w:rPr>
      <w:rFonts w:ascii="Arial" w:eastAsia="SimSun" w:hAnsi="Arial" w:cs="Times New Roman"/>
      <w:i/>
      <w:iCs/>
      <w:color w:val="000000" w:themeColor="text1"/>
      <w:sz w:val="19"/>
      <w:szCs w:val="24"/>
      <w:lang w:eastAsia="zh-CN"/>
    </w:rPr>
  </w:style>
  <w:style w:type="character" w:customStyle="1" w:styleId="QuoteChar">
    <w:name w:val="Quote Char"/>
    <w:basedOn w:val="DefaultParagraphFont"/>
    <w:link w:val="Quote"/>
    <w:uiPriority w:val="99"/>
    <w:rsid w:val="00891AF2"/>
    <w:rPr>
      <w:rFonts w:ascii="Arial" w:eastAsia="SimSun" w:hAnsi="Arial" w:cs="Times New Roman"/>
      <w:i/>
      <w:iCs/>
      <w:color w:val="000000" w:themeColor="text1"/>
      <w:sz w:val="19"/>
      <w:szCs w:val="24"/>
      <w:lang w:eastAsia="zh-CN"/>
    </w:rPr>
  </w:style>
  <w:style w:type="paragraph" w:styleId="IntenseQuote">
    <w:name w:val="Intense Quote"/>
    <w:basedOn w:val="Normal"/>
    <w:next w:val="Normal"/>
    <w:link w:val="IntenseQuoteChar"/>
    <w:uiPriority w:val="99"/>
    <w:rsid w:val="00891AF2"/>
    <w:pPr>
      <w:pBdr>
        <w:bottom w:val="single" w:sz="4" w:space="4" w:color="4F81BD" w:themeColor="accent1"/>
      </w:pBdr>
      <w:spacing w:before="200" w:after="280" w:line="312" w:lineRule="auto"/>
      <w:ind w:left="936" w:right="936"/>
    </w:pPr>
    <w:rPr>
      <w:rFonts w:ascii="Arial" w:eastAsia="SimSun" w:hAnsi="Arial" w:cs="Times New Roman"/>
      <w:b/>
      <w:bCs/>
      <w:i/>
      <w:iCs/>
      <w:color w:val="4F81BD" w:themeColor="accent1"/>
      <w:sz w:val="19"/>
      <w:szCs w:val="24"/>
      <w:lang w:eastAsia="zh-CN"/>
    </w:rPr>
  </w:style>
  <w:style w:type="character" w:customStyle="1" w:styleId="IntenseQuoteChar">
    <w:name w:val="Intense Quote Char"/>
    <w:basedOn w:val="DefaultParagraphFont"/>
    <w:link w:val="IntenseQuote"/>
    <w:uiPriority w:val="99"/>
    <w:rsid w:val="00891AF2"/>
    <w:rPr>
      <w:rFonts w:ascii="Arial" w:eastAsia="SimSun" w:hAnsi="Arial" w:cs="Times New Roman"/>
      <w:b/>
      <w:bCs/>
      <w:i/>
      <w:iCs/>
      <w:color w:val="4F81BD" w:themeColor="accent1"/>
      <w:sz w:val="19"/>
      <w:szCs w:val="24"/>
      <w:lang w:eastAsia="zh-CN"/>
    </w:rPr>
  </w:style>
  <w:style w:type="character" w:styleId="SubtleEmphasis">
    <w:name w:val="Subtle Emphasis"/>
    <w:basedOn w:val="DefaultParagraphFont"/>
    <w:uiPriority w:val="59"/>
    <w:rsid w:val="00891AF2"/>
    <w:rPr>
      <w:i/>
      <w:iCs/>
      <w:color w:val="808080" w:themeColor="text1" w:themeTint="7F"/>
    </w:rPr>
  </w:style>
  <w:style w:type="character" w:styleId="IntenseEmphasis">
    <w:name w:val="Intense Emphasis"/>
    <w:basedOn w:val="DefaultParagraphFont"/>
    <w:uiPriority w:val="99"/>
    <w:rsid w:val="00891AF2"/>
    <w:rPr>
      <w:b/>
      <w:bCs/>
      <w:i/>
      <w:iCs/>
      <w:color w:val="4F81BD" w:themeColor="accent1"/>
    </w:rPr>
  </w:style>
  <w:style w:type="character" w:styleId="SubtleReference">
    <w:name w:val="Subtle Reference"/>
    <w:basedOn w:val="DefaultParagraphFont"/>
    <w:uiPriority w:val="99"/>
    <w:rsid w:val="00891AF2"/>
    <w:rPr>
      <w:smallCaps/>
      <w:color w:val="C0504D" w:themeColor="accent2"/>
      <w:u w:val="single"/>
    </w:rPr>
  </w:style>
  <w:style w:type="character" w:styleId="IntenseReference">
    <w:name w:val="Intense Reference"/>
    <w:basedOn w:val="DefaultParagraphFont"/>
    <w:uiPriority w:val="99"/>
    <w:rsid w:val="00891AF2"/>
    <w:rPr>
      <w:b/>
      <w:bCs/>
      <w:smallCaps/>
      <w:color w:val="C0504D" w:themeColor="accent2"/>
      <w:spacing w:val="5"/>
      <w:u w:val="single"/>
    </w:rPr>
  </w:style>
  <w:style w:type="character" w:styleId="BookTitle">
    <w:name w:val="Book Title"/>
    <w:basedOn w:val="DefaultParagraphFont"/>
    <w:uiPriority w:val="99"/>
    <w:rsid w:val="00891AF2"/>
    <w:rPr>
      <w:b/>
      <w:bCs/>
      <w:smallCaps/>
      <w:spacing w:val="5"/>
    </w:rPr>
  </w:style>
  <w:style w:type="paragraph" w:customStyle="1" w:styleId="Aufzhlung">
    <w:name w:val="Aufzählung"/>
    <w:basedOn w:val="Normal"/>
    <w:uiPriority w:val="2"/>
    <w:qFormat/>
    <w:rsid w:val="00891AF2"/>
    <w:pPr>
      <w:numPr>
        <w:numId w:val="2"/>
      </w:numPr>
      <w:spacing w:after="60" w:line="312" w:lineRule="auto"/>
      <w:ind w:left="170" w:hanging="170"/>
    </w:pPr>
    <w:rPr>
      <w:rFonts w:ascii="Arial" w:eastAsia="SimSun" w:hAnsi="Arial" w:cs="Times New Roman"/>
      <w:sz w:val="19"/>
      <w:szCs w:val="24"/>
      <w:lang w:eastAsia="zh-CN"/>
    </w:rPr>
  </w:style>
  <w:style w:type="paragraph" w:customStyle="1" w:styleId="berschrift1-Autor">
    <w:name w:val="Überschrift 1 - Autor"/>
    <w:next w:val="Normal"/>
    <w:link w:val="berschrift1-AutorZchn"/>
    <w:uiPriority w:val="20"/>
    <w:rsid w:val="00891AF2"/>
    <w:pPr>
      <w:pBdr>
        <w:top w:val="single" w:sz="48" w:space="10" w:color="004872"/>
        <w:left w:val="single" w:sz="48" w:space="28" w:color="004872"/>
        <w:bottom w:val="single" w:sz="48" w:space="10" w:color="004872"/>
        <w:right w:val="single" w:sz="48" w:space="28" w:color="004872"/>
      </w:pBdr>
      <w:shd w:val="clear" w:color="auto" w:fill="004872"/>
      <w:spacing w:before="240" w:after="300" w:line="290" w:lineRule="atLeast"/>
      <w:contextualSpacing/>
      <w:jc w:val="right"/>
    </w:pPr>
    <w:rPr>
      <w:rFonts w:ascii="Arial" w:eastAsia="SimSun" w:hAnsi="Arial" w:cs="Arial"/>
      <w:bCs/>
      <w:caps/>
      <w:color w:val="FFFFFF" w:themeColor="background1"/>
      <w:spacing w:val="5"/>
      <w:kern w:val="32"/>
      <w:sz w:val="19"/>
      <w:szCs w:val="32"/>
      <w:lang w:eastAsia="zh-CN"/>
    </w:rPr>
  </w:style>
  <w:style w:type="character" w:customStyle="1" w:styleId="berschrift1-AutorZchn">
    <w:name w:val="Überschrift 1 - Autor Zchn"/>
    <w:basedOn w:val="DefaultParagraphFont"/>
    <w:link w:val="berschrift1-Autor"/>
    <w:uiPriority w:val="20"/>
    <w:rsid w:val="00891AF2"/>
    <w:rPr>
      <w:rFonts w:ascii="Arial" w:eastAsia="SimSun" w:hAnsi="Arial" w:cs="Arial"/>
      <w:bCs/>
      <w:caps/>
      <w:color w:val="FFFFFF" w:themeColor="background1"/>
      <w:spacing w:val="5"/>
      <w:kern w:val="32"/>
      <w:sz w:val="19"/>
      <w:szCs w:val="32"/>
      <w:shd w:val="clear" w:color="auto" w:fill="004872"/>
      <w:lang w:eastAsia="zh-CN"/>
    </w:rPr>
  </w:style>
  <w:style w:type="paragraph" w:customStyle="1" w:styleId="Vorspann">
    <w:name w:val="Vorspann"/>
    <w:link w:val="VorspannZchn"/>
    <w:uiPriority w:val="9"/>
    <w:rsid w:val="00891AF2"/>
    <w:pPr>
      <w:spacing w:after="120" w:line="340" w:lineRule="exact"/>
      <w:contextualSpacing/>
    </w:pPr>
    <w:rPr>
      <w:rFonts w:ascii="Volkhov" w:eastAsia="SimSun" w:hAnsi="Volkhov" w:cs="Arial"/>
      <w:bCs/>
      <w:iCs/>
      <w:color w:val="00395D"/>
      <w:sz w:val="23"/>
      <w:szCs w:val="28"/>
      <w:lang w:eastAsia="zh-CN"/>
    </w:rPr>
  </w:style>
  <w:style w:type="character" w:customStyle="1" w:styleId="VorspannZchn">
    <w:name w:val="Vorspann Zchn"/>
    <w:basedOn w:val="DefaultParagraphFont"/>
    <w:link w:val="Vorspann"/>
    <w:uiPriority w:val="9"/>
    <w:rsid w:val="00891AF2"/>
    <w:rPr>
      <w:rFonts w:ascii="Volkhov" w:eastAsia="SimSun" w:hAnsi="Volkhov" w:cs="Arial"/>
      <w:bCs/>
      <w:iCs/>
      <w:color w:val="00395D"/>
      <w:sz w:val="23"/>
      <w:szCs w:val="28"/>
      <w:lang w:eastAsia="zh-CN"/>
    </w:rPr>
  </w:style>
  <w:style w:type="character" w:customStyle="1" w:styleId="berschrift1-EinleitungZchn">
    <w:name w:val="Überschrift 1 - Einleitung Zchn"/>
    <w:basedOn w:val="DefaultParagraphFont"/>
    <w:link w:val="berschrift1-Einleitung"/>
    <w:uiPriority w:val="49"/>
    <w:rsid w:val="00891AF2"/>
    <w:rPr>
      <w:rFonts w:ascii="Volkhov" w:eastAsia="SimSun" w:hAnsi="Volkhov"/>
      <w:color w:val="BF7900"/>
      <w:spacing w:val="5"/>
      <w:sz w:val="36"/>
      <w:szCs w:val="24"/>
      <w:lang w:eastAsia="zh-CN"/>
    </w:rPr>
  </w:style>
  <w:style w:type="paragraph" w:customStyle="1" w:styleId="berschrift1-Einleitung">
    <w:name w:val="Überschrift 1 - Einleitung"/>
    <w:link w:val="berschrift1-EinleitungZchn"/>
    <w:uiPriority w:val="49"/>
    <w:rsid w:val="00891AF2"/>
    <w:pPr>
      <w:spacing w:after="420" w:line="420" w:lineRule="atLeast"/>
      <w:contextualSpacing/>
    </w:pPr>
    <w:rPr>
      <w:rFonts w:ascii="Volkhov" w:eastAsia="SimSun" w:hAnsi="Volkhov"/>
      <w:color w:val="BF7900"/>
      <w:spacing w:val="5"/>
      <w:sz w:val="36"/>
      <w:szCs w:val="24"/>
      <w:lang w:eastAsia="zh-CN"/>
    </w:rPr>
  </w:style>
  <w:style w:type="character" w:customStyle="1" w:styleId="Text-blau">
    <w:name w:val="Text - blau"/>
    <w:basedOn w:val="DefaultParagraphFont"/>
    <w:uiPriority w:val="10"/>
    <w:rsid w:val="00891AF2"/>
    <w:rPr>
      <w:rFonts w:ascii="Arial" w:hAnsi="Arial"/>
      <w:caps w:val="0"/>
      <w:smallCaps w:val="0"/>
      <w:strike w:val="0"/>
      <w:dstrike w:val="0"/>
      <w:vanish w:val="0"/>
      <w:color w:val="00395D"/>
      <w:spacing w:val="5"/>
      <w:kern w:val="18"/>
      <w:sz w:val="19"/>
      <w:vertAlign w:val="baseline"/>
    </w:rPr>
  </w:style>
  <w:style w:type="character" w:customStyle="1" w:styleId="Einleitung-Absatz">
    <w:name w:val="Einleitung - Absatz"/>
    <w:basedOn w:val="Text-blau"/>
    <w:uiPriority w:val="19"/>
    <w:rsid w:val="00891AF2"/>
    <w:rPr>
      <w:rFonts w:ascii="Arial" w:hAnsi="Arial"/>
      <w:b/>
      <w:caps w:val="0"/>
      <w:smallCaps w:val="0"/>
      <w:strike w:val="0"/>
      <w:dstrike w:val="0"/>
      <w:vanish w:val="0"/>
      <w:color w:val="auto"/>
      <w:spacing w:val="5"/>
      <w:kern w:val="18"/>
      <w:sz w:val="20"/>
      <w:vertAlign w:val="baseline"/>
      <w:lang w:val="en-GB"/>
    </w:rPr>
  </w:style>
  <w:style w:type="paragraph" w:customStyle="1" w:styleId="Hervorhebung-rot">
    <w:name w:val="Hervorhebung - rot"/>
    <w:basedOn w:val="Normal"/>
    <w:link w:val="Hervorhebung-rotZchn"/>
    <w:uiPriority w:val="19"/>
    <w:rsid w:val="00891AF2"/>
    <w:pPr>
      <w:spacing w:after="60" w:line="312" w:lineRule="auto"/>
    </w:pPr>
    <w:rPr>
      <w:rFonts w:ascii="Volkhov" w:eastAsia="SimSun" w:hAnsi="Volkhov" w:cs="Times New Roman"/>
      <w:b/>
      <w:color w:val="B50000"/>
      <w:sz w:val="18"/>
      <w:szCs w:val="24"/>
      <w:lang w:eastAsia="zh-CN"/>
    </w:rPr>
  </w:style>
  <w:style w:type="character" w:customStyle="1" w:styleId="Hervorhebung-rotZchn">
    <w:name w:val="Hervorhebung - rot Zchn"/>
    <w:basedOn w:val="DefaultParagraphFont"/>
    <w:link w:val="Hervorhebung-rot"/>
    <w:uiPriority w:val="19"/>
    <w:rsid w:val="00891AF2"/>
    <w:rPr>
      <w:rFonts w:ascii="Volkhov" w:eastAsia="SimSun" w:hAnsi="Volkhov" w:cs="Times New Roman"/>
      <w:b/>
      <w:color w:val="B50000"/>
      <w:sz w:val="18"/>
      <w:szCs w:val="24"/>
      <w:lang w:eastAsia="zh-CN"/>
    </w:rPr>
  </w:style>
  <w:style w:type="paragraph" w:customStyle="1" w:styleId="Box-Text">
    <w:name w:val="Box - Text"/>
    <w:link w:val="Box-TextZchn"/>
    <w:uiPriority w:val="30"/>
    <w:qFormat/>
    <w:rsid w:val="00891AF2"/>
    <w:pPr>
      <w:pBdr>
        <w:top w:val="single" w:sz="4" w:space="7" w:color="00395D"/>
        <w:left w:val="single" w:sz="4" w:space="7" w:color="00395D"/>
        <w:bottom w:val="single" w:sz="4" w:space="14" w:color="00395D"/>
        <w:right w:val="single" w:sz="4" w:space="7" w:color="00395D"/>
      </w:pBdr>
      <w:spacing w:after="290" w:line="290" w:lineRule="atLeast"/>
    </w:pPr>
    <w:rPr>
      <w:rFonts w:ascii="Arial" w:eastAsia="SimSun" w:hAnsi="Arial" w:cs="Times New Roman"/>
      <w:color w:val="00395D"/>
      <w:sz w:val="19"/>
      <w:szCs w:val="24"/>
      <w:lang w:eastAsia="zh-CN"/>
    </w:rPr>
  </w:style>
  <w:style w:type="character" w:customStyle="1" w:styleId="Box-TextZchn">
    <w:name w:val="Box - Text Zchn"/>
    <w:basedOn w:val="DefaultParagraphFont"/>
    <w:link w:val="Box-Text"/>
    <w:uiPriority w:val="30"/>
    <w:rsid w:val="00891AF2"/>
    <w:rPr>
      <w:rFonts w:ascii="Arial" w:eastAsia="SimSun" w:hAnsi="Arial" w:cs="Times New Roman"/>
      <w:color w:val="00395D"/>
      <w:sz w:val="19"/>
      <w:szCs w:val="24"/>
      <w:lang w:eastAsia="zh-CN"/>
    </w:rPr>
  </w:style>
  <w:style w:type="paragraph" w:customStyle="1" w:styleId="Beschriftung-Box-beige">
    <w:name w:val="Beschriftung - Box - beige"/>
    <w:basedOn w:val="Box-Text"/>
    <w:link w:val="Beschriftung-Box-beigeZchn"/>
    <w:uiPriority w:val="29"/>
    <w:qFormat/>
    <w:rsid w:val="00891AF2"/>
    <w:pPr>
      <w:spacing w:after="300"/>
      <w:contextualSpacing/>
    </w:pPr>
    <w:rPr>
      <w:b/>
      <w:caps/>
      <w:sz w:val="20"/>
    </w:rPr>
  </w:style>
  <w:style w:type="character" w:customStyle="1" w:styleId="Beschriftung-Box-beigeZchn">
    <w:name w:val="Beschriftung - Box - beige Zchn"/>
    <w:basedOn w:val="Box-TextZchn"/>
    <w:link w:val="Beschriftung-Box-beige"/>
    <w:uiPriority w:val="29"/>
    <w:rsid w:val="00891AF2"/>
    <w:rPr>
      <w:rFonts w:ascii="Arial" w:eastAsia="SimSun" w:hAnsi="Arial" w:cs="Times New Roman"/>
      <w:b/>
      <w:caps/>
      <w:color w:val="00395D"/>
      <w:sz w:val="20"/>
      <w:szCs w:val="24"/>
      <w:lang w:eastAsia="zh-CN"/>
    </w:rPr>
  </w:style>
  <w:style w:type="paragraph" w:customStyle="1" w:styleId="berschrift1-Country">
    <w:name w:val="Überschrift 1 - Country"/>
    <w:basedOn w:val="Normal"/>
    <w:link w:val="berschrift1-CountryZchn"/>
    <w:uiPriority w:val="22"/>
    <w:rsid w:val="00891AF2"/>
    <w:pPr>
      <w:spacing w:after="420" w:line="420" w:lineRule="atLeast"/>
      <w:contextualSpacing/>
      <w:outlineLvl w:val="1"/>
    </w:pPr>
    <w:rPr>
      <w:rFonts w:ascii="Volkhov" w:eastAsia="SimSun" w:hAnsi="Volkhov" w:cs="Times New Roman"/>
      <w:color w:val="A86B00"/>
      <w:spacing w:val="5"/>
      <w:sz w:val="36"/>
      <w:szCs w:val="24"/>
      <w:lang w:eastAsia="zh-CN"/>
    </w:rPr>
  </w:style>
  <w:style w:type="character" w:customStyle="1" w:styleId="berschrift1-CountryZchn">
    <w:name w:val="Überschrift 1 - Country Zchn"/>
    <w:basedOn w:val="DefaultParagraphFont"/>
    <w:link w:val="berschrift1-Country"/>
    <w:uiPriority w:val="22"/>
    <w:rsid w:val="00891AF2"/>
    <w:rPr>
      <w:rFonts w:ascii="Volkhov" w:eastAsia="SimSun" w:hAnsi="Volkhov" w:cs="Times New Roman"/>
      <w:color w:val="A86B00"/>
      <w:spacing w:val="5"/>
      <w:sz w:val="36"/>
      <w:szCs w:val="24"/>
      <w:lang w:eastAsia="zh-CN"/>
    </w:rPr>
  </w:style>
  <w:style w:type="paragraph" w:customStyle="1" w:styleId="berschrift2-Country">
    <w:name w:val="Überschrift 2 - Country"/>
    <w:basedOn w:val="berschrift1-Country"/>
    <w:link w:val="berschrift2-CountryZchn"/>
    <w:uiPriority w:val="23"/>
    <w:rsid w:val="00891AF2"/>
    <w:pPr>
      <w:spacing w:after="0" w:line="290" w:lineRule="atLeast"/>
      <w:outlineLvl w:val="2"/>
    </w:pPr>
    <w:rPr>
      <w:rFonts w:ascii="Arial" w:hAnsi="Arial"/>
      <w:b/>
      <w:caps/>
      <w:sz w:val="19"/>
    </w:rPr>
  </w:style>
  <w:style w:type="character" w:customStyle="1" w:styleId="berschrift2-CountryZchn">
    <w:name w:val="Überschrift 2 - Country Zchn"/>
    <w:basedOn w:val="berschrift1-CountryZchn"/>
    <w:link w:val="berschrift2-Country"/>
    <w:uiPriority w:val="23"/>
    <w:rsid w:val="00891AF2"/>
    <w:rPr>
      <w:rFonts w:ascii="Arial" w:eastAsia="SimSun" w:hAnsi="Arial" w:cs="Times New Roman"/>
      <w:b/>
      <w:caps/>
      <w:color w:val="A86B00"/>
      <w:spacing w:val="5"/>
      <w:sz w:val="19"/>
      <w:szCs w:val="24"/>
      <w:lang w:eastAsia="zh-CN"/>
    </w:rPr>
  </w:style>
  <w:style w:type="paragraph" w:customStyle="1" w:styleId="Tabelle-Kopf">
    <w:name w:val="Tabelle - Kopf"/>
    <w:link w:val="Tabelle-KopfZchn"/>
    <w:uiPriority w:val="4"/>
    <w:qFormat/>
    <w:rsid w:val="00891AF2"/>
    <w:pPr>
      <w:spacing w:after="0" w:line="220" w:lineRule="exact"/>
      <w:contextualSpacing/>
    </w:pPr>
    <w:rPr>
      <w:rFonts w:ascii="Arial" w:eastAsia="SimSun" w:hAnsi="Arial" w:cs="Times New Roman"/>
      <w:b/>
      <w:sz w:val="16"/>
      <w:szCs w:val="24"/>
      <w:lang w:eastAsia="zh-CN"/>
    </w:rPr>
  </w:style>
  <w:style w:type="character" w:customStyle="1" w:styleId="Tabelle-KopfZchn">
    <w:name w:val="Tabelle - Kopf Zchn"/>
    <w:basedOn w:val="DefaultParagraphFont"/>
    <w:link w:val="Tabelle-Kopf"/>
    <w:uiPriority w:val="4"/>
    <w:rsid w:val="00891AF2"/>
    <w:rPr>
      <w:rFonts w:ascii="Arial" w:eastAsia="SimSun" w:hAnsi="Arial" w:cs="Times New Roman"/>
      <w:b/>
      <w:sz w:val="16"/>
      <w:szCs w:val="24"/>
      <w:lang w:eastAsia="zh-CN"/>
    </w:rPr>
  </w:style>
  <w:style w:type="character" w:customStyle="1" w:styleId="Text-gelb">
    <w:name w:val="Text - gelb"/>
    <w:basedOn w:val="DefaultParagraphFont"/>
    <w:uiPriority w:val="19"/>
    <w:rsid w:val="00891AF2"/>
    <w:rPr>
      <w:color w:val="A86B00"/>
    </w:rPr>
  </w:style>
  <w:style w:type="paragraph" w:customStyle="1" w:styleId="Tabelle-Text">
    <w:name w:val="Tabelle - Text"/>
    <w:basedOn w:val="Tabelle-Kopf"/>
    <w:link w:val="Tabelle-TextZchn"/>
    <w:uiPriority w:val="4"/>
    <w:qFormat/>
    <w:rsid w:val="00891AF2"/>
    <w:rPr>
      <w:b w:val="0"/>
      <w:sz w:val="15"/>
    </w:rPr>
  </w:style>
  <w:style w:type="character" w:customStyle="1" w:styleId="Tabelle-TextZchn">
    <w:name w:val="Tabelle - Text Zchn"/>
    <w:basedOn w:val="Tabelle-KopfZchn"/>
    <w:link w:val="Tabelle-Text"/>
    <w:uiPriority w:val="4"/>
    <w:rsid w:val="00891AF2"/>
    <w:rPr>
      <w:rFonts w:ascii="Arial" w:eastAsia="SimSun" w:hAnsi="Arial" w:cs="Times New Roman"/>
      <w:b w:val="0"/>
      <w:sz w:val="15"/>
      <w:szCs w:val="24"/>
      <w:lang w:eastAsia="zh-CN"/>
    </w:rPr>
  </w:style>
  <w:style w:type="paragraph" w:customStyle="1" w:styleId="Beschriftung-Element-oben">
    <w:name w:val="Beschriftung - Element - oben"/>
    <w:basedOn w:val="Normal"/>
    <w:next w:val="Normal"/>
    <w:link w:val="Beschriftung-Element-obenZchn"/>
    <w:uiPriority w:val="4"/>
    <w:qFormat/>
    <w:rsid w:val="00891AF2"/>
    <w:pPr>
      <w:pBdr>
        <w:top w:val="single" w:sz="4" w:space="5" w:color="9E9FA3"/>
      </w:pBdr>
      <w:spacing w:after="120" w:line="312" w:lineRule="auto"/>
      <w:contextualSpacing/>
    </w:pPr>
    <w:rPr>
      <w:rFonts w:ascii="Arial" w:eastAsia="SimSun" w:hAnsi="Arial" w:cs="Times New Roman"/>
      <w:b/>
      <w:sz w:val="16"/>
      <w:szCs w:val="24"/>
      <w:lang w:eastAsia="zh-CN"/>
    </w:rPr>
  </w:style>
  <w:style w:type="character" w:customStyle="1" w:styleId="Beschriftung-Element-obenZchn">
    <w:name w:val="Beschriftung - Element - oben Zchn"/>
    <w:basedOn w:val="DefaultParagraphFont"/>
    <w:link w:val="Beschriftung-Element-oben"/>
    <w:uiPriority w:val="4"/>
    <w:rsid w:val="00891AF2"/>
    <w:rPr>
      <w:rFonts w:ascii="Arial" w:eastAsia="SimSun" w:hAnsi="Arial" w:cs="Times New Roman"/>
      <w:b/>
      <w:sz w:val="16"/>
      <w:szCs w:val="24"/>
      <w:lang w:eastAsia="zh-CN"/>
    </w:rPr>
  </w:style>
  <w:style w:type="paragraph" w:customStyle="1" w:styleId="Beschriftung-Element-unten">
    <w:name w:val="Beschriftung - Element - unten"/>
    <w:next w:val="Normal"/>
    <w:link w:val="Beschriftung-Element-untenZchn"/>
    <w:uiPriority w:val="4"/>
    <w:qFormat/>
    <w:rsid w:val="00891AF2"/>
    <w:pPr>
      <w:pBdr>
        <w:bottom w:val="single" w:sz="4" w:space="5" w:color="9E9FA3"/>
      </w:pBdr>
      <w:spacing w:before="120" w:after="290" w:line="220" w:lineRule="atLeast"/>
      <w:contextualSpacing/>
    </w:pPr>
    <w:rPr>
      <w:rFonts w:ascii="Arial" w:eastAsia="SimSun" w:hAnsi="Arial" w:cs="Times New Roman"/>
      <w:sz w:val="16"/>
      <w:szCs w:val="24"/>
      <w:lang w:eastAsia="zh-CN"/>
    </w:rPr>
  </w:style>
  <w:style w:type="character" w:customStyle="1" w:styleId="Beschriftung-Element-untenZchn">
    <w:name w:val="Beschriftung - Element - unten Zchn"/>
    <w:basedOn w:val="DefaultParagraphFont"/>
    <w:link w:val="Beschriftung-Element-unten"/>
    <w:uiPriority w:val="4"/>
    <w:rsid w:val="00891AF2"/>
    <w:rPr>
      <w:rFonts w:ascii="Arial" w:eastAsia="SimSun" w:hAnsi="Arial" w:cs="Times New Roman"/>
      <w:sz w:val="16"/>
      <w:szCs w:val="24"/>
      <w:lang w:eastAsia="zh-CN"/>
    </w:rPr>
  </w:style>
  <w:style w:type="paragraph" w:customStyle="1" w:styleId="Hervorhebung-Versalien">
    <w:name w:val="Hervorhebung - Versalien"/>
    <w:basedOn w:val="Normal"/>
    <w:next w:val="Normal"/>
    <w:link w:val="Hervorhebung-VersalienZchn"/>
    <w:uiPriority w:val="19"/>
    <w:qFormat/>
    <w:rsid w:val="00891AF2"/>
    <w:pPr>
      <w:spacing w:after="60" w:line="312" w:lineRule="auto"/>
      <w:contextualSpacing/>
    </w:pPr>
    <w:rPr>
      <w:rFonts w:ascii="Arial" w:eastAsia="SimSun" w:hAnsi="Arial" w:cs="Times New Roman"/>
      <w:caps/>
      <w:color w:val="00395D"/>
      <w:spacing w:val="2"/>
      <w:kern w:val="20"/>
      <w:sz w:val="19"/>
      <w:szCs w:val="24"/>
      <w:lang w:eastAsia="zh-CN"/>
    </w:rPr>
  </w:style>
  <w:style w:type="character" w:customStyle="1" w:styleId="Hervorhebung-VersalienZchn">
    <w:name w:val="Hervorhebung - Versalien Zchn"/>
    <w:basedOn w:val="DefaultParagraphFont"/>
    <w:link w:val="Hervorhebung-Versalien"/>
    <w:uiPriority w:val="19"/>
    <w:rsid w:val="00891AF2"/>
    <w:rPr>
      <w:rFonts w:ascii="Arial" w:eastAsia="SimSun" w:hAnsi="Arial" w:cs="Times New Roman"/>
      <w:caps/>
      <w:color w:val="00395D"/>
      <w:spacing w:val="2"/>
      <w:kern w:val="20"/>
      <w:sz w:val="19"/>
      <w:szCs w:val="24"/>
      <w:lang w:eastAsia="zh-CN"/>
    </w:rPr>
  </w:style>
  <w:style w:type="paragraph" w:customStyle="1" w:styleId="berschrift2-Einleitung">
    <w:name w:val="Überschrift 2 - Einleitung"/>
    <w:link w:val="berschrift2-EinleitungZchn"/>
    <w:uiPriority w:val="50"/>
    <w:rsid w:val="00891AF2"/>
    <w:pPr>
      <w:spacing w:after="320" w:line="320" w:lineRule="atLeast"/>
      <w:contextualSpacing/>
    </w:pPr>
    <w:rPr>
      <w:rFonts w:ascii="Arial" w:eastAsia="SimSun" w:hAnsi="Arial" w:cs="Times New Roman"/>
      <w:caps/>
      <w:color w:val="00395D"/>
      <w:spacing w:val="2"/>
      <w:kern w:val="23"/>
      <w:sz w:val="23"/>
      <w:szCs w:val="24"/>
      <w:lang w:eastAsia="zh-CN"/>
    </w:rPr>
  </w:style>
  <w:style w:type="character" w:customStyle="1" w:styleId="berschrift2-EinleitungZchn">
    <w:name w:val="Überschrift 2 - Einleitung Zchn"/>
    <w:basedOn w:val="DefaultParagraphFont"/>
    <w:link w:val="berschrift2-Einleitung"/>
    <w:uiPriority w:val="50"/>
    <w:rsid w:val="00891AF2"/>
    <w:rPr>
      <w:rFonts w:ascii="Arial" w:eastAsia="SimSun" w:hAnsi="Arial" w:cs="Times New Roman"/>
      <w:caps/>
      <w:color w:val="00395D"/>
      <w:spacing w:val="2"/>
      <w:kern w:val="23"/>
      <w:sz w:val="23"/>
      <w:szCs w:val="24"/>
      <w:lang w:eastAsia="zh-CN"/>
    </w:rPr>
  </w:style>
  <w:style w:type="paragraph" w:styleId="TableofFigures">
    <w:name w:val="table of figures"/>
    <w:basedOn w:val="Normal"/>
    <w:next w:val="Normal"/>
    <w:uiPriority w:val="99"/>
    <w:rsid w:val="00891AF2"/>
    <w:pPr>
      <w:tabs>
        <w:tab w:val="right" w:leader="dot" w:pos="8778"/>
      </w:tabs>
      <w:spacing w:after="60" w:line="312" w:lineRule="auto"/>
      <w:ind w:left="854" w:hanging="854"/>
      <w:contextualSpacing/>
    </w:pPr>
    <w:rPr>
      <w:rFonts w:ascii="Arial" w:eastAsia="SimSun" w:hAnsi="Arial" w:cs="Times New Roman"/>
      <w:noProof/>
      <w:sz w:val="19"/>
      <w:szCs w:val="24"/>
      <w:lang w:eastAsia="zh-CN"/>
    </w:rPr>
  </w:style>
  <w:style w:type="paragraph" w:styleId="CommentText">
    <w:name w:val="annotation text"/>
    <w:basedOn w:val="Normal"/>
    <w:link w:val="CommentTextChar"/>
    <w:uiPriority w:val="99"/>
    <w:rsid w:val="00891AF2"/>
    <w:pPr>
      <w:spacing w:after="60" w:line="240" w:lineRule="auto"/>
    </w:pPr>
    <w:rPr>
      <w:rFonts w:ascii="Arial" w:eastAsia="SimSun" w:hAnsi="Arial" w:cs="Times New Roman"/>
      <w:szCs w:val="20"/>
      <w:lang w:eastAsia="zh-CN"/>
    </w:rPr>
  </w:style>
  <w:style w:type="character" w:customStyle="1" w:styleId="CommentTextChar">
    <w:name w:val="Comment Text Char"/>
    <w:basedOn w:val="DefaultParagraphFont"/>
    <w:link w:val="CommentText"/>
    <w:uiPriority w:val="99"/>
    <w:rsid w:val="00891AF2"/>
    <w:rPr>
      <w:rFonts w:ascii="Arial" w:eastAsia="SimSun" w:hAnsi="Arial" w:cs="Times New Roman"/>
      <w:sz w:val="20"/>
      <w:szCs w:val="20"/>
      <w:lang w:eastAsia="zh-CN"/>
    </w:rPr>
  </w:style>
  <w:style w:type="character" w:customStyle="1" w:styleId="CommentSubjectChar">
    <w:name w:val="Comment Subject Char"/>
    <w:basedOn w:val="CommentTextChar"/>
    <w:link w:val="CommentSubject"/>
    <w:uiPriority w:val="99"/>
    <w:semiHidden/>
    <w:rsid w:val="00891AF2"/>
    <w:rPr>
      <w:rFonts w:ascii="Arial" w:eastAsia="SimSun" w:hAnsi="Arial" w:cs="Times New Roman"/>
      <w:b/>
      <w:bCs/>
      <w:sz w:val="20"/>
      <w:szCs w:val="20"/>
      <w:lang w:eastAsia="zh-CN"/>
    </w:rPr>
  </w:style>
  <w:style w:type="paragraph" w:styleId="CommentSubject">
    <w:name w:val="annotation subject"/>
    <w:basedOn w:val="CommentText"/>
    <w:next w:val="CommentText"/>
    <w:link w:val="CommentSubjectChar"/>
    <w:uiPriority w:val="99"/>
    <w:semiHidden/>
    <w:rsid w:val="00891AF2"/>
    <w:rPr>
      <w:b/>
      <w:bCs/>
    </w:rPr>
  </w:style>
  <w:style w:type="paragraph" w:customStyle="1" w:styleId="Kopfzeile-Dokumenttitle">
    <w:name w:val="Kopfzeile - Dokumenttitle"/>
    <w:next w:val="Header"/>
    <w:link w:val="Kopfzeile-DokumenttitleZchn"/>
    <w:uiPriority w:val="99"/>
    <w:qFormat/>
    <w:rsid w:val="00891AF2"/>
    <w:pPr>
      <w:spacing w:before="40" w:after="0" w:line="240" w:lineRule="auto"/>
    </w:pPr>
    <w:rPr>
      <w:rFonts w:ascii="Arial" w:eastAsia="SimSun" w:hAnsi="Arial" w:cs="Times New Roman"/>
      <w:noProof/>
      <w:sz w:val="16"/>
      <w:szCs w:val="24"/>
      <w:lang w:val="de-AT" w:eastAsia="de-AT"/>
    </w:rPr>
  </w:style>
  <w:style w:type="character" w:customStyle="1" w:styleId="Kopfzeile-DokumenttitleZchn">
    <w:name w:val="Kopfzeile - Dokumenttitle Zchn"/>
    <w:basedOn w:val="DefaultParagraphFont"/>
    <w:link w:val="Kopfzeile-Dokumenttitle"/>
    <w:uiPriority w:val="99"/>
    <w:rsid w:val="00891AF2"/>
    <w:rPr>
      <w:rFonts w:ascii="Arial" w:eastAsia="SimSun" w:hAnsi="Arial" w:cs="Times New Roman"/>
      <w:noProof/>
      <w:sz w:val="16"/>
      <w:szCs w:val="24"/>
      <w:lang w:val="de-AT" w:eastAsia="de-AT"/>
    </w:rPr>
  </w:style>
  <w:style w:type="character" w:customStyle="1" w:styleId="Text-small">
    <w:name w:val="Text - small"/>
    <w:basedOn w:val="DefaultParagraphFont"/>
    <w:uiPriority w:val="19"/>
    <w:rsid w:val="00891AF2"/>
    <w:rPr>
      <w:sz w:val="16"/>
    </w:rPr>
  </w:style>
  <w:style w:type="character" w:customStyle="1" w:styleId="EndnoteTextChar">
    <w:name w:val="Endnote Text Char"/>
    <w:basedOn w:val="DefaultParagraphFont"/>
    <w:link w:val="EndnoteText"/>
    <w:uiPriority w:val="99"/>
    <w:semiHidden/>
    <w:rsid w:val="00891AF2"/>
    <w:rPr>
      <w:rFonts w:ascii="Arial" w:eastAsia="SimSun" w:hAnsi="Arial" w:cs="Times New Roman"/>
      <w:sz w:val="20"/>
      <w:szCs w:val="20"/>
      <w:lang w:eastAsia="zh-CN"/>
    </w:rPr>
  </w:style>
  <w:style w:type="paragraph" w:styleId="EndnoteText">
    <w:name w:val="endnote text"/>
    <w:basedOn w:val="Normal"/>
    <w:link w:val="EndnoteTextChar"/>
    <w:uiPriority w:val="99"/>
    <w:semiHidden/>
    <w:rsid w:val="00891AF2"/>
    <w:pPr>
      <w:spacing w:after="0" w:line="240" w:lineRule="auto"/>
    </w:pPr>
    <w:rPr>
      <w:rFonts w:ascii="Arial" w:eastAsia="SimSun" w:hAnsi="Arial" w:cs="Times New Roman"/>
      <w:szCs w:val="20"/>
      <w:lang w:eastAsia="zh-CN"/>
    </w:rPr>
  </w:style>
  <w:style w:type="paragraph" w:customStyle="1" w:styleId="Hervorhebung-Linie-oben">
    <w:name w:val="Hervorhebung - Linie - oben"/>
    <w:basedOn w:val="Normal"/>
    <w:uiPriority w:val="19"/>
    <w:qFormat/>
    <w:rsid w:val="00891AF2"/>
    <w:pPr>
      <w:pBdr>
        <w:top w:val="single" w:sz="8" w:space="1" w:color="9E9FA3"/>
      </w:pBdr>
      <w:spacing w:before="480" w:after="0" w:line="312" w:lineRule="auto"/>
    </w:pPr>
    <w:rPr>
      <w:rFonts w:ascii="Arial" w:eastAsia="SimSun" w:hAnsi="Arial" w:cs="Times New Roman"/>
      <w:b/>
      <w:caps/>
      <w:color w:val="00395D"/>
      <w:spacing w:val="5"/>
      <w:sz w:val="18"/>
      <w:szCs w:val="24"/>
      <w:lang w:eastAsia="zh-CN"/>
    </w:rPr>
  </w:style>
  <w:style w:type="paragraph" w:customStyle="1" w:styleId="Aufzhlung-ohneAbstandunten">
    <w:name w:val="Aufzählung - ohne Abstand unten"/>
    <w:basedOn w:val="Aufzhlung"/>
    <w:uiPriority w:val="6"/>
    <w:qFormat/>
    <w:rsid w:val="00891AF2"/>
    <w:pPr>
      <w:spacing w:after="0"/>
      <w:ind w:left="360" w:hanging="360"/>
    </w:pPr>
  </w:style>
  <w:style w:type="paragraph" w:customStyle="1" w:styleId="Standard-ohneAbstandunten">
    <w:name w:val="Standard - ohne Abstand unten"/>
    <w:basedOn w:val="Normal"/>
    <w:uiPriority w:val="9"/>
    <w:rsid w:val="00891AF2"/>
    <w:pPr>
      <w:spacing w:after="0" w:line="312" w:lineRule="auto"/>
    </w:pPr>
    <w:rPr>
      <w:rFonts w:ascii="Arial" w:eastAsia="SimSun" w:hAnsi="Arial" w:cs="Times New Roman"/>
      <w:sz w:val="19"/>
      <w:szCs w:val="24"/>
      <w:lang w:eastAsia="zh-CN"/>
    </w:rPr>
  </w:style>
  <w:style w:type="paragraph" w:customStyle="1" w:styleId="HervorhebungFett">
    <w:name w:val="Hervorhebung Fett"/>
    <w:basedOn w:val="Normal"/>
    <w:next w:val="Normal"/>
    <w:link w:val="HervorhebungFettZchn"/>
    <w:uiPriority w:val="2"/>
    <w:qFormat/>
    <w:rsid w:val="00891AF2"/>
    <w:pPr>
      <w:spacing w:before="120" w:after="120" w:line="312" w:lineRule="auto"/>
    </w:pPr>
    <w:rPr>
      <w:rFonts w:ascii="Arial" w:eastAsia="SimSun" w:hAnsi="Arial" w:cs="Times New Roman"/>
      <w:b/>
      <w:color w:val="000000" w:themeColor="text1"/>
      <w:sz w:val="19"/>
      <w:szCs w:val="24"/>
      <w:lang w:eastAsia="zh-CN"/>
    </w:rPr>
  </w:style>
  <w:style w:type="character" w:customStyle="1" w:styleId="HervorhebungFettZchn">
    <w:name w:val="Hervorhebung Fett Zchn"/>
    <w:basedOn w:val="DefaultParagraphFont"/>
    <w:link w:val="HervorhebungFett"/>
    <w:uiPriority w:val="2"/>
    <w:rsid w:val="00891AF2"/>
    <w:rPr>
      <w:rFonts w:ascii="Arial" w:eastAsia="SimSun" w:hAnsi="Arial" w:cs="Times New Roman"/>
      <w:b/>
      <w:color w:val="000000" w:themeColor="text1"/>
      <w:sz w:val="19"/>
      <w:szCs w:val="24"/>
      <w:lang w:eastAsia="zh-CN"/>
    </w:rPr>
  </w:style>
  <w:style w:type="paragraph" w:customStyle="1" w:styleId="FN">
    <w:name w:val="FN"/>
    <w:basedOn w:val="FootnoteText"/>
    <w:uiPriority w:val="2"/>
    <w:qFormat/>
    <w:rsid w:val="00891AF2"/>
    <w:pPr>
      <w:spacing w:after="60" w:line="220" w:lineRule="atLeast"/>
      <w:ind w:left="284" w:hanging="284"/>
    </w:pPr>
    <w:rPr>
      <w:rFonts w:ascii="Arial" w:eastAsia="SimSun" w:hAnsi="Arial" w:cs="Times New Roman"/>
      <w:sz w:val="16"/>
      <w:lang w:eastAsia="zh-CN"/>
    </w:rPr>
  </w:style>
  <w:style w:type="paragraph" w:customStyle="1" w:styleId="berschrift3Sabine">
    <w:name w:val="Überschrift 3 Sabine"/>
    <w:basedOn w:val="Normal"/>
    <w:next w:val="Normal"/>
    <w:uiPriority w:val="21"/>
    <w:rsid w:val="00891AF2"/>
    <w:pPr>
      <w:spacing w:before="480" w:line="312" w:lineRule="auto"/>
    </w:pPr>
    <w:rPr>
      <w:rFonts w:ascii="Arial" w:eastAsia="SimSun" w:hAnsi="Arial" w:cs="Times New Roman"/>
      <w:b/>
      <w:sz w:val="19"/>
      <w:szCs w:val="24"/>
      <w:lang w:eastAsia="zh-CN"/>
    </w:rPr>
  </w:style>
  <w:style w:type="character" w:styleId="PageNumber">
    <w:name w:val="page number"/>
    <w:basedOn w:val="DefaultParagraphFont"/>
    <w:uiPriority w:val="6"/>
    <w:rsid w:val="00891AF2"/>
  </w:style>
  <w:style w:type="paragraph" w:customStyle="1" w:styleId="References">
    <w:name w:val="References"/>
    <w:basedOn w:val="Normal"/>
    <w:next w:val="Normal"/>
    <w:uiPriority w:val="99"/>
    <w:rsid w:val="00891AF2"/>
    <w:pPr>
      <w:spacing w:after="240" w:line="240" w:lineRule="auto"/>
      <w:ind w:left="5103"/>
    </w:pPr>
    <w:rPr>
      <w:rFonts w:ascii="Times New Roman" w:eastAsia="Times New Roman" w:hAnsi="Times New Roman" w:cs="Times New Roman"/>
      <w:szCs w:val="20"/>
      <w:lang w:eastAsia="ko-KR"/>
    </w:rPr>
  </w:style>
  <w:style w:type="paragraph" w:customStyle="1" w:styleId="Text3">
    <w:name w:val="Text 3"/>
    <w:uiPriority w:val="19"/>
    <w:rsid w:val="00891AF2"/>
    <w:pPr>
      <w:tabs>
        <w:tab w:val="left" w:pos="2302"/>
      </w:tabs>
      <w:spacing w:after="240" w:line="240" w:lineRule="auto"/>
      <w:ind w:left="1202"/>
      <w:jc w:val="both"/>
    </w:pPr>
    <w:rPr>
      <w:rFonts w:ascii="Times New Roman" w:eastAsia="Times New Roman" w:hAnsi="Times New Roman" w:cs="Times New Roman"/>
      <w:snapToGrid w:val="0"/>
      <w:sz w:val="24"/>
      <w:szCs w:val="20"/>
      <w:lang w:val="fr-FR"/>
    </w:rPr>
  </w:style>
  <w:style w:type="paragraph" w:styleId="ListBullet2">
    <w:name w:val="List Bullet 2"/>
    <w:basedOn w:val="Normal"/>
    <w:uiPriority w:val="14"/>
    <w:rsid w:val="00891AF2"/>
    <w:pPr>
      <w:numPr>
        <w:numId w:val="3"/>
      </w:numPr>
      <w:spacing w:after="0" w:line="240" w:lineRule="auto"/>
      <w:contextualSpacing/>
    </w:pPr>
    <w:rPr>
      <w:rFonts w:ascii="Times New Roman" w:eastAsia="Times New Roman" w:hAnsi="Times New Roman" w:cs="Times New Roman"/>
      <w:sz w:val="24"/>
      <w:szCs w:val="20"/>
      <w:lang w:val="fr-FR" w:eastAsia="ko-KR"/>
    </w:rPr>
  </w:style>
  <w:style w:type="paragraph" w:customStyle="1" w:styleId="broodtekst">
    <w:name w:val="broodtekst"/>
    <w:basedOn w:val="Normal"/>
    <w:link w:val="broodtekstChar"/>
    <w:uiPriority w:val="99"/>
    <w:rsid w:val="00891AF2"/>
    <w:pPr>
      <w:spacing w:after="0" w:line="280" w:lineRule="atLeast"/>
    </w:pPr>
    <w:rPr>
      <w:rFonts w:ascii="Arial" w:eastAsia="Times New Roman" w:hAnsi="Arial" w:cs="Times New Roman"/>
      <w:sz w:val="18"/>
      <w:szCs w:val="24"/>
      <w:lang w:eastAsia="nl-NL"/>
    </w:rPr>
  </w:style>
  <w:style w:type="character" w:customStyle="1" w:styleId="broodtekstChar">
    <w:name w:val="broodtekst Char"/>
    <w:link w:val="broodtekst"/>
    <w:uiPriority w:val="99"/>
    <w:locked/>
    <w:rsid w:val="00891AF2"/>
    <w:rPr>
      <w:rFonts w:ascii="Arial" w:eastAsia="Times New Roman" w:hAnsi="Arial" w:cs="Times New Roman"/>
      <w:sz w:val="18"/>
      <w:szCs w:val="24"/>
      <w:lang w:eastAsia="nl-NL"/>
    </w:rPr>
  </w:style>
  <w:style w:type="paragraph" w:customStyle="1" w:styleId="RR-Text">
    <w:name w:val="RR-Text"/>
    <w:basedOn w:val="Normal"/>
    <w:uiPriority w:val="6"/>
    <w:rsid w:val="00891AF2"/>
    <w:pPr>
      <w:tabs>
        <w:tab w:val="left" w:pos="0"/>
        <w:tab w:val="left" w:pos="397"/>
        <w:tab w:val="left" w:pos="794"/>
        <w:tab w:val="left" w:pos="1191"/>
        <w:tab w:val="center" w:pos="4253"/>
        <w:tab w:val="right" w:pos="8505"/>
      </w:tabs>
      <w:spacing w:after="0" w:line="320" w:lineRule="atLeast"/>
    </w:pPr>
    <w:rPr>
      <w:rFonts w:ascii="Arial" w:eastAsia="Times New Roman" w:hAnsi="Arial" w:cs="Times New Roman"/>
      <w:spacing w:val="-4"/>
      <w:szCs w:val="20"/>
      <w:lang w:eastAsia="de-DE"/>
    </w:rPr>
  </w:style>
  <w:style w:type="paragraph" w:customStyle="1" w:styleId="FormatvorlageText3Calibri11PtLinks127cmVor5PtNach">
    <w:name w:val="Formatvorlage Text 3 + Calibri 11 Pt. Links:  127 cm Vor:  5 Pt. Nach:..."/>
    <w:basedOn w:val="Text3"/>
    <w:uiPriority w:val="19"/>
    <w:rsid w:val="00891AF2"/>
    <w:pPr>
      <w:spacing w:before="100" w:after="100" w:line="276" w:lineRule="auto"/>
      <w:ind w:left="720"/>
    </w:pPr>
    <w:rPr>
      <w:rFonts w:ascii="Calibri" w:hAnsi="Calibri"/>
      <w:sz w:val="22"/>
    </w:rPr>
  </w:style>
  <w:style w:type="paragraph" w:customStyle="1" w:styleId="FormatvorlageTextkrperCalibri11PtBlockVor6PtNach6P">
    <w:name w:val="Formatvorlage +Textkörper (Calibri) 11 Pt. Block Vor:  6 Pt. Nach:  6 P..."/>
    <w:basedOn w:val="Normal"/>
    <w:uiPriority w:val="19"/>
    <w:rsid w:val="00891AF2"/>
    <w:pPr>
      <w:spacing w:before="120" w:after="120"/>
    </w:pPr>
    <w:rPr>
      <w:rFonts w:eastAsia="Times New Roman" w:cs="Times New Roman"/>
      <w:szCs w:val="20"/>
      <w:lang w:val="fr-FR" w:eastAsia="ko-KR"/>
    </w:rPr>
  </w:style>
  <w:style w:type="paragraph" w:customStyle="1" w:styleId="berschrift4Michaela">
    <w:name w:val="Überschrift 4 Michaela"/>
    <w:basedOn w:val="berschrift3Sabine"/>
    <w:uiPriority w:val="9"/>
    <w:rsid w:val="00891AF2"/>
    <w:rPr>
      <w:caps/>
    </w:rPr>
  </w:style>
  <w:style w:type="paragraph" w:customStyle="1" w:styleId="berschrift5Michaela">
    <w:name w:val="Überschrift 5 Michaela"/>
    <w:basedOn w:val="berschrift4Michaela"/>
    <w:uiPriority w:val="9"/>
    <w:rsid w:val="00891AF2"/>
    <w:rPr>
      <w:i/>
    </w:rPr>
  </w:style>
  <w:style w:type="paragraph" w:customStyle="1" w:styleId="TitolotabelleAppendix">
    <w:name w:val="Titolo tabelle Appendix"/>
    <w:basedOn w:val="Normal"/>
    <w:link w:val="TitolotabelleAppendixCarattere"/>
    <w:uiPriority w:val="19"/>
    <w:rsid w:val="00891AF2"/>
    <w:pPr>
      <w:numPr>
        <w:numId w:val="4"/>
      </w:numPr>
      <w:spacing w:after="0" w:line="240" w:lineRule="auto"/>
      <w:contextualSpacing/>
    </w:pPr>
    <w:rPr>
      <w:rFonts w:ascii="Calibri" w:eastAsia="Calibri" w:hAnsi="Calibri" w:cs="Times New Roman"/>
      <w:szCs w:val="20"/>
      <w:lang w:val="en-US"/>
    </w:rPr>
  </w:style>
  <w:style w:type="character" w:customStyle="1" w:styleId="TitolotabelleAppendixCarattere">
    <w:name w:val="Titolo tabelle Appendix Carattere"/>
    <w:link w:val="TitolotabelleAppendix"/>
    <w:uiPriority w:val="19"/>
    <w:rsid w:val="00891AF2"/>
    <w:rPr>
      <w:rFonts w:ascii="Calibri" w:eastAsia="Calibri" w:hAnsi="Calibri" w:cs="Times New Roman"/>
      <w:sz w:val="20"/>
      <w:szCs w:val="20"/>
      <w:lang w:val="en-US"/>
    </w:rPr>
  </w:style>
  <w:style w:type="paragraph" w:customStyle="1" w:styleId="ESPONStandard">
    <w:name w:val="ESPON Standard"/>
    <w:basedOn w:val="Normal"/>
    <w:uiPriority w:val="19"/>
    <w:rsid w:val="00891AF2"/>
    <w:pPr>
      <w:suppressAutoHyphens/>
      <w:spacing w:after="0" w:line="240" w:lineRule="auto"/>
    </w:pPr>
    <w:rPr>
      <w:rFonts w:ascii="Times New Roman" w:eastAsia="Times New Roman" w:hAnsi="Times New Roman" w:cs="Times New Roman"/>
      <w:sz w:val="24"/>
      <w:szCs w:val="20"/>
      <w:lang w:eastAsia="ar-SA"/>
    </w:rPr>
  </w:style>
  <w:style w:type="character" w:customStyle="1" w:styleId="slug-doi">
    <w:name w:val="slug-doi"/>
    <w:basedOn w:val="DefaultParagraphFont"/>
    <w:uiPriority w:val="19"/>
    <w:rsid w:val="00891AF2"/>
  </w:style>
  <w:style w:type="paragraph" w:customStyle="1" w:styleId="RR-Tableberschrift">
    <w:name w:val="RR-Table Überschrift"/>
    <w:basedOn w:val="Normal"/>
    <w:autoRedefine/>
    <w:uiPriority w:val="6"/>
    <w:qFormat/>
    <w:rsid w:val="00891AF2"/>
    <w:pPr>
      <w:keepNext/>
      <w:tabs>
        <w:tab w:val="left" w:pos="397"/>
        <w:tab w:val="left" w:pos="794"/>
        <w:tab w:val="left" w:pos="1191"/>
        <w:tab w:val="center" w:pos="4253"/>
        <w:tab w:val="right" w:pos="8505"/>
      </w:tabs>
      <w:suppressAutoHyphens/>
      <w:spacing w:after="240" w:line="280" w:lineRule="atLeast"/>
      <w:jc w:val="center"/>
      <w:outlineLvl w:val="1"/>
    </w:pPr>
    <w:rPr>
      <w:rFonts w:ascii="Arial" w:eastAsia="Times New Roman" w:hAnsi="Arial" w:cs="Arial"/>
      <w:b/>
      <w:spacing w:val="-4"/>
      <w:szCs w:val="20"/>
    </w:rPr>
  </w:style>
  <w:style w:type="paragraph" w:customStyle="1" w:styleId="BoxPublikationen">
    <w:name w:val="Box Publikationen"/>
    <w:basedOn w:val="Box-Text"/>
    <w:uiPriority w:val="9"/>
    <w:qFormat/>
    <w:rsid w:val="00891AF2"/>
    <w:pPr>
      <w:spacing w:after="80" w:line="260" w:lineRule="exact"/>
      <w:ind w:left="284" w:hanging="284"/>
    </w:pPr>
  </w:style>
  <w:style w:type="paragraph" w:customStyle="1" w:styleId="CVTitle">
    <w:name w:val="CV Title"/>
    <w:basedOn w:val="Normal"/>
    <w:uiPriority w:val="11"/>
    <w:rsid w:val="00891AF2"/>
    <w:pPr>
      <w:suppressAutoHyphens/>
      <w:spacing w:after="0" w:line="240" w:lineRule="auto"/>
      <w:ind w:left="113" w:right="113"/>
      <w:jc w:val="right"/>
    </w:pPr>
    <w:rPr>
      <w:rFonts w:ascii="Arial Narrow" w:eastAsia="Times New Roman" w:hAnsi="Arial Narrow" w:cs="Times New Roman"/>
      <w:b/>
      <w:bCs/>
      <w:spacing w:val="10"/>
      <w:sz w:val="28"/>
      <w:szCs w:val="20"/>
      <w:lang w:eastAsia="ar-SA"/>
    </w:rPr>
  </w:style>
  <w:style w:type="paragraph" w:customStyle="1" w:styleId="CVHeading1">
    <w:name w:val="CV Heading 1"/>
    <w:basedOn w:val="Normal"/>
    <w:next w:val="Normal"/>
    <w:uiPriority w:val="11"/>
    <w:rsid w:val="00891AF2"/>
    <w:pPr>
      <w:suppressAutoHyphens/>
      <w:spacing w:before="74" w:after="0" w:line="240" w:lineRule="auto"/>
      <w:ind w:left="113" w:right="113"/>
      <w:jc w:val="right"/>
    </w:pPr>
    <w:rPr>
      <w:rFonts w:ascii="Arial Narrow" w:eastAsia="Times New Roman" w:hAnsi="Arial Narrow" w:cs="Times New Roman"/>
      <w:b/>
      <w:sz w:val="24"/>
      <w:szCs w:val="20"/>
      <w:lang w:eastAsia="ar-SA"/>
    </w:rPr>
  </w:style>
  <w:style w:type="paragraph" w:customStyle="1" w:styleId="CVHeading3">
    <w:name w:val="CV Heading 3"/>
    <w:basedOn w:val="Normal"/>
    <w:next w:val="Normal"/>
    <w:link w:val="CVHeading3Char"/>
    <w:uiPriority w:val="11"/>
    <w:qFormat/>
    <w:rsid w:val="00891AF2"/>
    <w:pPr>
      <w:suppressAutoHyphens/>
      <w:spacing w:after="0" w:line="240" w:lineRule="auto"/>
      <w:ind w:left="113" w:right="113"/>
      <w:jc w:val="right"/>
      <w:textAlignment w:val="center"/>
    </w:pPr>
    <w:rPr>
      <w:rFonts w:ascii="Arial Narrow" w:eastAsia="Times New Roman" w:hAnsi="Arial Narrow" w:cs="Times New Roman"/>
      <w:szCs w:val="20"/>
      <w:lang w:eastAsia="ar-SA"/>
    </w:rPr>
  </w:style>
  <w:style w:type="character" w:customStyle="1" w:styleId="CVHeading3Char">
    <w:name w:val="CV Heading 3 Char"/>
    <w:link w:val="CVHeading3"/>
    <w:uiPriority w:val="11"/>
    <w:rsid w:val="00891AF2"/>
    <w:rPr>
      <w:rFonts w:ascii="Arial Narrow" w:eastAsia="Times New Roman" w:hAnsi="Arial Narrow" w:cs="Times New Roman"/>
      <w:sz w:val="20"/>
      <w:szCs w:val="20"/>
      <w:lang w:eastAsia="ar-SA"/>
    </w:rPr>
  </w:style>
  <w:style w:type="paragraph" w:customStyle="1" w:styleId="CVHeading3-FirstLine">
    <w:name w:val="CV Heading 3 - First Line"/>
    <w:basedOn w:val="CVHeading3"/>
    <w:next w:val="CVHeading3"/>
    <w:uiPriority w:val="11"/>
    <w:qFormat/>
    <w:rsid w:val="00891AF2"/>
    <w:pPr>
      <w:spacing w:before="74"/>
    </w:pPr>
  </w:style>
  <w:style w:type="paragraph" w:customStyle="1" w:styleId="CVNormal">
    <w:name w:val="CV Normal"/>
    <w:basedOn w:val="Normal"/>
    <w:link w:val="CVNormalChar"/>
    <w:rsid w:val="00891AF2"/>
    <w:pPr>
      <w:suppressAutoHyphens/>
      <w:spacing w:after="0" w:line="240" w:lineRule="auto"/>
      <w:ind w:left="113" w:right="113"/>
    </w:pPr>
    <w:rPr>
      <w:rFonts w:ascii="Arial Narrow" w:eastAsia="Times New Roman" w:hAnsi="Arial Narrow" w:cs="Times New Roman"/>
      <w:szCs w:val="20"/>
      <w:lang w:eastAsia="ar-SA"/>
    </w:rPr>
  </w:style>
  <w:style w:type="character" w:customStyle="1" w:styleId="CVNormalChar">
    <w:name w:val="CV Normal Char"/>
    <w:link w:val="CVNormal"/>
    <w:locked/>
    <w:rsid w:val="00891AF2"/>
    <w:rPr>
      <w:rFonts w:ascii="Arial Narrow" w:eastAsia="Times New Roman" w:hAnsi="Arial Narrow" w:cs="Times New Roman"/>
      <w:sz w:val="20"/>
      <w:szCs w:val="20"/>
      <w:lang w:eastAsia="ar-SA"/>
    </w:rPr>
  </w:style>
  <w:style w:type="paragraph" w:customStyle="1" w:styleId="CVSpacer">
    <w:name w:val="CV Spacer"/>
    <w:basedOn w:val="CVNormal"/>
    <w:uiPriority w:val="11"/>
    <w:rsid w:val="00891AF2"/>
    <w:rPr>
      <w:sz w:val="4"/>
    </w:rPr>
  </w:style>
  <w:style w:type="paragraph" w:customStyle="1" w:styleId="CVNormal-FirstLine">
    <w:name w:val="CV Normal - First Line"/>
    <w:basedOn w:val="CVNormal"/>
    <w:next w:val="CVNormal"/>
    <w:uiPriority w:val="11"/>
    <w:rsid w:val="00891AF2"/>
    <w:pPr>
      <w:spacing w:before="74"/>
    </w:pPr>
  </w:style>
  <w:style w:type="paragraph" w:customStyle="1" w:styleId="CVHeadingLanguage">
    <w:name w:val="CV Heading Language"/>
    <w:basedOn w:val="Normal"/>
    <w:next w:val="LevelAssessment-Code"/>
    <w:uiPriority w:val="11"/>
    <w:rsid w:val="00891AF2"/>
    <w:pPr>
      <w:suppressAutoHyphens/>
      <w:spacing w:after="0" w:line="240" w:lineRule="auto"/>
      <w:ind w:left="113" w:right="113"/>
      <w:jc w:val="right"/>
    </w:pPr>
    <w:rPr>
      <w:rFonts w:ascii="Arial Narrow" w:eastAsia="Times New Roman" w:hAnsi="Arial Narrow" w:cs="Times New Roman"/>
      <w:b/>
      <w:szCs w:val="20"/>
      <w:lang w:eastAsia="ar-SA"/>
    </w:rPr>
  </w:style>
  <w:style w:type="paragraph" w:customStyle="1" w:styleId="LevelAssessment-Code">
    <w:name w:val="Level Assessment - Code"/>
    <w:basedOn w:val="Normal"/>
    <w:next w:val="LevelAssessment-Description"/>
    <w:uiPriority w:val="19"/>
    <w:rsid w:val="00891AF2"/>
    <w:pPr>
      <w:suppressAutoHyphens/>
      <w:spacing w:after="0" w:line="240" w:lineRule="auto"/>
      <w:ind w:left="28"/>
      <w:jc w:val="center"/>
    </w:pPr>
    <w:rPr>
      <w:rFonts w:ascii="Arial Narrow" w:eastAsia="Times New Roman" w:hAnsi="Arial Narrow" w:cs="Times New Roman"/>
      <w:sz w:val="18"/>
      <w:szCs w:val="20"/>
      <w:lang w:eastAsia="ar-SA"/>
    </w:rPr>
  </w:style>
  <w:style w:type="paragraph" w:customStyle="1" w:styleId="LevelAssessment-Description">
    <w:name w:val="Level Assessment - Description"/>
    <w:basedOn w:val="LevelAssessment-Code"/>
    <w:next w:val="LevelAssessment-Code"/>
    <w:uiPriority w:val="19"/>
    <w:rsid w:val="00891AF2"/>
    <w:pPr>
      <w:textAlignment w:val="bottom"/>
    </w:pPr>
  </w:style>
  <w:style w:type="paragraph" w:customStyle="1" w:styleId="CVHeadingLevel">
    <w:name w:val="CV Heading Level"/>
    <w:basedOn w:val="CVHeading3"/>
    <w:next w:val="Normal"/>
    <w:uiPriority w:val="11"/>
    <w:rsid w:val="00891AF2"/>
    <w:rPr>
      <w:i/>
    </w:rPr>
  </w:style>
  <w:style w:type="paragraph" w:customStyle="1" w:styleId="LevelAssessment-Heading1">
    <w:name w:val="Level Assessment - Heading 1"/>
    <w:basedOn w:val="LevelAssessment-Code"/>
    <w:uiPriority w:val="19"/>
    <w:rsid w:val="00891AF2"/>
    <w:pPr>
      <w:ind w:left="57" w:right="57"/>
    </w:pPr>
    <w:rPr>
      <w:b/>
      <w:sz w:val="22"/>
    </w:rPr>
  </w:style>
  <w:style w:type="paragraph" w:customStyle="1" w:styleId="LevelAssessment-Heading2">
    <w:name w:val="Level Assessment - Heading 2"/>
    <w:basedOn w:val="Normal"/>
    <w:uiPriority w:val="19"/>
    <w:rsid w:val="00891AF2"/>
    <w:pPr>
      <w:suppressAutoHyphens/>
      <w:spacing w:after="0" w:line="240" w:lineRule="auto"/>
      <w:ind w:left="57" w:right="57"/>
      <w:jc w:val="center"/>
    </w:pPr>
    <w:rPr>
      <w:rFonts w:ascii="Arial Narrow" w:eastAsia="Times New Roman" w:hAnsi="Arial Narrow" w:cs="Times New Roman"/>
      <w:sz w:val="18"/>
      <w:szCs w:val="20"/>
      <w:lang w:eastAsia="ar-SA"/>
    </w:rPr>
  </w:style>
  <w:style w:type="paragraph" w:customStyle="1" w:styleId="LevelAssessment-Note">
    <w:name w:val="Level Assessment - Note"/>
    <w:basedOn w:val="LevelAssessment-Code"/>
    <w:uiPriority w:val="19"/>
    <w:rsid w:val="00891AF2"/>
    <w:pPr>
      <w:ind w:left="113"/>
      <w:jc w:val="left"/>
    </w:pPr>
    <w:rPr>
      <w:i/>
    </w:rPr>
  </w:style>
  <w:style w:type="paragraph" w:customStyle="1" w:styleId="CVMedium-FirstLine">
    <w:name w:val="CV Medium - First Line"/>
    <w:basedOn w:val="Normal"/>
    <w:next w:val="Normal"/>
    <w:uiPriority w:val="11"/>
    <w:rsid w:val="00891AF2"/>
    <w:pPr>
      <w:suppressAutoHyphens/>
      <w:spacing w:before="74" w:after="0" w:line="240" w:lineRule="auto"/>
      <w:ind w:left="113" w:right="113"/>
    </w:pPr>
    <w:rPr>
      <w:rFonts w:ascii="Arial Narrow" w:eastAsia="Times New Roman" w:hAnsi="Arial Narrow" w:cs="Times New Roman"/>
      <w:b/>
      <w:szCs w:val="20"/>
      <w:lang w:eastAsia="ar-SA"/>
    </w:rPr>
  </w:style>
  <w:style w:type="paragraph" w:customStyle="1" w:styleId="PUBLICATION">
    <w:name w:val="PUBLICATION"/>
    <w:basedOn w:val="Normal"/>
    <w:autoRedefine/>
    <w:uiPriority w:val="19"/>
    <w:qFormat/>
    <w:rsid w:val="00891AF2"/>
    <w:pPr>
      <w:widowControl w:val="0"/>
      <w:spacing w:after="60" w:line="240" w:lineRule="auto"/>
      <w:ind w:left="284" w:hanging="284"/>
    </w:pPr>
    <w:rPr>
      <w:rFonts w:ascii="Arial Narrow" w:eastAsia="Calibri" w:hAnsi="Arial Narrow" w:cs="Times New Roman"/>
      <w:lang w:val="en-US"/>
    </w:rPr>
  </w:style>
  <w:style w:type="paragraph" w:customStyle="1" w:styleId="CVHeading2">
    <w:name w:val="CV Heading 2"/>
    <w:basedOn w:val="CVHeading1"/>
    <w:next w:val="Normal"/>
    <w:uiPriority w:val="11"/>
    <w:rsid w:val="00891AF2"/>
    <w:pPr>
      <w:spacing w:before="0"/>
    </w:pPr>
    <w:rPr>
      <w:b w:val="0"/>
      <w:sz w:val="22"/>
      <w:lang w:val="en-US" w:eastAsia="it-IT"/>
    </w:rPr>
  </w:style>
  <w:style w:type="paragraph" w:customStyle="1" w:styleId="CVHeading2-FirstLine">
    <w:name w:val="CV Heading 2 - First Line"/>
    <w:basedOn w:val="CVHeading2"/>
    <w:next w:val="CVHeading2"/>
    <w:uiPriority w:val="11"/>
    <w:rsid w:val="00891AF2"/>
    <w:pPr>
      <w:spacing w:before="74"/>
    </w:pPr>
  </w:style>
  <w:style w:type="paragraph" w:customStyle="1" w:styleId="SmallGap">
    <w:name w:val="Small Gap"/>
    <w:basedOn w:val="Normal"/>
    <w:next w:val="Normal"/>
    <w:uiPriority w:val="19"/>
    <w:rsid w:val="00891AF2"/>
    <w:pPr>
      <w:suppressAutoHyphens/>
      <w:spacing w:after="0" w:line="240" w:lineRule="auto"/>
    </w:pPr>
    <w:rPr>
      <w:rFonts w:ascii="Arial Narrow" w:eastAsia="Times New Roman" w:hAnsi="Arial Narrow" w:cs="Times New Roman"/>
      <w:sz w:val="10"/>
      <w:szCs w:val="20"/>
      <w:lang w:val="en-US" w:eastAsia="it-IT"/>
    </w:rPr>
  </w:style>
  <w:style w:type="paragraph" w:customStyle="1" w:styleId="CVMajor-FirstLine">
    <w:name w:val="CV Major - First Line"/>
    <w:basedOn w:val="Normal"/>
    <w:next w:val="Normal"/>
    <w:uiPriority w:val="11"/>
    <w:rsid w:val="00891AF2"/>
    <w:pPr>
      <w:suppressAutoHyphens/>
      <w:spacing w:before="74" w:after="0" w:line="240" w:lineRule="auto"/>
      <w:ind w:left="113" w:right="113"/>
    </w:pPr>
    <w:rPr>
      <w:rFonts w:ascii="Arial Narrow" w:eastAsia="Times New Roman" w:hAnsi="Arial Narrow" w:cs="Times New Roman"/>
      <w:b/>
      <w:sz w:val="24"/>
      <w:szCs w:val="20"/>
      <w:lang w:val="en-US" w:eastAsia="it-IT"/>
    </w:rPr>
  </w:style>
  <w:style w:type="paragraph" w:customStyle="1" w:styleId="GridTitle">
    <w:name w:val="Grid Title"/>
    <w:basedOn w:val="Normal"/>
    <w:uiPriority w:val="19"/>
    <w:rsid w:val="00891AF2"/>
    <w:pPr>
      <w:widowControl w:val="0"/>
      <w:suppressAutoHyphens/>
      <w:spacing w:after="0" w:line="240" w:lineRule="auto"/>
      <w:jc w:val="center"/>
    </w:pPr>
    <w:rPr>
      <w:rFonts w:ascii="Arial Narrow" w:eastAsia="Lucida Sans Unicode" w:hAnsi="Arial Narrow" w:cs="Times New Roman"/>
      <w:b/>
      <w:caps/>
      <w:szCs w:val="24"/>
      <w:lang w:eastAsia="it-IT"/>
    </w:rPr>
  </w:style>
  <w:style w:type="paragraph" w:customStyle="1" w:styleId="ECVSectionDetails">
    <w:name w:val="_ECV_SectionDetails"/>
    <w:basedOn w:val="Normal"/>
    <w:uiPriority w:val="11"/>
    <w:rsid w:val="00891AF2"/>
    <w:pPr>
      <w:widowControl w:val="0"/>
      <w:suppressLineNumbers/>
      <w:suppressAutoHyphens/>
      <w:autoSpaceDE w:val="0"/>
      <w:spacing w:before="28" w:after="0" w:line="100" w:lineRule="atLeast"/>
    </w:pPr>
    <w:rPr>
      <w:rFonts w:ascii="Arial" w:eastAsia="SimSun" w:hAnsi="Arial" w:cs="Mangal"/>
      <w:color w:val="3F3A38"/>
      <w:spacing w:val="-6"/>
      <w:kern w:val="1"/>
      <w:sz w:val="18"/>
      <w:szCs w:val="24"/>
      <w:lang w:eastAsia="zh-CN" w:bidi="hi-IN"/>
    </w:rPr>
  </w:style>
  <w:style w:type="paragraph" w:styleId="NormalWeb">
    <w:name w:val="Normal (Web)"/>
    <w:basedOn w:val="Normal"/>
    <w:uiPriority w:val="99"/>
    <w:rsid w:val="00891AF2"/>
    <w:pPr>
      <w:spacing w:before="100" w:after="100" w:line="240" w:lineRule="auto"/>
    </w:pPr>
    <w:rPr>
      <w:rFonts w:ascii="Times New Roman" w:eastAsia="Times New Roman" w:hAnsi="Times New Roman" w:cs="Times New Roman"/>
      <w:sz w:val="24"/>
      <w:szCs w:val="20"/>
      <w:lang w:val="fr-FR"/>
    </w:rPr>
  </w:style>
  <w:style w:type="paragraph" w:customStyle="1" w:styleId="NormalCV">
    <w:name w:val="Normal (CV)"/>
    <w:basedOn w:val="Normal"/>
    <w:link w:val="NormalCVChar"/>
    <w:rsid w:val="00891AF2"/>
    <w:pPr>
      <w:tabs>
        <w:tab w:val="left" w:pos="284"/>
      </w:tabs>
      <w:suppressAutoHyphens/>
      <w:spacing w:after="0" w:line="240" w:lineRule="auto"/>
    </w:pPr>
    <w:rPr>
      <w:rFonts w:ascii="Arial Narrow" w:eastAsia="Times New Roman" w:hAnsi="Arial Narrow" w:cs="Times New Roman"/>
      <w:sz w:val="19"/>
      <w:szCs w:val="20"/>
      <w:lang w:val="en-US" w:eastAsia="ar-SA"/>
    </w:rPr>
  </w:style>
  <w:style w:type="character" w:customStyle="1" w:styleId="NormalCVChar">
    <w:name w:val="Normal (CV) Char"/>
    <w:link w:val="NormalCV"/>
    <w:rsid w:val="00891AF2"/>
    <w:rPr>
      <w:rFonts w:ascii="Arial Narrow" w:eastAsia="Times New Roman" w:hAnsi="Arial Narrow" w:cs="Times New Roman"/>
      <w:sz w:val="19"/>
      <w:szCs w:val="20"/>
      <w:lang w:val="en-US" w:eastAsia="ar-SA"/>
    </w:rPr>
  </w:style>
  <w:style w:type="paragraph" w:customStyle="1" w:styleId="PublEntry">
    <w:name w:val="PublEntry"/>
    <w:basedOn w:val="Normal"/>
    <w:link w:val="PublEntryZchn"/>
    <w:uiPriority w:val="19"/>
    <w:rsid w:val="00891AF2"/>
    <w:pPr>
      <w:widowControl w:val="0"/>
      <w:spacing w:before="20" w:after="20" w:line="240" w:lineRule="auto"/>
    </w:pPr>
    <w:rPr>
      <w:rFonts w:ascii="Arial Narrow" w:eastAsia="Calibri" w:hAnsi="Arial Narrow" w:cs="Times New Roman"/>
    </w:rPr>
  </w:style>
  <w:style w:type="character" w:customStyle="1" w:styleId="PublEntryZchn">
    <w:name w:val="PublEntry Zchn"/>
    <w:link w:val="PublEntry"/>
    <w:uiPriority w:val="19"/>
    <w:rsid w:val="00891AF2"/>
    <w:rPr>
      <w:rFonts w:ascii="Arial Narrow" w:eastAsia="Calibri" w:hAnsi="Arial Narrow" w:cs="Times New Roman"/>
      <w:sz w:val="20"/>
    </w:rPr>
  </w:style>
  <w:style w:type="paragraph" w:customStyle="1" w:styleId="PublLevel2">
    <w:name w:val="PublLevel2"/>
    <w:basedOn w:val="Normal"/>
    <w:link w:val="PublLevel2Zchn"/>
    <w:uiPriority w:val="19"/>
    <w:rsid w:val="00891AF2"/>
    <w:pPr>
      <w:widowControl w:val="0"/>
      <w:spacing w:before="20" w:after="20" w:line="240" w:lineRule="auto"/>
      <w:ind w:right="34"/>
      <w:jc w:val="right"/>
    </w:pPr>
    <w:rPr>
      <w:rFonts w:ascii="Arial Narrow" w:eastAsia="Calibri" w:hAnsi="Arial Narrow" w:cs="Times New Roman"/>
      <w:smallCaps/>
    </w:rPr>
  </w:style>
  <w:style w:type="character" w:customStyle="1" w:styleId="PublLevel2Zchn">
    <w:name w:val="PublLevel2 Zchn"/>
    <w:link w:val="PublLevel2"/>
    <w:uiPriority w:val="19"/>
    <w:rsid w:val="00891AF2"/>
    <w:rPr>
      <w:rFonts w:ascii="Arial Narrow" w:eastAsia="Calibri" w:hAnsi="Arial Narrow" w:cs="Times New Roman"/>
      <w:smallCaps/>
    </w:rPr>
  </w:style>
  <w:style w:type="character" w:customStyle="1" w:styleId="stdnobr">
    <w:name w:val="std nobr"/>
    <w:uiPriority w:val="19"/>
    <w:rsid w:val="00891AF2"/>
    <w:rPr>
      <w:rFonts w:cs="Times New Roman"/>
    </w:rPr>
  </w:style>
  <w:style w:type="character" w:customStyle="1" w:styleId="ECVContactDetails">
    <w:name w:val="_ECV_ContactDetails"/>
    <w:uiPriority w:val="11"/>
    <w:rsid w:val="00891AF2"/>
    <w:rPr>
      <w:rFonts w:ascii="Arial" w:hAnsi="Arial"/>
      <w:color w:val="3F3A38"/>
      <w:sz w:val="18"/>
      <w:szCs w:val="18"/>
      <w:shd w:val="clear" w:color="auto" w:fill="auto"/>
    </w:rPr>
  </w:style>
  <w:style w:type="paragraph" w:customStyle="1" w:styleId="europass5fbulleted5flist">
    <w:name w:val="europass_5f_bulleted_5f_list"/>
    <w:basedOn w:val="ECVSectionDetails"/>
    <w:uiPriority w:val="19"/>
    <w:rsid w:val="00891AF2"/>
  </w:style>
  <w:style w:type="paragraph" w:customStyle="1" w:styleId="CVMedium">
    <w:name w:val="CV Medium"/>
    <w:basedOn w:val="Normal"/>
    <w:uiPriority w:val="11"/>
    <w:rsid w:val="00891AF2"/>
    <w:pPr>
      <w:suppressAutoHyphens/>
      <w:spacing w:after="0" w:line="240" w:lineRule="auto"/>
      <w:ind w:left="113" w:right="113"/>
    </w:pPr>
    <w:rPr>
      <w:rFonts w:ascii="Arial Narrow" w:eastAsia="Times New Roman" w:hAnsi="Arial Narrow" w:cs="Times New Roman"/>
      <w:b/>
      <w:szCs w:val="20"/>
      <w:lang w:eastAsia="ar-SA"/>
    </w:rPr>
  </w:style>
  <w:style w:type="paragraph" w:styleId="BodyText">
    <w:name w:val="Body Text"/>
    <w:basedOn w:val="Normal"/>
    <w:link w:val="BodyTextChar"/>
    <w:uiPriority w:val="6"/>
    <w:rsid w:val="00891AF2"/>
    <w:pPr>
      <w:spacing w:after="120" w:line="240" w:lineRule="auto"/>
      <w:ind w:left="284" w:hanging="284"/>
    </w:pPr>
    <w:rPr>
      <w:rFonts w:ascii="Helvetica" w:eastAsia="Times New Roman" w:hAnsi="Helvetica" w:cs="Times New Roman"/>
      <w:sz w:val="18"/>
      <w:szCs w:val="18"/>
      <w:lang w:eastAsia="de-AT"/>
    </w:rPr>
  </w:style>
  <w:style w:type="character" w:customStyle="1" w:styleId="BodyTextChar">
    <w:name w:val="Body Text Char"/>
    <w:basedOn w:val="DefaultParagraphFont"/>
    <w:link w:val="BodyText"/>
    <w:uiPriority w:val="6"/>
    <w:rsid w:val="00891AF2"/>
    <w:rPr>
      <w:rFonts w:ascii="Helvetica" w:eastAsia="Times New Roman" w:hAnsi="Helvetica" w:cs="Times New Roman"/>
      <w:sz w:val="18"/>
      <w:szCs w:val="18"/>
      <w:lang w:eastAsia="de-AT"/>
    </w:rPr>
  </w:style>
  <w:style w:type="character" w:customStyle="1" w:styleId="FormatvorlageFettTimesNewRoman11ptNichtFettAutomatisch">
    <w:name w:val="Formatvorlage Fett + Times New Roman 11 pt Nicht Fett Automatisch"/>
    <w:uiPriority w:val="19"/>
    <w:rsid w:val="00891AF2"/>
    <w:rPr>
      <w:rFonts w:ascii="Times New Roman" w:hAnsi="Times New Roman" w:cs="Arial" w:hint="default"/>
      <w:b/>
      <w:bCs/>
      <w:color w:val="auto"/>
      <w:sz w:val="22"/>
      <w:szCs w:val="11"/>
    </w:rPr>
  </w:style>
  <w:style w:type="paragraph" w:customStyle="1" w:styleId="CVFooterRight">
    <w:name w:val="CV Footer Right"/>
    <w:basedOn w:val="Normal"/>
    <w:uiPriority w:val="11"/>
    <w:rsid w:val="00891AF2"/>
    <w:pPr>
      <w:suppressAutoHyphens/>
      <w:spacing w:after="0" w:line="240" w:lineRule="auto"/>
    </w:pPr>
    <w:rPr>
      <w:rFonts w:ascii="Arial Narrow" w:eastAsia="Times New Roman" w:hAnsi="Arial Narrow" w:cs="Times New Roman"/>
      <w:bCs/>
      <w:sz w:val="16"/>
      <w:szCs w:val="20"/>
      <w:lang w:eastAsia="ar-SA"/>
    </w:rPr>
  </w:style>
  <w:style w:type="paragraph" w:customStyle="1" w:styleId="TableContents">
    <w:name w:val="Table Contents"/>
    <w:basedOn w:val="Normal"/>
    <w:uiPriority w:val="3"/>
    <w:rsid w:val="00891AF2"/>
    <w:pPr>
      <w:widowControl w:val="0"/>
      <w:suppressLineNumbers/>
      <w:suppressAutoHyphens/>
      <w:spacing w:after="0" w:line="240" w:lineRule="auto"/>
    </w:pPr>
    <w:rPr>
      <w:rFonts w:ascii="Times New Roman" w:eastAsia="SimSun" w:hAnsi="Times New Roman" w:cs="Mangal"/>
      <w:kern w:val="1"/>
      <w:sz w:val="24"/>
      <w:szCs w:val="24"/>
      <w:lang w:val="de-AT" w:eastAsia="hi-IN" w:bidi="hi-IN"/>
    </w:rPr>
  </w:style>
  <w:style w:type="paragraph" w:customStyle="1" w:styleId="Tabellentitel">
    <w:name w:val="Tabellentitel"/>
    <w:basedOn w:val="Heading1"/>
    <w:link w:val="TabellentitelZchn"/>
    <w:uiPriority w:val="3"/>
    <w:rsid w:val="00891AF2"/>
    <w:pPr>
      <w:widowControl w:val="0"/>
      <w:spacing w:after="0" w:line="100" w:lineRule="atLeast"/>
      <w:ind w:left="432" w:hanging="432"/>
    </w:pPr>
    <w:rPr>
      <w:rFonts w:ascii="Times New Roman" w:eastAsia="SimSun" w:hAnsi="Times New Roman" w:cs="Mangal"/>
      <w:bCs/>
      <w:caps w:val="0"/>
      <w:kern w:val="1"/>
      <w:szCs w:val="24"/>
      <w:lang w:val="en-US" w:eastAsia="hi-IN" w:bidi="hi-IN"/>
    </w:rPr>
  </w:style>
  <w:style w:type="character" w:customStyle="1" w:styleId="TabellentitelZchn">
    <w:name w:val="Tabellentitel Zchn"/>
    <w:link w:val="Tabellentitel"/>
    <w:uiPriority w:val="3"/>
    <w:rsid w:val="00891AF2"/>
    <w:rPr>
      <w:rFonts w:ascii="Times New Roman" w:eastAsia="SimSun" w:hAnsi="Times New Roman" w:cs="Mangal"/>
      <w:b/>
      <w:bCs/>
      <w:kern w:val="1"/>
      <w:sz w:val="24"/>
      <w:szCs w:val="24"/>
      <w:lang w:val="en-US" w:eastAsia="hi-IN" w:bidi="hi-IN"/>
    </w:rPr>
  </w:style>
  <w:style w:type="paragraph" w:customStyle="1" w:styleId="Tabelle">
    <w:name w:val="Tabelle"/>
    <w:basedOn w:val="Normal"/>
    <w:uiPriority w:val="6"/>
    <w:qFormat/>
    <w:rsid w:val="00891AF2"/>
    <w:pPr>
      <w:widowControl w:val="0"/>
      <w:suppressAutoHyphens/>
      <w:spacing w:after="0" w:line="100" w:lineRule="atLeast"/>
    </w:pPr>
    <w:rPr>
      <w:rFonts w:ascii="Times New Roman" w:eastAsia="SimSun" w:hAnsi="Times New Roman" w:cs="Mangal"/>
      <w:kern w:val="1"/>
      <w:sz w:val="24"/>
      <w:szCs w:val="24"/>
      <w:lang w:val="en-US" w:eastAsia="hi-IN" w:bidi="hi-IN"/>
    </w:rPr>
  </w:style>
  <w:style w:type="table" w:customStyle="1" w:styleId="Listentabelle3Akzent31">
    <w:name w:val="Listentabelle 3 – Akzent 31"/>
    <w:basedOn w:val="TableNormal"/>
    <w:uiPriority w:val="48"/>
    <w:rsid w:val="00891AF2"/>
    <w:pPr>
      <w:spacing w:after="0" w:line="240" w:lineRule="auto"/>
    </w:pPr>
    <w:rPr>
      <w:rFonts w:ascii="Times New Roman" w:hAnsi="Times New Roman" w:cs="Times New Roman"/>
      <w:sz w:val="20"/>
      <w:szCs w:val="20"/>
      <w:lang w:val="de-AT"/>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customStyle="1" w:styleId="Header-Datum">
    <w:name w:val="Header - Datum"/>
    <w:next w:val="Header-Dokumenttitel"/>
    <w:link w:val="Header-DatumZchn"/>
    <w:uiPriority w:val="9"/>
    <w:qFormat/>
    <w:rsid w:val="00891AF2"/>
    <w:pPr>
      <w:spacing w:after="0" w:line="360" w:lineRule="exact"/>
      <w:jc w:val="right"/>
    </w:pPr>
    <w:rPr>
      <w:rFonts w:ascii="Arial" w:eastAsia="SimSun" w:hAnsi="Arial" w:cs="Times New Roman"/>
      <w:caps/>
      <w:color w:val="FFFFFF" w:themeColor="background1"/>
      <w:sz w:val="30"/>
      <w:szCs w:val="24"/>
      <w:lang w:eastAsia="zh-CN"/>
    </w:rPr>
  </w:style>
  <w:style w:type="paragraph" w:customStyle="1" w:styleId="Header-Dokumenttitel">
    <w:name w:val="Header - Dokumenttitel"/>
    <w:uiPriority w:val="10"/>
    <w:qFormat/>
    <w:rsid w:val="00891AF2"/>
    <w:pPr>
      <w:spacing w:after="0" w:line="500" w:lineRule="exact"/>
    </w:pPr>
    <w:rPr>
      <w:rFonts w:ascii="Volkhov" w:eastAsia="SimSun" w:hAnsi="Volkhov" w:cs="Times New Roman"/>
      <w:color w:val="FFFFFF" w:themeColor="background1"/>
      <w:sz w:val="44"/>
      <w:szCs w:val="24"/>
      <w:lang w:eastAsia="zh-CN"/>
    </w:rPr>
  </w:style>
  <w:style w:type="character" w:customStyle="1" w:styleId="Header-DatumZchn">
    <w:name w:val="Header - Datum Zchn"/>
    <w:basedOn w:val="DefaultParagraphFont"/>
    <w:link w:val="Header-Datum"/>
    <w:uiPriority w:val="9"/>
    <w:rsid w:val="00891AF2"/>
    <w:rPr>
      <w:rFonts w:ascii="Arial" w:eastAsia="SimSun" w:hAnsi="Arial" w:cs="Times New Roman"/>
      <w:caps/>
      <w:color w:val="FFFFFF" w:themeColor="background1"/>
      <w:sz w:val="30"/>
      <w:szCs w:val="24"/>
      <w:lang w:eastAsia="zh-CN"/>
    </w:rPr>
  </w:style>
  <w:style w:type="paragraph" w:customStyle="1" w:styleId="Footer-Text">
    <w:name w:val="Footer - Text"/>
    <w:link w:val="Footer-TextZchn"/>
    <w:uiPriority w:val="29"/>
    <w:qFormat/>
    <w:rsid w:val="00891AF2"/>
    <w:pPr>
      <w:spacing w:after="0" w:line="280" w:lineRule="exact"/>
      <w:contextualSpacing/>
    </w:pPr>
    <w:rPr>
      <w:rFonts w:ascii="Volkhov" w:eastAsia="SimSun" w:hAnsi="Volkhov" w:cs="Times New Roman"/>
      <w:color w:val="545B64"/>
      <w:sz w:val="19"/>
      <w:szCs w:val="24"/>
      <w:lang w:eastAsia="zh-CN"/>
    </w:rPr>
  </w:style>
  <w:style w:type="character" w:customStyle="1" w:styleId="Footer-TextZchn">
    <w:name w:val="Footer - Text Zchn"/>
    <w:basedOn w:val="DefaultParagraphFont"/>
    <w:link w:val="Footer-Text"/>
    <w:uiPriority w:val="29"/>
    <w:rsid w:val="00891AF2"/>
    <w:rPr>
      <w:rFonts w:ascii="Volkhov" w:eastAsia="SimSun" w:hAnsi="Volkhov" w:cs="Times New Roman"/>
      <w:color w:val="545B64"/>
      <w:sz w:val="19"/>
      <w:szCs w:val="24"/>
      <w:lang w:eastAsia="zh-CN"/>
    </w:rPr>
  </w:style>
  <w:style w:type="paragraph" w:customStyle="1" w:styleId="Sourcetable1">
    <w:name w:val="Source table 1"/>
    <w:basedOn w:val="Normal"/>
    <w:link w:val="Sourcetable1Carattere"/>
    <w:qFormat/>
    <w:rsid w:val="00FF2A09"/>
    <w:pPr>
      <w:spacing w:after="120"/>
      <w:contextualSpacing/>
    </w:pPr>
    <w:rPr>
      <w:sz w:val="16"/>
      <w:szCs w:val="16"/>
    </w:rPr>
  </w:style>
  <w:style w:type="character" w:customStyle="1" w:styleId="Sourcetable1Carattere">
    <w:name w:val="Source table 1 Carattere"/>
    <w:basedOn w:val="DefaultParagraphFont"/>
    <w:link w:val="Sourcetable1"/>
    <w:rsid w:val="00FF2A09"/>
    <w:rPr>
      <w:rFonts w:ascii="Verdana" w:hAnsi="Verdana"/>
      <w:sz w:val="16"/>
      <w:szCs w:val="16"/>
    </w:rPr>
  </w:style>
  <w:style w:type="character" w:styleId="CommentReference">
    <w:name w:val="annotation reference"/>
    <w:basedOn w:val="DefaultParagraphFont"/>
    <w:uiPriority w:val="99"/>
    <w:semiHidden/>
    <w:unhideWhenUsed/>
    <w:rsid w:val="00295BA2"/>
    <w:rPr>
      <w:sz w:val="16"/>
      <w:szCs w:val="16"/>
    </w:rPr>
  </w:style>
  <w:style w:type="paragraph" w:customStyle="1" w:styleId="Tabellentext">
    <w:name w:val="Tabellentext"/>
    <w:basedOn w:val="Normal"/>
    <w:rsid w:val="00490991"/>
    <w:pPr>
      <w:spacing w:before="40" w:after="0" w:line="240" w:lineRule="auto"/>
      <w:jc w:val="left"/>
    </w:pPr>
    <w:rPr>
      <w:rFonts w:ascii="Arial" w:eastAsia="Times New Roman" w:hAnsi="Arial" w:cs="Times New Roman"/>
      <w:sz w:val="18"/>
      <w:szCs w:val="20"/>
      <w:lang w:val="de-DE" w:eastAsia="de-DE"/>
    </w:rPr>
  </w:style>
  <w:style w:type="character" w:styleId="FollowedHyperlink">
    <w:name w:val="FollowedHyperlink"/>
    <w:basedOn w:val="DefaultParagraphFont"/>
    <w:uiPriority w:val="99"/>
    <w:semiHidden/>
    <w:unhideWhenUsed/>
    <w:rsid w:val="005D5C1E"/>
    <w:rPr>
      <w:color w:val="800080"/>
      <w:u w:val="single"/>
    </w:rPr>
  </w:style>
  <w:style w:type="paragraph" w:customStyle="1" w:styleId="xl66">
    <w:name w:val="xl66"/>
    <w:basedOn w:val="Normal"/>
    <w:rsid w:val="005D5C1E"/>
    <w:pPr>
      <w:spacing w:before="100" w:beforeAutospacing="1" w:after="100" w:afterAutospacing="1" w:line="240" w:lineRule="auto"/>
      <w:jc w:val="left"/>
      <w:textAlignment w:val="center"/>
    </w:pPr>
    <w:rPr>
      <w:rFonts w:ascii="Tahoma" w:eastAsia="Times New Roman" w:hAnsi="Tahoma" w:cs="Tahoma"/>
      <w:sz w:val="16"/>
      <w:szCs w:val="16"/>
      <w:lang w:val="it-IT" w:eastAsia="it-IT"/>
    </w:rPr>
  </w:style>
  <w:style w:type="paragraph" w:customStyle="1" w:styleId="xl67">
    <w:name w:val="xl67"/>
    <w:basedOn w:val="Normal"/>
    <w:rsid w:val="005D5C1E"/>
    <w:pPr>
      <w:spacing w:before="100" w:beforeAutospacing="1" w:after="100" w:afterAutospacing="1" w:line="240" w:lineRule="auto"/>
      <w:jc w:val="left"/>
      <w:textAlignment w:val="center"/>
    </w:pPr>
    <w:rPr>
      <w:rFonts w:ascii="Tahoma" w:eastAsia="Times New Roman" w:hAnsi="Tahoma" w:cs="Tahoma"/>
      <w:b/>
      <w:bCs/>
      <w:sz w:val="16"/>
      <w:szCs w:val="16"/>
      <w:lang w:val="it-IT" w:eastAsia="it-IT"/>
    </w:rPr>
  </w:style>
  <w:style w:type="paragraph" w:customStyle="1" w:styleId="xl68">
    <w:name w:val="xl68"/>
    <w:basedOn w:val="Normal"/>
    <w:rsid w:val="005D5C1E"/>
    <w:pPr>
      <w:spacing w:before="100" w:beforeAutospacing="1" w:after="100" w:afterAutospacing="1" w:line="240" w:lineRule="auto"/>
      <w:jc w:val="right"/>
      <w:textAlignment w:val="center"/>
    </w:pPr>
    <w:rPr>
      <w:rFonts w:ascii="Tahoma" w:eastAsia="Times New Roman" w:hAnsi="Tahoma" w:cs="Tahoma"/>
      <w:sz w:val="16"/>
      <w:szCs w:val="16"/>
      <w:lang w:val="it-IT" w:eastAsia="it-IT"/>
    </w:rPr>
  </w:style>
  <w:style w:type="paragraph" w:customStyle="1" w:styleId="xl69">
    <w:name w:val="xl69"/>
    <w:basedOn w:val="Normal"/>
    <w:rsid w:val="005D5C1E"/>
    <w:pPr>
      <w:spacing w:before="100" w:beforeAutospacing="1" w:after="100" w:afterAutospacing="1" w:line="240" w:lineRule="auto"/>
      <w:jc w:val="left"/>
    </w:pPr>
    <w:rPr>
      <w:rFonts w:ascii="Tahoma" w:eastAsia="Times New Roman" w:hAnsi="Tahoma" w:cs="Tahoma"/>
      <w:sz w:val="16"/>
      <w:szCs w:val="16"/>
      <w:lang w:val="it-IT" w:eastAsia="it-IT"/>
    </w:rPr>
  </w:style>
  <w:style w:type="paragraph" w:customStyle="1" w:styleId="xl70">
    <w:name w:val="xl70"/>
    <w:basedOn w:val="Normal"/>
    <w:rsid w:val="005D5C1E"/>
    <w:pPr>
      <w:spacing w:before="100" w:beforeAutospacing="1" w:after="100" w:afterAutospacing="1" w:line="240" w:lineRule="auto"/>
      <w:jc w:val="right"/>
      <w:textAlignment w:val="center"/>
    </w:pPr>
    <w:rPr>
      <w:rFonts w:ascii="Tahoma" w:eastAsia="Times New Roman" w:hAnsi="Tahoma" w:cs="Tahoma"/>
      <w:b/>
      <w:bCs/>
      <w:sz w:val="16"/>
      <w:szCs w:val="16"/>
      <w:lang w:val="it-IT" w:eastAsia="it-IT"/>
    </w:rPr>
  </w:style>
  <w:style w:type="table" w:customStyle="1" w:styleId="Sfondochiaro-Colore11">
    <w:name w:val="Sfondo chiaro - Colore 11"/>
    <w:basedOn w:val="TableNormal"/>
    <w:uiPriority w:val="60"/>
    <w:rsid w:val="005D5C1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1">
    <w:name w:val="Elenco chiaro - Colore 11"/>
    <w:basedOn w:val="TableNormal"/>
    <w:uiPriority w:val="61"/>
    <w:rsid w:val="005D5C1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evision">
    <w:name w:val="Revision"/>
    <w:hidden/>
    <w:uiPriority w:val="99"/>
    <w:semiHidden/>
    <w:rsid w:val="005D5C1E"/>
    <w:pPr>
      <w:spacing w:after="0" w:line="240" w:lineRule="auto"/>
    </w:pPr>
    <w:rPr>
      <w:rFonts w:ascii="Verdana" w:hAnsi="Verdana"/>
      <w:sz w:val="20"/>
    </w:rPr>
  </w:style>
  <w:style w:type="table" w:customStyle="1" w:styleId="Stile1">
    <w:name w:val="Stile1"/>
    <w:basedOn w:val="TableNormal"/>
    <w:uiPriority w:val="99"/>
    <w:qFormat/>
    <w:rsid w:val="00A02832"/>
    <w:pPr>
      <w:spacing w:after="0" w:line="240" w:lineRule="auto"/>
    </w:pPr>
    <w:tblPr/>
  </w:style>
  <w:style w:type="paragraph" w:styleId="ListBullet5">
    <w:name w:val="List Bullet 5"/>
    <w:basedOn w:val="Normal"/>
    <w:autoRedefine/>
    <w:rsid w:val="00AB7959"/>
    <w:pPr>
      <w:numPr>
        <w:numId w:val="6"/>
      </w:numPr>
      <w:spacing w:after="240" w:line="240" w:lineRule="auto"/>
    </w:pPr>
    <w:rPr>
      <w:rFonts w:ascii="Times New Roman" w:eastAsia="Times New Roman" w:hAnsi="Times New Roman" w:cs="Times New Roman"/>
      <w:sz w:val="24"/>
      <w:szCs w:val="20"/>
      <w:lang w:val="fr-FR"/>
    </w:rPr>
  </w:style>
  <w:style w:type="paragraph" w:customStyle="1" w:styleId="DocumentTitle">
    <w:name w:val="Document Title"/>
    <w:basedOn w:val="Normal"/>
    <w:link w:val="DocumentTitleChar"/>
    <w:qFormat/>
    <w:rsid w:val="00AB7959"/>
    <w:pPr>
      <w:spacing w:after="240" w:line="240" w:lineRule="auto"/>
      <w:jc w:val="center"/>
    </w:pPr>
    <w:rPr>
      <w:rFonts w:eastAsia="Times New Roman" w:cs="Times New Roman"/>
      <w:b/>
      <w:sz w:val="52"/>
      <w:szCs w:val="20"/>
      <w:lang w:val="fr-FR"/>
    </w:rPr>
  </w:style>
  <w:style w:type="character" w:customStyle="1" w:styleId="DocumentTitleChar">
    <w:name w:val="Document Title Char"/>
    <w:link w:val="DocumentTitle"/>
    <w:rsid w:val="00AB7959"/>
    <w:rPr>
      <w:rFonts w:ascii="Verdana" w:eastAsia="Times New Roman" w:hAnsi="Verdana" w:cs="Times New Roman"/>
      <w:b/>
      <w:sz w:val="52"/>
      <w:szCs w:val="20"/>
      <w:lang w:val="fr-FR"/>
    </w:rPr>
  </w:style>
  <w:style w:type="paragraph" w:customStyle="1" w:styleId="DocumentSubtitle">
    <w:name w:val="Document Subtitle"/>
    <w:basedOn w:val="DocumentTitle"/>
    <w:link w:val="DocumentSubtitleChar"/>
    <w:qFormat/>
    <w:rsid w:val="00AB7959"/>
    <w:rPr>
      <w:b w:val="0"/>
      <w:sz w:val="32"/>
      <w:szCs w:val="36"/>
      <w:lang w:val="en-GB"/>
    </w:rPr>
  </w:style>
  <w:style w:type="character" w:customStyle="1" w:styleId="DocumentSubtitleChar">
    <w:name w:val="Document Subtitle Char"/>
    <w:link w:val="DocumentSubtitle"/>
    <w:rsid w:val="00AB7959"/>
    <w:rPr>
      <w:rFonts w:ascii="Verdana" w:eastAsia="Times New Roman" w:hAnsi="Verdana" w:cs="Times New Roman"/>
      <w:sz w:val="32"/>
      <w:szCs w:val="36"/>
    </w:rPr>
  </w:style>
  <w:style w:type="paragraph" w:customStyle="1" w:styleId="Heading">
    <w:name w:val="Heading"/>
    <w:basedOn w:val="TOC1"/>
    <w:link w:val="HeadingChar"/>
    <w:qFormat/>
    <w:rsid w:val="00AB7959"/>
    <w:pPr>
      <w:widowControl w:val="0"/>
      <w:tabs>
        <w:tab w:val="right" w:leader="dot" w:pos="8640"/>
      </w:tabs>
      <w:autoSpaceDE w:val="0"/>
      <w:autoSpaceDN w:val="0"/>
      <w:adjustRightInd w:val="0"/>
      <w:spacing w:after="0" w:line="240" w:lineRule="auto"/>
      <w:ind w:left="0" w:right="720" w:firstLine="0"/>
      <w:jc w:val="left"/>
    </w:pPr>
    <w:rPr>
      <w:rFonts w:eastAsia="Times New Roman" w:cs="Times New Roman"/>
      <w:b w:val="0"/>
      <w:caps/>
      <w:szCs w:val="20"/>
      <w:u w:val="single"/>
      <w:lang w:val="fr-FR"/>
    </w:rPr>
  </w:style>
  <w:style w:type="character" w:customStyle="1" w:styleId="HeadingChar">
    <w:name w:val="Heading Char"/>
    <w:link w:val="Heading"/>
    <w:rsid w:val="00AB7959"/>
    <w:rPr>
      <w:rFonts w:ascii="Verdana" w:eastAsia="Times New Roman" w:hAnsi="Verdana" w:cs="Times New Roman"/>
      <w:b/>
      <w:caps/>
      <w:sz w:val="20"/>
      <w:szCs w:val="20"/>
      <w:u w:val="single"/>
      <w:lang w:val="fr-FR"/>
    </w:rPr>
  </w:style>
  <w:style w:type="paragraph" w:customStyle="1" w:styleId="Body">
    <w:name w:val="Body"/>
    <w:basedOn w:val="Normal"/>
    <w:link w:val="BodyChar"/>
    <w:qFormat/>
    <w:rsid w:val="00AB7959"/>
    <w:pPr>
      <w:spacing w:after="240" w:line="240" w:lineRule="auto"/>
      <w:jc w:val="left"/>
    </w:pPr>
    <w:rPr>
      <w:rFonts w:eastAsia="Times New Roman" w:cs="Times New Roman"/>
      <w:sz w:val="18"/>
      <w:szCs w:val="20"/>
      <w:lang w:val="fr-FR"/>
    </w:rPr>
  </w:style>
  <w:style w:type="character" w:customStyle="1" w:styleId="BodyChar">
    <w:name w:val="Body Char"/>
    <w:link w:val="Body"/>
    <w:rsid w:val="00AB7959"/>
    <w:rPr>
      <w:rFonts w:ascii="Verdana" w:eastAsia="Times New Roman" w:hAnsi="Verdana" w:cs="Times New Roman"/>
      <w:sz w:val="18"/>
      <w:szCs w:val="20"/>
      <w:lang w:val="fr-FR"/>
    </w:rPr>
  </w:style>
  <w:style w:type="paragraph" w:customStyle="1" w:styleId="HeadingBody">
    <w:name w:val="Heading Body"/>
    <w:basedOn w:val="Normal"/>
    <w:link w:val="HeadingBodyChar"/>
    <w:qFormat/>
    <w:rsid w:val="00AB7959"/>
    <w:pPr>
      <w:spacing w:after="120" w:line="240" w:lineRule="auto"/>
    </w:pPr>
    <w:rPr>
      <w:rFonts w:eastAsia="Times New Roman" w:cs="Times New Roman"/>
      <w:b/>
      <w:szCs w:val="18"/>
    </w:rPr>
  </w:style>
  <w:style w:type="paragraph" w:customStyle="1" w:styleId="Titlepublication">
    <w:name w:val="Title publication"/>
    <w:basedOn w:val="Normal"/>
    <w:link w:val="TitlepublicationChar"/>
    <w:qFormat/>
    <w:rsid w:val="00AB7959"/>
    <w:pPr>
      <w:spacing w:after="240" w:line="240" w:lineRule="auto"/>
      <w:jc w:val="center"/>
    </w:pPr>
    <w:rPr>
      <w:rFonts w:eastAsia="Times New Roman" w:cs="Times New Roman"/>
      <w:b/>
      <w:color w:val="FF0000"/>
      <w:sz w:val="52"/>
      <w:szCs w:val="52"/>
    </w:rPr>
  </w:style>
  <w:style w:type="character" w:customStyle="1" w:styleId="HeadingBodyChar">
    <w:name w:val="Heading Body Char"/>
    <w:basedOn w:val="DefaultParagraphFont"/>
    <w:link w:val="HeadingBody"/>
    <w:rsid w:val="00AB7959"/>
    <w:rPr>
      <w:rFonts w:ascii="Verdana" w:eastAsia="Times New Roman" w:hAnsi="Verdana" w:cs="Times New Roman"/>
      <w:b/>
      <w:sz w:val="20"/>
      <w:szCs w:val="18"/>
    </w:rPr>
  </w:style>
  <w:style w:type="paragraph" w:customStyle="1" w:styleId="Subtitlepublication">
    <w:name w:val="Subtitle publication"/>
    <w:basedOn w:val="Normal"/>
    <w:link w:val="SubtitlepublicationChar"/>
    <w:qFormat/>
    <w:rsid w:val="00AB7959"/>
    <w:pPr>
      <w:spacing w:after="240" w:line="240" w:lineRule="auto"/>
      <w:jc w:val="center"/>
    </w:pPr>
    <w:rPr>
      <w:rFonts w:eastAsia="Times New Roman" w:cs="Times New Roman"/>
      <w:b/>
      <w:i/>
      <w:color w:val="FF0000"/>
      <w:sz w:val="32"/>
      <w:szCs w:val="20"/>
    </w:rPr>
  </w:style>
  <w:style w:type="character" w:customStyle="1" w:styleId="TitlepublicationChar">
    <w:name w:val="Title publication Char"/>
    <w:basedOn w:val="DefaultParagraphFont"/>
    <w:link w:val="Titlepublication"/>
    <w:rsid w:val="00AB7959"/>
    <w:rPr>
      <w:rFonts w:ascii="Verdana" w:eastAsia="Times New Roman" w:hAnsi="Verdana" w:cs="Times New Roman"/>
      <w:b/>
      <w:color w:val="FF0000"/>
      <w:sz w:val="52"/>
      <w:szCs w:val="52"/>
    </w:rPr>
  </w:style>
  <w:style w:type="character" w:customStyle="1" w:styleId="SubtitlepublicationChar">
    <w:name w:val="Subtitle publication Char"/>
    <w:basedOn w:val="DefaultParagraphFont"/>
    <w:link w:val="Subtitlepublication"/>
    <w:rsid w:val="00AB7959"/>
    <w:rPr>
      <w:rFonts w:ascii="Verdana" w:eastAsia="Times New Roman" w:hAnsi="Verdana" w:cs="Times New Roman"/>
      <w:b/>
      <w:i/>
      <w:color w:val="FF0000"/>
      <w:sz w:val="32"/>
      <w:szCs w:val="20"/>
    </w:rPr>
  </w:style>
  <w:style w:type="paragraph" w:customStyle="1" w:styleId="Bulletpoint1">
    <w:name w:val="Bullet point1"/>
    <w:basedOn w:val="NormalIndent"/>
    <w:link w:val="Bulletpoint1Char"/>
    <w:qFormat/>
    <w:rsid w:val="00752C37"/>
    <w:pPr>
      <w:numPr>
        <w:numId w:val="7"/>
      </w:numPr>
      <w:spacing w:after="120"/>
    </w:pPr>
    <w:rPr>
      <w:rFonts w:eastAsia="Times New Roman" w:cs="Times New Roman"/>
      <w:szCs w:val="20"/>
    </w:rPr>
  </w:style>
  <w:style w:type="character" w:customStyle="1" w:styleId="Bulletpoint1Char">
    <w:name w:val="Bullet point1 Char"/>
    <w:basedOn w:val="DefaultParagraphFont"/>
    <w:link w:val="Bulletpoint1"/>
    <w:rsid w:val="00752C37"/>
    <w:rPr>
      <w:rFonts w:ascii="Verdana" w:eastAsia="Times New Roman" w:hAnsi="Verdana" w:cs="Times New Roman"/>
      <w:sz w:val="20"/>
      <w:szCs w:val="20"/>
    </w:rPr>
  </w:style>
  <w:style w:type="paragraph" w:customStyle="1" w:styleId="Heading20">
    <w:name w:val="Heading2"/>
    <w:basedOn w:val="Normal"/>
    <w:link w:val="Heading2Char0"/>
    <w:qFormat/>
    <w:rsid w:val="00A338A2"/>
    <w:pPr>
      <w:spacing w:after="240" w:line="240" w:lineRule="auto"/>
    </w:pPr>
    <w:rPr>
      <w:rFonts w:eastAsia="Times New Roman" w:cs="Times New Roman"/>
      <w:b/>
      <w:i/>
      <w:sz w:val="24"/>
      <w:szCs w:val="20"/>
      <w:lang w:val="fr-FR"/>
    </w:rPr>
  </w:style>
  <w:style w:type="character" w:customStyle="1" w:styleId="Heading2Char0">
    <w:name w:val="Heading2 Char"/>
    <w:link w:val="Heading20"/>
    <w:rsid w:val="00A338A2"/>
    <w:rPr>
      <w:rFonts w:ascii="Verdana" w:eastAsia="Times New Roman" w:hAnsi="Verdana" w:cs="Times New Roman"/>
      <w:b/>
      <w:i/>
      <w:sz w:val="24"/>
      <w:szCs w:val="20"/>
      <w:lang w:val="fr-FR"/>
    </w:rPr>
  </w:style>
  <w:style w:type="character" w:styleId="Emphasis">
    <w:name w:val="Emphasis"/>
    <w:basedOn w:val="DefaultParagraphFont"/>
    <w:uiPriority w:val="20"/>
    <w:qFormat/>
    <w:rsid w:val="00A338A2"/>
    <w:rPr>
      <w:b/>
      <w:bCs/>
      <w:i w:val="0"/>
      <w:iCs w:val="0"/>
    </w:rPr>
  </w:style>
  <w:style w:type="character" w:customStyle="1" w:styleId="st">
    <w:name w:val="st"/>
    <w:basedOn w:val="DefaultParagraphFont"/>
    <w:rsid w:val="00A338A2"/>
  </w:style>
  <w:style w:type="paragraph" w:styleId="NormalIndent">
    <w:name w:val="Normal Indent"/>
    <w:basedOn w:val="Normal"/>
    <w:uiPriority w:val="99"/>
    <w:semiHidden/>
    <w:unhideWhenUsed/>
    <w:rsid w:val="00A338A2"/>
    <w:pPr>
      <w:ind w:left="708"/>
    </w:p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uiPriority w:val="99"/>
    <w:rsid w:val="00FD0D33"/>
    <w:pPr>
      <w:spacing w:before="60" w:after="160" w:line="240" w:lineRule="exact"/>
    </w:pPr>
    <w:rPr>
      <w:rFonts w:asciiTheme="majorHAnsi" w:eastAsiaTheme="majorEastAsia" w:hAnsiTheme="majorHAnsi" w:cstheme="majorBidi"/>
      <w:sz w:val="22"/>
      <w:vertAlign w:val="superscript"/>
      <w:lang w:val="en-US" w:bidi="en-US"/>
    </w:rPr>
  </w:style>
  <w:style w:type="paragraph" w:customStyle="1" w:styleId="Corpotesto1">
    <w:name w:val="Corpo testo1"/>
    <w:basedOn w:val="Normal"/>
    <w:link w:val="BodytextCarattere"/>
    <w:qFormat/>
    <w:rsid w:val="007D5CBE"/>
    <w:pPr>
      <w:spacing w:after="0" w:line="240" w:lineRule="auto"/>
    </w:pPr>
    <w:rPr>
      <w:rFonts w:eastAsia="Times New Roman" w:cs="Times New Roman"/>
      <w:szCs w:val="20"/>
    </w:rPr>
  </w:style>
  <w:style w:type="character" w:customStyle="1" w:styleId="BodytextCarattere">
    <w:name w:val="Body text Carattere"/>
    <w:basedOn w:val="DefaultParagraphFont"/>
    <w:link w:val="Corpotesto1"/>
    <w:rsid w:val="007D5CBE"/>
    <w:rPr>
      <w:rFonts w:ascii="Verdana" w:eastAsia="Times New Roman" w:hAnsi="Verdana" w:cs="Times New Roman"/>
      <w:sz w:val="20"/>
      <w:szCs w:val="20"/>
    </w:rPr>
  </w:style>
  <w:style w:type="paragraph" w:customStyle="1" w:styleId="bullettable">
    <w:name w:val="bullet table"/>
    <w:basedOn w:val="ListParagraph"/>
    <w:link w:val="bullettableCarattere"/>
    <w:qFormat/>
    <w:rsid w:val="0032426D"/>
    <w:pPr>
      <w:numPr>
        <w:numId w:val="0"/>
      </w:numPr>
      <w:spacing w:after="0" w:line="240" w:lineRule="auto"/>
      <w:ind w:left="65"/>
      <w:contextualSpacing/>
      <w:jc w:val="left"/>
    </w:pPr>
    <w:rPr>
      <w:rFonts w:eastAsia="Calibri" w:cstheme="majorBidi"/>
      <w:sz w:val="16"/>
      <w:szCs w:val="16"/>
      <w:lang w:val="en-US" w:bidi="en-US"/>
    </w:rPr>
  </w:style>
  <w:style w:type="character" w:customStyle="1" w:styleId="bullettableCarattere">
    <w:name w:val="bullet table Carattere"/>
    <w:basedOn w:val="ListParagraphChar"/>
    <w:link w:val="bullettable"/>
    <w:rsid w:val="0032426D"/>
    <w:rPr>
      <w:rFonts w:ascii="Verdana" w:eastAsia="Calibri" w:hAnsi="Verdana" w:cstheme="majorBidi"/>
      <w:sz w:val="16"/>
      <w:szCs w:val="16"/>
      <w:lang w:val="en-US" w:bidi="en-US"/>
    </w:rPr>
  </w:style>
  <w:style w:type="paragraph" w:customStyle="1" w:styleId="bullettable2">
    <w:name w:val="bullet table 2"/>
    <w:basedOn w:val="ListParagraph"/>
    <w:link w:val="bullettable2Carattere"/>
    <w:qFormat/>
    <w:rsid w:val="00E47AD0"/>
    <w:pPr>
      <w:numPr>
        <w:numId w:val="9"/>
      </w:numPr>
      <w:spacing w:after="0" w:line="240" w:lineRule="auto"/>
    </w:pPr>
  </w:style>
  <w:style w:type="character" w:customStyle="1" w:styleId="bullettable2Carattere">
    <w:name w:val="bullet table 2 Carattere"/>
    <w:basedOn w:val="ListParagraphChar"/>
    <w:link w:val="bullettable2"/>
    <w:rsid w:val="00E47AD0"/>
    <w:rPr>
      <w:rFonts w:ascii="Verdana" w:hAnsi="Verdana"/>
      <w:sz w:val="20"/>
    </w:rPr>
  </w:style>
  <w:style w:type="paragraph" w:customStyle="1" w:styleId="BTBullet2">
    <w:name w:val="BTBullet2"/>
    <w:basedOn w:val="Normal"/>
    <w:uiPriority w:val="6"/>
    <w:rsid w:val="00F9077C"/>
    <w:pPr>
      <w:numPr>
        <w:ilvl w:val="1"/>
        <w:numId w:val="10"/>
      </w:numPr>
      <w:spacing w:after="0" w:line="240" w:lineRule="atLeast"/>
    </w:pPr>
    <w:rPr>
      <w:rFonts w:ascii="Arial" w:hAnsi="Arial" w:cstheme="majorBidi"/>
      <w:sz w:val="22"/>
      <w:szCs w:val="24"/>
      <w:lang w:val="en-US"/>
    </w:rPr>
  </w:style>
  <w:style w:type="paragraph" w:customStyle="1" w:styleId="BTBullet3">
    <w:name w:val="BTBullet3"/>
    <w:basedOn w:val="Normal"/>
    <w:uiPriority w:val="6"/>
    <w:rsid w:val="00F9077C"/>
    <w:pPr>
      <w:numPr>
        <w:ilvl w:val="2"/>
        <w:numId w:val="10"/>
      </w:numPr>
      <w:spacing w:after="0" w:line="240" w:lineRule="atLeast"/>
    </w:pPr>
    <w:rPr>
      <w:rFonts w:ascii="Arial" w:hAnsi="Arial" w:cstheme="majorBidi"/>
      <w:sz w:val="22"/>
      <w:szCs w:val="24"/>
      <w:lang w:val="en-US"/>
    </w:rPr>
  </w:style>
  <w:style w:type="table" w:styleId="LightList-Accent2">
    <w:name w:val="Light List Accent 2"/>
    <w:basedOn w:val="TableNormal"/>
    <w:uiPriority w:val="61"/>
    <w:rsid w:val="00495CB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CM1">
    <w:name w:val="CM1"/>
    <w:basedOn w:val="Normal"/>
    <w:next w:val="Normal"/>
    <w:uiPriority w:val="99"/>
    <w:rsid w:val="00C82ACA"/>
    <w:pPr>
      <w:autoSpaceDE w:val="0"/>
      <w:autoSpaceDN w:val="0"/>
      <w:adjustRightInd w:val="0"/>
      <w:spacing w:after="0" w:line="240" w:lineRule="auto"/>
      <w:jc w:val="left"/>
    </w:pPr>
    <w:rPr>
      <w:rFonts w:ascii="EUAlbertina" w:hAnsi="EUAlbertina"/>
      <w:sz w:val="24"/>
      <w:szCs w:val="24"/>
    </w:rPr>
  </w:style>
  <w:style w:type="paragraph" w:customStyle="1" w:styleId="CM3">
    <w:name w:val="CM3"/>
    <w:basedOn w:val="Normal"/>
    <w:next w:val="Normal"/>
    <w:uiPriority w:val="99"/>
    <w:rsid w:val="00C82ACA"/>
    <w:pPr>
      <w:autoSpaceDE w:val="0"/>
      <w:autoSpaceDN w:val="0"/>
      <w:adjustRightInd w:val="0"/>
      <w:spacing w:after="0" w:line="240" w:lineRule="auto"/>
      <w:jc w:val="left"/>
    </w:pPr>
    <w:rPr>
      <w:rFonts w:ascii="EUAlbertina" w:hAnsi="EUAlbertina"/>
      <w:sz w:val="24"/>
      <w:szCs w:val="24"/>
    </w:rPr>
  </w:style>
  <w:style w:type="character" w:styleId="EndnoteReference">
    <w:name w:val="endnote reference"/>
    <w:basedOn w:val="DefaultParagraphFont"/>
    <w:uiPriority w:val="99"/>
    <w:semiHidden/>
    <w:unhideWhenUsed/>
    <w:rsid w:val="003671B0"/>
    <w:rPr>
      <w:vertAlign w:val="superscript"/>
    </w:rPr>
  </w:style>
  <w:style w:type="character" w:customStyle="1" w:styleId="shorttext">
    <w:name w:val="short_text"/>
    <w:basedOn w:val="DefaultParagraphFont"/>
    <w:rsid w:val="00027C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28" w:qFormat="1"/>
    <w:lsdException w:name="heading 7" w:uiPriority="28" w:qFormat="1"/>
    <w:lsdException w:name="heading 8" w:uiPriority="28" w:qFormat="1"/>
    <w:lsdException w:name="heading 9" w:uiPriority="2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6"/>
    <w:lsdException w:name="List Bullet 2" w:uiPriority="14"/>
    <w:lsdException w:name="List Bullet 5" w:uiPriority="0"/>
    <w:lsdException w:name="Title" w:semiHidden="0" w:uiPriority="0" w:unhideWhenUsed="0" w:qFormat="1"/>
    <w:lsdException w:name="Default Paragraph Font" w:uiPriority="1"/>
    <w:lsdException w:name="Body Text" w:uiPriority="6"/>
    <w:lsdException w:name="Subtitle" w:semiHidden="0" w:uiPriority="59" w:unhideWhenUsed="0" w:qFormat="1"/>
    <w:lsdException w:name="Strong" w:semiHidden="0" w:uiPriority="11"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59"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6A32BB"/>
    <w:pPr>
      <w:jc w:val="both"/>
    </w:pPr>
    <w:rPr>
      <w:rFonts w:ascii="Verdana" w:hAnsi="Verdana"/>
      <w:sz w:val="20"/>
    </w:rPr>
  </w:style>
  <w:style w:type="paragraph" w:styleId="Heading1">
    <w:name w:val="heading 1"/>
    <w:basedOn w:val="Normal"/>
    <w:next w:val="Normal"/>
    <w:link w:val="Heading1Char"/>
    <w:uiPriority w:val="1"/>
    <w:qFormat/>
    <w:rsid w:val="005C5563"/>
    <w:pPr>
      <w:numPr>
        <w:numId w:val="1"/>
      </w:numPr>
      <w:spacing w:after="240" w:line="240" w:lineRule="auto"/>
      <w:ind w:left="851" w:hanging="851"/>
      <w:outlineLvl w:val="0"/>
    </w:pPr>
    <w:rPr>
      <w:rFonts w:eastAsia="Times New Roman" w:cs="Times New Roman"/>
      <w:b/>
      <w:caps/>
      <w:sz w:val="24"/>
    </w:rPr>
  </w:style>
  <w:style w:type="paragraph" w:styleId="Heading2">
    <w:name w:val="heading 2"/>
    <w:basedOn w:val="Normal"/>
    <w:next w:val="Normal"/>
    <w:link w:val="Heading2Char"/>
    <w:uiPriority w:val="1"/>
    <w:unhideWhenUsed/>
    <w:qFormat/>
    <w:rsid w:val="005C5563"/>
    <w:pPr>
      <w:numPr>
        <w:ilvl w:val="1"/>
        <w:numId w:val="1"/>
      </w:numPr>
      <w:spacing w:before="120" w:after="240" w:line="240" w:lineRule="auto"/>
      <w:ind w:left="851" w:hanging="851"/>
      <w:outlineLvl w:val="1"/>
    </w:pPr>
    <w:rPr>
      <w:rFonts w:eastAsia="Times New Roman" w:cs="Times New Roman"/>
      <w:b/>
      <w:i/>
      <w:sz w:val="22"/>
      <w:szCs w:val="20"/>
    </w:rPr>
  </w:style>
  <w:style w:type="paragraph" w:styleId="Heading3">
    <w:name w:val="heading 3"/>
    <w:basedOn w:val="Normal"/>
    <w:next w:val="Normal"/>
    <w:link w:val="Heading3Char"/>
    <w:uiPriority w:val="1"/>
    <w:unhideWhenUsed/>
    <w:qFormat/>
    <w:rsid w:val="005C5563"/>
    <w:pPr>
      <w:keepNext/>
      <w:keepLines/>
      <w:numPr>
        <w:ilvl w:val="2"/>
        <w:numId w:val="1"/>
      </w:numPr>
      <w:spacing w:before="200" w:after="120"/>
      <w:ind w:left="851" w:hanging="851"/>
      <w:outlineLvl w:val="2"/>
    </w:pPr>
    <w:rPr>
      <w:rFonts w:eastAsiaTheme="majorEastAsia" w:cstheme="majorBidi"/>
      <w:b/>
      <w:bCs/>
    </w:rPr>
  </w:style>
  <w:style w:type="paragraph" w:styleId="Heading4">
    <w:name w:val="heading 4"/>
    <w:basedOn w:val="Normal"/>
    <w:next w:val="Normal"/>
    <w:link w:val="Heading4Char"/>
    <w:uiPriority w:val="1"/>
    <w:semiHidden/>
    <w:qFormat/>
    <w:rsid w:val="00891AF2"/>
    <w:pPr>
      <w:keepNext/>
      <w:keepLines/>
      <w:spacing w:before="200" w:after="60" w:line="312" w:lineRule="auto"/>
      <w:ind w:left="864" w:hanging="864"/>
      <w:outlineLvl w:val="3"/>
    </w:pPr>
    <w:rPr>
      <w:rFonts w:asciiTheme="majorHAnsi" w:eastAsiaTheme="majorEastAsia" w:hAnsiTheme="majorHAnsi" w:cstheme="majorBidi"/>
      <w:b/>
      <w:bCs/>
      <w:i/>
      <w:iCs/>
      <w:color w:val="4F81BD" w:themeColor="accent1"/>
      <w:sz w:val="19"/>
      <w:szCs w:val="24"/>
      <w:lang w:eastAsia="zh-CN"/>
    </w:rPr>
  </w:style>
  <w:style w:type="paragraph" w:styleId="Heading5">
    <w:name w:val="heading 5"/>
    <w:basedOn w:val="Normal"/>
    <w:next w:val="Normal"/>
    <w:link w:val="Heading5Char"/>
    <w:uiPriority w:val="1"/>
    <w:semiHidden/>
    <w:qFormat/>
    <w:rsid w:val="00891AF2"/>
    <w:pPr>
      <w:keepNext/>
      <w:keepLines/>
      <w:spacing w:before="200" w:after="60" w:line="312" w:lineRule="auto"/>
      <w:ind w:left="1008" w:hanging="1008"/>
      <w:outlineLvl w:val="4"/>
    </w:pPr>
    <w:rPr>
      <w:rFonts w:asciiTheme="majorHAnsi" w:eastAsiaTheme="majorEastAsia" w:hAnsiTheme="majorHAnsi" w:cstheme="majorBidi"/>
      <w:color w:val="243F60" w:themeColor="accent1" w:themeShade="7F"/>
      <w:sz w:val="19"/>
      <w:szCs w:val="24"/>
      <w:lang w:eastAsia="zh-CN"/>
    </w:rPr>
  </w:style>
  <w:style w:type="paragraph" w:styleId="Heading6">
    <w:name w:val="heading 6"/>
    <w:basedOn w:val="Normal"/>
    <w:next w:val="Normal"/>
    <w:link w:val="Heading6Char"/>
    <w:uiPriority w:val="28"/>
    <w:semiHidden/>
    <w:qFormat/>
    <w:rsid w:val="00891AF2"/>
    <w:pPr>
      <w:keepNext/>
      <w:keepLines/>
      <w:spacing w:before="200" w:after="60" w:line="312" w:lineRule="auto"/>
      <w:ind w:left="1152" w:hanging="1152"/>
      <w:outlineLvl w:val="5"/>
    </w:pPr>
    <w:rPr>
      <w:rFonts w:asciiTheme="majorHAnsi" w:eastAsiaTheme="majorEastAsia" w:hAnsiTheme="majorHAnsi" w:cstheme="majorBidi"/>
      <w:i/>
      <w:iCs/>
      <w:color w:val="243F60" w:themeColor="accent1" w:themeShade="7F"/>
      <w:sz w:val="19"/>
      <w:szCs w:val="24"/>
      <w:lang w:eastAsia="zh-CN"/>
    </w:rPr>
  </w:style>
  <w:style w:type="paragraph" w:styleId="Heading7">
    <w:name w:val="heading 7"/>
    <w:basedOn w:val="Normal"/>
    <w:next w:val="Normal"/>
    <w:link w:val="Heading7Char"/>
    <w:uiPriority w:val="28"/>
    <w:semiHidden/>
    <w:qFormat/>
    <w:rsid w:val="00891AF2"/>
    <w:pPr>
      <w:keepNext/>
      <w:keepLines/>
      <w:spacing w:before="200" w:after="60" w:line="312" w:lineRule="auto"/>
      <w:ind w:left="1296" w:hanging="1296"/>
      <w:outlineLvl w:val="6"/>
    </w:pPr>
    <w:rPr>
      <w:rFonts w:asciiTheme="majorHAnsi" w:eastAsiaTheme="majorEastAsia" w:hAnsiTheme="majorHAnsi" w:cstheme="majorBidi"/>
      <w:i/>
      <w:iCs/>
      <w:color w:val="404040" w:themeColor="text1" w:themeTint="BF"/>
      <w:sz w:val="19"/>
      <w:szCs w:val="24"/>
      <w:lang w:eastAsia="zh-CN"/>
    </w:rPr>
  </w:style>
  <w:style w:type="paragraph" w:styleId="Heading8">
    <w:name w:val="heading 8"/>
    <w:basedOn w:val="Normal"/>
    <w:next w:val="Normal"/>
    <w:link w:val="Heading8Char"/>
    <w:uiPriority w:val="28"/>
    <w:semiHidden/>
    <w:qFormat/>
    <w:rsid w:val="00891AF2"/>
    <w:pPr>
      <w:keepNext/>
      <w:keepLines/>
      <w:spacing w:before="200" w:after="60" w:line="312" w:lineRule="auto"/>
      <w:ind w:left="1440" w:hanging="1440"/>
      <w:outlineLvl w:val="7"/>
    </w:pPr>
    <w:rPr>
      <w:rFonts w:asciiTheme="majorHAnsi" w:eastAsiaTheme="majorEastAsia" w:hAnsiTheme="majorHAnsi" w:cstheme="majorBidi"/>
      <w:color w:val="404040" w:themeColor="text1" w:themeTint="BF"/>
      <w:sz w:val="19"/>
      <w:szCs w:val="20"/>
      <w:lang w:eastAsia="zh-CN"/>
    </w:rPr>
  </w:style>
  <w:style w:type="paragraph" w:styleId="Heading9">
    <w:name w:val="heading 9"/>
    <w:basedOn w:val="Normal"/>
    <w:next w:val="Normal"/>
    <w:link w:val="Heading9Char"/>
    <w:uiPriority w:val="28"/>
    <w:semiHidden/>
    <w:qFormat/>
    <w:rsid w:val="00891AF2"/>
    <w:pPr>
      <w:keepNext/>
      <w:keepLines/>
      <w:spacing w:before="200" w:after="60" w:line="312" w:lineRule="auto"/>
      <w:ind w:left="1584" w:hanging="1584"/>
      <w:outlineLvl w:val="8"/>
    </w:pPr>
    <w:rPr>
      <w:rFonts w:asciiTheme="majorHAnsi" w:eastAsiaTheme="majorEastAsia" w:hAnsiTheme="majorHAnsi" w:cstheme="majorBidi"/>
      <w:i/>
      <w:iCs/>
      <w:color w:val="404040" w:themeColor="text1" w:themeTint="BF"/>
      <w:sz w:val="19"/>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C5563"/>
    <w:rPr>
      <w:rFonts w:ascii="Verdana" w:eastAsia="Times New Roman" w:hAnsi="Verdana" w:cs="Times New Roman"/>
      <w:b/>
      <w:caps/>
      <w:sz w:val="24"/>
    </w:rPr>
  </w:style>
  <w:style w:type="character" w:customStyle="1" w:styleId="Heading2Char">
    <w:name w:val="Heading 2 Char"/>
    <w:basedOn w:val="DefaultParagraphFont"/>
    <w:link w:val="Heading2"/>
    <w:uiPriority w:val="1"/>
    <w:rsid w:val="005C5563"/>
    <w:rPr>
      <w:rFonts w:ascii="Verdana" w:eastAsia="Times New Roman" w:hAnsi="Verdana" w:cs="Times New Roman"/>
      <w:b/>
      <w:i/>
      <w:szCs w:val="20"/>
    </w:rPr>
  </w:style>
  <w:style w:type="character" w:customStyle="1" w:styleId="Heading3Char">
    <w:name w:val="Heading 3 Char"/>
    <w:basedOn w:val="DefaultParagraphFont"/>
    <w:link w:val="Heading3"/>
    <w:uiPriority w:val="1"/>
    <w:rsid w:val="005C5563"/>
    <w:rPr>
      <w:rFonts w:ascii="Verdana" w:eastAsiaTheme="majorEastAsia" w:hAnsi="Verdana" w:cstheme="majorBidi"/>
      <w:b/>
      <w:bCs/>
      <w:sz w:val="20"/>
    </w:rPr>
  </w:style>
  <w:style w:type="character" w:customStyle="1" w:styleId="Heading4Char">
    <w:name w:val="Heading 4 Char"/>
    <w:basedOn w:val="DefaultParagraphFont"/>
    <w:link w:val="Heading4"/>
    <w:uiPriority w:val="1"/>
    <w:semiHidden/>
    <w:rsid w:val="00891AF2"/>
    <w:rPr>
      <w:rFonts w:asciiTheme="majorHAnsi" w:eastAsiaTheme="majorEastAsia" w:hAnsiTheme="majorHAnsi" w:cstheme="majorBidi"/>
      <w:b/>
      <w:bCs/>
      <w:i/>
      <w:iCs/>
      <w:color w:val="4F81BD" w:themeColor="accent1"/>
      <w:sz w:val="19"/>
      <w:szCs w:val="24"/>
      <w:lang w:eastAsia="zh-CN"/>
    </w:rPr>
  </w:style>
  <w:style w:type="character" w:customStyle="1" w:styleId="Heading5Char">
    <w:name w:val="Heading 5 Char"/>
    <w:basedOn w:val="DefaultParagraphFont"/>
    <w:link w:val="Heading5"/>
    <w:uiPriority w:val="1"/>
    <w:semiHidden/>
    <w:rsid w:val="00891AF2"/>
    <w:rPr>
      <w:rFonts w:asciiTheme="majorHAnsi" w:eastAsiaTheme="majorEastAsia" w:hAnsiTheme="majorHAnsi" w:cstheme="majorBidi"/>
      <w:color w:val="243F60" w:themeColor="accent1" w:themeShade="7F"/>
      <w:sz w:val="19"/>
      <w:szCs w:val="24"/>
      <w:lang w:eastAsia="zh-CN"/>
    </w:rPr>
  </w:style>
  <w:style w:type="character" w:customStyle="1" w:styleId="Heading6Char">
    <w:name w:val="Heading 6 Char"/>
    <w:basedOn w:val="DefaultParagraphFont"/>
    <w:link w:val="Heading6"/>
    <w:uiPriority w:val="28"/>
    <w:semiHidden/>
    <w:rsid w:val="00891AF2"/>
    <w:rPr>
      <w:rFonts w:asciiTheme="majorHAnsi" w:eastAsiaTheme="majorEastAsia" w:hAnsiTheme="majorHAnsi" w:cstheme="majorBidi"/>
      <w:i/>
      <w:iCs/>
      <w:color w:val="243F60" w:themeColor="accent1" w:themeShade="7F"/>
      <w:sz w:val="19"/>
      <w:szCs w:val="24"/>
      <w:lang w:eastAsia="zh-CN"/>
    </w:rPr>
  </w:style>
  <w:style w:type="character" w:customStyle="1" w:styleId="Heading7Char">
    <w:name w:val="Heading 7 Char"/>
    <w:basedOn w:val="DefaultParagraphFont"/>
    <w:link w:val="Heading7"/>
    <w:uiPriority w:val="28"/>
    <w:semiHidden/>
    <w:rsid w:val="00891AF2"/>
    <w:rPr>
      <w:rFonts w:asciiTheme="majorHAnsi" w:eastAsiaTheme="majorEastAsia" w:hAnsiTheme="majorHAnsi" w:cstheme="majorBidi"/>
      <w:i/>
      <w:iCs/>
      <w:color w:val="404040" w:themeColor="text1" w:themeTint="BF"/>
      <w:sz w:val="19"/>
      <w:szCs w:val="24"/>
      <w:lang w:eastAsia="zh-CN"/>
    </w:rPr>
  </w:style>
  <w:style w:type="character" w:customStyle="1" w:styleId="Heading8Char">
    <w:name w:val="Heading 8 Char"/>
    <w:basedOn w:val="DefaultParagraphFont"/>
    <w:link w:val="Heading8"/>
    <w:uiPriority w:val="28"/>
    <w:semiHidden/>
    <w:rsid w:val="00891AF2"/>
    <w:rPr>
      <w:rFonts w:asciiTheme="majorHAnsi" w:eastAsiaTheme="majorEastAsia" w:hAnsiTheme="majorHAnsi" w:cstheme="majorBidi"/>
      <w:color w:val="404040" w:themeColor="text1" w:themeTint="BF"/>
      <w:sz w:val="19"/>
      <w:szCs w:val="20"/>
      <w:lang w:eastAsia="zh-CN"/>
    </w:rPr>
  </w:style>
  <w:style w:type="character" w:customStyle="1" w:styleId="Heading9Char">
    <w:name w:val="Heading 9 Char"/>
    <w:basedOn w:val="DefaultParagraphFont"/>
    <w:link w:val="Heading9"/>
    <w:uiPriority w:val="28"/>
    <w:semiHidden/>
    <w:rsid w:val="00891AF2"/>
    <w:rPr>
      <w:rFonts w:asciiTheme="majorHAnsi" w:eastAsiaTheme="majorEastAsia" w:hAnsiTheme="majorHAnsi" w:cstheme="majorBidi"/>
      <w:i/>
      <w:iCs/>
      <w:color w:val="404040" w:themeColor="text1" w:themeTint="BF"/>
      <w:sz w:val="19"/>
      <w:szCs w:val="20"/>
      <w:lang w:eastAsia="zh-CN"/>
    </w:rPr>
  </w:style>
  <w:style w:type="paragraph" w:styleId="ListParagraph">
    <w:name w:val="List Paragraph"/>
    <w:aliases w:val="Normal bullet 2,List Paragraph1,Bullet 1,Listă paragraf,Paragraph,Bullet EY,List L1,List Paragraph2,ERP-List Paragraph,List Paragraph11,Bullet list,Normal bullet 21,List Paragraph111,Bullet list1,Numbered List,Bullets,Yellow Bullet,lp1"/>
    <w:basedOn w:val="Normal"/>
    <w:link w:val="ListParagraphChar"/>
    <w:uiPriority w:val="34"/>
    <w:qFormat/>
    <w:rsid w:val="00665828"/>
    <w:pPr>
      <w:numPr>
        <w:numId w:val="5"/>
      </w:numPr>
    </w:pPr>
  </w:style>
  <w:style w:type="character" w:customStyle="1" w:styleId="ListParagraphChar">
    <w:name w:val="List Paragraph Char"/>
    <w:aliases w:val="Normal bullet 2 Char,List Paragraph1 Char,Bullet 1 Char,Listă paragraf Char,Paragraph Char,Bullet EY Char,List L1 Char,List Paragraph2 Char,ERP-List Paragraph Char,List Paragraph11 Char,Bullet list Char,Normal bullet 21 Char,lp1 Char"/>
    <w:link w:val="ListParagraph"/>
    <w:uiPriority w:val="34"/>
    <w:qFormat/>
    <w:rsid w:val="00665828"/>
    <w:rPr>
      <w:rFonts w:ascii="Verdana" w:hAnsi="Verdana"/>
      <w:sz w:val="20"/>
    </w:rPr>
  </w:style>
  <w:style w:type="character" w:styleId="Hyperlink">
    <w:name w:val="Hyperlink"/>
    <w:basedOn w:val="DefaultParagraphFont"/>
    <w:uiPriority w:val="99"/>
    <w:unhideWhenUsed/>
    <w:rsid w:val="0053536C"/>
    <w:rPr>
      <w:color w:val="0000FF" w:themeColor="hyperlink"/>
      <w:u w:val="single"/>
    </w:rPr>
  </w:style>
  <w:style w:type="paragraph" w:styleId="BalloonText">
    <w:name w:val="Balloon Text"/>
    <w:basedOn w:val="Normal"/>
    <w:link w:val="BalloonTextChar"/>
    <w:uiPriority w:val="99"/>
    <w:semiHidden/>
    <w:unhideWhenUsed/>
    <w:rsid w:val="00D933FA"/>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D933FA"/>
    <w:rPr>
      <w:rFonts w:ascii="Tahoma" w:hAnsi="Tahoma" w:cs="Tahoma"/>
      <w:szCs w:val="16"/>
    </w:rPr>
  </w:style>
  <w:style w:type="paragraph" w:styleId="Footer">
    <w:name w:val="footer"/>
    <w:basedOn w:val="Normal"/>
    <w:link w:val="FooterChar"/>
    <w:uiPriority w:val="99"/>
    <w:unhideWhenUsed/>
    <w:rsid w:val="007A5EF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A5EFF"/>
  </w:style>
  <w:style w:type="paragraph" w:styleId="Header">
    <w:name w:val="header"/>
    <w:basedOn w:val="Normal"/>
    <w:link w:val="HeaderChar"/>
    <w:uiPriority w:val="99"/>
    <w:unhideWhenUsed/>
    <w:rsid w:val="007A5EFF"/>
    <w:pPr>
      <w:tabs>
        <w:tab w:val="center" w:pos="4536"/>
        <w:tab w:val="right" w:pos="9072"/>
      </w:tabs>
      <w:spacing w:after="0" w:line="240" w:lineRule="auto"/>
    </w:pPr>
  </w:style>
  <w:style w:type="character" w:customStyle="1" w:styleId="HeaderChar">
    <w:name w:val="Header Char"/>
    <w:basedOn w:val="DefaultParagraphFont"/>
    <w:link w:val="Header"/>
    <w:uiPriority w:val="99"/>
    <w:rsid w:val="007A5EFF"/>
  </w:style>
  <w:style w:type="paragraph" w:customStyle="1" w:styleId="ZCom">
    <w:name w:val="Z_Com"/>
    <w:basedOn w:val="Normal"/>
    <w:next w:val="ZDGName"/>
    <w:rsid w:val="007A5EFF"/>
    <w:pPr>
      <w:widowControl w:val="0"/>
      <w:autoSpaceDE w:val="0"/>
      <w:autoSpaceDN w:val="0"/>
      <w:spacing w:after="0" w:line="240" w:lineRule="auto"/>
      <w:ind w:right="85"/>
    </w:pPr>
    <w:rPr>
      <w:rFonts w:ascii="Arial" w:eastAsia="Times New Roman" w:hAnsi="Arial" w:cs="Arial"/>
      <w:sz w:val="24"/>
      <w:szCs w:val="24"/>
      <w:lang w:val="fr-FR" w:eastAsia="en-GB"/>
    </w:rPr>
  </w:style>
  <w:style w:type="paragraph" w:customStyle="1" w:styleId="ZDGName">
    <w:name w:val="Z_DGName"/>
    <w:basedOn w:val="Normal"/>
    <w:rsid w:val="007A5EFF"/>
    <w:pPr>
      <w:widowControl w:val="0"/>
      <w:autoSpaceDE w:val="0"/>
      <w:autoSpaceDN w:val="0"/>
      <w:spacing w:after="0" w:line="240" w:lineRule="auto"/>
      <w:ind w:right="85"/>
    </w:pPr>
    <w:rPr>
      <w:rFonts w:ascii="Arial" w:eastAsia="Times New Roman" w:hAnsi="Arial" w:cs="Arial"/>
      <w:sz w:val="16"/>
      <w:szCs w:val="16"/>
      <w:lang w:val="fr-FR" w:eastAsia="en-GB"/>
    </w:rPr>
  </w:style>
  <w:style w:type="paragraph" w:customStyle="1" w:styleId="FooterDate">
    <w:name w:val="Footer Date"/>
    <w:basedOn w:val="Footer"/>
    <w:link w:val="FooterDateChar"/>
    <w:rsid w:val="007A5EFF"/>
    <w:pPr>
      <w:tabs>
        <w:tab w:val="clear" w:pos="4536"/>
        <w:tab w:val="clear" w:pos="9072"/>
        <w:tab w:val="right" w:pos="9240"/>
      </w:tabs>
      <w:ind w:right="-567"/>
    </w:pPr>
    <w:rPr>
      <w:rFonts w:eastAsia="Times New Roman" w:cs="Times New Roman"/>
      <w:sz w:val="16"/>
      <w:szCs w:val="20"/>
      <w:lang w:val="it-IT"/>
    </w:rPr>
  </w:style>
  <w:style w:type="character" w:customStyle="1" w:styleId="FooterDateChar">
    <w:name w:val="Footer Date Char"/>
    <w:link w:val="FooterDate"/>
    <w:rsid w:val="007A5EFF"/>
    <w:rPr>
      <w:rFonts w:ascii="Verdana" w:eastAsia="Times New Roman" w:hAnsi="Verdana" w:cs="Times New Roman"/>
      <w:sz w:val="16"/>
      <w:szCs w:val="20"/>
      <w:lang w:val="it-IT"/>
    </w:rPr>
  </w:style>
  <w:style w:type="paragraph" w:customStyle="1" w:styleId="HeaderTitle">
    <w:name w:val="Header Title"/>
    <w:basedOn w:val="Normal"/>
    <w:link w:val="HeaderTitleChar"/>
    <w:rsid w:val="007A5EFF"/>
    <w:pPr>
      <w:spacing w:after="240" w:line="240" w:lineRule="auto"/>
      <w:jc w:val="center"/>
    </w:pPr>
    <w:rPr>
      <w:rFonts w:eastAsia="Times New Roman" w:cs="Times New Roman"/>
      <w:b/>
      <w:color w:val="808080"/>
      <w:sz w:val="18"/>
      <w:szCs w:val="18"/>
      <w:lang w:val="fr-FR"/>
    </w:rPr>
  </w:style>
  <w:style w:type="character" w:customStyle="1" w:styleId="HeaderTitleChar">
    <w:name w:val="Header Title Char"/>
    <w:link w:val="HeaderTitle"/>
    <w:rsid w:val="007A5EFF"/>
    <w:rPr>
      <w:rFonts w:ascii="Verdana" w:eastAsia="Times New Roman" w:hAnsi="Verdana" w:cs="Times New Roman"/>
      <w:b/>
      <w:color w:val="808080"/>
      <w:sz w:val="18"/>
      <w:szCs w:val="18"/>
      <w:lang w:val="fr-FR"/>
    </w:rPr>
  </w:style>
  <w:style w:type="paragraph" w:styleId="TOCHeading">
    <w:name w:val="TOC Heading"/>
    <w:basedOn w:val="Heading1"/>
    <w:next w:val="Normal"/>
    <w:uiPriority w:val="39"/>
    <w:unhideWhenUsed/>
    <w:qFormat/>
    <w:rsid w:val="00347637"/>
    <w:pPr>
      <w:keepNext/>
      <w:keepLines/>
      <w:numPr>
        <w:numId w:val="0"/>
      </w:numPr>
      <w:spacing w:before="480" w:after="0" w:line="276" w:lineRule="auto"/>
      <w:outlineLvl w:val="9"/>
    </w:pPr>
    <w:rPr>
      <w:rFonts w:asciiTheme="majorHAnsi" w:eastAsiaTheme="majorEastAsia" w:hAnsiTheme="majorHAnsi" w:cstheme="majorBidi"/>
      <w:bCs/>
      <w:caps w:val="0"/>
      <w:color w:val="365F91" w:themeColor="accent1" w:themeShade="BF"/>
      <w:sz w:val="28"/>
      <w:szCs w:val="28"/>
      <w:lang w:eastAsia="en-GB"/>
    </w:rPr>
  </w:style>
  <w:style w:type="paragraph" w:styleId="TOC1">
    <w:name w:val="toc 1"/>
    <w:basedOn w:val="Normal"/>
    <w:next w:val="Normal"/>
    <w:autoRedefine/>
    <w:uiPriority w:val="39"/>
    <w:unhideWhenUsed/>
    <w:rsid w:val="00800160"/>
    <w:pPr>
      <w:tabs>
        <w:tab w:val="right" w:leader="dot" w:pos="8778"/>
      </w:tabs>
      <w:spacing w:before="240" w:after="120"/>
      <w:ind w:left="720" w:hanging="720"/>
    </w:pPr>
    <w:rPr>
      <w:b/>
      <w:sz w:val="22"/>
    </w:rPr>
  </w:style>
  <w:style w:type="paragraph" w:styleId="TOC2">
    <w:name w:val="toc 2"/>
    <w:basedOn w:val="Normal"/>
    <w:next w:val="Normal"/>
    <w:autoRedefine/>
    <w:uiPriority w:val="39"/>
    <w:unhideWhenUsed/>
    <w:rsid w:val="004C41D6"/>
    <w:pPr>
      <w:tabs>
        <w:tab w:val="left" w:pos="880"/>
        <w:tab w:val="right" w:leader="dot" w:pos="8778"/>
      </w:tabs>
      <w:spacing w:after="100"/>
      <w:ind w:left="941" w:hanging="720"/>
    </w:pPr>
  </w:style>
  <w:style w:type="table" w:styleId="TableGrid">
    <w:name w:val="Table Grid"/>
    <w:aliases w:val="CV1,HTG,CV table,chiffres,Tableau D,Table EY,Table Finalité"/>
    <w:basedOn w:val="TableNormal"/>
    <w:uiPriority w:val="59"/>
    <w:rsid w:val="00E52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47637"/>
    <w:pPr>
      <w:spacing w:after="100"/>
      <w:ind w:left="440"/>
    </w:pPr>
  </w:style>
  <w:style w:type="paragraph" w:styleId="FootnoteText">
    <w:name w:val="footnote text"/>
    <w:aliases w:val="Footnote Text Char1 Char,Footnote Text Char Char Char,Footnote Text Char1 Char Char Char,Footnote Text Char Char Char Char Char,Footnote Text Char1 Char1 Char,Footnote Text Char Char Char1 Char,Schriftart: 9 pt,fn,C,Fußnote,ft"/>
    <w:basedOn w:val="Normal"/>
    <w:link w:val="FootnoteTextChar"/>
    <w:uiPriority w:val="99"/>
    <w:unhideWhenUsed/>
    <w:qFormat/>
    <w:rsid w:val="0011196A"/>
    <w:pPr>
      <w:spacing w:after="0" w:line="240" w:lineRule="auto"/>
    </w:pPr>
    <w:rPr>
      <w:sz w:val="18"/>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 Char,Footnote Text Char Char Char1 Char Char,fn Char"/>
    <w:basedOn w:val="DefaultParagraphFont"/>
    <w:link w:val="FootnoteText"/>
    <w:uiPriority w:val="99"/>
    <w:rsid w:val="0011196A"/>
    <w:rPr>
      <w:rFonts w:ascii="Verdana" w:hAnsi="Verdana"/>
      <w:sz w:val="18"/>
      <w:szCs w:val="20"/>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SUPE,Ref"/>
    <w:basedOn w:val="DefaultParagraphFont"/>
    <w:link w:val="CharCharChar"/>
    <w:uiPriority w:val="99"/>
    <w:qFormat/>
    <w:rsid w:val="0071005F"/>
    <w:rPr>
      <w:vertAlign w:val="superscript"/>
    </w:rPr>
  </w:style>
  <w:style w:type="paragraph" w:customStyle="1" w:styleId="CharCharChar">
    <w:name w:val="Char Char Char"/>
    <w:basedOn w:val="Normal"/>
    <w:link w:val="FootnoteReference"/>
    <w:uiPriority w:val="99"/>
    <w:rsid w:val="00891AF2"/>
    <w:pPr>
      <w:spacing w:after="160" w:line="240" w:lineRule="exact"/>
    </w:pPr>
    <w:rPr>
      <w:vertAlign w:val="superscript"/>
    </w:rPr>
  </w:style>
  <w:style w:type="paragraph" w:styleId="Caption">
    <w:name w:val="caption"/>
    <w:aliases w:val="Tabelkop,Caption-tables,Table legend,Tab_Überschrift,Figure reference,Caption (ALL),Caption - Centre Graphic, Char Char Char,Caption1 Char Char Char Char Char Char Char Char,Caption1 Char Char Char Char Char Char Char Char Tegn Tegn Tegn"/>
    <w:basedOn w:val="Normal"/>
    <w:next w:val="Normal"/>
    <w:link w:val="CaptionChar"/>
    <w:uiPriority w:val="35"/>
    <w:qFormat/>
    <w:rsid w:val="002F0678"/>
    <w:rPr>
      <w:b/>
    </w:rPr>
  </w:style>
  <w:style w:type="character" w:customStyle="1" w:styleId="CaptionChar">
    <w:name w:val="Caption Char"/>
    <w:aliases w:val="Tabelkop Char,Caption-tables Char,Table legend Char,Tab_Überschrift Char,Figure reference Char,Caption (ALL) Char,Caption - Centre Graphic Char, Char Char Char Char,Caption1 Char Char Char Char Char Char Char Char Char"/>
    <w:basedOn w:val="DefaultParagraphFont"/>
    <w:link w:val="Caption"/>
    <w:uiPriority w:val="35"/>
    <w:rsid w:val="002F0678"/>
    <w:rPr>
      <w:rFonts w:ascii="Verdana" w:hAnsi="Verdana"/>
      <w:b/>
      <w:sz w:val="20"/>
    </w:rPr>
  </w:style>
  <w:style w:type="paragraph" w:styleId="Title">
    <w:name w:val="Title"/>
    <w:basedOn w:val="Normal"/>
    <w:next w:val="Normal"/>
    <w:link w:val="TitleChar"/>
    <w:qFormat/>
    <w:rsid w:val="00891AF2"/>
    <w:pPr>
      <w:pBdr>
        <w:bottom w:val="single" w:sz="8" w:space="4" w:color="4F81BD" w:themeColor="accent1"/>
      </w:pBdr>
      <w:spacing w:after="320" w:line="680" w:lineRule="exact"/>
      <w:contextualSpacing/>
    </w:pPr>
    <w:rPr>
      <w:rFonts w:ascii="Volkhov" w:eastAsiaTheme="majorEastAsia" w:hAnsi="Volkhov" w:cstheme="majorBidi"/>
      <w:color w:val="49484D"/>
      <w:spacing w:val="5"/>
      <w:kern w:val="28"/>
      <w:sz w:val="54"/>
      <w:szCs w:val="52"/>
      <w:lang w:eastAsia="zh-CN"/>
    </w:rPr>
  </w:style>
  <w:style w:type="character" w:customStyle="1" w:styleId="TitleChar">
    <w:name w:val="Title Char"/>
    <w:basedOn w:val="DefaultParagraphFont"/>
    <w:link w:val="Title"/>
    <w:rsid w:val="00891AF2"/>
    <w:rPr>
      <w:rFonts w:ascii="Volkhov" w:eastAsiaTheme="majorEastAsia" w:hAnsi="Volkhov" w:cstheme="majorBidi"/>
      <w:color w:val="49484D"/>
      <w:spacing w:val="5"/>
      <w:kern w:val="28"/>
      <w:sz w:val="54"/>
      <w:szCs w:val="52"/>
      <w:lang w:eastAsia="zh-CN"/>
    </w:rPr>
  </w:style>
  <w:style w:type="paragraph" w:styleId="Subtitle">
    <w:name w:val="Subtitle"/>
    <w:basedOn w:val="Normal"/>
    <w:next w:val="Normal"/>
    <w:link w:val="SubtitleChar"/>
    <w:uiPriority w:val="59"/>
    <w:rsid w:val="00891AF2"/>
    <w:pPr>
      <w:numPr>
        <w:ilvl w:val="1"/>
      </w:numPr>
      <w:spacing w:after="60" w:line="312" w:lineRule="auto"/>
    </w:pPr>
    <w:rPr>
      <w:rFonts w:asciiTheme="majorHAnsi" w:eastAsiaTheme="majorEastAsia" w:hAnsiTheme="majorHAnsi" w:cstheme="majorBidi"/>
      <w:i/>
      <w:iCs/>
      <w:color w:val="4F81BD" w:themeColor="accent1"/>
      <w:spacing w:val="15"/>
      <w:sz w:val="19"/>
      <w:szCs w:val="24"/>
      <w:lang w:eastAsia="zh-CN"/>
    </w:rPr>
  </w:style>
  <w:style w:type="character" w:customStyle="1" w:styleId="SubtitleChar">
    <w:name w:val="Subtitle Char"/>
    <w:basedOn w:val="DefaultParagraphFont"/>
    <w:link w:val="Subtitle"/>
    <w:uiPriority w:val="59"/>
    <w:rsid w:val="00891AF2"/>
    <w:rPr>
      <w:rFonts w:asciiTheme="majorHAnsi" w:eastAsiaTheme="majorEastAsia" w:hAnsiTheme="majorHAnsi" w:cstheme="majorBidi"/>
      <w:i/>
      <w:iCs/>
      <w:color w:val="4F81BD" w:themeColor="accent1"/>
      <w:spacing w:val="15"/>
      <w:sz w:val="19"/>
      <w:szCs w:val="24"/>
      <w:lang w:eastAsia="zh-CN"/>
    </w:rPr>
  </w:style>
  <w:style w:type="character" w:styleId="Strong">
    <w:name w:val="Strong"/>
    <w:basedOn w:val="DefaultParagraphFont"/>
    <w:uiPriority w:val="11"/>
    <w:rsid w:val="00891AF2"/>
    <w:rPr>
      <w:b/>
      <w:bCs/>
    </w:rPr>
  </w:style>
  <w:style w:type="paragraph" w:customStyle="1" w:styleId="HervorhebenKursiv">
    <w:name w:val="Hervorheben Kursiv"/>
    <w:basedOn w:val="Normal"/>
    <w:next w:val="Normal"/>
    <w:link w:val="HervorhebenKursivZchn"/>
    <w:uiPriority w:val="2"/>
    <w:qFormat/>
    <w:rsid w:val="00891AF2"/>
    <w:pPr>
      <w:spacing w:before="120" w:after="120" w:line="312" w:lineRule="auto"/>
    </w:pPr>
    <w:rPr>
      <w:rFonts w:ascii="Arial" w:eastAsia="SimSun" w:hAnsi="Arial" w:cs="Times New Roman"/>
      <w:i/>
      <w:sz w:val="19"/>
      <w:szCs w:val="24"/>
      <w:lang w:eastAsia="zh-CN"/>
    </w:rPr>
  </w:style>
  <w:style w:type="character" w:customStyle="1" w:styleId="HervorhebenKursivZchn">
    <w:name w:val="Hervorheben Kursiv Zchn"/>
    <w:basedOn w:val="DefaultParagraphFont"/>
    <w:link w:val="HervorhebenKursiv"/>
    <w:uiPriority w:val="2"/>
    <w:rsid w:val="00891AF2"/>
    <w:rPr>
      <w:rFonts w:ascii="Arial" w:eastAsia="SimSun" w:hAnsi="Arial" w:cs="Times New Roman"/>
      <w:i/>
      <w:sz w:val="19"/>
      <w:szCs w:val="24"/>
      <w:lang w:eastAsia="zh-CN"/>
    </w:rPr>
  </w:style>
  <w:style w:type="paragraph" w:styleId="NoSpacing">
    <w:name w:val="No Spacing"/>
    <w:uiPriority w:val="99"/>
    <w:rsid w:val="00891AF2"/>
    <w:pPr>
      <w:spacing w:after="0" w:line="240" w:lineRule="auto"/>
    </w:pPr>
    <w:rPr>
      <w:rFonts w:ascii="Times New Roman" w:eastAsia="SimSun" w:hAnsi="Times New Roman" w:cs="Times New Roman"/>
      <w:sz w:val="20"/>
      <w:szCs w:val="20"/>
      <w:lang w:val="de-AT"/>
    </w:rPr>
  </w:style>
  <w:style w:type="paragraph" w:styleId="Quote">
    <w:name w:val="Quote"/>
    <w:basedOn w:val="Normal"/>
    <w:next w:val="Normal"/>
    <w:link w:val="QuoteChar"/>
    <w:uiPriority w:val="99"/>
    <w:rsid w:val="00891AF2"/>
    <w:pPr>
      <w:spacing w:after="60" w:line="312" w:lineRule="auto"/>
    </w:pPr>
    <w:rPr>
      <w:rFonts w:ascii="Arial" w:eastAsia="SimSun" w:hAnsi="Arial" w:cs="Times New Roman"/>
      <w:i/>
      <w:iCs/>
      <w:color w:val="000000" w:themeColor="text1"/>
      <w:sz w:val="19"/>
      <w:szCs w:val="24"/>
      <w:lang w:eastAsia="zh-CN"/>
    </w:rPr>
  </w:style>
  <w:style w:type="character" w:customStyle="1" w:styleId="QuoteChar">
    <w:name w:val="Quote Char"/>
    <w:basedOn w:val="DefaultParagraphFont"/>
    <w:link w:val="Quote"/>
    <w:uiPriority w:val="99"/>
    <w:rsid w:val="00891AF2"/>
    <w:rPr>
      <w:rFonts w:ascii="Arial" w:eastAsia="SimSun" w:hAnsi="Arial" w:cs="Times New Roman"/>
      <w:i/>
      <w:iCs/>
      <w:color w:val="000000" w:themeColor="text1"/>
      <w:sz w:val="19"/>
      <w:szCs w:val="24"/>
      <w:lang w:eastAsia="zh-CN"/>
    </w:rPr>
  </w:style>
  <w:style w:type="paragraph" w:styleId="IntenseQuote">
    <w:name w:val="Intense Quote"/>
    <w:basedOn w:val="Normal"/>
    <w:next w:val="Normal"/>
    <w:link w:val="IntenseQuoteChar"/>
    <w:uiPriority w:val="99"/>
    <w:rsid w:val="00891AF2"/>
    <w:pPr>
      <w:pBdr>
        <w:bottom w:val="single" w:sz="4" w:space="4" w:color="4F81BD" w:themeColor="accent1"/>
      </w:pBdr>
      <w:spacing w:before="200" w:after="280" w:line="312" w:lineRule="auto"/>
      <w:ind w:left="936" w:right="936"/>
    </w:pPr>
    <w:rPr>
      <w:rFonts w:ascii="Arial" w:eastAsia="SimSun" w:hAnsi="Arial" w:cs="Times New Roman"/>
      <w:b/>
      <w:bCs/>
      <w:i/>
      <w:iCs/>
      <w:color w:val="4F81BD" w:themeColor="accent1"/>
      <w:sz w:val="19"/>
      <w:szCs w:val="24"/>
      <w:lang w:eastAsia="zh-CN"/>
    </w:rPr>
  </w:style>
  <w:style w:type="character" w:customStyle="1" w:styleId="IntenseQuoteChar">
    <w:name w:val="Intense Quote Char"/>
    <w:basedOn w:val="DefaultParagraphFont"/>
    <w:link w:val="IntenseQuote"/>
    <w:uiPriority w:val="99"/>
    <w:rsid w:val="00891AF2"/>
    <w:rPr>
      <w:rFonts w:ascii="Arial" w:eastAsia="SimSun" w:hAnsi="Arial" w:cs="Times New Roman"/>
      <w:b/>
      <w:bCs/>
      <w:i/>
      <w:iCs/>
      <w:color w:val="4F81BD" w:themeColor="accent1"/>
      <w:sz w:val="19"/>
      <w:szCs w:val="24"/>
      <w:lang w:eastAsia="zh-CN"/>
    </w:rPr>
  </w:style>
  <w:style w:type="character" w:styleId="SubtleEmphasis">
    <w:name w:val="Subtle Emphasis"/>
    <w:basedOn w:val="DefaultParagraphFont"/>
    <w:uiPriority w:val="59"/>
    <w:rsid w:val="00891AF2"/>
    <w:rPr>
      <w:i/>
      <w:iCs/>
      <w:color w:val="808080" w:themeColor="text1" w:themeTint="7F"/>
    </w:rPr>
  </w:style>
  <w:style w:type="character" w:styleId="IntenseEmphasis">
    <w:name w:val="Intense Emphasis"/>
    <w:basedOn w:val="DefaultParagraphFont"/>
    <w:uiPriority w:val="99"/>
    <w:rsid w:val="00891AF2"/>
    <w:rPr>
      <w:b/>
      <w:bCs/>
      <w:i/>
      <w:iCs/>
      <w:color w:val="4F81BD" w:themeColor="accent1"/>
    </w:rPr>
  </w:style>
  <w:style w:type="character" w:styleId="SubtleReference">
    <w:name w:val="Subtle Reference"/>
    <w:basedOn w:val="DefaultParagraphFont"/>
    <w:uiPriority w:val="99"/>
    <w:rsid w:val="00891AF2"/>
    <w:rPr>
      <w:smallCaps/>
      <w:color w:val="C0504D" w:themeColor="accent2"/>
      <w:u w:val="single"/>
    </w:rPr>
  </w:style>
  <w:style w:type="character" w:styleId="IntenseReference">
    <w:name w:val="Intense Reference"/>
    <w:basedOn w:val="DefaultParagraphFont"/>
    <w:uiPriority w:val="99"/>
    <w:rsid w:val="00891AF2"/>
    <w:rPr>
      <w:b/>
      <w:bCs/>
      <w:smallCaps/>
      <w:color w:val="C0504D" w:themeColor="accent2"/>
      <w:spacing w:val="5"/>
      <w:u w:val="single"/>
    </w:rPr>
  </w:style>
  <w:style w:type="character" w:styleId="BookTitle">
    <w:name w:val="Book Title"/>
    <w:basedOn w:val="DefaultParagraphFont"/>
    <w:uiPriority w:val="99"/>
    <w:rsid w:val="00891AF2"/>
    <w:rPr>
      <w:b/>
      <w:bCs/>
      <w:smallCaps/>
      <w:spacing w:val="5"/>
    </w:rPr>
  </w:style>
  <w:style w:type="paragraph" w:customStyle="1" w:styleId="Aufzhlung">
    <w:name w:val="Aufzählung"/>
    <w:basedOn w:val="Normal"/>
    <w:uiPriority w:val="2"/>
    <w:qFormat/>
    <w:rsid w:val="00891AF2"/>
    <w:pPr>
      <w:numPr>
        <w:numId w:val="2"/>
      </w:numPr>
      <w:spacing w:after="60" w:line="312" w:lineRule="auto"/>
      <w:ind w:left="170" w:hanging="170"/>
    </w:pPr>
    <w:rPr>
      <w:rFonts w:ascii="Arial" w:eastAsia="SimSun" w:hAnsi="Arial" w:cs="Times New Roman"/>
      <w:sz w:val="19"/>
      <w:szCs w:val="24"/>
      <w:lang w:eastAsia="zh-CN"/>
    </w:rPr>
  </w:style>
  <w:style w:type="paragraph" w:customStyle="1" w:styleId="berschrift1-Autor">
    <w:name w:val="Überschrift 1 - Autor"/>
    <w:next w:val="Normal"/>
    <w:link w:val="berschrift1-AutorZchn"/>
    <w:uiPriority w:val="20"/>
    <w:rsid w:val="00891AF2"/>
    <w:pPr>
      <w:pBdr>
        <w:top w:val="single" w:sz="48" w:space="10" w:color="004872"/>
        <w:left w:val="single" w:sz="48" w:space="28" w:color="004872"/>
        <w:bottom w:val="single" w:sz="48" w:space="10" w:color="004872"/>
        <w:right w:val="single" w:sz="48" w:space="28" w:color="004872"/>
      </w:pBdr>
      <w:shd w:val="clear" w:color="auto" w:fill="004872"/>
      <w:spacing w:before="240" w:after="300" w:line="290" w:lineRule="atLeast"/>
      <w:contextualSpacing/>
      <w:jc w:val="right"/>
    </w:pPr>
    <w:rPr>
      <w:rFonts w:ascii="Arial" w:eastAsia="SimSun" w:hAnsi="Arial" w:cs="Arial"/>
      <w:bCs/>
      <w:caps/>
      <w:color w:val="FFFFFF" w:themeColor="background1"/>
      <w:spacing w:val="5"/>
      <w:kern w:val="32"/>
      <w:sz w:val="19"/>
      <w:szCs w:val="32"/>
      <w:lang w:eastAsia="zh-CN"/>
    </w:rPr>
  </w:style>
  <w:style w:type="character" w:customStyle="1" w:styleId="berschrift1-AutorZchn">
    <w:name w:val="Überschrift 1 - Autor Zchn"/>
    <w:basedOn w:val="DefaultParagraphFont"/>
    <w:link w:val="berschrift1-Autor"/>
    <w:uiPriority w:val="20"/>
    <w:rsid w:val="00891AF2"/>
    <w:rPr>
      <w:rFonts w:ascii="Arial" w:eastAsia="SimSun" w:hAnsi="Arial" w:cs="Arial"/>
      <w:bCs/>
      <w:caps/>
      <w:color w:val="FFFFFF" w:themeColor="background1"/>
      <w:spacing w:val="5"/>
      <w:kern w:val="32"/>
      <w:sz w:val="19"/>
      <w:szCs w:val="32"/>
      <w:shd w:val="clear" w:color="auto" w:fill="004872"/>
      <w:lang w:eastAsia="zh-CN"/>
    </w:rPr>
  </w:style>
  <w:style w:type="paragraph" w:customStyle="1" w:styleId="Vorspann">
    <w:name w:val="Vorspann"/>
    <w:link w:val="VorspannZchn"/>
    <w:uiPriority w:val="9"/>
    <w:rsid w:val="00891AF2"/>
    <w:pPr>
      <w:spacing w:after="120" w:line="340" w:lineRule="exact"/>
      <w:contextualSpacing/>
    </w:pPr>
    <w:rPr>
      <w:rFonts w:ascii="Volkhov" w:eastAsia="SimSun" w:hAnsi="Volkhov" w:cs="Arial"/>
      <w:bCs/>
      <w:iCs/>
      <w:color w:val="00395D"/>
      <w:sz w:val="23"/>
      <w:szCs w:val="28"/>
      <w:lang w:eastAsia="zh-CN"/>
    </w:rPr>
  </w:style>
  <w:style w:type="character" w:customStyle="1" w:styleId="VorspannZchn">
    <w:name w:val="Vorspann Zchn"/>
    <w:basedOn w:val="DefaultParagraphFont"/>
    <w:link w:val="Vorspann"/>
    <w:uiPriority w:val="9"/>
    <w:rsid w:val="00891AF2"/>
    <w:rPr>
      <w:rFonts w:ascii="Volkhov" w:eastAsia="SimSun" w:hAnsi="Volkhov" w:cs="Arial"/>
      <w:bCs/>
      <w:iCs/>
      <w:color w:val="00395D"/>
      <w:sz w:val="23"/>
      <w:szCs w:val="28"/>
      <w:lang w:eastAsia="zh-CN"/>
    </w:rPr>
  </w:style>
  <w:style w:type="character" w:customStyle="1" w:styleId="berschrift1-EinleitungZchn">
    <w:name w:val="Überschrift 1 - Einleitung Zchn"/>
    <w:basedOn w:val="DefaultParagraphFont"/>
    <w:link w:val="berschrift1-Einleitung"/>
    <w:uiPriority w:val="49"/>
    <w:rsid w:val="00891AF2"/>
    <w:rPr>
      <w:rFonts w:ascii="Volkhov" w:eastAsia="SimSun" w:hAnsi="Volkhov"/>
      <w:color w:val="BF7900"/>
      <w:spacing w:val="5"/>
      <w:sz w:val="36"/>
      <w:szCs w:val="24"/>
      <w:lang w:eastAsia="zh-CN"/>
    </w:rPr>
  </w:style>
  <w:style w:type="paragraph" w:customStyle="1" w:styleId="berschrift1-Einleitung">
    <w:name w:val="Überschrift 1 - Einleitung"/>
    <w:link w:val="berschrift1-EinleitungZchn"/>
    <w:uiPriority w:val="49"/>
    <w:rsid w:val="00891AF2"/>
    <w:pPr>
      <w:spacing w:after="420" w:line="420" w:lineRule="atLeast"/>
      <w:contextualSpacing/>
    </w:pPr>
    <w:rPr>
      <w:rFonts w:ascii="Volkhov" w:eastAsia="SimSun" w:hAnsi="Volkhov"/>
      <w:color w:val="BF7900"/>
      <w:spacing w:val="5"/>
      <w:sz w:val="36"/>
      <w:szCs w:val="24"/>
      <w:lang w:eastAsia="zh-CN"/>
    </w:rPr>
  </w:style>
  <w:style w:type="character" w:customStyle="1" w:styleId="Text-blau">
    <w:name w:val="Text - blau"/>
    <w:basedOn w:val="DefaultParagraphFont"/>
    <w:uiPriority w:val="10"/>
    <w:rsid w:val="00891AF2"/>
    <w:rPr>
      <w:rFonts w:ascii="Arial" w:hAnsi="Arial"/>
      <w:caps w:val="0"/>
      <w:smallCaps w:val="0"/>
      <w:strike w:val="0"/>
      <w:dstrike w:val="0"/>
      <w:vanish w:val="0"/>
      <w:color w:val="00395D"/>
      <w:spacing w:val="5"/>
      <w:kern w:val="18"/>
      <w:sz w:val="19"/>
      <w:vertAlign w:val="baseline"/>
    </w:rPr>
  </w:style>
  <w:style w:type="character" w:customStyle="1" w:styleId="Einleitung-Absatz">
    <w:name w:val="Einleitung - Absatz"/>
    <w:basedOn w:val="Text-blau"/>
    <w:uiPriority w:val="19"/>
    <w:rsid w:val="00891AF2"/>
    <w:rPr>
      <w:rFonts w:ascii="Arial" w:hAnsi="Arial"/>
      <w:b/>
      <w:caps w:val="0"/>
      <w:smallCaps w:val="0"/>
      <w:strike w:val="0"/>
      <w:dstrike w:val="0"/>
      <w:vanish w:val="0"/>
      <w:color w:val="auto"/>
      <w:spacing w:val="5"/>
      <w:kern w:val="18"/>
      <w:sz w:val="20"/>
      <w:vertAlign w:val="baseline"/>
      <w:lang w:val="en-GB"/>
    </w:rPr>
  </w:style>
  <w:style w:type="paragraph" w:customStyle="1" w:styleId="Hervorhebung-rot">
    <w:name w:val="Hervorhebung - rot"/>
    <w:basedOn w:val="Normal"/>
    <w:link w:val="Hervorhebung-rotZchn"/>
    <w:uiPriority w:val="19"/>
    <w:rsid w:val="00891AF2"/>
    <w:pPr>
      <w:spacing w:after="60" w:line="312" w:lineRule="auto"/>
    </w:pPr>
    <w:rPr>
      <w:rFonts w:ascii="Volkhov" w:eastAsia="SimSun" w:hAnsi="Volkhov" w:cs="Times New Roman"/>
      <w:b/>
      <w:color w:val="B50000"/>
      <w:sz w:val="18"/>
      <w:szCs w:val="24"/>
      <w:lang w:eastAsia="zh-CN"/>
    </w:rPr>
  </w:style>
  <w:style w:type="character" w:customStyle="1" w:styleId="Hervorhebung-rotZchn">
    <w:name w:val="Hervorhebung - rot Zchn"/>
    <w:basedOn w:val="DefaultParagraphFont"/>
    <w:link w:val="Hervorhebung-rot"/>
    <w:uiPriority w:val="19"/>
    <w:rsid w:val="00891AF2"/>
    <w:rPr>
      <w:rFonts w:ascii="Volkhov" w:eastAsia="SimSun" w:hAnsi="Volkhov" w:cs="Times New Roman"/>
      <w:b/>
      <w:color w:val="B50000"/>
      <w:sz w:val="18"/>
      <w:szCs w:val="24"/>
      <w:lang w:eastAsia="zh-CN"/>
    </w:rPr>
  </w:style>
  <w:style w:type="paragraph" w:customStyle="1" w:styleId="Box-Text">
    <w:name w:val="Box - Text"/>
    <w:link w:val="Box-TextZchn"/>
    <w:uiPriority w:val="30"/>
    <w:qFormat/>
    <w:rsid w:val="00891AF2"/>
    <w:pPr>
      <w:pBdr>
        <w:top w:val="single" w:sz="4" w:space="7" w:color="00395D"/>
        <w:left w:val="single" w:sz="4" w:space="7" w:color="00395D"/>
        <w:bottom w:val="single" w:sz="4" w:space="14" w:color="00395D"/>
        <w:right w:val="single" w:sz="4" w:space="7" w:color="00395D"/>
      </w:pBdr>
      <w:spacing w:after="290" w:line="290" w:lineRule="atLeast"/>
    </w:pPr>
    <w:rPr>
      <w:rFonts w:ascii="Arial" w:eastAsia="SimSun" w:hAnsi="Arial" w:cs="Times New Roman"/>
      <w:color w:val="00395D"/>
      <w:sz w:val="19"/>
      <w:szCs w:val="24"/>
      <w:lang w:eastAsia="zh-CN"/>
    </w:rPr>
  </w:style>
  <w:style w:type="character" w:customStyle="1" w:styleId="Box-TextZchn">
    <w:name w:val="Box - Text Zchn"/>
    <w:basedOn w:val="DefaultParagraphFont"/>
    <w:link w:val="Box-Text"/>
    <w:uiPriority w:val="30"/>
    <w:rsid w:val="00891AF2"/>
    <w:rPr>
      <w:rFonts w:ascii="Arial" w:eastAsia="SimSun" w:hAnsi="Arial" w:cs="Times New Roman"/>
      <w:color w:val="00395D"/>
      <w:sz w:val="19"/>
      <w:szCs w:val="24"/>
      <w:lang w:eastAsia="zh-CN"/>
    </w:rPr>
  </w:style>
  <w:style w:type="paragraph" w:customStyle="1" w:styleId="Beschriftung-Box-beige">
    <w:name w:val="Beschriftung - Box - beige"/>
    <w:basedOn w:val="Box-Text"/>
    <w:link w:val="Beschriftung-Box-beigeZchn"/>
    <w:uiPriority w:val="29"/>
    <w:qFormat/>
    <w:rsid w:val="00891AF2"/>
    <w:pPr>
      <w:spacing w:after="300"/>
      <w:contextualSpacing/>
    </w:pPr>
    <w:rPr>
      <w:b/>
      <w:caps/>
      <w:sz w:val="20"/>
    </w:rPr>
  </w:style>
  <w:style w:type="character" w:customStyle="1" w:styleId="Beschriftung-Box-beigeZchn">
    <w:name w:val="Beschriftung - Box - beige Zchn"/>
    <w:basedOn w:val="Box-TextZchn"/>
    <w:link w:val="Beschriftung-Box-beige"/>
    <w:uiPriority w:val="29"/>
    <w:rsid w:val="00891AF2"/>
    <w:rPr>
      <w:rFonts w:ascii="Arial" w:eastAsia="SimSun" w:hAnsi="Arial" w:cs="Times New Roman"/>
      <w:b/>
      <w:caps/>
      <w:color w:val="00395D"/>
      <w:sz w:val="20"/>
      <w:szCs w:val="24"/>
      <w:lang w:eastAsia="zh-CN"/>
    </w:rPr>
  </w:style>
  <w:style w:type="paragraph" w:customStyle="1" w:styleId="berschrift1-Country">
    <w:name w:val="Überschrift 1 - Country"/>
    <w:basedOn w:val="Normal"/>
    <w:link w:val="berschrift1-CountryZchn"/>
    <w:uiPriority w:val="22"/>
    <w:rsid w:val="00891AF2"/>
    <w:pPr>
      <w:spacing w:after="420" w:line="420" w:lineRule="atLeast"/>
      <w:contextualSpacing/>
      <w:outlineLvl w:val="1"/>
    </w:pPr>
    <w:rPr>
      <w:rFonts w:ascii="Volkhov" w:eastAsia="SimSun" w:hAnsi="Volkhov" w:cs="Times New Roman"/>
      <w:color w:val="A86B00"/>
      <w:spacing w:val="5"/>
      <w:sz w:val="36"/>
      <w:szCs w:val="24"/>
      <w:lang w:eastAsia="zh-CN"/>
    </w:rPr>
  </w:style>
  <w:style w:type="character" w:customStyle="1" w:styleId="berschrift1-CountryZchn">
    <w:name w:val="Überschrift 1 - Country Zchn"/>
    <w:basedOn w:val="DefaultParagraphFont"/>
    <w:link w:val="berschrift1-Country"/>
    <w:uiPriority w:val="22"/>
    <w:rsid w:val="00891AF2"/>
    <w:rPr>
      <w:rFonts w:ascii="Volkhov" w:eastAsia="SimSun" w:hAnsi="Volkhov" w:cs="Times New Roman"/>
      <w:color w:val="A86B00"/>
      <w:spacing w:val="5"/>
      <w:sz w:val="36"/>
      <w:szCs w:val="24"/>
      <w:lang w:eastAsia="zh-CN"/>
    </w:rPr>
  </w:style>
  <w:style w:type="paragraph" w:customStyle="1" w:styleId="berschrift2-Country">
    <w:name w:val="Überschrift 2 - Country"/>
    <w:basedOn w:val="berschrift1-Country"/>
    <w:link w:val="berschrift2-CountryZchn"/>
    <w:uiPriority w:val="23"/>
    <w:rsid w:val="00891AF2"/>
    <w:pPr>
      <w:spacing w:after="0" w:line="290" w:lineRule="atLeast"/>
      <w:outlineLvl w:val="2"/>
    </w:pPr>
    <w:rPr>
      <w:rFonts w:ascii="Arial" w:hAnsi="Arial"/>
      <w:b/>
      <w:caps/>
      <w:sz w:val="19"/>
    </w:rPr>
  </w:style>
  <w:style w:type="character" w:customStyle="1" w:styleId="berschrift2-CountryZchn">
    <w:name w:val="Überschrift 2 - Country Zchn"/>
    <w:basedOn w:val="berschrift1-CountryZchn"/>
    <w:link w:val="berschrift2-Country"/>
    <w:uiPriority w:val="23"/>
    <w:rsid w:val="00891AF2"/>
    <w:rPr>
      <w:rFonts w:ascii="Arial" w:eastAsia="SimSun" w:hAnsi="Arial" w:cs="Times New Roman"/>
      <w:b/>
      <w:caps/>
      <w:color w:val="A86B00"/>
      <w:spacing w:val="5"/>
      <w:sz w:val="19"/>
      <w:szCs w:val="24"/>
      <w:lang w:eastAsia="zh-CN"/>
    </w:rPr>
  </w:style>
  <w:style w:type="paragraph" w:customStyle="1" w:styleId="Tabelle-Kopf">
    <w:name w:val="Tabelle - Kopf"/>
    <w:link w:val="Tabelle-KopfZchn"/>
    <w:uiPriority w:val="4"/>
    <w:qFormat/>
    <w:rsid w:val="00891AF2"/>
    <w:pPr>
      <w:spacing w:after="0" w:line="220" w:lineRule="exact"/>
      <w:contextualSpacing/>
    </w:pPr>
    <w:rPr>
      <w:rFonts w:ascii="Arial" w:eastAsia="SimSun" w:hAnsi="Arial" w:cs="Times New Roman"/>
      <w:b/>
      <w:sz w:val="16"/>
      <w:szCs w:val="24"/>
      <w:lang w:eastAsia="zh-CN"/>
    </w:rPr>
  </w:style>
  <w:style w:type="character" w:customStyle="1" w:styleId="Tabelle-KopfZchn">
    <w:name w:val="Tabelle - Kopf Zchn"/>
    <w:basedOn w:val="DefaultParagraphFont"/>
    <w:link w:val="Tabelle-Kopf"/>
    <w:uiPriority w:val="4"/>
    <w:rsid w:val="00891AF2"/>
    <w:rPr>
      <w:rFonts w:ascii="Arial" w:eastAsia="SimSun" w:hAnsi="Arial" w:cs="Times New Roman"/>
      <w:b/>
      <w:sz w:val="16"/>
      <w:szCs w:val="24"/>
      <w:lang w:eastAsia="zh-CN"/>
    </w:rPr>
  </w:style>
  <w:style w:type="character" w:customStyle="1" w:styleId="Text-gelb">
    <w:name w:val="Text - gelb"/>
    <w:basedOn w:val="DefaultParagraphFont"/>
    <w:uiPriority w:val="19"/>
    <w:rsid w:val="00891AF2"/>
    <w:rPr>
      <w:color w:val="A86B00"/>
    </w:rPr>
  </w:style>
  <w:style w:type="paragraph" w:customStyle="1" w:styleId="Tabelle-Text">
    <w:name w:val="Tabelle - Text"/>
    <w:basedOn w:val="Tabelle-Kopf"/>
    <w:link w:val="Tabelle-TextZchn"/>
    <w:uiPriority w:val="4"/>
    <w:qFormat/>
    <w:rsid w:val="00891AF2"/>
    <w:rPr>
      <w:b w:val="0"/>
      <w:sz w:val="15"/>
    </w:rPr>
  </w:style>
  <w:style w:type="character" w:customStyle="1" w:styleId="Tabelle-TextZchn">
    <w:name w:val="Tabelle - Text Zchn"/>
    <w:basedOn w:val="Tabelle-KopfZchn"/>
    <w:link w:val="Tabelle-Text"/>
    <w:uiPriority w:val="4"/>
    <w:rsid w:val="00891AF2"/>
    <w:rPr>
      <w:rFonts w:ascii="Arial" w:eastAsia="SimSun" w:hAnsi="Arial" w:cs="Times New Roman"/>
      <w:b w:val="0"/>
      <w:sz w:val="15"/>
      <w:szCs w:val="24"/>
      <w:lang w:eastAsia="zh-CN"/>
    </w:rPr>
  </w:style>
  <w:style w:type="paragraph" w:customStyle="1" w:styleId="Beschriftung-Element-oben">
    <w:name w:val="Beschriftung - Element - oben"/>
    <w:basedOn w:val="Normal"/>
    <w:next w:val="Normal"/>
    <w:link w:val="Beschriftung-Element-obenZchn"/>
    <w:uiPriority w:val="4"/>
    <w:qFormat/>
    <w:rsid w:val="00891AF2"/>
    <w:pPr>
      <w:pBdr>
        <w:top w:val="single" w:sz="4" w:space="5" w:color="9E9FA3"/>
      </w:pBdr>
      <w:spacing w:after="120" w:line="312" w:lineRule="auto"/>
      <w:contextualSpacing/>
    </w:pPr>
    <w:rPr>
      <w:rFonts w:ascii="Arial" w:eastAsia="SimSun" w:hAnsi="Arial" w:cs="Times New Roman"/>
      <w:b/>
      <w:sz w:val="16"/>
      <w:szCs w:val="24"/>
      <w:lang w:eastAsia="zh-CN"/>
    </w:rPr>
  </w:style>
  <w:style w:type="character" w:customStyle="1" w:styleId="Beschriftung-Element-obenZchn">
    <w:name w:val="Beschriftung - Element - oben Zchn"/>
    <w:basedOn w:val="DefaultParagraphFont"/>
    <w:link w:val="Beschriftung-Element-oben"/>
    <w:uiPriority w:val="4"/>
    <w:rsid w:val="00891AF2"/>
    <w:rPr>
      <w:rFonts w:ascii="Arial" w:eastAsia="SimSun" w:hAnsi="Arial" w:cs="Times New Roman"/>
      <w:b/>
      <w:sz w:val="16"/>
      <w:szCs w:val="24"/>
      <w:lang w:eastAsia="zh-CN"/>
    </w:rPr>
  </w:style>
  <w:style w:type="paragraph" w:customStyle="1" w:styleId="Beschriftung-Element-unten">
    <w:name w:val="Beschriftung - Element - unten"/>
    <w:next w:val="Normal"/>
    <w:link w:val="Beschriftung-Element-untenZchn"/>
    <w:uiPriority w:val="4"/>
    <w:qFormat/>
    <w:rsid w:val="00891AF2"/>
    <w:pPr>
      <w:pBdr>
        <w:bottom w:val="single" w:sz="4" w:space="5" w:color="9E9FA3"/>
      </w:pBdr>
      <w:spacing w:before="120" w:after="290" w:line="220" w:lineRule="atLeast"/>
      <w:contextualSpacing/>
    </w:pPr>
    <w:rPr>
      <w:rFonts w:ascii="Arial" w:eastAsia="SimSun" w:hAnsi="Arial" w:cs="Times New Roman"/>
      <w:sz w:val="16"/>
      <w:szCs w:val="24"/>
      <w:lang w:eastAsia="zh-CN"/>
    </w:rPr>
  </w:style>
  <w:style w:type="character" w:customStyle="1" w:styleId="Beschriftung-Element-untenZchn">
    <w:name w:val="Beschriftung - Element - unten Zchn"/>
    <w:basedOn w:val="DefaultParagraphFont"/>
    <w:link w:val="Beschriftung-Element-unten"/>
    <w:uiPriority w:val="4"/>
    <w:rsid w:val="00891AF2"/>
    <w:rPr>
      <w:rFonts w:ascii="Arial" w:eastAsia="SimSun" w:hAnsi="Arial" w:cs="Times New Roman"/>
      <w:sz w:val="16"/>
      <w:szCs w:val="24"/>
      <w:lang w:eastAsia="zh-CN"/>
    </w:rPr>
  </w:style>
  <w:style w:type="paragraph" w:customStyle="1" w:styleId="Hervorhebung-Versalien">
    <w:name w:val="Hervorhebung - Versalien"/>
    <w:basedOn w:val="Normal"/>
    <w:next w:val="Normal"/>
    <w:link w:val="Hervorhebung-VersalienZchn"/>
    <w:uiPriority w:val="19"/>
    <w:qFormat/>
    <w:rsid w:val="00891AF2"/>
    <w:pPr>
      <w:spacing w:after="60" w:line="312" w:lineRule="auto"/>
      <w:contextualSpacing/>
    </w:pPr>
    <w:rPr>
      <w:rFonts w:ascii="Arial" w:eastAsia="SimSun" w:hAnsi="Arial" w:cs="Times New Roman"/>
      <w:caps/>
      <w:color w:val="00395D"/>
      <w:spacing w:val="2"/>
      <w:kern w:val="20"/>
      <w:sz w:val="19"/>
      <w:szCs w:val="24"/>
      <w:lang w:eastAsia="zh-CN"/>
    </w:rPr>
  </w:style>
  <w:style w:type="character" w:customStyle="1" w:styleId="Hervorhebung-VersalienZchn">
    <w:name w:val="Hervorhebung - Versalien Zchn"/>
    <w:basedOn w:val="DefaultParagraphFont"/>
    <w:link w:val="Hervorhebung-Versalien"/>
    <w:uiPriority w:val="19"/>
    <w:rsid w:val="00891AF2"/>
    <w:rPr>
      <w:rFonts w:ascii="Arial" w:eastAsia="SimSun" w:hAnsi="Arial" w:cs="Times New Roman"/>
      <w:caps/>
      <w:color w:val="00395D"/>
      <w:spacing w:val="2"/>
      <w:kern w:val="20"/>
      <w:sz w:val="19"/>
      <w:szCs w:val="24"/>
      <w:lang w:eastAsia="zh-CN"/>
    </w:rPr>
  </w:style>
  <w:style w:type="paragraph" w:customStyle="1" w:styleId="berschrift2-Einleitung">
    <w:name w:val="Überschrift 2 - Einleitung"/>
    <w:link w:val="berschrift2-EinleitungZchn"/>
    <w:uiPriority w:val="50"/>
    <w:rsid w:val="00891AF2"/>
    <w:pPr>
      <w:spacing w:after="320" w:line="320" w:lineRule="atLeast"/>
      <w:contextualSpacing/>
    </w:pPr>
    <w:rPr>
      <w:rFonts w:ascii="Arial" w:eastAsia="SimSun" w:hAnsi="Arial" w:cs="Times New Roman"/>
      <w:caps/>
      <w:color w:val="00395D"/>
      <w:spacing w:val="2"/>
      <w:kern w:val="23"/>
      <w:sz w:val="23"/>
      <w:szCs w:val="24"/>
      <w:lang w:eastAsia="zh-CN"/>
    </w:rPr>
  </w:style>
  <w:style w:type="character" w:customStyle="1" w:styleId="berschrift2-EinleitungZchn">
    <w:name w:val="Überschrift 2 - Einleitung Zchn"/>
    <w:basedOn w:val="DefaultParagraphFont"/>
    <w:link w:val="berschrift2-Einleitung"/>
    <w:uiPriority w:val="50"/>
    <w:rsid w:val="00891AF2"/>
    <w:rPr>
      <w:rFonts w:ascii="Arial" w:eastAsia="SimSun" w:hAnsi="Arial" w:cs="Times New Roman"/>
      <w:caps/>
      <w:color w:val="00395D"/>
      <w:spacing w:val="2"/>
      <w:kern w:val="23"/>
      <w:sz w:val="23"/>
      <w:szCs w:val="24"/>
      <w:lang w:eastAsia="zh-CN"/>
    </w:rPr>
  </w:style>
  <w:style w:type="paragraph" w:styleId="TableofFigures">
    <w:name w:val="table of figures"/>
    <w:basedOn w:val="Normal"/>
    <w:next w:val="Normal"/>
    <w:uiPriority w:val="99"/>
    <w:rsid w:val="00891AF2"/>
    <w:pPr>
      <w:tabs>
        <w:tab w:val="right" w:leader="dot" w:pos="8778"/>
      </w:tabs>
      <w:spacing w:after="60" w:line="312" w:lineRule="auto"/>
      <w:ind w:left="854" w:hanging="854"/>
      <w:contextualSpacing/>
    </w:pPr>
    <w:rPr>
      <w:rFonts w:ascii="Arial" w:eastAsia="SimSun" w:hAnsi="Arial" w:cs="Times New Roman"/>
      <w:noProof/>
      <w:sz w:val="19"/>
      <w:szCs w:val="24"/>
      <w:lang w:eastAsia="zh-CN"/>
    </w:rPr>
  </w:style>
  <w:style w:type="paragraph" w:styleId="CommentText">
    <w:name w:val="annotation text"/>
    <w:basedOn w:val="Normal"/>
    <w:link w:val="CommentTextChar"/>
    <w:uiPriority w:val="99"/>
    <w:rsid w:val="00891AF2"/>
    <w:pPr>
      <w:spacing w:after="60" w:line="240" w:lineRule="auto"/>
    </w:pPr>
    <w:rPr>
      <w:rFonts w:ascii="Arial" w:eastAsia="SimSun" w:hAnsi="Arial" w:cs="Times New Roman"/>
      <w:szCs w:val="20"/>
      <w:lang w:eastAsia="zh-CN"/>
    </w:rPr>
  </w:style>
  <w:style w:type="character" w:customStyle="1" w:styleId="CommentTextChar">
    <w:name w:val="Comment Text Char"/>
    <w:basedOn w:val="DefaultParagraphFont"/>
    <w:link w:val="CommentText"/>
    <w:uiPriority w:val="99"/>
    <w:rsid w:val="00891AF2"/>
    <w:rPr>
      <w:rFonts w:ascii="Arial" w:eastAsia="SimSun" w:hAnsi="Arial" w:cs="Times New Roman"/>
      <w:sz w:val="20"/>
      <w:szCs w:val="20"/>
      <w:lang w:eastAsia="zh-CN"/>
    </w:rPr>
  </w:style>
  <w:style w:type="character" w:customStyle="1" w:styleId="CommentSubjectChar">
    <w:name w:val="Comment Subject Char"/>
    <w:basedOn w:val="CommentTextChar"/>
    <w:link w:val="CommentSubject"/>
    <w:uiPriority w:val="99"/>
    <w:semiHidden/>
    <w:rsid w:val="00891AF2"/>
    <w:rPr>
      <w:rFonts w:ascii="Arial" w:eastAsia="SimSun" w:hAnsi="Arial" w:cs="Times New Roman"/>
      <w:b/>
      <w:bCs/>
      <w:sz w:val="20"/>
      <w:szCs w:val="20"/>
      <w:lang w:eastAsia="zh-CN"/>
    </w:rPr>
  </w:style>
  <w:style w:type="paragraph" w:styleId="CommentSubject">
    <w:name w:val="annotation subject"/>
    <w:basedOn w:val="CommentText"/>
    <w:next w:val="CommentText"/>
    <w:link w:val="CommentSubjectChar"/>
    <w:uiPriority w:val="99"/>
    <w:semiHidden/>
    <w:rsid w:val="00891AF2"/>
    <w:rPr>
      <w:b/>
      <w:bCs/>
    </w:rPr>
  </w:style>
  <w:style w:type="paragraph" w:customStyle="1" w:styleId="Kopfzeile-Dokumenttitle">
    <w:name w:val="Kopfzeile - Dokumenttitle"/>
    <w:next w:val="Header"/>
    <w:link w:val="Kopfzeile-DokumenttitleZchn"/>
    <w:uiPriority w:val="99"/>
    <w:qFormat/>
    <w:rsid w:val="00891AF2"/>
    <w:pPr>
      <w:spacing w:before="40" w:after="0" w:line="240" w:lineRule="auto"/>
    </w:pPr>
    <w:rPr>
      <w:rFonts w:ascii="Arial" w:eastAsia="SimSun" w:hAnsi="Arial" w:cs="Times New Roman"/>
      <w:noProof/>
      <w:sz w:val="16"/>
      <w:szCs w:val="24"/>
      <w:lang w:val="de-AT" w:eastAsia="de-AT"/>
    </w:rPr>
  </w:style>
  <w:style w:type="character" w:customStyle="1" w:styleId="Kopfzeile-DokumenttitleZchn">
    <w:name w:val="Kopfzeile - Dokumenttitle Zchn"/>
    <w:basedOn w:val="DefaultParagraphFont"/>
    <w:link w:val="Kopfzeile-Dokumenttitle"/>
    <w:uiPriority w:val="99"/>
    <w:rsid w:val="00891AF2"/>
    <w:rPr>
      <w:rFonts w:ascii="Arial" w:eastAsia="SimSun" w:hAnsi="Arial" w:cs="Times New Roman"/>
      <w:noProof/>
      <w:sz w:val="16"/>
      <w:szCs w:val="24"/>
      <w:lang w:val="de-AT" w:eastAsia="de-AT"/>
    </w:rPr>
  </w:style>
  <w:style w:type="character" w:customStyle="1" w:styleId="Text-small">
    <w:name w:val="Text - small"/>
    <w:basedOn w:val="DefaultParagraphFont"/>
    <w:uiPriority w:val="19"/>
    <w:rsid w:val="00891AF2"/>
    <w:rPr>
      <w:sz w:val="16"/>
    </w:rPr>
  </w:style>
  <w:style w:type="character" w:customStyle="1" w:styleId="EndnoteTextChar">
    <w:name w:val="Endnote Text Char"/>
    <w:basedOn w:val="DefaultParagraphFont"/>
    <w:link w:val="EndnoteText"/>
    <w:uiPriority w:val="99"/>
    <w:semiHidden/>
    <w:rsid w:val="00891AF2"/>
    <w:rPr>
      <w:rFonts w:ascii="Arial" w:eastAsia="SimSun" w:hAnsi="Arial" w:cs="Times New Roman"/>
      <w:sz w:val="20"/>
      <w:szCs w:val="20"/>
      <w:lang w:eastAsia="zh-CN"/>
    </w:rPr>
  </w:style>
  <w:style w:type="paragraph" w:styleId="EndnoteText">
    <w:name w:val="endnote text"/>
    <w:basedOn w:val="Normal"/>
    <w:link w:val="EndnoteTextChar"/>
    <w:uiPriority w:val="99"/>
    <w:semiHidden/>
    <w:rsid w:val="00891AF2"/>
    <w:pPr>
      <w:spacing w:after="0" w:line="240" w:lineRule="auto"/>
    </w:pPr>
    <w:rPr>
      <w:rFonts w:ascii="Arial" w:eastAsia="SimSun" w:hAnsi="Arial" w:cs="Times New Roman"/>
      <w:szCs w:val="20"/>
      <w:lang w:eastAsia="zh-CN"/>
    </w:rPr>
  </w:style>
  <w:style w:type="paragraph" w:customStyle="1" w:styleId="Hervorhebung-Linie-oben">
    <w:name w:val="Hervorhebung - Linie - oben"/>
    <w:basedOn w:val="Normal"/>
    <w:uiPriority w:val="19"/>
    <w:qFormat/>
    <w:rsid w:val="00891AF2"/>
    <w:pPr>
      <w:pBdr>
        <w:top w:val="single" w:sz="8" w:space="1" w:color="9E9FA3"/>
      </w:pBdr>
      <w:spacing w:before="480" w:after="0" w:line="312" w:lineRule="auto"/>
    </w:pPr>
    <w:rPr>
      <w:rFonts w:ascii="Arial" w:eastAsia="SimSun" w:hAnsi="Arial" w:cs="Times New Roman"/>
      <w:b/>
      <w:caps/>
      <w:color w:val="00395D"/>
      <w:spacing w:val="5"/>
      <w:sz w:val="18"/>
      <w:szCs w:val="24"/>
      <w:lang w:eastAsia="zh-CN"/>
    </w:rPr>
  </w:style>
  <w:style w:type="paragraph" w:customStyle="1" w:styleId="Aufzhlung-ohneAbstandunten">
    <w:name w:val="Aufzählung - ohne Abstand unten"/>
    <w:basedOn w:val="Aufzhlung"/>
    <w:uiPriority w:val="6"/>
    <w:qFormat/>
    <w:rsid w:val="00891AF2"/>
    <w:pPr>
      <w:spacing w:after="0"/>
      <w:ind w:left="360" w:hanging="360"/>
    </w:pPr>
  </w:style>
  <w:style w:type="paragraph" w:customStyle="1" w:styleId="Standard-ohneAbstandunten">
    <w:name w:val="Standard - ohne Abstand unten"/>
    <w:basedOn w:val="Normal"/>
    <w:uiPriority w:val="9"/>
    <w:rsid w:val="00891AF2"/>
    <w:pPr>
      <w:spacing w:after="0" w:line="312" w:lineRule="auto"/>
    </w:pPr>
    <w:rPr>
      <w:rFonts w:ascii="Arial" w:eastAsia="SimSun" w:hAnsi="Arial" w:cs="Times New Roman"/>
      <w:sz w:val="19"/>
      <w:szCs w:val="24"/>
      <w:lang w:eastAsia="zh-CN"/>
    </w:rPr>
  </w:style>
  <w:style w:type="paragraph" w:customStyle="1" w:styleId="HervorhebungFett">
    <w:name w:val="Hervorhebung Fett"/>
    <w:basedOn w:val="Normal"/>
    <w:next w:val="Normal"/>
    <w:link w:val="HervorhebungFettZchn"/>
    <w:uiPriority w:val="2"/>
    <w:qFormat/>
    <w:rsid w:val="00891AF2"/>
    <w:pPr>
      <w:spacing w:before="120" w:after="120" w:line="312" w:lineRule="auto"/>
    </w:pPr>
    <w:rPr>
      <w:rFonts w:ascii="Arial" w:eastAsia="SimSun" w:hAnsi="Arial" w:cs="Times New Roman"/>
      <w:b/>
      <w:color w:val="000000" w:themeColor="text1"/>
      <w:sz w:val="19"/>
      <w:szCs w:val="24"/>
      <w:lang w:eastAsia="zh-CN"/>
    </w:rPr>
  </w:style>
  <w:style w:type="character" w:customStyle="1" w:styleId="HervorhebungFettZchn">
    <w:name w:val="Hervorhebung Fett Zchn"/>
    <w:basedOn w:val="DefaultParagraphFont"/>
    <w:link w:val="HervorhebungFett"/>
    <w:uiPriority w:val="2"/>
    <w:rsid w:val="00891AF2"/>
    <w:rPr>
      <w:rFonts w:ascii="Arial" w:eastAsia="SimSun" w:hAnsi="Arial" w:cs="Times New Roman"/>
      <w:b/>
      <w:color w:val="000000" w:themeColor="text1"/>
      <w:sz w:val="19"/>
      <w:szCs w:val="24"/>
      <w:lang w:eastAsia="zh-CN"/>
    </w:rPr>
  </w:style>
  <w:style w:type="paragraph" w:customStyle="1" w:styleId="FN">
    <w:name w:val="FN"/>
    <w:basedOn w:val="FootnoteText"/>
    <w:uiPriority w:val="2"/>
    <w:qFormat/>
    <w:rsid w:val="00891AF2"/>
    <w:pPr>
      <w:spacing w:after="60" w:line="220" w:lineRule="atLeast"/>
      <w:ind w:left="284" w:hanging="284"/>
    </w:pPr>
    <w:rPr>
      <w:rFonts w:ascii="Arial" w:eastAsia="SimSun" w:hAnsi="Arial" w:cs="Times New Roman"/>
      <w:sz w:val="16"/>
      <w:lang w:eastAsia="zh-CN"/>
    </w:rPr>
  </w:style>
  <w:style w:type="paragraph" w:customStyle="1" w:styleId="berschrift3Sabine">
    <w:name w:val="Überschrift 3 Sabine"/>
    <w:basedOn w:val="Normal"/>
    <w:next w:val="Normal"/>
    <w:uiPriority w:val="21"/>
    <w:rsid w:val="00891AF2"/>
    <w:pPr>
      <w:spacing w:before="480" w:line="312" w:lineRule="auto"/>
    </w:pPr>
    <w:rPr>
      <w:rFonts w:ascii="Arial" w:eastAsia="SimSun" w:hAnsi="Arial" w:cs="Times New Roman"/>
      <w:b/>
      <w:sz w:val="19"/>
      <w:szCs w:val="24"/>
      <w:lang w:eastAsia="zh-CN"/>
    </w:rPr>
  </w:style>
  <w:style w:type="character" w:styleId="PageNumber">
    <w:name w:val="page number"/>
    <w:basedOn w:val="DefaultParagraphFont"/>
    <w:uiPriority w:val="6"/>
    <w:rsid w:val="00891AF2"/>
  </w:style>
  <w:style w:type="paragraph" w:customStyle="1" w:styleId="References">
    <w:name w:val="References"/>
    <w:basedOn w:val="Normal"/>
    <w:next w:val="Normal"/>
    <w:uiPriority w:val="99"/>
    <w:rsid w:val="00891AF2"/>
    <w:pPr>
      <w:spacing w:after="240" w:line="240" w:lineRule="auto"/>
      <w:ind w:left="5103"/>
    </w:pPr>
    <w:rPr>
      <w:rFonts w:ascii="Times New Roman" w:eastAsia="Times New Roman" w:hAnsi="Times New Roman" w:cs="Times New Roman"/>
      <w:szCs w:val="20"/>
      <w:lang w:eastAsia="ko-KR"/>
    </w:rPr>
  </w:style>
  <w:style w:type="paragraph" w:customStyle="1" w:styleId="Text3">
    <w:name w:val="Text 3"/>
    <w:uiPriority w:val="19"/>
    <w:rsid w:val="00891AF2"/>
    <w:pPr>
      <w:tabs>
        <w:tab w:val="left" w:pos="2302"/>
      </w:tabs>
      <w:spacing w:after="240" w:line="240" w:lineRule="auto"/>
      <w:ind w:left="1202"/>
      <w:jc w:val="both"/>
    </w:pPr>
    <w:rPr>
      <w:rFonts w:ascii="Times New Roman" w:eastAsia="Times New Roman" w:hAnsi="Times New Roman" w:cs="Times New Roman"/>
      <w:snapToGrid w:val="0"/>
      <w:sz w:val="24"/>
      <w:szCs w:val="20"/>
      <w:lang w:val="fr-FR"/>
    </w:rPr>
  </w:style>
  <w:style w:type="paragraph" w:styleId="ListBullet2">
    <w:name w:val="List Bullet 2"/>
    <w:basedOn w:val="Normal"/>
    <w:uiPriority w:val="14"/>
    <w:rsid w:val="00891AF2"/>
    <w:pPr>
      <w:numPr>
        <w:numId w:val="3"/>
      </w:numPr>
      <w:spacing w:after="0" w:line="240" w:lineRule="auto"/>
      <w:contextualSpacing/>
    </w:pPr>
    <w:rPr>
      <w:rFonts w:ascii="Times New Roman" w:eastAsia="Times New Roman" w:hAnsi="Times New Roman" w:cs="Times New Roman"/>
      <w:sz w:val="24"/>
      <w:szCs w:val="20"/>
      <w:lang w:val="fr-FR" w:eastAsia="ko-KR"/>
    </w:rPr>
  </w:style>
  <w:style w:type="paragraph" w:customStyle="1" w:styleId="broodtekst">
    <w:name w:val="broodtekst"/>
    <w:basedOn w:val="Normal"/>
    <w:link w:val="broodtekstChar"/>
    <w:uiPriority w:val="99"/>
    <w:rsid w:val="00891AF2"/>
    <w:pPr>
      <w:spacing w:after="0" w:line="280" w:lineRule="atLeast"/>
    </w:pPr>
    <w:rPr>
      <w:rFonts w:ascii="Arial" w:eastAsia="Times New Roman" w:hAnsi="Arial" w:cs="Times New Roman"/>
      <w:sz w:val="18"/>
      <w:szCs w:val="24"/>
      <w:lang w:eastAsia="nl-NL"/>
    </w:rPr>
  </w:style>
  <w:style w:type="character" w:customStyle="1" w:styleId="broodtekstChar">
    <w:name w:val="broodtekst Char"/>
    <w:link w:val="broodtekst"/>
    <w:uiPriority w:val="99"/>
    <w:locked/>
    <w:rsid w:val="00891AF2"/>
    <w:rPr>
      <w:rFonts w:ascii="Arial" w:eastAsia="Times New Roman" w:hAnsi="Arial" w:cs="Times New Roman"/>
      <w:sz w:val="18"/>
      <w:szCs w:val="24"/>
      <w:lang w:eastAsia="nl-NL"/>
    </w:rPr>
  </w:style>
  <w:style w:type="paragraph" w:customStyle="1" w:styleId="RR-Text">
    <w:name w:val="RR-Text"/>
    <w:basedOn w:val="Normal"/>
    <w:uiPriority w:val="6"/>
    <w:rsid w:val="00891AF2"/>
    <w:pPr>
      <w:tabs>
        <w:tab w:val="left" w:pos="0"/>
        <w:tab w:val="left" w:pos="397"/>
        <w:tab w:val="left" w:pos="794"/>
        <w:tab w:val="left" w:pos="1191"/>
        <w:tab w:val="center" w:pos="4253"/>
        <w:tab w:val="right" w:pos="8505"/>
      </w:tabs>
      <w:spacing w:after="0" w:line="320" w:lineRule="atLeast"/>
    </w:pPr>
    <w:rPr>
      <w:rFonts w:ascii="Arial" w:eastAsia="Times New Roman" w:hAnsi="Arial" w:cs="Times New Roman"/>
      <w:spacing w:val="-4"/>
      <w:szCs w:val="20"/>
      <w:lang w:eastAsia="de-DE"/>
    </w:rPr>
  </w:style>
  <w:style w:type="paragraph" w:customStyle="1" w:styleId="FormatvorlageText3Calibri11PtLinks127cmVor5PtNach">
    <w:name w:val="Formatvorlage Text 3 + Calibri 11 Pt. Links:  127 cm Vor:  5 Pt. Nach:..."/>
    <w:basedOn w:val="Text3"/>
    <w:uiPriority w:val="19"/>
    <w:rsid w:val="00891AF2"/>
    <w:pPr>
      <w:spacing w:before="100" w:after="100" w:line="276" w:lineRule="auto"/>
      <w:ind w:left="720"/>
    </w:pPr>
    <w:rPr>
      <w:rFonts w:ascii="Calibri" w:hAnsi="Calibri"/>
      <w:sz w:val="22"/>
    </w:rPr>
  </w:style>
  <w:style w:type="paragraph" w:customStyle="1" w:styleId="FormatvorlageTextkrperCalibri11PtBlockVor6PtNach6P">
    <w:name w:val="Formatvorlage +Textkörper (Calibri) 11 Pt. Block Vor:  6 Pt. Nach:  6 P..."/>
    <w:basedOn w:val="Normal"/>
    <w:uiPriority w:val="19"/>
    <w:rsid w:val="00891AF2"/>
    <w:pPr>
      <w:spacing w:before="120" w:after="120"/>
    </w:pPr>
    <w:rPr>
      <w:rFonts w:eastAsia="Times New Roman" w:cs="Times New Roman"/>
      <w:szCs w:val="20"/>
      <w:lang w:val="fr-FR" w:eastAsia="ko-KR"/>
    </w:rPr>
  </w:style>
  <w:style w:type="paragraph" w:customStyle="1" w:styleId="berschrift4Michaela">
    <w:name w:val="Überschrift 4 Michaela"/>
    <w:basedOn w:val="berschrift3Sabine"/>
    <w:uiPriority w:val="9"/>
    <w:rsid w:val="00891AF2"/>
    <w:rPr>
      <w:caps/>
    </w:rPr>
  </w:style>
  <w:style w:type="paragraph" w:customStyle="1" w:styleId="berschrift5Michaela">
    <w:name w:val="Überschrift 5 Michaela"/>
    <w:basedOn w:val="berschrift4Michaela"/>
    <w:uiPriority w:val="9"/>
    <w:rsid w:val="00891AF2"/>
    <w:rPr>
      <w:i/>
    </w:rPr>
  </w:style>
  <w:style w:type="paragraph" w:customStyle="1" w:styleId="TitolotabelleAppendix">
    <w:name w:val="Titolo tabelle Appendix"/>
    <w:basedOn w:val="Normal"/>
    <w:link w:val="TitolotabelleAppendixCarattere"/>
    <w:uiPriority w:val="19"/>
    <w:rsid w:val="00891AF2"/>
    <w:pPr>
      <w:numPr>
        <w:numId w:val="4"/>
      </w:numPr>
      <w:spacing w:after="0" w:line="240" w:lineRule="auto"/>
      <w:contextualSpacing/>
    </w:pPr>
    <w:rPr>
      <w:rFonts w:ascii="Calibri" w:eastAsia="Calibri" w:hAnsi="Calibri" w:cs="Times New Roman"/>
      <w:szCs w:val="20"/>
      <w:lang w:val="en-US"/>
    </w:rPr>
  </w:style>
  <w:style w:type="character" w:customStyle="1" w:styleId="TitolotabelleAppendixCarattere">
    <w:name w:val="Titolo tabelle Appendix Carattere"/>
    <w:link w:val="TitolotabelleAppendix"/>
    <w:uiPriority w:val="19"/>
    <w:rsid w:val="00891AF2"/>
    <w:rPr>
      <w:rFonts w:ascii="Calibri" w:eastAsia="Calibri" w:hAnsi="Calibri" w:cs="Times New Roman"/>
      <w:sz w:val="20"/>
      <w:szCs w:val="20"/>
      <w:lang w:val="en-US"/>
    </w:rPr>
  </w:style>
  <w:style w:type="paragraph" w:customStyle="1" w:styleId="ESPONStandard">
    <w:name w:val="ESPON Standard"/>
    <w:basedOn w:val="Normal"/>
    <w:uiPriority w:val="19"/>
    <w:rsid w:val="00891AF2"/>
    <w:pPr>
      <w:suppressAutoHyphens/>
      <w:spacing w:after="0" w:line="240" w:lineRule="auto"/>
    </w:pPr>
    <w:rPr>
      <w:rFonts w:ascii="Times New Roman" w:eastAsia="Times New Roman" w:hAnsi="Times New Roman" w:cs="Times New Roman"/>
      <w:sz w:val="24"/>
      <w:szCs w:val="20"/>
      <w:lang w:eastAsia="ar-SA"/>
    </w:rPr>
  </w:style>
  <w:style w:type="character" w:customStyle="1" w:styleId="slug-doi">
    <w:name w:val="slug-doi"/>
    <w:basedOn w:val="DefaultParagraphFont"/>
    <w:uiPriority w:val="19"/>
    <w:rsid w:val="00891AF2"/>
  </w:style>
  <w:style w:type="paragraph" w:customStyle="1" w:styleId="RR-Tableberschrift">
    <w:name w:val="RR-Table Überschrift"/>
    <w:basedOn w:val="Normal"/>
    <w:autoRedefine/>
    <w:uiPriority w:val="6"/>
    <w:qFormat/>
    <w:rsid w:val="00891AF2"/>
    <w:pPr>
      <w:keepNext/>
      <w:tabs>
        <w:tab w:val="left" w:pos="397"/>
        <w:tab w:val="left" w:pos="794"/>
        <w:tab w:val="left" w:pos="1191"/>
        <w:tab w:val="center" w:pos="4253"/>
        <w:tab w:val="right" w:pos="8505"/>
      </w:tabs>
      <w:suppressAutoHyphens/>
      <w:spacing w:after="240" w:line="280" w:lineRule="atLeast"/>
      <w:jc w:val="center"/>
      <w:outlineLvl w:val="1"/>
    </w:pPr>
    <w:rPr>
      <w:rFonts w:ascii="Arial" w:eastAsia="Times New Roman" w:hAnsi="Arial" w:cs="Arial"/>
      <w:b/>
      <w:spacing w:val="-4"/>
      <w:szCs w:val="20"/>
    </w:rPr>
  </w:style>
  <w:style w:type="paragraph" w:customStyle="1" w:styleId="BoxPublikationen">
    <w:name w:val="Box Publikationen"/>
    <w:basedOn w:val="Box-Text"/>
    <w:uiPriority w:val="9"/>
    <w:qFormat/>
    <w:rsid w:val="00891AF2"/>
    <w:pPr>
      <w:spacing w:after="80" w:line="260" w:lineRule="exact"/>
      <w:ind w:left="284" w:hanging="284"/>
    </w:pPr>
  </w:style>
  <w:style w:type="paragraph" w:customStyle="1" w:styleId="CVTitle">
    <w:name w:val="CV Title"/>
    <w:basedOn w:val="Normal"/>
    <w:uiPriority w:val="11"/>
    <w:rsid w:val="00891AF2"/>
    <w:pPr>
      <w:suppressAutoHyphens/>
      <w:spacing w:after="0" w:line="240" w:lineRule="auto"/>
      <w:ind w:left="113" w:right="113"/>
      <w:jc w:val="right"/>
    </w:pPr>
    <w:rPr>
      <w:rFonts w:ascii="Arial Narrow" w:eastAsia="Times New Roman" w:hAnsi="Arial Narrow" w:cs="Times New Roman"/>
      <w:b/>
      <w:bCs/>
      <w:spacing w:val="10"/>
      <w:sz w:val="28"/>
      <w:szCs w:val="20"/>
      <w:lang w:eastAsia="ar-SA"/>
    </w:rPr>
  </w:style>
  <w:style w:type="paragraph" w:customStyle="1" w:styleId="CVHeading1">
    <w:name w:val="CV Heading 1"/>
    <w:basedOn w:val="Normal"/>
    <w:next w:val="Normal"/>
    <w:uiPriority w:val="11"/>
    <w:rsid w:val="00891AF2"/>
    <w:pPr>
      <w:suppressAutoHyphens/>
      <w:spacing w:before="74" w:after="0" w:line="240" w:lineRule="auto"/>
      <w:ind w:left="113" w:right="113"/>
      <w:jc w:val="right"/>
    </w:pPr>
    <w:rPr>
      <w:rFonts w:ascii="Arial Narrow" w:eastAsia="Times New Roman" w:hAnsi="Arial Narrow" w:cs="Times New Roman"/>
      <w:b/>
      <w:sz w:val="24"/>
      <w:szCs w:val="20"/>
      <w:lang w:eastAsia="ar-SA"/>
    </w:rPr>
  </w:style>
  <w:style w:type="paragraph" w:customStyle="1" w:styleId="CVHeading3">
    <w:name w:val="CV Heading 3"/>
    <w:basedOn w:val="Normal"/>
    <w:next w:val="Normal"/>
    <w:link w:val="CVHeading3Char"/>
    <w:uiPriority w:val="11"/>
    <w:qFormat/>
    <w:rsid w:val="00891AF2"/>
    <w:pPr>
      <w:suppressAutoHyphens/>
      <w:spacing w:after="0" w:line="240" w:lineRule="auto"/>
      <w:ind w:left="113" w:right="113"/>
      <w:jc w:val="right"/>
      <w:textAlignment w:val="center"/>
    </w:pPr>
    <w:rPr>
      <w:rFonts w:ascii="Arial Narrow" w:eastAsia="Times New Roman" w:hAnsi="Arial Narrow" w:cs="Times New Roman"/>
      <w:szCs w:val="20"/>
      <w:lang w:eastAsia="ar-SA"/>
    </w:rPr>
  </w:style>
  <w:style w:type="character" w:customStyle="1" w:styleId="CVHeading3Char">
    <w:name w:val="CV Heading 3 Char"/>
    <w:link w:val="CVHeading3"/>
    <w:uiPriority w:val="11"/>
    <w:rsid w:val="00891AF2"/>
    <w:rPr>
      <w:rFonts w:ascii="Arial Narrow" w:eastAsia="Times New Roman" w:hAnsi="Arial Narrow" w:cs="Times New Roman"/>
      <w:sz w:val="20"/>
      <w:szCs w:val="20"/>
      <w:lang w:eastAsia="ar-SA"/>
    </w:rPr>
  </w:style>
  <w:style w:type="paragraph" w:customStyle="1" w:styleId="CVHeading3-FirstLine">
    <w:name w:val="CV Heading 3 - First Line"/>
    <w:basedOn w:val="CVHeading3"/>
    <w:next w:val="CVHeading3"/>
    <w:uiPriority w:val="11"/>
    <w:qFormat/>
    <w:rsid w:val="00891AF2"/>
    <w:pPr>
      <w:spacing w:before="74"/>
    </w:pPr>
  </w:style>
  <w:style w:type="paragraph" w:customStyle="1" w:styleId="CVNormal">
    <w:name w:val="CV Normal"/>
    <w:basedOn w:val="Normal"/>
    <w:link w:val="CVNormalChar"/>
    <w:rsid w:val="00891AF2"/>
    <w:pPr>
      <w:suppressAutoHyphens/>
      <w:spacing w:after="0" w:line="240" w:lineRule="auto"/>
      <w:ind w:left="113" w:right="113"/>
    </w:pPr>
    <w:rPr>
      <w:rFonts w:ascii="Arial Narrow" w:eastAsia="Times New Roman" w:hAnsi="Arial Narrow" w:cs="Times New Roman"/>
      <w:szCs w:val="20"/>
      <w:lang w:eastAsia="ar-SA"/>
    </w:rPr>
  </w:style>
  <w:style w:type="character" w:customStyle="1" w:styleId="CVNormalChar">
    <w:name w:val="CV Normal Char"/>
    <w:link w:val="CVNormal"/>
    <w:locked/>
    <w:rsid w:val="00891AF2"/>
    <w:rPr>
      <w:rFonts w:ascii="Arial Narrow" w:eastAsia="Times New Roman" w:hAnsi="Arial Narrow" w:cs="Times New Roman"/>
      <w:sz w:val="20"/>
      <w:szCs w:val="20"/>
      <w:lang w:eastAsia="ar-SA"/>
    </w:rPr>
  </w:style>
  <w:style w:type="paragraph" w:customStyle="1" w:styleId="CVSpacer">
    <w:name w:val="CV Spacer"/>
    <w:basedOn w:val="CVNormal"/>
    <w:uiPriority w:val="11"/>
    <w:rsid w:val="00891AF2"/>
    <w:rPr>
      <w:sz w:val="4"/>
    </w:rPr>
  </w:style>
  <w:style w:type="paragraph" w:customStyle="1" w:styleId="CVNormal-FirstLine">
    <w:name w:val="CV Normal - First Line"/>
    <w:basedOn w:val="CVNormal"/>
    <w:next w:val="CVNormal"/>
    <w:uiPriority w:val="11"/>
    <w:rsid w:val="00891AF2"/>
    <w:pPr>
      <w:spacing w:before="74"/>
    </w:pPr>
  </w:style>
  <w:style w:type="paragraph" w:customStyle="1" w:styleId="CVHeadingLanguage">
    <w:name w:val="CV Heading Language"/>
    <w:basedOn w:val="Normal"/>
    <w:next w:val="LevelAssessment-Code"/>
    <w:uiPriority w:val="11"/>
    <w:rsid w:val="00891AF2"/>
    <w:pPr>
      <w:suppressAutoHyphens/>
      <w:spacing w:after="0" w:line="240" w:lineRule="auto"/>
      <w:ind w:left="113" w:right="113"/>
      <w:jc w:val="right"/>
    </w:pPr>
    <w:rPr>
      <w:rFonts w:ascii="Arial Narrow" w:eastAsia="Times New Roman" w:hAnsi="Arial Narrow" w:cs="Times New Roman"/>
      <w:b/>
      <w:szCs w:val="20"/>
      <w:lang w:eastAsia="ar-SA"/>
    </w:rPr>
  </w:style>
  <w:style w:type="paragraph" w:customStyle="1" w:styleId="LevelAssessment-Code">
    <w:name w:val="Level Assessment - Code"/>
    <w:basedOn w:val="Normal"/>
    <w:next w:val="LevelAssessment-Description"/>
    <w:uiPriority w:val="19"/>
    <w:rsid w:val="00891AF2"/>
    <w:pPr>
      <w:suppressAutoHyphens/>
      <w:spacing w:after="0" w:line="240" w:lineRule="auto"/>
      <w:ind w:left="28"/>
      <w:jc w:val="center"/>
    </w:pPr>
    <w:rPr>
      <w:rFonts w:ascii="Arial Narrow" w:eastAsia="Times New Roman" w:hAnsi="Arial Narrow" w:cs="Times New Roman"/>
      <w:sz w:val="18"/>
      <w:szCs w:val="20"/>
      <w:lang w:eastAsia="ar-SA"/>
    </w:rPr>
  </w:style>
  <w:style w:type="paragraph" w:customStyle="1" w:styleId="LevelAssessment-Description">
    <w:name w:val="Level Assessment - Description"/>
    <w:basedOn w:val="LevelAssessment-Code"/>
    <w:next w:val="LevelAssessment-Code"/>
    <w:uiPriority w:val="19"/>
    <w:rsid w:val="00891AF2"/>
    <w:pPr>
      <w:textAlignment w:val="bottom"/>
    </w:pPr>
  </w:style>
  <w:style w:type="paragraph" w:customStyle="1" w:styleId="CVHeadingLevel">
    <w:name w:val="CV Heading Level"/>
    <w:basedOn w:val="CVHeading3"/>
    <w:next w:val="Normal"/>
    <w:uiPriority w:val="11"/>
    <w:rsid w:val="00891AF2"/>
    <w:rPr>
      <w:i/>
    </w:rPr>
  </w:style>
  <w:style w:type="paragraph" w:customStyle="1" w:styleId="LevelAssessment-Heading1">
    <w:name w:val="Level Assessment - Heading 1"/>
    <w:basedOn w:val="LevelAssessment-Code"/>
    <w:uiPriority w:val="19"/>
    <w:rsid w:val="00891AF2"/>
    <w:pPr>
      <w:ind w:left="57" w:right="57"/>
    </w:pPr>
    <w:rPr>
      <w:b/>
      <w:sz w:val="22"/>
    </w:rPr>
  </w:style>
  <w:style w:type="paragraph" w:customStyle="1" w:styleId="LevelAssessment-Heading2">
    <w:name w:val="Level Assessment - Heading 2"/>
    <w:basedOn w:val="Normal"/>
    <w:uiPriority w:val="19"/>
    <w:rsid w:val="00891AF2"/>
    <w:pPr>
      <w:suppressAutoHyphens/>
      <w:spacing w:after="0" w:line="240" w:lineRule="auto"/>
      <w:ind w:left="57" w:right="57"/>
      <w:jc w:val="center"/>
    </w:pPr>
    <w:rPr>
      <w:rFonts w:ascii="Arial Narrow" w:eastAsia="Times New Roman" w:hAnsi="Arial Narrow" w:cs="Times New Roman"/>
      <w:sz w:val="18"/>
      <w:szCs w:val="20"/>
      <w:lang w:eastAsia="ar-SA"/>
    </w:rPr>
  </w:style>
  <w:style w:type="paragraph" w:customStyle="1" w:styleId="LevelAssessment-Note">
    <w:name w:val="Level Assessment - Note"/>
    <w:basedOn w:val="LevelAssessment-Code"/>
    <w:uiPriority w:val="19"/>
    <w:rsid w:val="00891AF2"/>
    <w:pPr>
      <w:ind w:left="113"/>
      <w:jc w:val="left"/>
    </w:pPr>
    <w:rPr>
      <w:i/>
    </w:rPr>
  </w:style>
  <w:style w:type="paragraph" w:customStyle="1" w:styleId="CVMedium-FirstLine">
    <w:name w:val="CV Medium - First Line"/>
    <w:basedOn w:val="Normal"/>
    <w:next w:val="Normal"/>
    <w:uiPriority w:val="11"/>
    <w:rsid w:val="00891AF2"/>
    <w:pPr>
      <w:suppressAutoHyphens/>
      <w:spacing w:before="74" w:after="0" w:line="240" w:lineRule="auto"/>
      <w:ind w:left="113" w:right="113"/>
    </w:pPr>
    <w:rPr>
      <w:rFonts w:ascii="Arial Narrow" w:eastAsia="Times New Roman" w:hAnsi="Arial Narrow" w:cs="Times New Roman"/>
      <w:b/>
      <w:szCs w:val="20"/>
      <w:lang w:eastAsia="ar-SA"/>
    </w:rPr>
  </w:style>
  <w:style w:type="paragraph" w:customStyle="1" w:styleId="PUBLICATION">
    <w:name w:val="PUBLICATION"/>
    <w:basedOn w:val="Normal"/>
    <w:autoRedefine/>
    <w:uiPriority w:val="19"/>
    <w:qFormat/>
    <w:rsid w:val="00891AF2"/>
    <w:pPr>
      <w:widowControl w:val="0"/>
      <w:spacing w:after="60" w:line="240" w:lineRule="auto"/>
      <w:ind w:left="284" w:hanging="284"/>
    </w:pPr>
    <w:rPr>
      <w:rFonts w:ascii="Arial Narrow" w:eastAsia="Calibri" w:hAnsi="Arial Narrow" w:cs="Times New Roman"/>
      <w:lang w:val="en-US"/>
    </w:rPr>
  </w:style>
  <w:style w:type="paragraph" w:customStyle="1" w:styleId="CVHeading2">
    <w:name w:val="CV Heading 2"/>
    <w:basedOn w:val="CVHeading1"/>
    <w:next w:val="Normal"/>
    <w:uiPriority w:val="11"/>
    <w:rsid w:val="00891AF2"/>
    <w:pPr>
      <w:spacing w:before="0"/>
    </w:pPr>
    <w:rPr>
      <w:b w:val="0"/>
      <w:sz w:val="22"/>
      <w:lang w:val="en-US" w:eastAsia="it-IT"/>
    </w:rPr>
  </w:style>
  <w:style w:type="paragraph" w:customStyle="1" w:styleId="CVHeading2-FirstLine">
    <w:name w:val="CV Heading 2 - First Line"/>
    <w:basedOn w:val="CVHeading2"/>
    <w:next w:val="CVHeading2"/>
    <w:uiPriority w:val="11"/>
    <w:rsid w:val="00891AF2"/>
    <w:pPr>
      <w:spacing w:before="74"/>
    </w:pPr>
  </w:style>
  <w:style w:type="paragraph" w:customStyle="1" w:styleId="SmallGap">
    <w:name w:val="Small Gap"/>
    <w:basedOn w:val="Normal"/>
    <w:next w:val="Normal"/>
    <w:uiPriority w:val="19"/>
    <w:rsid w:val="00891AF2"/>
    <w:pPr>
      <w:suppressAutoHyphens/>
      <w:spacing w:after="0" w:line="240" w:lineRule="auto"/>
    </w:pPr>
    <w:rPr>
      <w:rFonts w:ascii="Arial Narrow" w:eastAsia="Times New Roman" w:hAnsi="Arial Narrow" w:cs="Times New Roman"/>
      <w:sz w:val="10"/>
      <w:szCs w:val="20"/>
      <w:lang w:val="en-US" w:eastAsia="it-IT"/>
    </w:rPr>
  </w:style>
  <w:style w:type="paragraph" w:customStyle="1" w:styleId="CVMajor-FirstLine">
    <w:name w:val="CV Major - First Line"/>
    <w:basedOn w:val="Normal"/>
    <w:next w:val="Normal"/>
    <w:uiPriority w:val="11"/>
    <w:rsid w:val="00891AF2"/>
    <w:pPr>
      <w:suppressAutoHyphens/>
      <w:spacing w:before="74" w:after="0" w:line="240" w:lineRule="auto"/>
      <w:ind w:left="113" w:right="113"/>
    </w:pPr>
    <w:rPr>
      <w:rFonts w:ascii="Arial Narrow" w:eastAsia="Times New Roman" w:hAnsi="Arial Narrow" w:cs="Times New Roman"/>
      <w:b/>
      <w:sz w:val="24"/>
      <w:szCs w:val="20"/>
      <w:lang w:val="en-US" w:eastAsia="it-IT"/>
    </w:rPr>
  </w:style>
  <w:style w:type="paragraph" w:customStyle="1" w:styleId="GridTitle">
    <w:name w:val="Grid Title"/>
    <w:basedOn w:val="Normal"/>
    <w:uiPriority w:val="19"/>
    <w:rsid w:val="00891AF2"/>
    <w:pPr>
      <w:widowControl w:val="0"/>
      <w:suppressAutoHyphens/>
      <w:spacing w:after="0" w:line="240" w:lineRule="auto"/>
      <w:jc w:val="center"/>
    </w:pPr>
    <w:rPr>
      <w:rFonts w:ascii="Arial Narrow" w:eastAsia="Lucida Sans Unicode" w:hAnsi="Arial Narrow" w:cs="Times New Roman"/>
      <w:b/>
      <w:caps/>
      <w:szCs w:val="24"/>
      <w:lang w:eastAsia="it-IT"/>
    </w:rPr>
  </w:style>
  <w:style w:type="paragraph" w:customStyle="1" w:styleId="ECVSectionDetails">
    <w:name w:val="_ECV_SectionDetails"/>
    <w:basedOn w:val="Normal"/>
    <w:uiPriority w:val="11"/>
    <w:rsid w:val="00891AF2"/>
    <w:pPr>
      <w:widowControl w:val="0"/>
      <w:suppressLineNumbers/>
      <w:suppressAutoHyphens/>
      <w:autoSpaceDE w:val="0"/>
      <w:spacing w:before="28" w:after="0" w:line="100" w:lineRule="atLeast"/>
    </w:pPr>
    <w:rPr>
      <w:rFonts w:ascii="Arial" w:eastAsia="SimSun" w:hAnsi="Arial" w:cs="Mangal"/>
      <w:color w:val="3F3A38"/>
      <w:spacing w:val="-6"/>
      <w:kern w:val="1"/>
      <w:sz w:val="18"/>
      <w:szCs w:val="24"/>
      <w:lang w:eastAsia="zh-CN" w:bidi="hi-IN"/>
    </w:rPr>
  </w:style>
  <w:style w:type="paragraph" w:styleId="NormalWeb">
    <w:name w:val="Normal (Web)"/>
    <w:basedOn w:val="Normal"/>
    <w:uiPriority w:val="99"/>
    <w:rsid w:val="00891AF2"/>
    <w:pPr>
      <w:spacing w:before="100" w:after="100" w:line="240" w:lineRule="auto"/>
    </w:pPr>
    <w:rPr>
      <w:rFonts w:ascii="Times New Roman" w:eastAsia="Times New Roman" w:hAnsi="Times New Roman" w:cs="Times New Roman"/>
      <w:sz w:val="24"/>
      <w:szCs w:val="20"/>
      <w:lang w:val="fr-FR"/>
    </w:rPr>
  </w:style>
  <w:style w:type="paragraph" w:customStyle="1" w:styleId="NormalCV">
    <w:name w:val="Normal (CV)"/>
    <w:basedOn w:val="Normal"/>
    <w:link w:val="NormalCVChar"/>
    <w:rsid w:val="00891AF2"/>
    <w:pPr>
      <w:tabs>
        <w:tab w:val="left" w:pos="284"/>
      </w:tabs>
      <w:suppressAutoHyphens/>
      <w:spacing w:after="0" w:line="240" w:lineRule="auto"/>
    </w:pPr>
    <w:rPr>
      <w:rFonts w:ascii="Arial Narrow" w:eastAsia="Times New Roman" w:hAnsi="Arial Narrow" w:cs="Times New Roman"/>
      <w:sz w:val="19"/>
      <w:szCs w:val="20"/>
      <w:lang w:val="en-US" w:eastAsia="ar-SA"/>
    </w:rPr>
  </w:style>
  <w:style w:type="character" w:customStyle="1" w:styleId="NormalCVChar">
    <w:name w:val="Normal (CV) Char"/>
    <w:link w:val="NormalCV"/>
    <w:rsid w:val="00891AF2"/>
    <w:rPr>
      <w:rFonts w:ascii="Arial Narrow" w:eastAsia="Times New Roman" w:hAnsi="Arial Narrow" w:cs="Times New Roman"/>
      <w:sz w:val="19"/>
      <w:szCs w:val="20"/>
      <w:lang w:val="en-US" w:eastAsia="ar-SA"/>
    </w:rPr>
  </w:style>
  <w:style w:type="paragraph" w:customStyle="1" w:styleId="PublEntry">
    <w:name w:val="PublEntry"/>
    <w:basedOn w:val="Normal"/>
    <w:link w:val="PublEntryZchn"/>
    <w:uiPriority w:val="19"/>
    <w:rsid w:val="00891AF2"/>
    <w:pPr>
      <w:widowControl w:val="0"/>
      <w:spacing w:before="20" w:after="20" w:line="240" w:lineRule="auto"/>
    </w:pPr>
    <w:rPr>
      <w:rFonts w:ascii="Arial Narrow" w:eastAsia="Calibri" w:hAnsi="Arial Narrow" w:cs="Times New Roman"/>
    </w:rPr>
  </w:style>
  <w:style w:type="character" w:customStyle="1" w:styleId="PublEntryZchn">
    <w:name w:val="PublEntry Zchn"/>
    <w:link w:val="PublEntry"/>
    <w:uiPriority w:val="19"/>
    <w:rsid w:val="00891AF2"/>
    <w:rPr>
      <w:rFonts w:ascii="Arial Narrow" w:eastAsia="Calibri" w:hAnsi="Arial Narrow" w:cs="Times New Roman"/>
      <w:sz w:val="20"/>
    </w:rPr>
  </w:style>
  <w:style w:type="paragraph" w:customStyle="1" w:styleId="PublLevel2">
    <w:name w:val="PublLevel2"/>
    <w:basedOn w:val="Normal"/>
    <w:link w:val="PublLevel2Zchn"/>
    <w:uiPriority w:val="19"/>
    <w:rsid w:val="00891AF2"/>
    <w:pPr>
      <w:widowControl w:val="0"/>
      <w:spacing w:before="20" w:after="20" w:line="240" w:lineRule="auto"/>
      <w:ind w:right="34"/>
      <w:jc w:val="right"/>
    </w:pPr>
    <w:rPr>
      <w:rFonts w:ascii="Arial Narrow" w:eastAsia="Calibri" w:hAnsi="Arial Narrow" w:cs="Times New Roman"/>
      <w:smallCaps/>
    </w:rPr>
  </w:style>
  <w:style w:type="character" w:customStyle="1" w:styleId="PublLevel2Zchn">
    <w:name w:val="PublLevel2 Zchn"/>
    <w:link w:val="PublLevel2"/>
    <w:uiPriority w:val="19"/>
    <w:rsid w:val="00891AF2"/>
    <w:rPr>
      <w:rFonts w:ascii="Arial Narrow" w:eastAsia="Calibri" w:hAnsi="Arial Narrow" w:cs="Times New Roman"/>
      <w:smallCaps/>
    </w:rPr>
  </w:style>
  <w:style w:type="character" w:customStyle="1" w:styleId="stdnobr">
    <w:name w:val="std nobr"/>
    <w:uiPriority w:val="19"/>
    <w:rsid w:val="00891AF2"/>
    <w:rPr>
      <w:rFonts w:cs="Times New Roman"/>
    </w:rPr>
  </w:style>
  <w:style w:type="character" w:customStyle="1" w:styleId="ECVContactDetails">
    <w:name w:val="_ECV_ContactDetails"/>
    <w:uiPriority w:val="11"/>
    <w:rsid w:val="00891AF2"/>
    <w:rPr>
      <w:rFonts w:ascii="Arial" w:hAnsi="Arial"/>
      <w:color w:val="3F3A38"/>
      <w:sz w:val="18"/>
      <w:szCs w:val="18"/>
      <w:shd w:val="clear" w:color="auto" w:fill="auto"/>
    </w:rPr>
  </w:style>
  <w:style w:type="paragraph" w:customStyle="1" w:styleId="europass5fbulleted5flist">
    <w:name w:val="europass_5f_bulleted_5f_list"/>
    <w:basedOn w:val="ECVSectionDetails"/>
    <w:uiPriority w:val="19"/>
    <w:rsid w:val="00891AF2"/>
  </w:style>
  <w:style w:type="paragraph" w:customStyle="1" w:styleId="CVMedium">
    <w:name w:val="CV Medium"/>
    <w:basedOn w:val="Normal"/>
    <w:uiPriority w:val="11"/>
    <w:rsid w:val="00891AF2"/>
    <w:pPr>
      <w:suppressAutoHyphens/>
      <w:spacing w:after="0" w:line="240" w:lineRule="auto"/>
      <w:ind w:left="113" w:right="113"/>
    </w:pPr>
    <w:rPr>
      <w:rFonts w:ascii="Arial Narrow" w:eastAsia="Times New Roman" w:hAnsi="Arial Narrow" w:cs="Times New Roman"/>
      <w:b/>
      <w:szCs w:val="20"/>
      <w:lang w:eastAsia="ar-SA"/>
    </w:rPr>
  </w:style>
  <w:style w:type="paragraph" w:styleId="BodyText">
    <w:name w:val="Body Text"/>
    <w:basedOn w:val="Normal"/>
    <w:link w:val="BodyTextChar"/>
    <w:uiPriority w:val="6"/>
    <w:rsid w:val="00891AF2"/>
    <w:pPr>
      <w:spacing w:after="120" w:line="240" w:lineRule="auto"/>
      <w:ind w:left="284" w:hanging="284"/>
    </w:pPr>
    <w:rPr>
      <w:rFonts w:ascii="Helvetica" w:eastAsia="Times New Roman" w:hAnsi="Helvetica" w:cs="Times New Roman"/>
      <w:sz w:val="18"/>
      <w:szCs w:val="18"/>
      <w:lang w:eastAsia="de-AT"/>
    </w:rPr>
  </w:style>
  <w:style w:type="character" w:customStyle="1" w:styleId="BodyTextChar">
    <w:name w:val="Body Text Char"/>
    <w:basedOn w:val="DefaultParagraphFont"/>
    <w:link w:val="BodyText"/>
    <w:uiPriority w:val="6"/>
    <w:rsid w:val="00891AF2"/>
    <w:rPr>
      <w:rFonts w:ascii="Helvetica" w:eastAsia="Times New Roman" w:hAnsi="Helvetica" w:cs="Times New Roman"/>
      <w:sz w:val="18"/>
      <w:szCs w:val="18"/>
      <w:lang w:eastAsia="de-AT"/>
    </w:rPr>
  </w:style>
  <w:style w:type="character" w:customStyle="1" w:styleId="FormatvorlageFettTimesNewRoman11ptNichtFettAutomatisch">
    <w:name w:val="Formatvorlage Fett + Times New Roman 11 pt Nicht Fett Automatisch"/>
    <w:uiPriority w:val="19"/>
    <w:rsid w:val="00891AF2"/>
    <w:rPr>
      <w:rFonts w:ascii="Times New Roman" w:hAnsi="Times New Roman" w:cs="Arial" w:hint="default"/>
      <w:b/>
      <w:bCs/>
      <w:color w:val="auto"/>
      <w:sz w:val="22"/>
      <w:szCs w:val="11"/>
    </w:rPr>
  </w:style>
  <w:style w:type="paragraph" w:customStyle="1" w:styleId="CVFooterRight">
    <w:name w:val="CV Footer Right"/>
    <w:basedOn w:val="Normal"/>
    <w:uiPriority w:val="11"/>
    <w:rsid w:val="00891AF2"/>
    <w:pPr>
      <w:suppressAutoHyphens/>
      <w:spacing w:after="0" w:line="240" w:lineRule="auto"/>
    </w:pPr>
    <w:rPr>
      <w:rFonts w:ascii="Arial Narrow" w:eastAsia="Times New Roman" w:hAnsi="Arial Narrow" w:cs="Times New Roman"/>
      <w:bCs/>
      <w:sz w:val="16"/>
      <w:szCs w:val="20"/>
      <w:lang w:eastAsia="ar-SA"/>
    </w:rPr>
  </w:style>
  <w:style w:type="paragraph" w:customStyle="1" w:styleId="TableContents">
    <w:name w:val="Table Contents"/>
    <w:basedOn w:val="Normal"/>
    <w:uiPriority w:val="3"/>
    <w:rsid w:val="00891AF2"/>
    <w:pPr>
      <w:widowControl w:val="0"/>
      <w:suppressLineNumbers/>
      <w:suppressAutoHyphens/>
      <w:spacing w:after="0" w:line="240" w:lineRule="auto"/>
    </w:pPr>
    <w:rPr>
      <w:rFonts w:ascii="Times New Roman" w:eastAsia="SimSun" w:hAnsi="Times New Roman" w:cs="Mangal"/>
      <w:kern w:val="1"/>
      <w:sz w:val="24"/>
      <w:szCs w:val="24"/>
      <w:lang w:val="de-AT" w:eastAsia="hi-IN" w:bidi="hi-IN"/>
    </w:rPr>
  </w:style>
  <w:style w:type="paragraph" w:customStyle="1" w:styleId="Tabellentitel">
    <w:name w:val="Tabellentitel"/>
    <w:basedOn w:val="Heading1"/>
    <w:link w:val="TabellentitelZchn"/>
    <w:uiPriority w:val="3"/>
    <w:rsid w:val="00891AF2"/>
    <w:pPr>
      <w:widowControl w:val="0"/>
      <w:spacing w:after="0" w:line="100" w:lineRule="atLeast"/>
      <w:ind w:left="432" w:hanging="432"/>
    </w:pPr>
    <w:rPr>
      <w:rFonts w:ascii="Times New Roman" w:eastAsia="SimSun" w:hAnsi="Times New Roman" w:cs="Mangal"/>
      <w:bCs/>
      <w:caps w:val="0"/>
      <w:kern w:val="1"/>
      <w:szCs w:val="24"/>
      <w:lang w:val="en-US" w:eastAsia="hi-IN" w:bidi="hi-IN"/>
    </w:rPr>
  </w:style>
  <w:style w:type="character" w:customStyle="1" w:styleId="TabellentitelZchn">
    <w:name w:val="Tabellentitel Zchn"/>
    <w:link w:val="Tabellentitel"/>
    <w:uiPriority w:val="3"/>
    <w:rsid w:val="00891AF2"/>
    <w:rPr>
      <w:rFonts w:ascii="Times New Roman" w:eastAsia="SimSun" w:hAnsi="Times New Roman" w:cs="Mangal"/>
      <w:b/>
      <w:bCs/>
      <w:kern w:val="1"/>
      <w:sz w:val="24"/>
      <w:szCs w:val="24"/>
      <w:lang w:val="en-US" w:eastAsia="hi-IN" w:bidi="hi-IN"/>
    </w:rPr>
  </w:style>
  <w:style w:type="paragraph" w:customStyle="1" w:styleId="Tabelle">
    <w:name w:val="Tabelle"/>
    <w:basedOn w:val="Normal"/>
    <w:uiPriority w:val="6"/>
    <w:qFormat/>
    <w:rsid w:val="00891AF2"/>
    <w:pPr>
      <w:widowControl w:val="0"/>
      <w:suppressAutoHyphens/>
      <w:spacing w:after="0" w:line="100" w:lineRule="atLeast"/>
    </w:pPr>
    <w:rPr>
      <w:rFonts w:ascii="Times New Roman" w:eastAsia="SimSun" w:hAnsi="Times New Roman" w:cs="Mangal"/>
      <w:kern w:val="1"/>
      <w:sz w:val="24"/>
      <w:szCs w:val="24"/>
      <w:lang w:val="en-US" w:eastAsia="hi-IN" w:bidi="hi-IN"/>
    </w:rPr>
  </w:style>
  <w:style w:type="table" w:customStyle="1" w:styleId="Listentabelle3Akzent31">
    <w:name w:val="Listentabelle 3 – Akzent 31"/>
    <w:basedOn w:val="TableNormal"/>
    <w:uiPriority w:val="48"/>
    <w:rsid w:val="00891AF2"/>
    <w:pPr>
      <w:spacing w:after="0" w:line="240" w:lineRule="auto"/>
    </w:pPr>
    <w:rPr>
      <w:rFonts w:ascii="Times New Roman" w:hAnsi="Times New Roman" w:cs="Times New Roman"/>
      <w:sz w:val="20"/>
      <w:szCs w:val="20"/>
      <w:lang w:val="de-AT"/>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customStyle="1" w:styleId="Header-Datum">
    <w:name w:val="Header - Datum"/>
    <w:next w:val="Header-Dokumenttitel"/>
    <w:link w:val="Header-DatumZchn"/>
    <w:uiPriority w:val="9"/>
    <w:qFormat/>
    <w:rsid w:val="00891AF2"/>
    <w:pPr>
      <w:spacing w:after="0" w:line="360" w:lineRule="exact"/>
      <w:jc w:val="right"/>
    </w:pPr>
    <w:rPr>
      <w:rFonts w:ascii="Arial" w:eastAsia="SimSun" w:hAnsi="Arial" w:cs="Times New Roman"/>
      <w:caps/>
      <w:color w:val="FFFFFF" w:themeColor="background1"/>
      <w:sz w:val="30"/>
      <w:szCs w:val="24"/>
      <w:lang w:eastAsia="zh-CN"/>
    </w:rPr>
  </w:style>
  <w:style w:type="paragraph" w:customStyle="1" w:styleId="Header-Dokumenttitel">
    <w:name w:val="Header - Dokumenttitel"/>
    <w:uiPriority w:val="10"/>
    <w:qFormat/>
    <w:rsid w:val="00891AF2"/>
    <w:pPr>
      <w:spacing w:after="0" w:line="500" w:lineRule="exact"/>
    </w:pPr>
    <w:rPr>
      <w:rFonts w:ascii="Volkhov" w:eastAsia="SimSun" w:hAnsi="Volkhov" w:cs="Times New Roman"/>
      <w:color w:val="FFFFFF" w:themeColor="background1"/>
      <w:sz w:val="44"/>
      <w:szCs w:val="24"/>
      <w:lang w:eastAsia="zh-CN"/>
    </w:rPr>
  </w:style>
  <w:style w:type="character" w:customStyle="1" w:styleId="Header-DatumZchn">
    <w:name w:val="Header - Datum Zchn"/>
    <w:basedOn w:val="DefaultParagraphFont"/>
    <w:link w:val="Header-Datum"/>
    <w:uiPriority w:val="9"/>
    <w:rsid w:val="00891AF2"/>
    <w:rPr>
      <w:rFonts w:ascii="Arial" w:eastAsia="SimSun" w:hAnsi="Arial" w:cs="Times New Roman"/>
      <w:caps/>
      <w:color w:val="FFFFFF" w:themeColor="background1"/>
      <w:sz w:val="30"/>
      <w:szCs w:val="24"/>
      <w:lang w:eastAsia="zh-CN"/>
    </w:rPr>
  </w:style>
  <w:style w:type="paragraph" w:customStyle="1" w:styleId="Footer-Text">
    <w:name w:val="Footer - Text"/>
    <w:link w:val="Footer-TextZchn"/>
    <w:uiPriority w:val="29"/>
    <w:qFormat/>
    <w:rsid w:val="00891AF2"/>
    <w:pPr>
      <w:spacing w:after="0" w:line="280" w:lineRule="exact"/>
      <w:contextualSpacing/>
    </w:pPr>
    <w:rPr>
      <w:rFonts w:ascii="Volkhov" w:eastAsia="SimSun" w:hAnsi="Volkhov" w:cs="Times New Roman"/>
      <w:color w:val="545B64"/>
      <w:sz w:val="19"/>
      <w:szCs w:val="24"/>
      <w:lang w:eastAsia="zh-CN"/>
    </w:rPr>
  </w:style>
  <w:style w:type="character" w:customStyle="1" w:styleId="Footer-TextZchn">
    <w:name w:val="Footer - Text Zchn"/>
    <w:basedOn w:val="DefaultParagraphFont"/>
    <w:link w:val="Footer-Text"/>
    <w:uiPriority w:val="29"/>
    <w:rsid w:val="00891AF2"/>
    <w:rPr>
      <w:rFonts w:ascii="Volkhov" w:eastAsia="SimSun" w:hAnsi="Volkhov" w:cs="Times New Roman"/>
      <w:color w:val="545B64"/>
      <w:sz w:val="19"/>
      <w:szCs w:val="24"/>
      <w:lang w:eastAsia="zh-CN"/>
    </w:rPr>
  </w:style>
  <w:style w:type="paragraph" w:customStyle="1" w:styleId="Sourcetable1">
    <w:name w:val="Source table 1"/>
    <w:basedOn w:val="Normal"/>
    <w:link w:val="Sourcetable1Carattere"/>
    <w:qFormat/>
    <w:rsid w:val="00FF2A09"/>
    <w:pPr>
      <w:spacing w:after="120"/>
      <w:contextualSpacing/>
    </w:pPr>
    <w:rPr>
      <w:sz w:val="16"/>
      <w:szCs w:val="16"/>
    </w:rPr>
  </w:style>
  <w:style w:type="character" w:customStyle="1" w:styleId="Sourcetable1Carattere">
    <w:name w:val="Source table 1 Carattere"/>
    <w:basedOn w:val="DefaultParagraphFont"/>
    <w:link w:val="Sourcetable1"/>
    <w:rsid w:val="00FF2A09"/>
    <w:rPr>
      <w:rFonts w:ascii="Verdana" w:hAnsi="Verdana"/>
      <w:sz w:val="16"/>
      <w:szCs w:val="16"/>
    </w:rPr>
  </w:style>
  <w:style w:type="character" w:styleId="CommentReference">
    <w:name w:val="annotation reference"/>
    <w:basedOn w:val="DefaultParagraphFont"/>
    <w:uiPriority w:val="99"/>
    <w:semiHidden/>
    <w:unhideWhenUsed/>
    <w:rsid w:val="00295BA2"/>
    <w:rPr>
      <w:sz w:val="16"/>
      <w:szCs w:val="16"/>
    </w:rPr>
  </w:style>
  <w:style w:type="paragraph" w:customStyle="1" w:styleId="Tabellentext">
    <w:name w:val="Tabellentext"/>
    <w:basedOn w:val="Normal"/>
    <w:rsid w:val="00490991"/>
    <w:pPr>
      <w:spacing w:before="40" w:after="0" w:line="240" w:lineRule="auto"/>
      <w:jc w:val="left"/>
    </w:pPr>
    <w:rPr>
      <w:rFonts w:ascii="Arial" w:eastAsia="Times New Roman" w:hAnsi="Arial" w:cs="Times New Roman"/>
      <w:sz w:val="18"/>
      <w:szCs w:val="20"/>
      <w:lang w:val="de-DE" w:eastAsia="de-DE"/>
    </w:rPr>
  </w:style>
  <w:style w:type="character" w:styleId="FollowedHyperlink">
    <w:name w:val="FollowedHyperlink"/>
    <w:basedOn w:val="DefaultParagraphFont"/>
    <w:uiPriority w:val="99"/>
    <w:semiHidden/>
    <w:unhideWhenUsed/>
    <w:rsid w:val="005D5C1E"/>
    <w:rPr>
      <w:color w:val="800080"/>
      <w:u w:val="single"/>
    </w:rPr>
  </w:style>
  <w:style w:type="paragraph" w:customStyle="1" w:styleId="xl66">
    <w:name w:val="xl66"/>
    <w:basedOn w:val="Normal"/>
    <w:rsid w:val="005D5C1E"/>
    <w:pPr>
      <w:spacing w:before="100" w:beforeAutospacing="1" w:after="100" w:afterAutospacing="1" w:line="240" w:lineRule="auto"/>
      <w:jc w:val="left"/>
      <w:textAlignment w:val="center"/>
    </w:pPr>
    <w:rPr>
      <w:rFonts w:ascii="Tahoma" w:eastAsia="Times New Roman" w:hAnsi="Tahoma" w:cs="Tahoma"/>
      <w:sz w:val="16"/>
      <w:szCs w:val="16"/>
      <w:lang w:val="it-IT" w:eastAsia="it-IT"/>
    </w:rPr>
  </w:style>
  <w:style w:type="paragraph" w:customStyle="1" w:styleId="xl67">
    <w:name w:val="xl67"/>
    <w:basedOn w:val="Normal"/>
    <w:rsid w:val="005D5C1E"/>
    <w:pPr>
      <w:spacing w:before="100" w:beforeAutospacing="1" w:after="100" w:afterAutospacing="1" w:line="240" w:lineRule="auto"/>
      <w:jc w:val="left"/>
      <w:textAlignment w:val="center"/>
    </w:pPr>
    <w:rPr>
      <w:rFonts w:ascii="Tahoma" w:eastAsia="Times New Roman" w:hAnsi="Tahoma" w:cs="Tahoma"/>
      <w:b/>
      <w:bCs/>
      <w:sz w:val="16"/>
      <w:szCs w:val="16"/>
      <w:lang w:val="it-IT" w:eastAsia="it-IT"/>
    </w:rPr>
  </w:style>
  <w:style w:type="paragraph" w:customStyle="1" w:styleId="xl68">
    <w:name w:val="xl68"/>
    <w:basedOn w:val="Normal"/>
    <w:rsid w:val="005D5C1E"/>
    <w:pPr>
      <w:spacing w:before="100" w:beforeAutospacing="1" w:after="100" w:afterAutospacing="1" w:line="240" w:lineRule="auto"/>
      <w:jc w:val="right"/>
      <w:textAlignment w:val="center"/>
    </w:pPr>
    <w:rPr>
      <w:rFonts w:ascii="Tahoma" w:eastAsia="Times New Roman" w:hAnsi="Tahoma" w:cs="Tahoma"/>
      <w:sz w:val="16"/>
      <w:szCs w:val="16"/>
      <w:lang w:val="it-IT" w:eastAsia="it-IT"/>
    </w:rPr>
  </w:style>
  <w:style w:type="paragraph" w:customStyle="1" w:styleId="xl69">
    <w:name w:val="xl69"/>
    <w:basedOn w:val="Normal"/>
    <w:rsid w:val="005D5C1E"/>
    <w:pPr>
      <w:spacing w:before="100" w:beforeAutospacing="1" w:after="100" w:afterAutospacing="1" w:line="240" w:lineRule="auto"/>
      <w:jc w:val="left"/>
    </w:pPr>
    <w:rPr>
      <w:rFonts w:ascii="Tahoma" w:eastAsia="Times New Roman" w:hAnsi="Tahoma" w:cs="Tahoma"/>
      <w:sz w:val="16"/>
      <w:szCs w:val="16"/>
      <w:lang w:val="it-IT" w:eastAsia="it-IT"/>
    </w:rPr>
  </w:style>
  <w:style w:type="paragraph" w:customStyle="1" w:styleId="xl70">
    <w:name w:val="xl70"/>
    <w:basedOn w:val="Normal"/>
    <w:rsid w:val="005D5C1E"/>
    <w:pPr>
      <w:spacing w:before="100" w:beforeAutospacing="1" w:after="100" w:afterAutospacing="1" w:line="240" w:lineRule="auto"/>
      <w:jc w:val="right"/>
      <w:textAlignment w:val="center"/>
    </w:pPr>
    <w:rPr>
      <w:rFonts w:ascii="Tahoma" w:eastAsia="Times New Roman" w:hAnsi="Tahoma" w:cs="Tahoma"/>
      <w:b/>
      <w:bCs/>
      <w:sz w:val="16"/>
      <w:szCs w:val="16"/>
      <w:lang w:val="it-IT" w:eastAsia="it-IT"/>
    </w:rPr>
  </w:style>
  <w:style w:type="table" w:customStyle="1" w:styleId="Sfondochiaro-Colore11">
    <w:name w:val="Sfondo chiaro - Colore 11"/>
    <w:basedOn w:val="TableNormal"/>
    <w:uiPriority w:val="60"/>
    <w:rsid w:val="005D5C1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1">
    <w:name w:val="Elenco chiaro - Colore 11"/>
    <w:basedOn w:val="TableNormal"/>
    <w:uiPriority w:val="61"/>
    <w:rsid w:val="005D5C1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evision">
    <w:name w:val="Revision"/>
    <w:hidden/>
    <w:uiPriority w:val="99"/>
    <w:semiHidden/>
    <w:rsid w:val="005D5C1E"/>
    <w:pPr>
      <w:spacing w:after="0" w:line="240" w:lineRule="auto"/>
    </w:pPr>
    <w:rPr>
      <w:rFonts w:ascii="Verdana" w:hAnsi="Verdana"/>
      <w:sz w:val="20"/>
    </w:rPr>
  </w:style>
  <w:style w:type="table" w:customStyle="1" w:styleId="Stile1">
    <w:name w:val="Stile1"/>
    <w:basedOn w:val="TableNormal"/>
    <w:uiPriority w:val="99"/>
    <w:qFormat/>
    <w:rsid w:val="00A02832"/>
    <w:pPr>
      <w:spacing w:after="0" w:line="240" w:lineRule="auto"/>
    </w:pPr>
    <w:tblPr/>
  </w:style>
  <w:style w:type="paragraph" w:styleId="ListBullet5">
    <w:name w:val="List Bullet 5"/>
    <w:basedOn w:val="Normal"/>
    <w:autoRedefine/>
    <w:rsid w:val="00AB7959"/>
    <w:pPr>
      <w:numPr>
        <w:numId w:val="6"/>
      </w:numPr>
      <w:spacing w:after="240" w:line="240" w:lineRule="auto"/>
    </w:pPr>
    <w:rPr>
      <w:rFonts w:ascii="Times New Roman" w:eastAsia="Times New Roman" w:hAnsi="Times New Roman" w:cs="Times New Roman"/>
      <w:sz w:val="24"/>
      <w:szCs w:val="20"/>
      <w:lang w:val="fr-FR"/>
    </w:rPr>
  </w:style>
  <w:style w:type="paragraph" w:customStyle="1" w:styleId="DocumentTitle">
    <w:name w:val="Document Title"/>
    <w:basedOn w:val="Normal"/>
    <w:link w:val="DocumentTitleChar"/>
    <w:qFormat/>
    <w:rsid w:val="00AB7959"/>
    <w:pPr>
      <w:spacing w:after="240" w:line="240" w:lineRule="auto"/>
      <w:jc w:val="center"/>
    </w:pPr>
    <w:rPr>
      <w:rFonts w:eastAsia="Times New Roman" w:cs="Times New Roman"/>
      <w:b/>
      <w:sz w:val="52"/>
      <w:szCs w:val="20"/>
      <w:lang w:val="fr-FR"/>
    </w:rPr>
  </w:style>
  <w:style w:type="character" w:customStyle="1" w:styleId="DocumentTitleChar">
    <w:name w:val="Document Title Char"/>
    <w:link w:val="DocumentTitle"/>
    <w:rsid w:val="00AB7959"/>
    <w:rPr>
      <w:rFonts w:ascii="Verdana" w:eastAsia="Times New Roman" w:hAnsi="Verdana" w:cs="Times New Roman"/>
      <w:b/>
      <w:sz w:val="52"/>
      <w:szCs w:val="20"/>
      <w:lang w:val="fr-FR"/>
    </w:rPr>
  </w:style>
  <w:style w:type="paragraph" w:customStyle="1" w:styleId="DocumentSubtitle">
    <w:name w:val="Document Subtitle"/>
    <w:basedOn w:val="DocumentTitle"/>
    <w:link w:val="DocumentSubtitleChar"/>
    <w:qFormat/>
    <w:rsid w:val="00AB7959"/>
    <w:rPr>
      <w:b w:val="0"/>
      <w:sz w:val="32"/>
      <w:szCs w:val="36"/>
      <w:lang w:val="en-GB"/>
    </w:rPr>
  </w:style>
  <w:style w:type="character" w:customStyle="1" w:styleId="DocumentSubtitleChar">
    <w:name w:val="Document Subtitle Char"/>
    <w:link w:val="DocumentSubtitle"/>
    <w:rsid w:val="00AB7959"/>
    <w:rPr>
      <w:rFonts w:ascii="Verdana" w:eastAsia="Times New Roman" w:hAnsi="Verdana" w:cs="Times New Roman"/>
      <w:sz w:val="32"/>
      <w:szCs w:val="36"/>
    </w:rPr>
  </w:style>
  <w:style w:type="paragraph" w:customStyle="1" w:styleId="Heading">
    <w:name w:val="Heading"/>
    <w:basedOn w:val="TOC1"/>
    <w:link w:val="HeadingChar"/>
    <w:qFormat/>
    <w:rsid w:val="00AB7959"/>
    <w:pPr>
      <w:widowControl w:val="0"/>
      <w:tabs>
        <w:tab w:val="right" w:leader="dot" w:pos="8640"/>
      </w:tabs>
      <w:autoSpaceDE w:val="0"/>
      <w:autoSpaceDN w:val="0"/>
      <w:adjustRightInd w:val="0"/>
      <w:spacing w:after="0" w:line="240" w:lineRule="auto"/>
      <w:ind w:left="0" w:right="720" w:firstLine="0"/>
      <w:jc w:val="left"/>
    </w:pPr>
    <w:rPr>
      <w:rFonts w:eastAsia="Times New Roman" w:cs="Times New Roman"/>
      <w:b w:val="0"/>
      <w:caps/>
      <w:szCs w:val="20"/>
      <w:u w:val="single"/>
      <w:lang w:val="fr-FR"/>
    </w:rPr>
  </w:style>
  <w:style w:type="character" w:customStyle="1" w:styleId="HeadingChar">
    <w:name w:val="Heading Char"/>
    <w:link w:val="Heading"/>
    <w:rsid w:val="00AB7959"/>
    <w:rPr>
      <w:rFonts w:ascii="Verdana" w:eastAsia="Times New Roman" w:hAnsi="Verdana" w:cs="Times New Roman"/>
      <w:b/>
      <w:caps/>
      <w:sz w:val="20"/>
      <w:szCs w:val="20"/>
      <w:u w:val="single"/>
      <w:lang w:val="fr-FR"/>
    </w:rPr>
  </w:style>
  <w:style w:type="paragraph" w:customStyle="1" w:styleId="Body">
    <w:name w:val="Body"/>
    <w:basedOn w:val="Normal"/>
    <w:link w:val="BodyChar"/>
    <w:qFormat/>
    <w:rsid w:val="00AB7959"/>
    <w:pPr>
      <w:spacing w:after="240" w:line="240" w:lineRule="auto"/>
      <w:jc w:val="left"/>
    </w:pPr>
    <w:rPr>
      <w:rFonts w:eastAsia="Times New Roman" w:cs="Times New Roman"/>
      <w:sz w:val="18"/>
      <w:szCs w:val="20"/>
      <w:lang w:val="fr-FR"/>
    </w:rPr>
  </w:style>
  <w:style w:type="character" w:customStyle="1" w:styleId="BodyChar">
    <w:name w:val="Body Char"/>
    <w:link w:val="Body"/>
    <w:rsid w:val="00AB7959"/>
    <w:rPr>
      <w:rFonts w:ascii="Verdana" w:eastAsia="Times New Roman" w:hAnsi="Verdana" w:cs="Times New Roman"/>
      <w:sz w:val="18"/>
      <w:szCs w:val="20"/>
      <w:lang w:val="fr-FR"/>
    </w:rPr>
  </w:style>
  <w:style w:type="paragraph" w:customStyle="1" w:styleId="HeadingBody">
    <w:name w:val="Heading Body"/>
    <w:basedOn w:val="Normal"/>
    <w:link w:val="HeadingBodyChar"/>
    <w:qFormat/>
    <w:rsid w:val="00AB7959"/>
    <w:pPr>
      <w:spacing w:after="120" w:line="240" w:lineRule="auto"/>
    </w:pPr>
    <w:rPr>
      <w:rFonts w:eastAsia="Times New Roman" w:cs="Times New Roman"/>
      <w:b/>
      <w:szCs w:val="18"/>
    </w:rPr>
  </w:style>
  <w:style w:type="paragraph" w:customStyle="1" w:styleId="Titlepublication">
    <w:name w:val="Title publication"/>
    <w:basedOn w:val="Normal"/>
    <w:link w:val="TitlepublicationChar"/>
    <w:qFormat/>
    <w:rsid w:val="00AB7959"/>
    <w:pPr>
      <w:spacing w:after="240" w:line="240" w:lineRule="auto"/>
      <w:jc w:val="center"/>
    </w:pPr>
    <w:rPr>
      <w:rFonts w:eastAsia="Times New Roman" w:cs="Times New Roman"/>
      <w:b/>
      <w:color w:val="FF0000"/>
      <w:sz w:val="52"/>
      <w:szCs w:val="52"/>
    </w:rPr>
  </w:style>
  <w:style w:type="character" w:customStyle="1" w:styleId="HeadingBodyChar">
    <w:name w:val="Heading Body Char"/>
    <w:basedOn w:val="DefaultParagraphFont"/>
    <w:link w:val="HeadingBody"/>
    <w:rsid w:val="00AB7959"/>
    <w:rPr>
      <w:rFonts w:ascii="Verdana" w:eastAsia="Times New Roman" w:hAnsi="Verdana" w:cs="Times New Roman"/>
      <w:b/>
      <w:sz w:val="20"/>
      <w:szCs w:val="18"/>
    </w:rPr>
  </w:style>
  <w:style w:type="paragraph" w:customStyle="1" w:styleId="Subtitlepublication">
    <w:name w:val="Subtitle publication"/>
    <w:basedOn w:val="Normal"/>
    <w:link w:val="SubtitlepublicationChar"/>
    <w:qFormat/>
    <w:rsid w:val="00AB7959"/>
    <w:pPr>
      <w:spacing w:after="240" w:line="240" w:lineRule="auto"/>
      <w:jc w:val="center"/>
    </w:pPr>
    <w:rPr>
      <w:rFonts w:eastAsia="Times New Roman" w:cs="Times New Roman"/>
      <w:b/>
      <w:i/>
      <w:color w:val="FF0000"/>
      <w:sz w:val="32"/>
      <w:szCs w:val="20"/>
    </w:rPr>
  </w:style>
  <w:style w:type="character" w:customStyle="1" w:styleId="TitlepublicationChar">
    <w:name w:val="Title publication Char"/>
    <w:basedOn w:val="DefaultParagraphFont"/>
    <w:link w:val="Titlepublication"/>
    <w:rsid w:val="00AB7959"/>
    <w:rPr>
      <w:rFonts w:ascii="Verdana" w:eastAsia="Times New Roman" w:hAnsi="Verdana" w:cs="Times New Roman"/>
      <w:b/>
      <w:color w:val="FF0000"/>
      <w:sz w:val="52"/>
      <w:szCs w:val="52"/>
    </w:rPr>
  </w:style>
  <w:style w:type="character" w:customStyle="1" w:styleId="SubtitlepublicationChar">
    <w:name w:val="Subtitle publication Char"/>
    <w:basedOn w:val="DefaultParagraphFont"/>
    <w:link w:val="Subtitlepublication"/>
    <w:rsid w:val="00AB7959"/>
    <w:rPr>
      <w:rFonts w:ascii="Verdana" w:eastAsia="Times New Roman" w:hAnsi="Verdana" w:cs="Times New Roman"/>
      <w:b/>
      <w:i/>
      <w:color w:val="FF0000"/>
      <w:sz w:val="32"/>
      <w:szCs w:val="20"/>
    </w:rPr>
  </w:style>
  <w:style w:type="paragraph" w:customStyle="1" w:styleId="Bulletpoint1">
    <w:name w:val="Bullet point1"/>
    <w:basedOn w:val="NormalIndent"/>
    <w:link w:val="Bulletpoint1Char"/>
    <w:qFormat/>
    <w:rsid w:val="00752C37"/>
    <w:pPr>
      <w:numPr>
        <w:numId w:val="7"/>
      </w:numPr>
      <w:spacing w:after="120"/>
    </w:pPr>
    <w:rPr>
      <w:rFonts w:eastAsia="Times New Roman" w:cs="Times New Roman"/>
      <w:szCs w:val="20"/>
    </w:rPr>
  </w:style>
  <w:style w:type="character" w:customStyle="1" w:styleId="Bulletpoint1Char">
    <w:name w:val="Bullet point1 Char"/>
    <w:basedOn w:val="DefaultParagraphFont"/>
    <w:link w:val="Bulletpoint1"/>
    <w:rsid w:val="00752C37"/>
    <w:rPr>
      <w:rFonts w:ascii="Verdana" w:eastAsia="Times New Roman" w:hAnsi="Verdana" w:cs="Times New Roman"/>
      <w:sz w:val="20"/>
      <w:szCs w:val="20"/>
    </w:rPr>
  </w:style>
  <w:style w:type="paragraph" w:customStyle="1" w:styleId="Heading20">
    <w:name w:val="Heading2"/>
    <w:basedOn w:val="Normal"/>
    <w:link w:val="Heading2Char0"/>
    <w:qFormat/>
    <w:rsid w:val="00A338A2"/>
    <w:pPr>
      <w:spacing w:after="240" w:line="240" w:lineRule="auto"/>
    </w:pPr>
    <w:rPr>
      <w:rFonts w:eastAsia="Times New Roman" w:cs="Times New Roman"/>
      <w:b/>
      <w:i/>
      <w:sz w:val="24"/>
      <w:szCs w:val="20"/>
      <w:lang w:val="fr-FR"/>
    </w:rPr>
  </w:style>
  <w:style w:type="character" w:customStyle="1" w:styleId="Heading2Char0">
    <w:name w:val="Heading2 Char"/>
    <w:link w:val="Heading20"/>
    <w:rsid w:val="00A338A2"/>
    <w:rPr>
      <w:rFonts w:ascii="Verdana" w:eastAsia="Times New Roman" w:hAnsi="Verdana" w:cs="Times New Roman"/>
      <w:b/>
      <w:i/>
      <w:sz w:val="24"/>
      <w:szCs w:val="20"/>
      <w:lang w:val="fr-FR"/>
    </w:rPr>
  </w:style>
  <w:style w:type="character" w:styleId="Emphasis">
    <w:name w:val="Emphasis"/>
    <w:basedOn w:val="DefaultParagraphFont"/>
    <w:uiPriority w:val="20"/>
    <w:qFormat/>
    <w:rsid w:val="00A338A2"/>
    <w:rPr>
      <w:b/>
      <w:bCs/>
      <w:i w:val="0"/>
      <w:iCs w:val="0"/>
    </w:rPr>
  </w:style>
  <w:style w:type="character" w:customStyle="1" w:styleId="st">
    <w:name w:val="st"/>
    <w:basedOn w:val="DefaultParagraphFont"/>
    <w:rsid w:val="00A338A2"/>
  </w:style>
  <w:style w:type="paragraph" w:styleId="NormalIndent">
    <w:name w:val="Normal Indent"/>
    <w:basedOn w:val="Normal"/>
    <w:uiPriority w:val="99"/>
    <w:semiHidden/>
    <w:unhideWhenUsed/>
    <w:rsid w:val="00A338A2"/>
    <w:pPr>
      <w:ind w:left="708"/>
    </w:p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uiPriority w:val="99"/>
    <w:rsid w:val="00FD0D33"/>
    <w:pPr>
      <w:spacing w:before="60" w:after="160" w:line="240" w:lineRule="exact"/>
    </w:pPr>
    <w:rPr>
      <w:rFonts w:asciiTheme="majorHAnsi" w:eastAsiaTheme="majorEastAsia" w:hAnsiTheme="majorHAnsi" w:cstheme="majorBidi"/>
      <w:sz w:val="22"/>
      <w:vertAlign w:val="superscript"/>
      <w:lang w:val="en-US" w:bidi="en-US"/>
    </w:rPr>
  </w:style>
  <w:style w:type="paragraph" w:customStyle="1" w:styleId="Corpotesto1">
    <w:name w:val="Corpo testo1"/>
    <w:basedOn w:val="Normal"/>
    <w:link w:val="BodytextCarattere"/>
    <w:qFormat/>
    <w:rsid w:val="007D5CBE"/>
    <w:pPr>
      <w:spacing w:after="0" w:line="240" w:lineRule="auto"/>
    </w:pPr>
    <w:rPr>
      <w:rFonts w:eastAsia="Times New Roman" w:cs="Times New Roman"/>
      <w:szCs w:val="20"/>
    </w:rPr>
  </w:style>
  <w:style w:type="character" w:customStyle="1" w:styleId="BodytextCarattere">
    <w:name w:val="Body text Carattere"/>
    <w:basedOn w:val="DefaultParagraphFont"/>
    <w:link w:val="Corpotesto1"/>
    <w:rsid w:val="007D5CBE"/>
    <w:rPr>
      <w:rFonts w:ascii="Verdana" w:eastAsia="Times New Roman" w:hAnsi="Verdana" w:cs="Times New Roman"/>
      <w:sz w:val="20"/>
      <w:szCs w:val="20"/>
    </w:rPr>
  </w:style>
  <w:style w:type="paragraph" w:customStyle="1" w:styleId="bullettable">
    <w:name w:val="bullet table"/>
    <w:basedOn w:val="ListParagraph"/>
    <w:link w:val="bullettableCarattere"/>
    <w:qFormat/>
    <w:rsid w:val="0032426D"/>
    <w:pPr>
      <w:numPr>
        <w:numId w:val="0"/>
      </w:numPr>
      <w:spacing w:after="0" w:line="240" w:lineRule="auto"/>
      <w:ind w:left="65"/>
      <w:contextualSpacing/>
      <w:jc w:val="left"/>
    </w:pPr>
    <w:rPr>
      <w:rFonts w:eastAsia="Calibri" w:cstheme="majorBidi"/>
      <w:sz w:val="16"/>
      <w:szCs w:val="16"/>
      <w:lang w:val="en-US" w:bidi="en-US"/>
    </w:rPr>
  </w:style>
  <w:style w:type="character" w:customStyle="1" w:styleId="bullettableCarattere">
    <w:name w:val="bullet table Carattere"/>
    <w:basedOn w:val="ListParagraphChar"/>
    <w:link w:val="bullettable"/>
    <w:rsid w:val="0032426D"/>
    <w:rPr>
      <w:rFonts w:ascii="Verdana" w:eastAsia="Calibri" w:hAnsi="Verdana" w:cstheme="majorBidi"/>
      <w:sz w:val="16"/>
      <w:szCs w:val="16"/>
      <w:lang w:val="en-US" w:bidi="en-US"/>
    </w:rPr>
  </w:style>
  <w:style w:type="paragraph" w:customStyle="1" w:styleId="bullettable2">
    <w:name w:val="bullet table 2"/>
    <w:basedOn w:val="ListParagraph"/>
    <w:link w:val="bullettable2Carattere"/>
    <w:qFormat/>
    <w:rsid w:val="00E47AD0"/>
    <w:pPr>
      <w:numPr>
        <w:numId w:val="9"/>
      </w:numPr>
      <w:spacing w:after="0" w:line="240" w:lineRule="auto"/>
    </w:pPr>
  </w:style>
  <w:style w:type="character" w:customStyle="1" w:styleId="bullettable2Carattere">
    <w:name w:val="bullet table 2 Carattere"/>
    <w:basedOn w:val="ListParagraphChar"/>
    <w:link w:val="bullettable2"/>
    <w:rsid w:val="00E47AD0"/>
    <w:rPr>
      <w:rFonts w:ascii="Verdana" w:hAnsi="Verdana"/>
      <w:sz w:val="20"/>
    </w:rPr>
  </w:style>
  <w:style w:type="paragraph" w:customStyle="1" w:styleId="BTBullet2">
    <w:name w:val="BTBullet2"/>
    <w:basedOn w:val="Normal"/>
    <w:uiPriority w:val="6"/>
    <w:rsid w:val="00F9077C"/>
    <w:pPr>
      <w:numPr>
        <w:ilvl w:val="1"/>
        <w:numId w:val="10"/>
      </w:numPr>
      <w:spacing w:after="0" w:line="240" w:lineRule="atLeast"/>
    </w:pPr>
    <w:rPr>
      <w:rFonts w:ascii="Arial" w:hAnsi="Arial" w:cstheme="majorBidi"/>
      <w:sz w:val="22"/>
      <w:szCs w:val="24"/>
      <w:lang w:val="en-US"/>
    </w:rPr>
  </w:style>
  <w:style w:type="paragraph" w:customStyle="1" w:styleId="BTBullet3">
    <w:name w:val="BTBullet3"/>
    <w:basedOn w:val="Normal"/>
    <w:uiPriority w:val="6"/>
    <w:rsid w:val="00F9077C"/>
    <w:pPr>
      <w:numPr>
        <w:ilvl w:val="2"/>
        <w:numId w:val="10"/>
      </w:numPr>
      <w:spacing w:after="0" w:line="240" w:lineRule="atLeast"/>
    </w:pPr>
    <w:rPr>
      <w:rFonts w:ascii="Arial" w:hAnsi="Arial" w:cstheme="majorBidi"/>
      <w:sz w:val="22"/>
      <w:szCs w:val="24"/>
      <w:lang w:val="en-US"/>
    </w:rPr>
  </w:style>
  <w:style w:type="table" w:styleId="LightList-Accent2">
    <w:name w:val="Light List Accent 2"/>
    <w:basedOn w:val="TableNormal"/>
    <w:uiPriority w:val="61"/>
    <w:rsid w:val="00495CB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CM1">
    <w:name w:val="CM1"/>
    <w:basedOn w:val="Normal"/>
    <w:next w:val="Normal"/>
    <w:uiPriority w:val="99"/>
    <w:rsid w:val="00C82ACA"/>
    <w:pPr>
      <w:autoSpaceDE w:val="0"/>
      <w:autoSpaceDN w:val="0"/>
      <w:adjustRightInd w:val="0"/>
      <w:spacing w:after="0" w:line="240" w:lineRule="auto"/>
      <w:jc w:val="left"/>
    </w:pPr>
    <w:rPr>
      <w:rFonts w:ascii="EUAlbertina" w:hAnsi="EUAlbertina"/>
      <w:sz w:val="24"/>
      <w:szCs w:val="24"/>
    </w:rPr>
  </w:style>
  <w:style w:type="paragraph" w:customStyle="1" w:styleId="CM3">
    <w:name w:val="CM3"/>
    <w:basedOn w:val="Normal"/>
    <w:next w:val="Normal"/>
    <w:uiPriority w:val="99"/>
    <w:rsid w:val="00C82ACA"/>
    <w:pPr>
      <w:autoSpaceDE w:val="0"/>
      <w:autoSpaceDN w:val="0"/>
      <w:adjustRightInd w:val="0"/>
      <w:spacing w:after="0" w:line="240" w:lineRule="auto"/>
      <w:jc w:val="left"/>
    </w:pPr>
    <w:rPr>
      <w:rFonts w:ascii="EUAlbertina" w:hAnsi="EUAlbertina"/>
      <w:sz w:val="24"/>
      <w:szCs w:val="24"/>
    </w:rPr>
  </w:style>
  <w:style w:type="character" w:styleId="EndnoteReference">
    <w:name w:val="endnote reference"/>
    <w:basedOn w:val="DefaultParagraphFont"/>
    <w:uiPriority w:val="99"/>
    <w:semiHidden/>
    <w:unhideWhenUsed/>
    <w:rsid w:val="003671B0"/>
    <w:rPr>
      <w:vertAlign w:val="superscript"/>
    </w:rPr>
  </w:style>
  <w:style w:type="character" w:customStyle="1" w:styleId="shorttext">
    <w:name w:val="short_text"/>
    <w:basedOn w:val="DefaultParagraphFont"/>
    <w:rsid w:val="00027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81092">
      <w:bodyDiv w:val="1"/>
      <w:marLeft w:val="0"/>
      <w:marRight w:val="0"/>
      <w:marTop w:val="0"/>
      <w:marBottom w:val="0"/>
      <w:divBdr>
        <w:top w:val="none" w:sz="0" w:space="0" w:color="auto"/>
        <w:left w:val="none" w:sz="0" w:space="0" w:color="auto"/>
        <w:bottom w:val="none" w:sz="0" w:space="0" w:color="auto"/>
        <w:right w:val="none" w:sz="0" w:space="0" w:color="auto"/>
      </w:divBdr>
    </w:div>
    <w:div w:id="103575783">
      <w:bodyDiv w:val="1"/>
      <w:marLeft w:val="0"/>
      <w:marRight w:val="0"/>
      <w:marTop w:val="0"/>
      <w:marBottom w:val="0"/>
      <w:divBdr>
        <w:top w:val="none" w:sz="0" w:space="0" w:color="auto"/>
        <w:left w:val="none" w:sz="0" w:space="0" w:color="auto"/>
        <w:bottom w:val="none" w:sz="0" w:space="0" w:color="auto"/>
        <w:right w:val="none" w:sz="0" w:space="0" w:color="auto"/>
      </w:divBdr>
    </w:div>
    <w:div w:id="121533306">
      <w:bodyDiv w:val="1"/>
      <w:marLeft w:val="0"/>
      <w:marRight w:val="0"/>
      <w:marTop w:val="0"/>
      <w:marBottom w:val="0"/>
      <w:divBdr>
        <w:top w:val="none" w:sz="0" w:space="0" w:color="auto"/>
        <w:left w:val="none" w:sz="0" w:space="0" w:color="auto"/>
        <w:bottom w:val="none" w:sz="0" w:space="0" w:color="auto"/>
        <w:right w:val="none" w:sz="0" w:space="0" w:color="auto"/>
      </w:divBdr>
    </w:div>
    <w:div w:id="152138550">
      <w:bodyDiv w:val="1"/>
      <w:marLeft w:val="0"/>
      <w:marRight w:val="0"/>
      <w:marTop w:val="0"/>
      <w:marBottom w:val="0"/>
      <w:divBdr>
        <w:top w:val="none" w:sz="0" w:space="0" w:color="auto"/>
        <w:left w:val="none" w:sz="0" w:space="0" w:color="auto"/>
        <w:bottom w:val="none" w:sz="0" w:space="0" w:color="auto"/>
        <w:right w:val="none" w:sz="0" w:space="0" w:color="auto"/>
      </w:divBdr>
    </w:div>
    <w:div w:id="166596366">
      <w:bodyDiv w:val="1"/>
      <w:marLeft w:val="0"/>
      <w:marRight w:val="0"/>
      <w:marTop w:val="0"/>
      <w:marBottom w:val="0"/>
      <w:divBdr>
        <w:top w:val="none" w:sz="0" w:space="0" w:color="auto"/>
        <w:left w:val="none" w:sz="0" w:space="0" w:color="auto"/>
        <w:bottom w:val="none" w:sz="0" w:space="0" w:color="auto"/>
        <w:right w:val="none" w:sz="0" w:space="0" w:color="auto"/>
      </w:divBdr>
    </w:div>
    <w:div w:id="178281628">
      <w:bodyDiv w:val="1"/>
      <w:marLeft w:val="0"/>
      <w:marRight w:val="0"/>
      <w:marTop w:val="0"/>
      <w:marBottom w:val="0"/>
      <w:divBdr>
        <w:top w:val="none" w:sz="0" w:space="0" w:color="auto"/>
        <w:left w:val="none" w:sz="0" w:space="0" w:color="auto"/>
        <w:bottom w:val="none" w:sz="0" w:space="0" w:color="auto"/>
        <w:right w:val="none" w:sz="0" w:space="0" w:color="auto"/>
      </w:divBdr>
    </w:div>
    <w:div w:id="198590206">
      <w:bodyDiv w:val="1"/>
      <w:marLeft w:val="0"/>
      <w:marRight w:val="0"/>
      <w:marTop w:val="0"/>
      <w:marBottom w:val="0"/>
      <w:divBdr>
        <w:top w:val="none" w:sz="0" w:space="0" w:color="auto"/>
        <w:left w:val="none" w:sz="0" w:space="0" w:color="auto"/>
        <w:bottom w:val="none" w:sz="0" w:space="0" w:color="auto"/>
        <w:right w:val="none" w:sz="0" w:space="0" w:color="auto"/>
      </w:divBdr>
    </w:div>
    <w:div w:id="202835428">
      <w:bodyDiv w:val="1"/>
      <w:marLeft w:val="0"/>
      <w:marRight w:val="0"/>
      <w:marTop w:val="0"/>
      <w:marBottom w:val="0"/>
      <w:divBdr>
        <w:top w:val="none" w:sz="0" w:space="0" w:color="auto"/>
        <w:left w:val="none" w:sz="0" w:space="0" w:color="auto"/>
        <w:bottom w:val="none" w:sz="0" w:space="0" w:color="auto"/>
        <w:right w:val="none" w:sz="0" w:space="0" w:color="auto"/>
      </w:divBdr>
    </w:div>
    <w:div w:id="254285253">
      <w:bodyDiv w:val="1"/>
      <w:marLeft w:val="0"/>
      <w:marRight w:val="0"/>
      <w:marTop w:val="0"/>
      <w:marBottom w:val="0"/>
      <w:divBdr>
        <w:top w:val="none" w:sz="0" w:space="0" w:color="auto"/>
        <w:left w:val="none" w:sz="0" w:space="0" w:color="auto"/>
        <w:bottom w:val="none" w:sz="0" w:space="0" w:color="auto"/>
        <w:right w:val="none" w:sz="0" w:space="0" w:color="auto"/>
      </w:divBdr>
    </w:div>
    <w:div w:id="271669425">
      <w:bodyDiv w:val="1"/>
      <w:marLeft w:val="0"/>
      <w:marRight w:val="0"/>
      <w:marTop w:val="0"/>
      <w:marBottom w:val="0"/>
      <w:divBdr>
        <w:top w:val="none" w:sz="0" w:space="0" w:color="auto"/>
        <w:left w:val="none" w:sz="0" w:space="0" w:color="auto"/>
        <w:bottom w:val="none" w:sz="0" w:space="0" w:color="auto"/>
        <w:right w:val="none" w:sz="0" w:space="0" w:color="auto"/>
      </w:divBdr>
    </w:div>
    <w:div w:id="292519190">
      <w:bodyDiv w:val="1"/>
      <w:marLeft w:val="0"/>
      <w:marRight w:val="0"/>
      <w:marTop w:val="0"/>
      <w:marBottom w:val="0"/>
      <w:divBdr>
        <w:top w:val="none" w:sz="0" w:space="0" w:color="auto"/>
        <w:left w:val="none" w:sz="0" w:space="0" w:color="auto"/>
        <w:bottom w:val="none" w:sz="0" w:space="0" w:color="auto"/>
        <w:right w:val="none" w:sz="0" w:space="0" w:color="auto"/>
      </w:divBdr>
    </w:div>
    <w:div w:id="305819748">
      <w:bodyDiv w:val="1"/>
      <w:marLeft w:val="0"/>
      <w:marRight w:val="0"/>
      <w:marTop w:val="0"/>
      <w:marBottom w:val="0"/>
      <w:divBdr>
        <w:top w:val="none" w:sz="0" w:space="0" w:color="auto"/>
        <w:left w:val="none" w:sz="0" w:space="0" w:color="auto"/>
        <w:bottom w:val="none" w:sz="0" w:space="0" w:color="auto"/>
        <w:right w:val="none" w:sz="0" w:space="0" w:color="auto"/>
      </w:divBdr>
    </w:div>
    <w:div w:id="350492909">
      <w:bodyDiv w:val="1"/>
      <w:marLeft w:val="0"/>
      <w:marRight w:val="0"/>
      <w:marTop w:val="0"/>
      <w:marBottom w:val="0"/>
      <w:divBdr>
        <w:top w:val="none" w:sz="0" w:space="0" w:color="auto"/>
        <w:left w:val="none" w:sz="0" w:space="0" w:color="auto"/>
        <w:bottom w:val="none" w:sz="0" w:space="0" w:color="auto"/>
        <w:right w:val="none" w:sz="0" w:space="0" w:color="auto"/>
      </w:divBdr>
    </w:div>
    <w:div w:id="386687963">
      <w:bodyDiv w:val="1"/>
      <w:marLeft w:val="0"/>
      <w:marRight w:val="0"/>
      <w:marTop w:val="0"/>
      <w:marBottom w:val="0"/>
      <w:divBdr>
        <w:top w:val="none" w:sz="0" w:space="0" w:color="auto"/>
        <w:left w:val="none" w:sz="0" w:space="0" w:color="auto"/>
        <w:bottom w:val="none" w:sz="0" w:space="0" w:color="auto"/>
        <w:right w:val="none" w:sz="0" w:space="0" w:color="auto"/>
      </w:divBdr>
    </w:div>
    <w:div w:id="405954109">
      <w:bodyDiv w:val="1"/>
      <w:marLeft w:val="0"/>
      <w:marRight w:val="0"/>
      <w:marTop w:val="0"/>
      <w:marBottom w:val="0"/>
      <w:divBdr>
        <w:top w:val="none" w:sz="0" w:space="0" w:color="auto"/>
        <w:left w:val="none" w:sz="0" w:space="0" w:color="auto"/>
        <w:bottom w:val="none" w:sz="0" w:space="0" w:color="auto"/>
        <w:right w:val="none" w:sz="0" w:space="0" w:color="auto"/>
      </w:divBdr>
    </w:div>
    <w:div w:id="407846663">
      <w:bodyDiv w:val="1"/>
      <w:marLeft w:val="0"/>
      <w:marRight w:val="0"/>
      <w:marTop w:val="0"/>
      <w:marBottom w:val="0"/>
      <w:divBdr>
        <w:top w:val="none" w:sz="0" w:space="0" w:color="auto"/>
        <w:left w:val="none" w:sz="0" w:space="0" w:color="auto"/>
        <w:bottom w:val="none" w:sz="0" w:space="0" w:color="auto"/>
        <w:right w:val="none" w:sz="0" w:space="0" w:color="auto"/>
      </w:divBdr>
    </w:div>
    <w:div w:id="413671857">
      <w:bodyDiv w:val="1"/>
      <w:marLeft w:val="0"/>
      <w:marRight w:val="0"/>
      <w:marTop w:val="0"/>
      <w:marBottom w:val="0"/>
      <w:divBdr>
        <w:top w:val="none" w:sz="0" w:space="0" w:color="auto"/>
        <w:left w:val="none" w:sz="0" w:space="0" w:color="auto"/>
        <w:bottom w:val="none" w:sz="0" w:space="0" w:color="auto"/>
        <w:right w:val="none" w:sz="0" w:space="0" w:color="auto"/>
      </w:divBdr>
    </w:div>
    <w:div w:id="414594344">
      <w:bodyDiv w:val="1"/>
      <w:marLeft w:val="0"/>
      <w:marRight w:val="0"/>
      <w:marTop w:val="0"/>
      <w:marBottom w:val="0"/>
      <w:divBdr>
        <w:top w:val="none" w:sz="0" w:space="0" w:color="auto"/>
        <w:left w:val="none" w:sz="0" w:space="0" w:color="auto"/>
        <w:bottom w:val="none" w:sz="0" w:space="0" w:color="auto"/>
        <w:right w:val="none" w:sz="0" w:space="0" w:color="auto"/>
      </w:divBdr>
    </w:div>
    <w:div w:id="475101569">
      <w:bodyDiv w:val="1"/>
      <w:marLeft w:val="0"/>
      <w:marRight w:val="0"/>
      <w:marTop w:val="0"/>
      <w:marBottom w:val="0"/>
      <w:divBdr>
        <w:top w:val="none" w:sz="0" w:space="0" w:color="auto"/>
        <w:left w:val="none" w:sz="0" w:space="0" w:color="auto"/>
        <w:bottom w:val="none" w:sz="0" w:space="0" w:color="auto"/>
        <w:right w:val="none" w:sz="0" w:space="0" w:color="auto"/>
      </w:divBdr>
    </w:div>
    <w:div w:id="532310047">
      <w:bodyDiv w:val="1"/>
      <w:marLeft w:val="0"/>
      <w:marRight w:val="0"/>
      <w:marTop w:val="0"/>
      <w:marBottom w:val="0"/>
      <w:divBdr>
        <w:top w:val="none" w:sz="0" w:space="0" w:color="auto"/>
        <w:left w:val="none" w:sz="0" w:space="0" w:color="auto"/>
        <w:bottom w:val="none" w:sz="0" w:space="0" w:color="auto"/>
        <w:right w:val="none" w:sz="0" w:space="0" w:color="auto"/>
      </w:divBdr>
    </w:div>
    <w:div w:id="552077834">
      <w:bodyDiv w:val="1"/>
      <w:marLeft w:val="0"/>
      <w:marRight w:val="0"/>
      <w:marTop w:val="0"/>
      <w:marBottom w:val="0"/>
      <w:divBdr>
        <w:top w:val="none" w:sz="0" w:space="0" w:color="auto"/>
        <w:left w:val="none" w:sz="0" w:space="0" w:color="auto"/>
        <w:bottom w:val="none" w:sz="0" w:space="0" w:color="auto"/>
        <w:right w:val="none" w:sz="0" w:space="0" w:color="auto"/>
      </w:divBdr>
    </w:div>
    <w:div w:id="558783960">
      <w:bodyDiv w:val="1"/>
      <w:marLeft w:val="0"/>
      <w:marRight w:val="0"/>
      <w:marTop w:val="0"/>
      <w:marBottom w:val="0"/>
      <w:divBdr>
        <w:top w:val="none" w:sz="0" w:space="0" w:color="auto"/>
        <w:left w:val="none" w:sz="0" w:space="0" w:color="auto"/>
        <w:bottom w:val="none" w:sz="0" w:space="0" w:color="auto"/>
        <w:right w:val="none" w:sz="0" w:space="0" w:color="auto"/>
      </w:divBdr>
    </w:div>
    <w:div w:id="603731396">
      <w:bodyDiv w:val="1"/>
      <w:marLeft w:val="0"/>
      <w:marRight w:val="0"/>
      <w:marTop w:val="0"/>
      <w:marBottom w:val="0"/>
      <w:divBdr>
        <w:top w:val="none" w:sz="0" w:space="0" w:color="auto"/>
        <w:left w:val="none" w:sz="0" w:space="0" w:color="auto"/>
        <w:bottom w:val="none" w:sz="0" w:space="0" w:color="auto"/>
        <w:right w:val="none" w:sz="0" w:space="0" w:color="auto"/>
      </w:divBdr>
    </w:div>
    <w:div w:id="646328192">
      <w:bodyDiv w:val="1"/>
      <w:marLeft w:val="0"/>
      <w:marRight w:val="0"/>
      <w:marTop w:val="0"/>
      <w:marBottom w:val="0"/>
      <w:divBdr>
        <w:top w:val="none" w:sz="0" w:space="0" w:color="auto"/>
        <w:left w:val="none" w:sz="0" w:space="0" w:color="auto"/>
        <w:bottom w:val="none" w:sz="0" w:space="0" w:color="auto"/>
        <w:right w:val="none" w:sz="0" w:space="0" w:color="auto"/>
      </w:divBdr>
    </w:div>
    <w:div w:id="648945806">
      <w:bodyDiv w:val="1"/>
      <w:marLeft w:val="0"/>
      <w:marRight w:val="0"/>
      <w:marTop w:val="0"/>
      <w:marBottom w:val="0"/>
      <w:divBdr>
        <w:top w:val="none" w:sz="0" w:space="0" w:color="auto"/>
        <w:left w:val="none" w:sz="0" w:space="0" w:color="auto"/>
        <w:bottom w:val="none" w:sz="0" w:space="0" w:color="auto"/>
        <w:right w:val="none" w:sz="0" w:space="0" w:color="auto"/>
      </w:divBdr>
    </w:div>
    <w:div w:id="671759764">
      <w:bodyDiv w:val="1"/>
      <w:marLeft w:val="0"/>
      <w:marRight w:val="0"/>
      <w:marTop w:val="0"/>
      <w:marBottom w:val="0"/>
      <w:divBdr>
        <w:top w:val="none" w:sz="0" w:space="0" w:color="auto"/>
        <w:left w:val="none" w:sz="0" w:space="0" w:color="auto"/>
        <w:bottom w:val="none" w:sz="0" w:space="0" w:color="auto"/>
        <w:right w:val="none" w:sz="0" w:space="0" w:color="auto"/>
      </w:divBdr>
    </w:div>
    <w:div w:id="695156923">
      <w:bodyDiv w:val="1"/>
      <w:marLeft w:val="0"/>
      <w:marRight w:val="0"/>
      <w:marTop w:val="0"/>
      <w:marBottom w:val="0"/>
      <w:divBdr>
        <w:top w:val="none" w:sz="0" w:space="0" w:color="auto"/>
        <w:left w:val="none" w:sz="0" w:space="0" w:color="auto"/>
        <w:bottom w:val="none" w:sz="0" w:space="0" w:color="auto"/>
        <w:right w:val="none" w:sz="0" w:space="0" w:color="auto"/>
      </w:divBdr>
    </w:div>
    <w:div w:id="697048401">
      <w:bodyDiv w:val="1"/>
      <w:marLeft w:val="0"/>
      <w:marRight w:val="0"/>
      <w:marTop w:val="0"/>
      <w:marBottom w:val="0"/>
      <w:divBdr>
        <w:top w:val="none" w:sz="0" w:space="0" w:color="auto"/>
        <w:left w:val="none" w:sz="0" w:space="0" w:color="auto"/>
        <w:bottom w:val="none" w:sz="0" w:space="0" w:color="auto"/>
        <w:right w:val="none" w:sz="0" w:space="0" w:color="auto"/>
      </w:divBdr>
    </w:div>
    <w:div w:id="704790537">
      <w:bodyDiv w:val="1"/>
      <w:marLeft w:val="0"/>
      <w:marRight w:val="0"/>
      <w:marTop w:val="0"/>
      <w:marBottom w:val="0"/>
      <w:divBdr>
        <w:top w:val="none" w:sz="0" w:space="0" w:color="auto"/>
        <w:left w:val="none" w:sz="0" w:space="0" w:color="auto"/>
        <w:bottom w:val="none" w:sz="0" w:space="0" w:color="auto"/>
        <w:right w:val="none" w:sz="0" w:space="0" w:color="auto"/>
      </w:divBdr>
    </w:div>
    <w:div w:id="707798905">
      <w:bodyDiv w:val="1"/>
      <w:marLeft w:val="0"/>
      <w:marRight w:val="0"/>
      <w:marTop w:val="0"/>
      <w:marBottom w:val="0"/>
      <w:divBdr>
        <w:top w:val="none" w:sz="0" w:space="0" w:color="auto"/>
        <w:left w:val="none" w:sz="0" w:space="0" w:color="auto"/>
        <w:bottom w:val="none" w:sz="0" w:space="0" w:color="auto"/>
        <w:right w:val="none" w:sz="0" w:space="0" w:color="auto"/>
      </w:divBdr>
    </w:div>
    <w:div w:id="754863292">
      <w:bodyDiv w:val="1"/>
      <w:marLeft w:val="0"/>
      <w:marRight w:val="0"/>
      <w:marTop w:val="0"/>
      <w:marBottom w:val="0"/>
      <w:divBdr>
        <w:top w:val="none" w:sz="0" w:space="0" w:color="auto"/>
        <w:left w:val="none" w:sz="0" w:space="0" w:color="auto"/>
        <w:bottom w:val="none" w:sz="0" w:space="0" w:color="auto"/>
        <w:right w:val="none" w:sz="0" w:space="0" w:color="auto"/>
      </w:divBdr>
    </w:div>
    <w:div w:id="775371518">
      <w:bodyDiv w:val="1"/>
      <w:marLeft w:val="0"/>
      <w:marRight w:val="0"/>
      <w:marTop w:val="0"/>
      <w:marBottom w:val="0"/>
      <w:divBdr>
        <w:top w:val="none" w:sz="0" w:space="0" w:color="auto"/>
        <w:left w:val="none" w:sz="0" w:space="0" w:color="auto"/>
        <w:bottom w:val="none" w:sz="0" w:space="0" w:color="auto"/>
        <w:right w:val="none" w:sz="0" w:space="0" w:color="auto"/>
      </w:divBdr>
    </w:div>
    <w:div w:id="785809354">
      <w:bodyDiv w:val="1"/>
      <w:marLeft w:val="0"/>
      <w:marRight w:val="0"/>
      <w:marTop w:val="0"/>
      <w:marBottom w:val="0"/>
      <w:divBdr>
        <w:top w:val="none" w:sz="0" w:space="0" w:color="auto"/>
        <w:left w:val="none" w:sz="0" w:space="0" w:color="auto"/>
        <w:bottom w:val="none" w:sz="0" w:space="0" w:color="auto"/>
        <w:right w:val="none" w:sz="0" w:space="0" w:color="auto"/>
      </w:divBdr>
      <w:divsChild>
        <w:div w:id="654644507">
          <w:marLeft w:val="432"/>
          <w:marRight w:val="0"/>
          <w:marTop w:val="116"/>
          <w:marBottom w:val="0"/>
          <w:divBdr>
            <w:top w:val="none" w:sz="0" w:space="0" w:color="auto"/>
            <w:left w:val="none" w:sz="0" w:space="0" w:color="auto"/>
            <w:bottom w:val="none" w:sz="0" w:space="0" w:color="auto"/>
            <w:right w:val="none" w:sz="0" w:space="0" w:color="auto"/>
          </w:divBdr>
        </w:div>
      </w:divsChild>
    </w:div>
    <w:div w:id="873923628">
      <w:bodyDiv w:val="1"/>
      <w:marLeft w:val="0"/>
      <w:marRight w:val="0"/>
      <w:marTop w:val="0"/>
      <w:marBottom w:val="0"/>
      <w:divBdr>
        <w:top w:val="none" w:sz="0" w:space="0" w:color="auto"/>
        <w:left w:val="none" w:sz="0" w:space="0" w:color="auto"/>
        <w:bottom w:val="none" w:sz="0" w:space="0" w:color="auto"/>
        <w:right w:val="none" w:sz="0" w:space="0" w:color="auto"/>
      </w:divBdr>
    </w:div>
    <w:div w:id="917981683">
      <w:bodyDiv w:val="1"/>
      <w:marLeft w:val="0"/>
      <w:marRight w:val="0"/>
      <w:marTop w:val="0"/>
      <w:marBottom w:val="0"/>
      <w:divBdr>
        <w:top w:val="none" w:sz="0" w:space="0" w:color="auto"/>
        <w:left w:val="none" w:sz="0" w:space="0" w:color="auto"/>
        <w:bottom w:val="none" w:sz="0" w:space="0" w:color="auto"/>
        <w:right w:val="none" w:sz="0" w:space="0" w:color="auto"/>
      </w:divBdr>
    </w:div>
    <w:div w:id="920915394">
      <w:bodyDiv w:val="1"/>
      <w:marLeft w:val="0"/>
      <w:marRight w:val="0"/>
      <w:marTop w:val="0"/>
      <w:marBottom w:val="0"/>
      <w:divBdr>
        <w:top w:val="none" w:sz="0" w:space="0" w:color="auto"/>
        <w:left w:val="none" w:sz="0" w:space="0" w:color="auto"/>
        <w:bottom w:val="none" w:sz="0" w:space="0" w:color="auto"/>
        <w:right w:val="none" w:sz="0" w:space="0" w:color="auto"/>
      </w:divBdr>
    </w:div>
    <w:div w:id="934245291">
      <w:bodyDiv w:val="1"/>
      <w:marLeft w:val="0"/>
      <w:marRight w:val="0"/>
      <w:marTop w:val="0"/>
      <w:marBottom w:val="0"/>
      <w:divBdr>
        <w:top w:val="none" w:sz="0" w:space="0" w:color="auto"/>
        <w:left w:val="none" w:sz="0" w:space="0" w:color="auto"/>
        <w:bottom w:val="none" w:sz="0" w:space="0" w:color="auto"/>
        <w:right w:val="none" w:sz="0" w:space="0" w:color="auto"/>
      </w:divBdr>
    </w:div>
    <w:div w:id="1002662721">
      <w:bodyDiv w:val="1"/>
      <w:marLeft w:val="0"/>
      <w:marRight w:val="0"/>
      <w:marTop w:val="0"/>
      <w:marBottom w:val="0"/>
      <w:divBdr>
        <w:top w:val="none" w:sz="0" w:space="0" w:color="auto"/>
        <w:left w:val="none" w:sz="0" w:space="0" w:color="auto"/>
        <w:bottom w:val="none" w:sz="0" w:space="0" w:color="auto"/>
        <w:right w:val="none" w:sz="0" w:space="0" w:color="auto"/>
      </w:divBdr>
    </w:div>
    <w:div w:id="1018043230">
      <w:bodyDiv w:val="1"/>
      <w:marLeft w:val="0"/>
      <w:marRight w:val="0"/>
      <w:marTop w:val="0"/>
      <w:marBottom w:val="0"/>
      <w:divBdr>
        <w:top w:val="none" w:sz="0" w:space="0" w:color="auto"/>
        <w:left w:val="none" w:sz="0" w:space="0" w:color="auto"/>
        <w:bottom w:val="none" w:sz="0" w:space="0" w:color="auto"/>
        <w:right w:val="none" w:sz="0" w:space="0" w:color="auto"/>
      </w:divBdr>
    </w:div>
    <w:div w:id="1021316794">
      <w:bodyDiv w:val="1"/>
      <w:marLeft w:val="0"/>
      <w:marRight w:val="0"/>
      <w:marTop w:val="0"/>
      <w:marBottom w:val="0"/>
      <w:divBdr>
        <w:top w:val="none" w:sz="0" w:space="0" w:color="auto"/>
        <w:left w:val="none" w:sz="0" w:space="0" w:color="auto"/>
        <w:bottom w:val="none" w:sz="0" w:space="0" w:color="auto"/>
        <w:right w:val="none" w:sz="0" w:space="0" w:color="auto"/>
      </w:divBdr>
    </w:div>
    <w:div w:id="1088818195">
      <w:bodyDiv w:val="1"/>
      <w:marLeft w:val="0"/>
      <w:marRight w:val="0"/>
      <w:marTop w:val="0"/>
      <w:marBottom w:val="0"/>
      <w:divBdr>
        <w:top w:val="none" w:sz="0" w:space="0" w:color="auto"/>
        <w:left w:val="none" w:sz="0" w:space="0" w:color="auto"/>
        <w:bottom w:val="none" w:sz="0" w:space="0" w:color="auto"/>
        <w:right w:val="none" w:sz="0" w:space="0" w:color="auto"/>
      </w:divBdr>
    </w:div>
    <w:div w:id="1102191297">
      <w:bodyDiv w:val="1"/>
      <w:marLeft w:val="0"/>
      <w:marRight w:val="0"/>
      <w:marTop w:val="0"/>
      <w:marBottom w:val="0"/>
      <w:divBdr>
        <w:top w:val="none" w:sz="0" w:space="0" w:color="auto"/>
        <w:left w:val="none" w:sz="0" w:space="0" w:color="auto"/>
        <w:bottom w:val="none" w:sz="0" w:space="0" w:color="auto"/>
        <w:right w:val="none" w:sz="0" w:space="0" w:color="auto"/>
      </w:divBdr>
    </w:div>
    <w:div w:id="1129666616">
      <w:bodyDiv w:val="1"/>
      <w:marLeft w:val="0"/>
      <w:marRight w:val="0"/>
      <w:marTop w:val="0"/>
      <w:marBottom w:val="0"/>
      <w:divBdr>
        <w:top w:val="none" w:sz="0" w:space="0" w:color="auto"/>
        <w:left w:val="none" w:sz="0" w:space="0" w:color="auto"/>
        <w:bottom w:val="none" w:sz="0" w:space="0" w:color="auto"/>
        <w:right w:val="none" w:sz="0" w:space="0" w:color="auto"/>
      </w:divBdr>
    </w:div>
    <w:div w:id="1145701258">
      <w:bodyDiv w:val="1"/>
      <w:marLeft w:val="0"/>
      <w:marRight w:val="0"/>
      <w:marTop w:val="0"/>
      <w:marBottom w:val="0"/>
      <w:divBdr>
        <w:top w:val="none" w:sz="0" w:space="0" w:color="auto"/>
        <w:left w:val="none" w:sz="0" w:space="0" w:color="auto"/>
        <w:bottom w:val="none" w:sz="0" w:space="0" w:color="auto"/>
        <w:right w:val="none" w:sz="0" w:space="0" w:color="auto"/>
      </w:divBdr>
    </w:div>
    <w:div w:id="1160774407">
      <w:bodyDiv w:val="1"/>
      <w:marLeft w:val="0"/>
      <w:marRight w:val="0"/>
      <w:marTop w:val="0"/>
      <w:marBottom w:val="0"/>
      <w:divBdr>
        <w:top w:val="none" w:sz="0" w:space="0" w:color="auto"/>
        <w:left w:val="none" w:sz="0" w:space="0" w:color="auto"/>
        <w:bottom w:val="none" w:sz="0" w:space="0" w:color="auto"/>
        <w:right w:val="none" w:sz="0" w:space="0" w:color="auto"/>
      </w:divBdr>
    </w:div>
    <w:div w:id="1174493970">
      <w:bodyDiv w:val="1"/>
      <w:marLeft w:val="0"/>
      <w:marRight w:val="0"/>
      <w:marTop w:val="0"/>
      <w:marBottom w:val="0"/>
      <w:divBdr>
        <w:top w:val="none" w:sz="0" w:space="0" w:color="auto"/>
        <w:left w:val="none" w:sz="0" w:space="0" w:color="auto"/>
        <w:bottom w:val="none" w:sz="0" w:space="0" w:color="auto"/>
        <w:right w:val="none" w:sz="0" w:space="0" w:color="auto"/>
      </w:divBdr>
    </w:div>
    <w:div w:id="1179351988">
      <w:bodyDiv w:val="1"/>
      <w:marLeft w:val="0"/>
      <w:marRight w:val="0"/>
      <w:marTop w:val="0"/>
      <w:marBottom w:val="0"/>
      <w:divBdr>
        <w:top w:val="none" w:sz="0" w:space="0" w:color="auto"/>
        <w:left w:val="none" w:sz="0" w:space="0" w:color="auto"/>
        <w:bottom w:val="none" w:sz="0" w:space="0" w:color="auto"/>
        <w:right w:val="none" w:sz="0" w:space="0" w:color="auto"/>
      </w:divBdr>
    </w:div>
    <w:div w:id="1245800690">
      <w:bodyDiv w:val="1"/>
      <w:marLeft w:val="0"/>
      <w:marRight w:val="0"/>
      <w:marTop w:val="0"/>
      <w:marBottom w:val="0"/>
      <w:divBdr>
        <w:top w:val="none" w:sz="0" w:space="0" w:color="auto"/>
        <w:left w:val="none" w:sz="0" w:space="0" w:color="auto"/>
        <w:bottom w:val="none" w:sz="0" w:space="0" w:color="auto"/>
        <w:right w:val="none" w:sz="0" w:space="0" w:color="auto"/>
      </w:divBdr>
    </w:div>
    <w:div w:id="1292057405">
      <w:bodyDiv w:val="1"/>
      <w:marLeft w:val="0"/>
      <w:marRight w:val="0"/>
      <w:marTop w:val="0"/>
      <w:marBottom w:val="0"/>
      <w:divBdr>
        <w:top w:val="none" w:sz="0" w:space="0" w:color="auto"/>
        <w:left w:val="none" w:sz="0" w:space="0" w:color="auto"/>
        <w:bottom w:val="none" w:sz="0" w:space="0" w:color="auto"/>
        <w:right w:val="none" w:sz="0" w:space="0" w:color="auto"/>
      </w:divBdr>
    </w:div>
    <w:div w:id="1310017580">
      <w:bodyDiv w:val="1"/>
      <w:marLeft w:val="0"/>
      <w:marRight w:val="0"/>
      <w:marTop w:val="0"/>
      <w:marBottom w:val="0"/>
      <w:divBdr>
        <w:top w:val="none" w:sz="0" w:space="0" w:color="auto"/>
        <w:left w:val="none" w:sz="0" w:space="0" w:color="auto"/>
        <w:bottom w:val="none" w:sz="0" w:space="0" w:color="auto"/>
        <w:right w:val="none" w:sz="0" w:space="0" w:color="auto"/>
      </w:divBdr>
    </w:div>
    <w:div w:id="1361394948">
      <w:bodyDiv w:val="1"/>
      <w:marLeft w:val="0"/>
      <w:marRight w:val="0"/>
      <w:marTop w:val="0"/>
      <w:marBottom w:val="0"/>
      <w:divBdr>
        <w:top w:val="none" w:sz="0" w:space="0" w:color="auto"/>
        <w:left w:val="none" w:sz="0" w:space="0" w:color="auto"/>
        <w:bottom w:val="none" w:sz="0" w:space="0" w:color="auto"/>
        <w:right w:val="none" w:sz="0" w:space="0" w:color="auto"/>
      </w:divBdr>
    </w:div>
    <w:div w:id="1370061299">
      <w:bodyDiv w:val="1"/>
      <w:marLeft w:val="0"/>
      <w:marRight w:val="0"/>
      <w:marTop w:val="0"/>
      <w:marBottom w:val="0"/>
      <w:divBdr>
        <w:top w:val="none" w:sz="0" w:space="0" w:color="auto"/>
        <w:left w:val="none" w:sz="0" w:space="0" w:color="auto"/>
        <w:bottom w:val="none" w:sz="0" w:space="0" w:color="auto"/>
        <w:right w:val="none" w:sz="0" w:space="0" w:color="auto"/>
      </w:divBdr>
    </w:div>
    <w:div w:id="1379429465">
      <w:bodyDiv w:val="1"/>
      <w:marLeft w:val="0"/>
      <w:marRight w:val="0"/>
      <w:marTop w:val="0"/>
      <w:marBottom w:val="0"/>
      <w:divBdr>
        <w:top w:val="none" w:sz="0" w:space="0" w:color="auto"/>
        <w:left w:val="none" w:sz="0" w:space="0" w:color="auto"/>
        <w:bottom w:val="none" w:sz="0" w:space="0" w:color="auto"/>
        <w:right w:val="none" w:sz="0" w:space="0" w:color="auto"/>
      </w:divBdr>
    </w:div>
    <w:div w:id="1450662257">
      <w:bodyDiv w:val="1"/>
      <w:marLeft w:val="0"/>
      <w:marRight w:val="0"/>
      <w:marTop w:val="0"/>
      <w:marBottom w:val="0"/>
      <w:divBdr>
        <w:top w:val="none" w:sz="0" w:space="0" w:color="auto"/>
        <w:left w:val="none" w:sz="0" w:space="0" w:color="auto"/>
        <w:bottom w:val="none" w:sz="0" w:space="0" w:color="auto"/>
        <w:right w:val="none" w:sz="0" w:space="0" w:color="auto"/>
      </w:divBdr>
    </w:div>
    <w:div w:id="1458255611">
      <w:bodyDiv w:val="1"/>
      <w:marLeft w:val="0"/>
      <w:marRight w:val="0"/>
      <w:marTop w:val="0"/>
      <w:marBottom w:val="0"/>
      <w:divBdr>
        <w:top w:val="none" w:sz="0" w:space="0" w:color="auto"/>
        <w:left w:val="none" w:sz="0" w:space="0" w:color="auto"/>
        <w:bottom w:val="none" w:sz="0" w:space="0" w:color="auto"/>
        <w:right w:val="none" w:sz="0" w:space="0" w:color="auto"/>
      </w:divBdr>
    </w:div>
    <w:div w:id="1503738117">
      <w:bodyDiv w:val="1"/>
      <w:marLeft w:val="0"/>
      <w:marRight w:val="0"/>
      <w:marTop w:val="0"/>
      <w:marBottom w:val="0"/>
      <w:divBdr>
        <w:top w:val="none" w:sz="0" w:space="0" w:color="auto"/>
        <w:left w:val="none" w:sz="0" w:space="0" w:color="auto"/>
        <w:bottom w:val="none" w:sz="0" w:space="0" w:color="auto"/>
        <w:right w:val="none" w:sz="0" w:space="0" w:color="auto"/>
      </w:divBdr>
    </w:div>
    <w:div w:id="1544631141">
      <w:bodyDiv w:val="1"/>
      <w:marLeft w:val="0"/>
      <w:marRight w:val="0"/>
      <w:marTop w:val="0"/>
      <w:marBottom w:val="0"/>
      <w:divBdr>
        <w:top w:val="none" w:sz="0" w:space="0" w:color="auto"/>
        <w:left w:val="none" w:sz="0" w:space="0" w:color="auto"/>
        <w:bottom w:val="none" w:sz="0" w:space="0" w:color="auto"/>
        <w:right w:val="none" w:sz="0" w:space="0" w:color="auto"/>
      </w:divBdr>
    </w:div>
    <w:div w:id="1566716857">
      <w:bodyDiv w:val="1"/>
      <w:marLeft w:val="0"/>
      <w:marRight w:val="0"/>
      <w:marTop w:val="0"/>
      <w:marBottom w:val="0"/>
      <w:divBdr>
        <w:top w:val="none" w:sz="0" w:space="0" w:color="auto"/>
        <w:left w:val="none" w:sz="0" w:space="0" w:color="auto"/>
        <w:bottom w:val="none" w:sz="0" w:space="0" w:color="auto"/>
        <w:right w:val="none" w:sz="0" w:space="0" w:color="auto"/>
      </w:divBdr>
    </w:div>
    <w:div w:id="1588035114">
      <w:bodyDiv w:val="1"/>
      <w:marLeft w:val="0"/>
      <w:marRight w:val="0"/>
      <w:marTop w:val="0"/>
      <w:marBottom w:val="0"/>
      <w:divBdr>
        <w:top w:val="none" w:sz="0" w:space="0" w:color="auto"/>
        <w:left w:val="none" w:sz="0" w:space="0" w:color="auto"/>
        <w:bottom w:val="none" w:sz="0" w:space="0" w:color="auto"/>
        <w:right w:val="none" w:sz="0" w:space="0" w:color="auto"/>
      </w:divBdr>
    </w:div>
    <w:div w:id="1591888090">
      <w:bodyDiv w:val="1"/>
      <w:marLeft w:val="0"/>
      <w:marRight w:val="0"/>
      <w:marTop w:val="0"/>
      <w:marBottom w:val="0"/>
      <w:divBdr>
        <w:top w:val="none" w:sz="0" w:space="0" w:color="auto"/>
        <w:left w:val="none" w:sz="0" w:space="0" w:color="auto"/>
        <w:bottom w:val="none" w:sz="0" w:space="0" w:color="auto"/>
        <w:right w:val="none" w:sz="0" w:space="0" w:color="auto"/>
      </w:divBdr>
    </w:div>
    <w:div w:id="1631009168">
      <w:bodyDiv w:val="1"/>
      <w:marLeft w:val="0"/>
      <w:marRight w:val="0"/>
      <w:marTop w:val="0"/>
      <w:marBottom w:val="0"/>
      <w:divBdr>
        <w:top w:val="none" w:sz="0" w:space="0" w:color="auto"/>
        <w:left w:val="none" w:sz="0" w:space="0" w:color="auto"/>
        <w:bottom w:val="none" w:sz="0" w:space="0" w:color="auto"/>
        <w:right w:val="none" w:sz="0" w:space="0" w:color="auto"/>
      </w:divBdr>
    </w:div>
    <w:div w:id="1641837232">
      <w:bodyDiv w:val="1"/>
      <w:marLeft w:val="0"/>
      <w:marRight w:val="0"/>
      <w:marTop w:val="0"/>
      <w:marBottom w:val="0"/>
      <w:divBdr>
        <w:top w:val="none" w:sz="0" w:space="0" w:color="auto"/>
        <w:left w:val="none" w:sz="0" w:space="0" w:color="auto"/>
        <w:bottom w:val="none" w:sz="0" w:space="0" w:color="auto"/>
        <w:right w:val="none" w:sz="0" w:space="0" w:color="auto"/>
      </w:divBdr>
    </w:div>
    <w:div w:id="1687290065">
      <w:bodyDiv w:val="1"/>
      <w:marLeft w:val="0"/>
      <w:marRight w:val="0"/>
      <w:marTop w:val="0"/>
      <w:marBottom w:val="0"/>
      <w:divBdr>
        <w:top w:val="none" w:sz="0" w:space="0" w:color="auto"/>
        <w:left w:val="none" w:sz="0" w:space="0" w:color="auto"/>
        <w:bottom w:val="none" w:sz="0" w:space="0" w:color="auto"/>
        <w:right w:val="none" w:sz="0" w:space="0" w:color="auto"/>
      </w:divBdr>
    </w:div>
    <w:div w:id="1698307767">
      <w:bodyDiv w:val="1"/>
      <w:marLeft w:val="0"/>
      <w:marRight w:val="0"/>
      <w:marTop w:val="0"/>
      <w:marBottom w:val="0"/>
      <w:divBdr>
        <w:top w:val="none" w:sz="0" w:space="0" w:color="auto"/>
        <w:left w:val="none" w:sz="0" w:space="0" w:color="auto"/>
        <w:bottom w:val="none" w:sz="0" w:space="0" w:color="auto"/>
        <w:right w:val="none" w:sz="0" w:space="0" w:color="auto"/>
      </w:divBdr>
    </w:div>
    <w:div w:id="1764256475">
      <w:bodyDiv w:val="1"/>
      <w:marLeft w:val="0"/>
      <w:marRight w:val="0"/>
      <w:marTop w:val="0"/>
      <w:marBottom w:val="0"/>
      <w:divBdr>
        <w:top w:val="none" w:sz="0" w:space="0" w:color="auto"/>
        <w:left w:val="none" w:sz="0" w:space="0" w:color="auto"/>
        <w:bottom w:val="none" w:sz="0" w:space="0" w:color="auto"/>
        <w:right w:val="none" w:sz="0" w:space="0" w:color="auto"/>
      </w:divBdr>
    </w:div>
    <w:div w:id="1815297920">
      <w:bodyDiv w:val="1"/>
      <w:marLeft w:val="0"/>
      <w:marRight w:val="0"/>
      <w:marTop w:val="0"/>
      <w:marBottom w:val="0"/>
      <w:divBdr>
        <w:top w:val="none" w:sz="0" w:space="0" w:color="auto"/>
        <w:left w:val="none" w:sz="0" w:space="0" w:color="auto"/>
        <w:bottom w:val="none" w:sz="0" w:space="0" w:color="auto"/>
        <w:right w:val="none" w:sz="0" w:space="0" w:color="auto"/>
      </w:divBdr>
    </w:div>
    <w:div w:id="1861897395">
      <w:bodyDiv w:val="1"/>
      <w:marLeft w:val="0"/>
      <w:marRight w:val="0"/>
      <w:marTop w:val="0"/>
      <w:marBottom w:val="0"/>
      <w:divBdr>
        <w:top w:val="none" w:sz="0" w:space="0" w:color="auto"/>
        <w:left w:val="none" w:sz="0" w:space="0" w:color="auto"/>
        <w:bottom w:val="none" w:sz="0" w:space="0" w:color="auto"/>
        <w:right w:val="none" w:sz="0" w:space="0" w:color="auto"/>
      </w:divBdr>
    </w:div>
    <w:div w:id="1937589376">
      <w:bodyDiv w:val="1"/>
      <w:marLeft w:val="0"/>
      <w:marRight w:val="0"/>
      <w:marTop w:val="0"/>
      <w:marBottom w:val="0"/>
      <w:divBdr>
        <w:top w:val="none" w:sz="0" w:space="0" w:color="auto"/>
        <w:left w:val="none" w:sz="0" w:space="0" w:color="auto"/>
        <w:bottom w:val="none" w:sz="0" w:space="0" w:color="auto"/>
        <w:right w:val="none" w:sz="0" w:space="0" w:color="auto"/>
      </w:divBdr>
    </w:div>
    <w:div w:id="1964193190">
      <w:bodyDiv w:val="1"/>
      <w:marLeft w:val="0"/>
      <w:marRight w:val="0"/>
      <w:marTop w:val="0"/>
      <w:marBottom w:val="0"/>
      <w:divBdr>
        <w:top w:val="none" w:sz="0" w:space="0" w:color="auto"/>
        <w:left w:val="none" w:sz="0" w:space="0" w:color="auto"/>
        <w:bottom w:val="none" w:sz="0" w:space="0" w:color="auto"/>
        <w:right w:val="none" w:sz="0" w:space="0" w:color="auto"/>
      </w:divBdr>
    </w:div>
    <w:div w:id="2004963648">
      <w:bodyDiv w:val="1"/>
      <w:marLeft w:val="0"/>
      <w:marRight w:val="0"/>
      <w:marTop w:val="0"/>
      <w:marBottom w:val="0"/>
      <w:divBdr>
        <w:top w:val="none" w:sz="0" w:space="0" w:color="auto"/>
        <w:left w:val="none" w:sz="0" w:space="0" w:color="auto"/>
        <w:bottom w:val="none" w:sz="0" w:space="0" w:color="auto"/>
        <w:right w:val="none" w:sz="0" w:space="0" w:color="auto"/>
      </w:divBdr>
    </w:div>
    <w:div w:id="2006088074">
      <w:bodyDiv w:val="1"/>
      <w:marLeft w:val="0"/>
      <w:marRight w:val="0"/>
      <w:marTop w:val="0"/>
      <w:marBottom w:val="0"/>
      <w:divBdr>
        <w:top w:val="none" w:sz="0" w:space="0" w:color="auto"/>
        <w:left w:val="none" w:sz="0" w:space="0" w:color="auto"/>
        <w:bottom w:val="none" w:sz="0" w:space="0" w:color="auto"/>
        <w:right w:val="none" w:sz="0" w:space="0" w:color="auto"/>
      </w:divBdr>
    </w:div>
    <w:div w:id="2016419837">
      <w:bodyDiv w:val="1"/>
      <w:marLeft w:val="0"/>
      <w:marRight w:val="0"/>
      <w:marTop w:val="0"/>
      <w:marBottom w:val="0"/>
      <w:divBdr>
        <w:top w:val="none" w:sz="0" w:space="0" w:color="auto"/>
        <w:left w:val="none" w:sz="0" w:space="0" w:color="auto"/>
        <w:bottom w:val="none" w:sz="0" w:space="0" w:color="auto"/>
        <w:right w:val="none" w:sz="0" w:space="0" w:color="auto"/>
      </w:divBdr>
    </w:div>
    <w:div w:id="2057968711">
      <w:bodyDiv w:val="1"/>
      <w:marLeft w:val="0"/>
      <w:marRight w:val="0"/>
      <w:marTop w:val="0"/>
      <w:marBottom w:val="0"/>
      <w:divBdr>
        <w:top w:val="none" w:sz="0" w:space="0" w:color="auto"/>
        <w:left w:val="none" w:sz="0" w:space="0" w:color="auto"/>
        <w:bottom w:val="none" w:sz="0" w:space="0" w:color="auto"/>
        <w:right w:val="none" w:sz="0" w:space="0" w:color="auto"/>
      </w:divBdr>
    </w:div>
    <w:div w:id="213879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image" Target="media/image8.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xml"/><Relationship Id="rId34"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5.xml"/><Relationship Id="rId33" Type="http://schemas.openxmlformats.org/officeDocument/2006/relationships/image" Target="media/image12.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png"/><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7.png"/><Relationship Id="rId32" Type="http://schemas.openxmlformats.org/officeDocument/2006/relationships/image" Target="media/image11.png"/><Relationship Id="rId37" Type="http://schemas.openxmlformats.org/officeDocument/2006/relationships/image" Target="cid:image001.png@01D1CD31.D27DB3C0"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6.png"/><Relationship Id="rId28" Type="http://schemas.openxmlformats.org/officeDocument/2006/relationships/footer" Target="footer6.xml"/><Relationship Id="rId36" Type="http://schemas.openxmlformats.org/officeDocument/2006/relationships/image" Target="media/image14.png"/><Relationship Id="rId10" Type="http://schemas.openxmlformats.org/officeDocument/2006/relationships/header" Target="header1.xml"/><Relationship Id="rId19" Type="http://schemas.openxmlformats.org/officeDocument/2006/relationships/hyperlink" Target="http://europa.eu.int/citizensrights/signpost/about/index_en.htm" TargetMode="External"/><Relationship Id="rId31"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5.png"/><Relationship Id="rId27" Type="http://schemas.openxmlformats.org/officeDocument/2006/relationships/image" Target="media/image9.png"/><Relationship Id="rId30" Type="http://schemas.openxmlformats.org/officeDocument/2006/relationships/footer" Target="footer8.xml"/><Relationship Id="rId35" Type="http://schemas.openxmlformats.org/officeDocument/2006/relationships/footer" Target="footer9.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Y11S1ES\Desktop\BACK%20UP\Ismeri\Rete\Progetti\Valutazione\2016_CSR_DG%20Regio-Empl\5_TASK_2\0_MAPPING\0_COMPLETE_MAPPING\CSR%20per%20paes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437900038380871"/>
          <c:y val="5.3516740064530478E-2"/>
          <c:w val="0.52683630343531518"/>
          <c:h val="0.82572843410342189"/>
        </c:manualLayout>
      </c:layout>
      <c:scatterChart>
        <c:scatterStyle val="lineMarker"/>
        <c:varyColors val="0"/>
        <c:ser>
          <c:idx val="0"/>
          <c:order val="0"/>
          <c:tx>
            <c:strRef>
              <c:f>Foglio2!$A$7</c:f>
              <c:strCache>
                <c:ptCount val="1"/>
                <c:pt idx="0">
                  <c:v>EU15 CSR</c:v>
                </c:pt>
              </c:strCache>
            </c:strRef>
          </c:tx>
          <c:marker>
            <c:symbol val="circle"/>
            <c:size val="5"/>
            <c:spPr>
              <a:solidFill>
                <a:schemeClr val="accent1"/>
              </a:solidFill>
              <a:ln>
                <a:solidFill>
                  <a:schemeClr val="accent1"/>
                </a:solidFill>
              </a:ln>
            </c:spPr>
          </c:marker>
          <c:dLbls>
            <c:dLbl>
              <c:idx val="0"/>
              <c:layout>
                <c:manualLayout>
                  <c:x val="-1.4130599506043391E-3"/>
                  <c:y val="-2.6267442310696446E-2"/>
                </c:manualLayout>
              </c:layout>
              <c:showLegendKey val="0"/>
              <c:showVal val="1"/>
              <c:showCatName val="0"/>
              <c:showSerName val="0"/>
              <c:showPercent val="0"/>
              <c:showBubbleSize val="0"/>
            </c:dLbl>
            <c:dLbl>
              <c:idx val="1"/>
              <c:layout>
                <c:manualLayout>
                  <c:x val="-2.4769994993340378E-3"/>
                  <c:y val="2.9674125364334222E-2"/>
                </c:manualLayout>
              </c:layout>
              <c:showLegendKey val="0"/>
              <c:showVal val="1"/>
              <c:showCatName val="0"/>
              <c:showSerName val="0"/>
              <c:showPercent val="0"/>
              <c:showBubbleSize val="0"/>
            </c:dLbl>
            <c:dLbl>
              <c:idx val="2"/>
              <c:layout>
                <c:manualLayout>
                  <c:x val="0"/>
                  <c:y val="-3.8152446897001077E-2"/>
                </c:manualLayout>
              </c:layout>
              <c:showLegendKey val="0"/>
              <c:showVal val="1"/>
              <c:showCatName val="0"/>
              <c:showSerName val="0"/>
              <c:showPercent val="0"/>
              <c:showBubbleSize val="0"/>
            </c:dLbl>
            <c:showLegendKey val="0"/>
            <c:showVal val="1"/>
            <c:showCatName val="0"/>
            <c:showSerName val="0"/>
            <c:showPercent val="0"/>
            <c:showBubbleSize val="0"/>
            <c:showLeaderLines val="0"/>
          </c:dLbls>
          <c:xVal>
            <c:numRef>
              <c:f>Foglio2!$B$2:$E$2</c:f>
              <c:numCache>
                <c:formatCode>General</c:formatCode>
                <c:ptCount val="4"/>
                <c:pt idx="0">
                  <c:v>2012</c:v>
                </c:pt>
                <c:pt idx="1">
                  <c:v>2013</c:v>
                </c:pt>
                <c:pt idx="2">
                  <c:v>2014</c:v>
                </c:pt>
                <c:pt idx="3">
                  <c:v>2015</c:v>
                </c:pt>
              </c:numCache>
            </c:numRef>
          </c:xVal>
          <c:yVal>
            <c:numRef>
              <c:f>Foglio2!$B$7:$E$7</c:f>
              <c:numCache>
                <c:formatCode>General</c:formatCode>
                <c:ptCount val="4"/>
                <c:pt idx="0">
                  <c:v>67</c:v>
                </c:pt>
                <c:pt idx="1">
                  <c:v>67</c:v>
                </c:pt>
                <c:pt idx="2">
                  <c:v>80</c:v>
                </c:pt>
                <c:pt idx="3">
                  <c:v>51</c:v>
                </c:pt>
              </c:numCache>
            </c:numRef>
          </c:yVal>
          <c:smooth val="0"/>
        </c:ser>
        <c:ser>
          <c:idx val="1"/>
          <c:order val="1"/>
          <c:tx>
            <c:strRef>
              <c:f>Foglio2!$A$8</c:f>
              <c:strCache>
                <c:ptCount val="1"/>
                <c:pt idx="0">
                  <c:v>EU15 CR/MoU</c:v>
                </c:pt>
              </c:strCache>
            </c:strRef>
          </c:tx>
          <c:spPr>
            <a:ln w="19050">
              <a:solidFill>
                <a:schemeClr val="accent1"/>
              </a:solidFill>
              <a:prstDash val="sysDash"/>
            </a:ln>
          </c:spPr>
          <c:marker>
            <c:symbol val="circle"/>
            <c:size val="5"/>
            <c:spPr>
              <a:solidFill>
                <a:schemeClr val="accent1"/>
              </a:solidFill>
              <a:ln>
                <a:solidFill>
                  <a:schemeClr val="accent1"/>
                </a:solidFill>
              </a:ln>
            </c:spPr>
          </c:marker>
          <c:dLbls>
            <c:showLegendKey val="0"/>
            <c:showVal val="1"/>
            <c:showCatName val="0"/>
            <c:showSerName val="0"/>
            <c:showPercent val="0"/>
            <c:showBubbleSize val="0"/>
            <c:showLeaderLines val="0"/>
          </c:dLbls>
          <c:xVal>
            <c:numRef>
              <c:f>Foglio2!$B$2:$E$2</c:f>
              <c:numCache>
                <c:formatCode>General</c:formatCode>
                <c:ptCount val="4"/>
                <c:pt idx="0">
                  <c:v>2012</c:v>
                </c:pt>
                <c:pt idx="1">
                  <c:v>2013</c:v>
                </c:pt>
                <c:pt idx="2">
                  <c:v>2014</c:v>
                </c:pt>
                <c:pt idx="3">
                  <c:v>2015</c:v>
                </c:pt>
              </c:numCache>
            </c:numRef>
          </c:xVal>
          <c:yVal>
            <c:numRef>
              <c:f>Foglio2!$B$8:$E$8</c:f>
              <c:numCache>
                <c:formatCode>General</c:formatCode>
                <c:ptCount val="4"/>
                <c:pt idx="0">
                  <c:v>61</c:v>
                </c:pt>
                <c:pt idx="1">
                  <c:v>56</c:v>
                </c:pt>
                <c:pt idx="2">
                  <c:v>51</c:v>
                </c:pt>
                <c:pt idx="3">
                  <c:v>67</c:v>
                </c:pt>
              </c:numCache>
            </c:numRef>
          </c:yVal>
          <c:smooth val="0"/>
        </c:ser>
        <c:ser>
          <c:idx val="2"/>
          <c:order val="2"/>
          <c:tx>
            <c:strRef>
              <c:f>Foglio2!$A$9</c:f>
              <c:strCache>
                <c:ptCount val="1"/>
                <c:pt idx="0">
                  <c:v>EU13 CSR</c:v>
                </c:pt>
              </c:strCache>
            </c:strRef>
          </c:tx>
          <c:spPr>
            <a:ln>
              <a:solidFill>
                <a:schemeClr val="accent2"/>
              </a:solidFill>
            </a:ln>
          </c:spPr>
          <c:marker>
            <c:symbol val="circle"/>
            <c:size val="5"/>
            <c:spPr>
              <a:solidFill>
                <a:schemeClr val="accent2"/>
              </a:solidFill>
              <a:ln>
                <a:solidFill>
                  <a:schemeClr val="accent2"/>
                </a:solidFill>
              </a:ln>
            </c:spPr>
          </c:marker>
          <c:dLbls>
            <c:dLbl>
              <c:idx val="0"/>
              <c:layout>
                <c:manualLayout>
                  <c:x val="-2.4769994993340378E-3"/>
                  <c:y val="-4.2391607663334649E-2"/>
                </c:manualLayout>
              </c:layout>
              <c:showLegendKey val="0"/>
              <c:showVal val="1"/>
              <c:showCatName val="0"/>
              <c:showSerName val="0"/>
              <c:showPercent val="0"/>
              <c:showBubbleSize val="0"/>
            </c:dLbl>
            <c:dLbl>
              <c:idx val="1"/>
              <c:layout>
                <c:manualLayout>
                  <c:x val="0"/>
                  <c:y val="-4.3224007226237184E-2"/>
                </c:manualLayout>
              </c:layout>
              <c:showLegendKey val="0"/>
              <c:showVal val="1"/>
              <c:showCatName val="0"/>
              <c:showSerName val="0"/>
              <c:showPercent val="0"/>
              <c:showBubbleSize val="0"/>
            </c:dLbl>
            <c:dLbl>
              <c:idx val="3"/>
              <c:layout>
                <c:manualLayout>
                  <c:x val="0"/>
                  <c:y val="5.784280496613142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xVal>
            <c:numRef>
              <c:f>Foglio2!$B$2:$E$2</c:f>
              <c:numCache>
                <c:formatCode>General</c:formatCode>
                <c:ptCount val="4"/>
                <c:pt idx="0">
                  <c:v>2012</c:v>
                </c:pt>
                <c:pt idx="1">
                  <c:v>2013</c:v>
                </c:pt>
                <c:pt idx="2">
                  <c:v>2014</c:v>
                </c:pt>
                <c:pt idx="3">
                  <c:v>2015</c:v>
                </c:pt>
              </c:numCache>
            </c:numRef>
          </c:xVal>
          <c:yVal>
            <c:numRef>
              <c:f>Foglio2!$B$9:$E$9</c:f>
              <c:numCache>
                <c:formatCode>General</c:formatCode>
                <c:ptCount val="4"/>
                <c:pt idx="0">
                  <c:v>69</c:v>
                </c:pt>
                <c:pt idx="1">
                  <c:v>74</c:v>
                </c:pt>
                <c:pt idx="2">
                  <c:v>77</c:v>
                </c:pt>
                <c:pt idx="3">
                  <c:v>50</c:v>
                </c:pt>
              </c:numCache>
            </c:numRef>
          </c:yVal>
          <c:smooth val="0"/>
        </c:ser>
        <c:ser>
          <c:idx val="3"/>
          <c:order val="3"/>
          <c:tx>
            <c:strRef>
              <c:f>Foglio2!$A$10</c:f>
              <c:strCache>
                <c:ptCount val="1"/>
                <c:pt idx="0">
                  <c:v>EU13 CR/MoU</c:v>
                </c:pt>
              </c:strCache>
            </c:strRef>
          </c:tx>
          <c:spPr>
            <a:ln w="19050">
              <a:solidFill>
                <a:schemeClr val="accent2"/>
              </a:solidFill>
              <a:prstDash val="sysDash"/>
            </a:ln>
          </c:spPr>
          <c:marker>
            <c:symbol val="circle"/>
            <c:size val="5"/>
            <c:spPr>
              <a:solidFill>
                <a:schemeClr val="accent2"/>
              </a:solidFill>
              <a:ln>
                <a:solidFill>
                  <a:schemeClr val="accent2"/>
                </a:solidFill>
              </a:ln>
            </c:spPr>
          </c:marker>
          <c:dLbls>
            <c:dLbl>
              <c:idx val="1"/>
              <c:layout>
                <c:manualLayout>
                  <c:x val="-9.9079979973361772E-3"/>
                  <c:y val="-2.5434964598000796E-2"/>
                </c:manualLayout>
              </c:layout>
              <c:showLegendKey val="0"/>
              <c:showVal val="1"/>
              <c:showCatName val="0"/>
              <c:showSerName val="0"/>
              <c:showPercent val="0"/>
              <c:showBubbleSize val="0"/>
            </c:dLbl>
            <c:showLegendKey val="0"/>
            <c:showVal val="1"/>
            <c:showCatName val="0"/>
            <c:showSerName val="0"/>
            <c:showPercent val="0"/>
            <c:showBubbleSize val="0"/>
            <c:showLeaderLines val="0"/>
          </c:dLbls>
          <c:xVal>
            <c:numRef>
              <c:f>Foglio2!$B$2:$E$2</c:f>
              <c:numCache>
                <c:formatCode>General</c:formatCode>
                <c:ptCount val="4"/>
                <c:pt idx="0">
                  <c:v>2012</c:v>
                </c:pt>
                <c:pt idx="1">
                  <c:v>2013</c:v>
                </c:pt>
                <c:pt idx="2">
                  <c:v>2014</c:v>
                </c:pt>
                <c:pt idx="3">
                  <c:v>2015</c:v>
                </c:pt>
              </c:numCache>
            </c:numRef>
          </c:xVal>
          <c:yVal>
            <c:numRef>
              <c:f>Foglio2!$B$10:$E$10</c:f>
              <c:numCache>
                <c:formatCode>General</c:formatCode>
                <c:ptCount val="4"/>
                <c:pt idx="0">
                  <c:v>64</c:v>
                </c:pt>
                <c:pt idx="1">
                  <c:v>69</c:v>
                </c:pt>
                <c:pt idx="2">
                  <c:v>48</c:v>
                </c:pt>
                <c:pt idx="3">
                  <c:v>88</c:v>
                </c:pt>
              </c:numCache>
            </c:numRef>
          </c:yVal>
          <c:smooth val="0"/>
        </c:ser>
        <c:dLbls>
          <c:showLegendKey val="0"/>
          <c:showVal val="0"/>
          <c:showCatName val="0"/>
          <c:showSerName val="0"/>
          <c:showPercent val="0"/>
          <c:showBubbleSize val="0"/>
        </c:dLbls>
        <c:axId val="200750976"/>
        <c:axId val="215782528"/>
      </c:scatterChart>
      <c:valAx>
        <c:axId val="200750976"/>
        <c:scaling>
          <c:orientation val="minMax"/>
          <c:max val="2015"/>
          <c:min val="2012"/>
        </c:scaling>
        <c:delete val="0"/>
        <c:axPos val="b"/>
        <c:numFmt formatCode="General" sourceLinked="1"/>
        <c:majorTickMark val="out"/>
        <c:minorTickMark val="none"/>
        <c:tickLblPos val="nextTo"/>
        <c:crossAx val="215782528"/>
        <c:crosses val="autoZero"/>
        <c:crossBetween val="midCat"/>
        <c:majorUnit val="1"/>
      </c:valAx>
      <c:valAx>
        <c:axId val="215782528"/>
        <c:scaling>
          <c:orientation val="minMax"/>
          <c:max val="100"/>
          <c:min val="40"/>
        </c:scaling>
        <c:delete val="0"/>
        <c:axPos val="l"/>
        <c:majorGridlines>
          <c:spPr>
            <a:ln>
              <a:prstDash val="sysDash"/>
            </a:ln>
          </c:spPr>
        </c:majorGridlines>
        <c:numFmt formatCode="General" sourceLinked="1"/>
        <c:majorTickMark val="out"/>
        <c:minorTickMark val="none"/>
        <c:tickLblPos val="nextTo"/>
        <c:crossAx val="200750976"/>
        <c:crosses val="autoZero"/>
        <c:crossBetween val="midCat"/>
        <c:majorUnit val="20"/>
      </c:valAx>
    </c:plotArea>
    <c:legend>
      <c:legendPos val="r"/>
      <c:layout>
        <c:manualLayout>
          <c:xMode val="edge"/>
          <c:yMode val="edge"/>
          <c:x val="0.70199157890143171"/>
          <c:y val="0.21330979496845329"/>
          <c:w val="0.28318642410646838"/>
          <c:h val="0.31060884760415786"/>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9BBB1-FD3A-4DA7-A0DB-6612A7ED2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127</Pages>
  <Words>47237</Words>
  <Characters>262169</Characters>
  <Application>Microsoft Office Word</Application>
  <DocSecurity>0</DocSecurity>
  <Lines>3972</Lines>
  <Paragraphs>1085</Paragraphs>
  <ScaleCrop>false</ScaleCrop>
  <Company/>
  <LinksUpToDate>false</LinksUpToDate>
  <CharactersWithSpaces>308321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2017-09-29T08:52:00Z</dcterms:created>
  <dcterms:modified xsi:type="dcterms:W3CDTF">2017-09-29T08:52:00Z</dcterms:modified>
</cp:coreProperties>
</file>