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3D" w:rsidRPr="00134F5B" w:rsidRDefault="00137C3D" w:rsidP="009F0E08">
      <w:pPr>
        <w:jc w:val="center"/>
        <w:rPr>
          <w:b/>
          <w:sz w:val="24"/>
        </w:rPr>
      </w:pPr>
      <w:r w:rsidRPr="003F5909">
        <w:rPr>
          <w:b/>
          <w:sz w:val="24"/>
        </w:rPr>
        <w:t xml:space="preserve">Decommitment methodology (n+3) and process in 2014 </w:t>
      </w:r>
      <w:r w:rsidR="0088252D" w:rsidRPr="003F5909">
        <w:rPr>
          <w:b/>
          <w:sz w:val="24"/>
        </w:rPr>
        <w:t>–</w:t>
      </w:r>
      <w:r w:rsidRPr="003F5909">
        <w:rPr>
          <w:b/>
          <w:sz w:val="24"/>
        </w:rPr>
        <w:t xml:space="preserve"> 2020</w:t>
      </w:r>
      <w:r w:rsidR="003361D3" w:rsidRPr="003F5909">
        <w:rPr>
          <w:b/>
          <w:sz w:val="24"/>
        </w:rPr>
        <w:t xml:space="preserve"> - Update</w:t>
      </w:r>
    </w:p>
    <w:p w:rsidR="00286A08" w:rsidRPr="00286A08" w:rsidRDefault="00286A08" w:rsidP="00286A08">
      <w:pPr>
        <w:pBdr>
          <w:top w:val="single" w:sz="4" w:space="1" w:color="auto"/>
          <w:left w:val="single" w:sz="4" w:space="4" w:color="auto"/>
          <w:bottom w:val="single" w:sz="4" w:space="1" w:color="auto"/>
          <w:right w:val="single" w:sz="4" w:space="4" w:color="auto"/>
        </w:pBdr>
        <w:spacing w:after="0"/>
        <w:jc w:val="both"/>
        <w:rPr>
          <w:i/>
          <w:iCs/>
        </w:rPr>
      </w:pPr>
      <w:r w:rsidRPr="00286A08">
        <w:rPr>
          <w:i/>
          <w:iCs/>
        </w:rPr>
        <w:t xml:space="preserve"> </w:t>
      </w:r>
      <w:r w:rsidRPr="00286A08">
        <w:rPr>
          <w:b/>
          <w:bCs/>
          <w:i/>
          <w:iCs/>
        </w:rPr>
        <w:t xml:space="preserve">DISCLAIMER </w:t>
      </w:r>
    </w:p>
    <w:p w:rsidR="00286A08" w:rsidRDefault="00286A08" w:rsidP="0090260E">
      <w:pPr>
        <w:pBdr>
          <w:top w:val="single" w:sz="4" w:space="1" w:color="auto"/>
          <w:left w:val="single" w:sz="4" w:space="4" w:color="auto"/>
          <w:bottom w:val="single" w:sz="4" w:space="1" w:color="auto"/>
          <w:right w:val="single" w:sz="4" w:space="4" w:color="auto"/>
        </w:pBdr>
        <w:spacing w:line="240" w:lineRule="auto"/>
        <w:jc w:val="both"/>
        <w:rPr>
          <w:b/>
          <w:bCs/>
          <w:i/>
          <w:iCs/>
        </w:rPr>
      </w:pPr>
      <w:r w:rsidRPr="00286A08">
        <w:rPr>
          <w:b/>
          <w:bCs/>
          <w:i/>
          <w:iCs/>
        </w:rPr>
        <w:t>“</w:t>
      </w:r>
      <w:r w:rsidRPr="00286A08">
        <w:rPr>
          <w:i/>
          <w:iCs/>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sidR="00704C9D">
        <w:rPr>
          <w:b/>
          <w:bCs/>
          <w:i/>
          <w:iCs/>
        </w:rPr>
        <w:t>”</w:t>
      </w:r>
    </w:p>
    <w:p w:rsidR="001C1BFC" w:rsidRPr="00BA43F8" w:rsidRDefault="003361D3" w:rsidP="00A362BE">
      <w:pPr>
        <w:spacing w:before="360"/>
        <w:jc w:val="both"/>
      </w:pPr>
      <w:r w:rsidRPr="00BA43F8">
        <w:t>Following the discussions in the EGESIF of 13 July and 18 October 2017 and after having carefully considered Member States' observations on the decommi</w:t>
      </w:r>
      <w:r w:rsidR="00E6646C" w:rsidRPr="00BA43F8">
        <w:t>t</w:t>
      </w:r>
      <w:r w:rsidRPr="00BA43F8">
        <w:t xml:space="preserve">ment methodology, it has been decided to update the methodology for calculating the </w:t>
      </w:r>
      <w:r w:rsidR="00C224E7" w:rsidRPr="00BA43F8">
        <w:rPr>
          <w:b/>
        </w:rPr>
        <w:t>amount to decommit for each operational programme</w:t>
      </w:r>
      <w:r w:rsidR="00683A74" w:rsidRPr="00BA43F8">
        <w:rPr>
          <w:b/>
        </w:rPr>
        <w:t>. The aim of the revised approach is on the one hand</w:t>
      </w:r>
      <w:r w:rsidRPr="00BA43F8">
        <w:t xml:space="preserve"> to provide greate</w:t>
      </w:r>
      <w:r w:rsidR="00E6646C" w:rsidRPr="00BA43F8">
        <w:t>r</w:t>
      </w:r>
      <w:r w:rsidRPr="00BA43F8">
        <w:t xml:space="preserve"> flexibility </w:t>
      </w:r>
      <w:r w:rsidRPr="00BA43F8">
        <w:rPr>
          <w:b/>
        </w:rPr>
        <w:t>at the level of the operational programme</w:t>
      </w:r>
      <w:r w:rsidR="001E298D" w:rsidRPr="00BA43F8">
        <w:t xml:space="preserve"> </w:t>
      </w:r>
      <w:r w:rsidR="00E6646C" w:rsidRPr="00BA43F8">
        <w:t>for achieving the decommitment target</w:t>
      </w:r>
      <w:r w:rsidR="00C224E7" w:rsidRPr="00BA43F8">
        <w:t>,</w:t>
      </w:r>
      <w:r w:rsidR="00683A74" w:rsidRPr="00BA43F8">
        <w:t xml:space="preserve"> </w:t>
      </w:r>
      <w:r w:rsidR="00EF283D" w:rsidRPr="00BA43F8">
        <w:t xml:space="preserve">and, </w:t>
      </w:r>
      <w:r w:rsidR="00683A74" w:rsidRPr="00BA43F8">
        <w:t xml:space="preserve">on the other hand to </w:t>
      </w:r>
      <w:r w:rsidR="006A4DAF" w:rsidRPr="00BA43F8">
        <w:t>full</w:t>
      </w:r>
      <w:r w:rsidR="00683A74" w:rsidRPr="00BA43F8">
        <w:t>y</w:t>
      </w:r>
      <w:r w:rsidR="006A4DAF" w:rsidRPr="00BA43F8">
        <w:t xml:space="preserve"> respect the principle of non-transferability of resources between categories of regions </w:t>
      </w:r>
      <w:r w:rsidR="00A5077C" w:rsidRPr="00BA43F8">
        <w:t>when there is an amount to be decommitted.</w:t>
      </w:r>
    </w:p>
    <w:p w:rsidR="00137C3D" w:rsidRPr="00BA43F8" w:rsidRDefault="00137C3D" w:rsidP="00137C3D">
      <w:pPr>
        <w:jc w:val="both"/>
      </w:pPr>
      <w:r w:rsidRPr="00BA43F8">
        <w:t xml:space="preserve">The purpose of decommitment is to encourage financial discipline in the </w:t>
      </w:r>
      <w:r w:rsidR="001C1BFC" w:rsidRPr="00BA43F8">
        <w:t>Member States'</w:t>
      </w:r>
      <w:r w:rsidRPr="00BA43F8">
        <w:t xml:space="preserve"> implementation of their OPs (see </w:t>
      </w:r>
      <w:r w:rsidR="00011CDC" w:rsidRPr="00BA43F8">
        <w:t>R</w:t>
      </w:r>
      <w:r w:rsidRPr="00BA43F8">
        <w:t>ecital 73 of the CPR). I</w:t>
      </w:r>
      <w:bookmarkStart w:id="0" w:name="_GoBack"/>
      <w:bookmarkEnd w:id="0"/>
      <w:r w:rsidRPr="00BA43F8">
        <w:t>n this respect, Art. 86 and Art. 136 of the CPR define the arrangements for decommitment.</w:t>
      </w:r>
    </w:p>
    <w:p w:rsidR="00DD418A" w:rsidRPr="00BA43F8" w:rsidRDefault="00137C3D" w:rsidP="00137C3D">
      <w:pPr>
        <w:jc w:val="both"/>
      </w:pPr>
      <w:r w:rsidRPr="00BA43F8">
        <w:t>In this note first all the different steps of the decomm</w:t>
      </w:r>
      <w:r w:rsidR="00054130" w:rsidRPr="00BA43F8">
        <w:t>itment procedure are described.</w:t>
      </w:r>
    </w:p>
    <w:p w:rsidR="00DD418A" w:rsidRPr="00BA43F8" w:rsidRDefault="00637062" w:rsidP="00137C3D">
      <w:pPr>
        <w:jc w:val="both"/>
      </w:pPr>
      <w:r w:rsidRPr="00BA43F8">
        <w:t>The second part sets out how the decommi</w:t>
      </w:r>
      <w:r w:rsidR="00E6646C" w:rsidRPr="00BA43F8">
        <w:t>t</w:t>
      </w:r>
      <w:r w:rsidRPr="00BA43F8">
        <w:t>ment risk at the level of the opera</w:t>
      </w:r>
      <w:r w:rsidR="00054130" w:rsidRPr="00BA43F8">
        <w:t>tional programme is calculated.</w:t>
      </w:r>
    </w:p>
    <w:p w:rsidR="00137C3D" w:rsidRPr="00BA43F8" w:rsidRDefault="00B54161" w:rsidP="00137C3D">
      <w:pPr>
        <w:jc w:val="both"/>
        <w:rPr>
          <w:b/>
        </w:rPr>
      </w:pPr>
      <w:r w:rsidRPr="00BA43F8">
        <w:t>T</w:t>
      </w:r>
      <w:r w:rsidR="00137C3D" w:rsidRPr="00BA43F8">
        <w:t xml:space="preserve">he </w:t>
      </w:r>
      <w:r w:rsidR="00637062" w:rsidRPr="00BA43F8">
        <w:t xml:space="preserve">third </w:t>
      </w:r>
      <w:r w:rsidR="00137C3D" w:rsidRPr="00BA43F8">
        <w:t xml:space="preserve">part </w:t>
      </w:r>
      <w:r w:rsidR="00637062" w:rsidRPr="00BA43F8">
        <w:t xml:space="preserve">sets out how </w:t>
      </w:r>
      <w:r w:rsidR="00137C3D" w:rsidRPr="00BA43F8">
        <w:t xml:space="preserve">the decommitment is </w:t>
      </w:r>
      <w:r w:rsidR="00637062" w:rsidRPr="00BA43F8">
        <w:t>to be done in compliance with the regulatory framework</w:t>
      </w:r>
      <w:r w:rsidR="00137C3D" w:rsidRPr="00BA43F8">
        <w:t>.</w:t>
      </w:r>
    </w:p>
    <w:p w:rsidR="00893DF3" w:rsidRPr="00BA43F8" w:rsidRDefault="006D6008" w:rsidP="002723D7">
      <w:pPr>
        <w:keepNext/>
        <w:spacing w:before="600"/>
        <w:rPr>
          <w:b/>
          <w:i/>
        </w:rPr>
      </w:pPr>
      <w:r w:rsidRPr="00BA43F8">
        <w:rPr>
          <w:b/>
          <w:bCs/>
          <w:i/>
          <w:iCs/>
        </w:rPr>
        <w:t xml:space="preserve">Part </w:t>
      </w:r>
      <w:r w:rsidR="00137C3D" w:rsidRPr="00BA43F8">
        <w:rPr>
          <w:b/>
          <w:i/>
        </w:rPr>
        <w:t xml:space="preserve">1. </w:t>
      </w:r>
      <w:r w:rsidR="00893DF3" w:rsidRPr="00BA43F8">
        <w:rPr>
          <w:b/>
          <w:i/>
        </w:rPr>
        <w:t>Decommitment procedure</w:t>
      </w:r>
    </w:p>
    <w:p w:rsidR="00893DF3" w:rsidRPr="00BA43F8" w:rsidRDefault="00893DF3" w:rsidP="001C1BFC">
      <w:pPr>
        <w:jc w:val="both"/>
      </w:pPr>
      <w:r w:rsidRPr="00BA43F8">
        <w:rPr>
          <w:i/>
        </w:rPr>
        <w:t>Art</w:t>
      </w:r>
      <w:r w:rsidR="001C1BFC" w:rsidRPr="00BA43F8">
        <w:rPr>
          <w:i/>
        </w:rPr>
        <w:t>.</w:t>
      </w:r>
      <w:r w:rsidRPr="00BA43F8">
        <w:rPr>
          <w:i/>
        </w:rPr>
        <w:t xml:space="preserve"> 136 (1) </w:t>
      </w:r>
      <w:r w:rsidRPr="00BA43F8">
        <w:rPr>
          <w:i/>
          <w:iCs/>
        </w:rPr>
        <w:t>"The Commission shall decommit any part of the amount in an operational programme that has not been used for payment of the initial and annual pre-financing and interim payments by 31 December of the third financial year following the year of budget commitment under the operational programme or for which a payment application drawn up in accordance with Article 131 has not been submitted in accordance with Article 135."</w:t>
      </w:r>
    </w:p>
    <w:p w:rsidR="00893DF3" w:rsidRPr="00BA43F8" w:rsidRDefault="00893DF3" w:rsidP="002723D7">
      <w:pPr>
        <w:spacing w:before="360"/>
        <w:rPr>
          <w:b/>
        </w:rPr>
      </w:pPr>
      <w:r w:rsidRPr="00BA43F8">
        <w:rPr>
          <w:b/>
        </w:rPr>
        <w:t>Steps and timing:</w:t>
      </w:r>
    </w:p>
    <w:p w:rsidR="007B7A40" w:rsidRPr="00BA43F8" w:rsidRDefault="00951056" w:rsidP="00883CFE">
      <w:pPr>
        <w:keepNext/>
        <w:spacing w:before="360"/>
        <w:rPr>
          <w:b/>
        </w:rPr>
      </w:pPr>
      <w:r w:rsidRPr="00BA43F8">
        <w:rPr>
          <w:b/>
          <w:bCs/>
        </w:rPr>
        <w:sym w:font="Wingdings 3" w:char="F0C6"/>
      </w:r>
      <w:r w:rsidRPr="00BA43F8">
        <w:rPr>
          <w:b/>
          <w:bCs/>
          <w:i/>
          <w:iCs/>
        </w:rPr>
        <w:t xml:space="preserve">  Warning letter</w:t>
      </w:r>
    </w:p>
    <w:p w:rsidR="00893DF3" w:rsidRPr="00BA43F8" w:rsidRDefault="00893DF3" w:rsidP="00054130">
      <w:pPr>
        <w:keepNext/>
        <w:jc w:val="both"/>
        <w:rPr>
          <w:bCs/>
        </w:rPr>
      </w:pPr>
      <w:r w:rsidRPr="00BA43F8">
        <w:rPr>
          <w:bCs/>
          <w:i/>
          <w:iCs/>
        </w:rPr>
        <w:t>Art</w:t>
      </w:r>
      <w:r w:rsidR="001C1BFC" w:rsidRPr="00BA43F8">
        <w:rPr>
          <w:bCs/>
          <w:i/>
          <w:iCs/>
        </w:rPr>
        <w:t>.</w:t>
      </w:r>
      <w:r w:rsidRPr="00BA43F8">
        <w:rPr>
          <w:bCs/>
          <w:i/>
          <w:iCs/>
        </w:rPr>
        <w:t xml:space="preserve"> 88 (1) "The Commission shall inform the MS and the managing authority in good time whenever there is a risk of application of the decommitment rule".</w:t>
      </w:r>
    </w:p>
    <w:p w:rsidR="007B7A40" w:rsidRPr="00BA43F8" w:rsidRDefault="00951056" w:rsidP="00BA43F8">
      <w:pPr>
        <w:numPr>
          <w:ilvl w:val="0"/>
          <w:numId w:val="4"/>
        </w:numPr>
        <w:spacing w:after="120"/>
        <w:ind w:left="714" w:hanging="357"/>
        <w:jc w:val="both"/>
        <w:rPr>
          <w:b/>
          <w:bCs/>
        </w:rPr>
      </w:pPr>
      <w:r w:rsidRPr="00BA43F8">
        <w:rPr>
          <w:b/>
          <w:bCs/>
        </w:rPr>
        <w:t xml:space="preserve">The letter will be sent only where </w:t>
      </w:r>
      <w:r w:rsidR="00EE15E6" w:rsidRPr="00BA43F8">
        <w:rPr>
          <w:b/>
          <w:bCs/>
        </w:rPr>
        <w:t>there is a risk of decommitment.</w:t>
      </w:r>
    </w:p>
    <w:p w:rsidR="007B7A40" w:rsidRPr="00BA43F8" w:rsidRDefault="00366736" w:rsidP="00BA43F8">
      <w:pPr>
        <w:numPr>
          <w:ilvl w:val="0"/>
          <w:numId w:val="4"/>
        </w:numPr>
        <w:spacing w:after="120"/>
        <w:ind w:left="714" w:hanging="357"/>
        <w:jc w:val="both"/>
        <w:rPr>
          <w:b/>
          <w:bCs/>
        </w:rPr>
      </w:pPr>
      <w:r w:rsidRPr="00BA43F8">
        <w:rPr>
          <w:b/>
          <w:bCs/>
        </w:rPr>
        <w:lastRenderedPageBreak/>
        <w:t>The annex of the warning letter shall contain detailed information on the situation for each OP at risk for decommitment</w:t>
      </w:r>
      <w:r w:rsidR="00EE15E6" w:rsidRPr="00BA43F8">
        <w:rPr>
          <w:b/>
          <w:bCs/>
        </w:rPr>
        <w:t>.</w:t>
      </w:r>
    </w:p>
    <w:p w:rsidR="007B7A40" w:rsidRPr="00BA43F8" w:rsidRDefault="00951056" w:rsidP="00BA43F8">
      <w:pPr>
        <w:numPr>
          <w:ilvl w:val="0"/>
          <w:numId w:val="4"/>
        </w:numPr>
        <w:spacing w:after="120"/>
        <w:ind w:left="714" w:hanging="357"/>
        <w:jc w:val="both"/>
        <w:rPr>
          <w:b/>
          <w:bCs/>
        </w:rPr>
      </w:pPr>
      <w:r w:rsidRPr="00BA43F8">
        <w:rPr>
          <w:b/>
          <w:bCs/>
        </w:rPr>
        <w:t>The letter will be sent via SFC2014 to Managing Authorities</w:t>
      </w:r>
      <w:r w:rsidR="0090416E" w:rsidRPr="00BA43F8">
        <w:rPr>
          <w:b/>
          <w:bCs/>
        </w:rPr>
        <w:t xml:space="preserve"> </w:t>
      </w:r>
      <w:r w:rsidR="00366736" w:rsidRPr="00BA43F8">
        <w:rPr>
          <w:b/>
          <w:bCs/>
        </w:rPr>
        <w:t>in September N+3</w:t>
      </w:r>
      <w:r w:rsidR="000F7025" w:rsidRPr="00BA43F8">
        <w:rPr>
          <w:b/>
          <w:bCs/>
        </w:rPr>
        <w:t xml:space="preserve"> </w:t>
      </w:r>
      <w:r w:rsidRPr="00BA43F8">
        <w:rPr>
          <w:b/>
          <w:bCs/>
        </w:rPr>
        <w:t>and by e-mail to the Permanent Representation</w:t>
      </w:r>
      <w:r w:rsidR="008D0091" w:rsidRPr="00BA43F8">
        <w:rPr>
          <w:b/>
          <w:bCs/>
        </w:rPr>
        <w:t xml:space="preserve">. </w:t>
      </w:r>
      <w:r w:rsidR="00A044D8" w:rsidRPr="00BA43F8">
        <w:rPr>
          <w:b/>
          <w:bCs/>
        </w:rPr>
        <w:t xml:space="preserve">It is foreseen for the </w:t>
      </w:r>
      <w:r w:rsidR="008D0091" w:rsidRPr="00BA43F8">
        <w:rPr>
          <w:b/>
          <w:bCs/>
        </w:rPr>
        <w:t xml:space="preserve">Certifying Authorities </w:t>
      </w:r>
      <w:r w:rsidR="00A044D8" w:rsidRPr="00BA43F8">
        <w:rPr>
          <w:b/>
          <w:bCs/>
        </w:rPr>
        <w:t xml:space="preserve">to have access </w:t>
      </w:r>
      <w:r w:rsidR="00376F45" w:rsidRPr="00BA43F8">
        <w:rPr>
          <w:b/>
          <w:bCs/>
        </w:rPr>
        <w:t xml:space="preserve">to it </w:t>
      </w:r>
      <w:r w:rsidR="008D0091" w:rsidRPr="00BA43F8">
        <w:rPr>
          <w:b/>
          <w:bCs/>
        </w:rPr>
        <w:t>in SFC2014 as well.</w:t>
      </w:r>
    </w:p>
    <w:p w:rsidR="007B7A40" w:rsidRPr="00BA43F8" w:rsidRDefault="00951056" w:rsidP="00883CFE">
      <w:pPr>
        <w:keepNext/>
        <w:spacing w:before="360"/>
        <w:rPr>
          <w:b/>
          <w:bCs/>
        </w:rPr>
      </w:pPr>
      <w:r w:rsidRPr="00BA43F8">
        <w:rPr>
          <w:b/>
          <w:bCs/>
        </w:rPr>
        <w:sym w:font="Wingdings 3" w:char="F0C6"/>
      </w:r>
      <w:r w:rsidRPr="00BA43F8">
        <w:rPr>
          <w:b/>
          <w:bCs/>
          <w:i/>
          <w:iCs/>
        </w:rPr>
        <w:t xml:space="preserve">  Notifications for the exceptions - by 31 January</w:t>
      </w:r>
      <w:r w:rsidR="00A32F39" w:rsidRPr="00BA43F8">
        <w:rPr>
          <w:b/>
          <w:bCs/>
          <w:i/>
          <w:iCs/>
        </w:rPr>
        <w:t xml:space="preserve"> N+4</w:t>
      </w:r>
    </w:p>
    <w:p w:rsidR="007B7A40" w:rsidRPr="00BA43F8" w:rsidRDefault="00893DF3" w:rsidP="00054130">
      <w:pPr>
        <w:keepNext/>
        <w:jc w:val="both"/>
        <w:rPr>
          <w:bCs/>
        </w:rPr>
      </w:pPr>
      <w:r w:rsidRPr="00BA43F8">
        <w:rPr>
          <w:bCs/>
          <w:i/>
          <w:iCs/>
        </w:rPr>
        <w:t>Art</w:t>
      </w:r>
      <w:r w:rsidR="00011CDC" w:rsidRPr="00BA43F8">
        <w:rPr>
          <w:bCs/>
          <w:i/>
          <w:iCs/>
        </w:rPr>
        <w:t>.</w:t>
      </w:r>
      <w:r w:rsidRPr="00BA43F8">
        <w:rPr>
          <w:bCs/>
          <w:i/>
          <w:iCs/>
        </w:rPr>
        <w:t xml:space="preserve"> 87 (2) "By 31 January, the Member State shall send to the Commission information on the exceptions referred to in points (a) and (b) of the first subparagraph of paragraph 1 for the amount to be declared by the end of the preceding year."</w:t>
      </w:r>
    </w:p>
    <w:p w:rsidR="007B7A40" w:rsidRPr="00BA43F8" w:rsidRDefault="00951056" w:rsidP="00BA43F8">
      <w:pPr>
        <w:numPr>
          <w:ilvl w:val="0"/>
          <w:numId w:val="4"/>
        </w:numPr>
        <w:spacing w:after="120"/>
        <w:ind w:left="714" w:hanging="357"/>
        <w:jc w:val="both"/>
        <w:rPr>
          <w:b/>
          <w:bCs/>
        </w:rPr>
      </w:pPr>
      <w:r w:rsidRPr="00BA43F8">
        <w:rPr>
          <w:b/>
          <w:bCs/>
        </w:rPr>
        <w:t>MS informs the Commission on the amounts under exception (per CCI /Fund /Category of region).</w:t>
      </w:r>
    </w:p>
    <w:p w:rsidR="007B7A40" w:rsidRPr="00BA43F8" w:rsidRDefault="00951056" w:rsidP="00BA43F8">
      <w:pPr>
        <w:numPr>
          <w:ilvl w:val="0"/>
          <w:numId w:val="4"/>
        </w:numPr>
        <w:spacing w:after="120"/>
        <w:ind w:left="714" w:hanging="357"/>
        <w:jc w:val="both"/>
        <w:rPr>
          <w:b/>
          <w:bCs/>
        </w:rPr>
      </w:pPr>
      <w:r w:rsidRPr="00BA43F8">
        <w:rPr>
          <w:b/>
          <w:bCs/>
        </w:rPr>
        <w:t xml:space="preserve">The letter should be sent via SFC2014 </w:t>
      </w:r>
      <w:r w:rsidR="000F7025" w:rsidRPr="00BA43F8">
        <w:rPr>
          <w:b/>
          <w:bCs/>
        </w:rPr>
        <w:t xml:space="preserve">at the latest by 31 January </w:t>
      </w:r>
      <w:r w:rsidR="00A32F39" w:rsidRPr="00BA43F8">
        <w:rPr>
          <w:b/>
          <w:bCs/>
        </w:rPr>
        <w:t xml:space="preserve">N+4 </w:t>
      </w:r>
      <w:r w:rsidRPr="00BA43F8">
        <w:rPr>
          <w:b/>
          <w:bCs/>
        </w:rPr>
        <w:t>and should contain proof documentation.</w:t>
      </w:r>
    </w:p>
    <w:p w:rsidR="007B7A40" w:rsidRPr="00BA43F8" w:rsidRDefault="00951056" w:rsidP="00883CFE">
      <w:pPr>
        <w:keepNext/>
        <w:spacing w:before="360"/>
      </w:pPr>
      <w:r w:rsidRPr="00BA43F8">
        <w:sym w:font="Wingdings 3" w:char="F0C6"/>
      </w:r>
      <w:r w:rsidRPr="00BA43F8">
        <w:rPr>
          <w:b/>
          <w:bCs/>
          <w:i/>
          <w:iCs/>
        </w:rPr>
        <w:t xml:space="preserve"> The decommitment letter</w:t>
      </w:r>
    </w:p>
    <w:p w:rsidR="00893DF3" w:rsidRPr="00BA43F8" w:rsidRDefault="00893DF3" w:rsidP="00054130">
      <w:pPr>
        <w:keepNext/>
        <w:jc w:val="both"/>
      </w:pPr>
      <w:r w:rsidRPr="00BA43F8">
        <w:rPr>
          <w:i/>
          <w:iCs/>
        </w:rPr>
        <w:t>Art</w:t>
      </w:r>
      <w:r w:rsidR="00011CDC" w:rsidRPr="00BA43F8">
        <w:rPr>
          <w:i/>
          <w:iCs/>
        </w:rPr>
        <w:t>.</w:t>
      </w:r>
      <w:r w:rsidRPr="00BA43F8">
        <w:rPr>
          <w:i/>
          <w:iCs/>
        </w:rPr>
        <w:t xml:space="preserve"> 88 (2)</w:t>
      </w:r>
      <w:r w:rsidR="00A5637E" w:rsidRPr="00BA43F8">
        <w:rPr>
          <w:i/>
          <w:iCs/>
        </w:rPr>
        <w:t xml:space="preserve"> </w:t>
      </w:r>
      <w:r w:rsidRPr="00BA43F8">
        <w:rPr>
          <w:i/>
          <w:iCs/>
        </w:rPr>
        <w:t xml:space="preserve">"On the basis of the information it has received as of 31 January, the Commission shall inform the </w:t>
      </w:r>
      <w:r w:rsidRPr="00BA43F8">
        <w:rPr>
          <w:bCs/>
          <w:i/>
          <w:iCs/>
        </w:rPr>
        <w:t>Member</w:t>
      </w:r>
      <w:r w:rsidRPr="00BA43F8">
        <w:rPr>
          <w:i/>
          <w:iCs/>
        </w:rPr>
        <w:t xml:space="preserve"> State and the managing authority of the amount of the decommitment resulting from that information."</w:t>
      </w:r>
    </w:p>
    <w:p w:rsidR="007B7A40" w:rsidRPr="00BA43F8" w:rsidRDefault="00951056" w:rsidP="00BA43F8">
      <w:pPr>
        <w:numPr>
          <w:ilvl w:val="0"/>
          <w:numId w:val="4"/>
        </w:numPr>
        <w:spacing w:after="120"/>
        <w:ind w:left="714" w:hanging="357"/>
        <w:jc w:val="both"/>
        <w:rPr>
          <w:b/>
        </w:rPr>
      </w:pPr>
      <w:r w:rsidRPr="00BA43F8">
        <w:rPr>
          <w:b/>
        </w:rPr>
        <w:t xml:space="preserve">The letter will </w:t>
      </w:r>
      <w:r w:rsidRPr="00BA43F8">
        <w:rPr>
          <w:b/>
          <w:bCs/>
        </w:rPr>
        <w:t>inform</w:t>
      </w:r>
      <w:r w:rsidRPr="00BA43F8">
        <w:rPr>
          <w:b/>
        </w:rPr>
        <w:t xml:space="preserve"> MS that the decommitment procedure has been launched</w:t>
      </w:r>
      <w:r w:rsidR="00EE15E6" w:rsidRPr="00BA43F8">
        <w:rPr>
          <w:b/>
        </w:rPr>
        <w:t>.</w:t>
      </w:r>
    </w:p>
    <w:p w:rsidR="007B7A40" w:rsidRPr="00BA43F8" w:rsidRDefault="00951056" w:rsidP="00BA43F8">
      <w:pPr>
        <w:numPr>
          <w:ilvl w:val="0"/>
          <w:numId w:val="4"/>
        </w:numPr>
        <w:spacing w:after="120"/>
        <w:ind w:left="714" w:hanging="357"/>
        <w:jc w:val="both"/>
        <w:rPr>
          <w:b/>
        </w:rPr>
      </w:pPr>
      <w:r w:rsidRPr="00BA43F8">
        <w:rPr>
          <w:b/>
        </w:rPr>
        <w:t xml:space="preserve">It will contain </w:t>
      </w:r>
      <w:r w:rsidR="00EE15E6" w:rsidRPr="00BA43F8">
        <w:rPr>
          <w:b/>
          <w:bCs/>
        </w:rPr>
        <w:t>the</w:t>
      </w:r>
      <w:r w:rsidR="00EE15E6" w:rsidRPr="00BA43F8">
        <w:rPr>
          <w:b/>
        </w:rPr>
        <w:t xml:space="preserve"> amount(s) to be decommitted.</w:t>
      </w:r>
    </w:p>
    <w:p w:rsidR="008D0091" w:rsidRPr="00BA43F8" w:rsidRDefault="008D0091" w:rsidP="00BA43F8">
      <w:pPr>
        <w:numPr>
          <w:ilvl w:val="0"/>
          <w:numId w:val="4"/>
        </w:numPr>
        <w:spacing w:after="120"/>
        <w:ind w:left="714" w:hanging="357"/>
        <w:jc w:val="both"/>
        <w:rPr>
          <w:b/>
          <w:bCs/>
        </w:rPr>
      </w:pPr>
      <w:r w:rsidRPr="00BA43F8">
        <w:rPr>
          <w:b/>
          <w:bCs/>
        </w:rPr>
        <w:t xml:space="preserve">The letter will be sent via SFC2014 to Managing Authorities and by e-mail to the Permanent Representation. </w:t>
      </w:r>
      <w:r w:rsidR="00A044D8" w:rsidRPr="00BA43F8">
        <w:rPr>
          <w:b/>
          <w:bCs/>
        </w:rPr>
        <w:t xml:space="preserve">It is foreseen for the Certifying Authorities to have access </w:t>
      </w:r>
      <w:r w:rsidR="00376F45" w:rsidRPr="00BA43F8">
        <w:rPr>
          <w:b/>
          <w:bCs/>
        </w:rPr>
        <w:t xml:space="preserve">to it </w:t>
      </w:r>
      <w:r w:rsidR="00A044D8" w:rsidRPr="00BA43F8">
        <w:rPr>
          <w:b/>
          <w:bCs/>
        </w:rPr>
        <w:t>in SFC2014 as well.</w:t>
      </w:r>
    </w:p>
    <w:p w:rsidR="007B7A40" w:rsidRPr="00BA43F8" w:rsidRDefault="00951056" w:rsidP="00BA43F8">
      <w:pPr>
        <w:numPr>
          <w:ilvl w:val="0"/>
          <w:numId w:val="4"/>
        </w:numPr>
        <w:spacing w:after="120"/>
        <w:ind w:left="714" w:hanging="357"/>
        <w:jc w:val="both"/>
        <w:rPr>
          <w:b/>
        </w:rPr>
      </w:pPr>
      <w:r w:rsidRPr="00BA43F8">
        <w:rPr>
          <w:b/>
        </w:rPr>
        <w:t xml:space="preserve">MS will be </w:t>
      </w:r>
      <w:r w:rsidRPr="00BA43F8">
        <w:rPr>
          <w:b/>
          <w:bCs/>
        </w:rPr>
        <w:t>kindly</w:t>
      </w:r>
      <w:r w:rsidRPr="00BA43F8">
        <w:rPr>
          <w:b/>
        </w:rPr>
        <w:t xml:space="preserve"> requested to indicate through SFC2014 to the Commission Services, no later than two months from the reception of the letter, if they agree on the amounts to be</w:t>
      </w:r>
      <w:r w:rsidRPr="00BA43F8">
        <w:t xml:space="preserve"> </w:t>
      </w:r>
      <w:r w:rsidRPr="00BA43F8">
        <w:rPr>
          <w:b/>
        </w:rPr>
        <w:t>decommitted</w:t>
      </w:r>
      <w:r w:rsidR="00592601" w:rsidRPr="00BA43F8">
        <w:rPr>
          <w:b/>
        </w:rPr>
        <w:t xml:space="preserve"> </w:t>
      </w:r>
      <w:r w:rsidR="00B67BBB" w:rsidRPr="00BA43F8">
        <w:rPr>
          <w:b/>
        </w:rPr>
        <w:t>or to submit observations</w:t>
      </w:r>
      <w:r w:rsidR="003C4CE2" w:rsidRPr="00BA43F8">
        <w:rPr>
          <w:b/>
        </w:rPr>
        <w:t xml:space="preserve"> </w:t>
      </w:r>
      <w:r w:rsidRPr="00BA43F8">
        <w:rPr>
          <w:b/>
        </w:rPr>
        <w:t>within two months.</w:t>
      </w:r>
      <w:r w:rsidR="00592601" w:rsidRPr="00BA43F8">
        <w:rPr>
          <w:b/>
        </w:rPr>
        <w:t xml:space="preserve"> </w:t>
      </w:r>
      <w:r w:rsidRPr="00BA43F8">
        <w:rPr>
          <w:b/>
        </w:rPr>
        <w:t>MS will be invited to send the revised financi</w:t>
      </w:r>
      <w:r w:rsidR="000A2BA9" w:rsidRPr="00BA43F8">
        <w:rPr>
          <w:b/>
        </w:rPr>
        <w:t>ng</w:t>
      </w:r>
      <w:r w:rsidRPr="00BA43F8">
        <w:rPr>
          <w:b/>
        </w:rPr>
        <w:t xml:space="preserve"> plan by 30 June</w:t>
      </w:r>
      <w:r w:rsidR="008B6706" w:rsidRPr="00BA43F8">
        <w:rPr>
          <w:b/>
        </w:rPr>
        <w:t xml:space="preserve"> </w:t>
      </w:r>
      <w:r w:rsidR="00A32F39" w:rsidRPr="00BA43F8">
        <w:rPr>
          <w:b/>
        </w:rPr>
        <w:t>N+4</w:t>
      </w:r>
      <w:r w:rsidR="00EE15E6" w:rsidRPr="00BA43F8">
        <w:rPr>
          <w:b/>
        </w:rPr>
        <w:t>.</w:t>
      </w:r>
    </w:p>
    <w:p w:rsidR="007B7A40" w:rsidRPr="00BA43F8" w:rsidRDefault="00951056" w:rsidP="00883CFE">
      <w:pPr>
        <w:keepNext/>
        <w:spacing w:before="360"/>
      </w:pPr>
      <w:r w:rsidRPr="00BA43F8">
        <w:sym w:font="Wingdings 3" w:char="F0C6"/>
      </w:r>
      <w:r w:rsidRPr="00BA43F8">
        <w:rPr>
          <w:b/>
          <w:bCs/>
          <w:i/>
          <w:iCs/>
        </w:rPr>
        <w:t xml:space="preserve">  Submission of the revised financial plan – by 30 of June</w:t>
      </w:r>
      <w:r w:rsidR="00A32F39" w:rsidRPr="00BA43F8">
        <w:rPr>
          <w:b/>
          <w:bCs/>
          <w:i/>
          <w:iCs/>
        </w:rPr>
        <w:t xml:space="preserve"> N+4</w:t>
      </w:r>
    </w:p>
    <w:p w:rsidR="00893DF3" w:rsidRPr="00BA43F8" w:rsidRDefault="00893DF3" w:rsidP="00054130">
      <w:pPr>
        <w:keepNext/>
        <w:jc w:val="both"/>
      </w:pPr>
      <w:r w:rsidRPr="00BA43F8">
        <w:rPr>
          <w:i/>
          <w:iCs/>
        </w:rPr>
        <w:t>Art.</w:t>
      </w:r>
      <w:r w:rsidR="00A5637E" w:rsidRPr="00BA43F8">
        <w:rPr>
          <w:i/>
          <w:iCs/>
        </w:rPr>
        <w:t xml:space="preserve"> </w:t>
      </w:r>
      <w:r w:rsidRPr="00BA43F8">
        <w:rPr>
          <w:i/>
          <w:iCs/>
        </w:rPr>
        <w:t xml:space="preserve">88 (4) "By 30 June, the Member State shall submit to the Commission a revised financing plan reflecting, for </w:t>
      </w:r>
      <w:r w:rsidRPr="00BA43F8">
        <w:rPr>
          <w:bCs/>
          <w:i/>
          <w:iCs/>
        </w:rPr>
        <w:t>the</w:t>
      </w:r>
      <w:r w:rsidRPr="00BA43F8">
        <w:rPr>
          <w:i/>
          <w:iCs/>
        </w:rPr>
        <w:t xml:space="preserve"> financial year concerned, the reduced amount of support over one or more priorities of the programme taking into account the allocation by Fund and by category of region, where appropriate.[…]"</w:t>
      </w:r>
    </w:p>
    <w:p w:rsidR="007B7A40" w:rsidRPr="00BA43F8" w:rsidRDefault="00951056" w:rsidP="00BA43F8">
      <w:pPr>
        <w:numPr>
          <w:ilvl w:val="0"/>
          <w:numId w:val="4"/>
        </w:numPr>
        <w:spacing w:after="120"/>
        <w:ind w:left="714" w:hanging="357"/>
        <w:jc w:val="both"/>
        <w:rPr>
          <w:b/>
        </w:rPr>
      </w:pPr>
      <w:r w:rsidRPr="00BA43F8">
        <w:rPr>
          <w:b/>
        </w:rPr>
        <w:t>The submission of the revised financi</w:t>
      </w:r>
      <w:r w:rsidR="000A2BA9" w:rsidRPr="00BA43F8">
        <w:rPr>
          <w:b/>
        </w:rPr>
        <w:t>ng</w:t>
      </w:r>
      <w:r w:rsidRPr="00BA43F8">
        <w:rPr>
          <w:b/>
        </w:rPr>
        <w:t xml:space="preserve"> plan will be launched using programme amendment process via SFC2014</w:t>
      </w:r>
      <w:r w:rsidR="00EE15E6" w:rsidRPr="00BA43F8">
        <w:rPr>
          <w:b/>
        </w:rPr>
        <w:t>.</w:t>
      </w:r>
    </w:p>
    <w:p w:rsidR="00D659BC" w:rsidRPr="00BA43F8" w:rsidRDefault="00951056" w:rsidP="00BA43F8">
      <w:pPr>
        <w:numPr>
          <w:ilvl w:val="0"/>
          <w:numId w:val="4"/>
        </w:numPr>
        <w:spacing w:after="120"/>
        <w:ind w:left="714" w:hanging="357"/>
        <w:jc w:val="both"/>
      </w:pPr>
      <w:r w:rsidRPr="00BA43F8">
        <w:rPr>
          <w:b/>
        </w:rPr>
        <w:t xml:space="preserve">The MS are </w:t>
      </w:r>
      <w:r w:rsidRPr="00BA43F8">
        <w:rPr>
          <w:b/>
          <w:bCs/>
        </w:rPr>
        <w:t>kindly</w:t>
      </w:r>
      <w:r w:rsidRPr="00BA43F8">
        <w:rPr>
          <w:b/>
        </w:rPr>
        <w:t xml:space="preserve"> requested to take into consideration in their planning that two programme amendments ca</w:t>
      </w:r>
      <w:r w:rsidR="00704C9D">
        <w:rPr>
          <w:b/>
        </w:rPr>
        <w:t>nnot be ongoing simultaneously.</w:t>
      </w:r>
    </w:p>
    <w:p w:rsidR="003B63F5" w:rsidRPr="00BA43F8" w:rsidRDefault="00951056" w:rsidP="00BA43F8">
      <w:pPr>
        <w:numPr>
          <w:ilvl w:val="0"/>
          <w:numId w:val="4"/>
        </w:numPr>
        <w:spacing w:after="120"/>
        <w:ind w:left="714" w:hanging="357"/>
        <w:jc w:val="both"/>
      </w:pPr>
      <w:r w:rsidRPr="00BA43F8">
        <w:rPr>
          <w:b/>
        </w:rPr>
        <w:lastRenderedPageBreak/>
        <w:t xml:space="preserve">The </w:t>
      </w:r>
      <w:r w:rsidRPr="00BA43F8">
        <w:rPr>
          <w:b/>
          <w:bCs/>
        </w:rPr>
        <w:t>Commission</w:t>
      </w:r>
      <w:r w:rsidRPr="00BA43F8">
        <w:rPr>
          <w:b/>
        </w:rPr>
        <w:t xml:space="preserve"> will amend the decision adopting the programme, by means of implementing acts, by 30 </w:t>
      </w:r>
      <w:r w:rsidRPr="007B78C1">
        <w:rPr>
          <w:b/>
        </w:rPr>
        <w:t>September</w:t>
      </w:r>
      <w:r w:rsidR="003B63F5" w:rsidRPr="007B78C1">
        <w:rPr>
          <w:b/>
        </w:rPr>
        <w:t xml:space="preserve"> </w:t>
      </w:r>
      <w:r w:rsidR="00A32F39" w:rsidRPr="007B78C1">
        <w:rPr>
          <w:b/>
        </w:rPr>
        <w:t>N+4</w:t>
      </w:r>
      <w:r w:rsidR="003B63F5" w:rsidRPr="007B78C1">
        <w:rPr>
          <w:b/>
        </w:rPr>
        <w:t>.</w:t>
      </w:r>
    </w:p>
    <w:p w:rsidR="005D1510" w:rsidRPr="00592601" w:rsidRDefault="005D1510" w:rsidP="00BA43F8">
      <w:pPr>
        <w:numPr>
          <w:ilvl w:val="0"/>
          <w:numId w:val="4"/>
        </w:numPr>
        <w:spacing w:after="120"/>
        <w:ind w:left="714" w:hanging="357"/>
        <w:jc w:val="both"/>
      </w:pPr>
      <w:r w:rsidRPr="00BA43F8">
        <w:rPr>
          <w:b/>
        </w:rPr>
        <w:t>Failing the submission of a revised financing plan, the Commission will revise the financing plan by reducing the contribution from the ESI Funds for the financial year concerned. The reduction will be allocated to each priority proportionately.</w:t>
      </w:r>
    </w:p>
    <w:p w:rsidR="000F7025" w:rsidRPr="00C97B23" w:rsidRDefault="006D6008" w:rsidP="00BA43F8">
      <w:pPr>
        <w:keepNext/>
        <w:spacing w:before="600"/>
        <w:jc w:val="both"/>
        <w:rPr>
          <w:b/>
          <w:i/>
        </w:rPr>
      </w:pPr>
      <w:r>
        <w:rPr>
          <w:b/>
          <w:bCs/>
          <w:i/>
          <w:iCs/>
        </w:rPr>
        <w:t xml:space="preserve">Part </w:t>
      </w:r>
      <w:r w:rsidR="000F7025" w:rsidRPr="00C97B23">
        <w:rPr>
          <w:b/>
          <w:i/>
        </w:rPr>
        <w:t>2</w:t>
      </w:r>
      <w:r w:rsidR="00137C3D" w:rsidRPr="00C97B23">
        <w:rPr>
          <w:b/>
          <w:i/>
        </w:rPr>
        <w:t>.</w:t>
      </w:r>
      <w:r w:rsidR="000F7025" w:rsidRPr="00C97B23">
        <w:rPr>
          <w:b/>
          <w:i/>
        </w:rPr>
        <w:t xml:space="preserve"> </w:t>
      </w:r>
      <w:r w:rsidR="000C6A04" w:rsidRPr="000C6A04">
        <w:rPr>
          <w:b/>
          <w:i/>
        </w:rPr>
        <w:t>Calculation of the amount to be decommitted</w:t>
      </w:r>
      <w:r w:rsidR="000C6A04">
        <w:rPr>
          <w:b/>
          <w:i/>
        </w:rPr>
        <w:t xml:space="preserve"> </w:t>
      </w:r>
      <w:r w:rsidR="000F7025" w:rsidRPr="00C97B23">
        <w:rPr>
          <w:b/>
          <w:i/>
        </w:rPr>
        <w:t>(n+3)</w:t>
      </w:r>
      <w:r w:rsidR="00637062" w:rsidRPr="00134F5B">
        <w:rPr>
          <w:b/>
          <w:bCs/>
          <w:i/>
          <w:iCs/>
        </w:rPr>
        <w:t xml:space="preserve"> at the level of the operational pr</w:t>
      </w:r>
      <w:r w:rsidR="00041B6A" w:rsidRPr="00134F5B">
        <w:rPr>
          <w:b/>
          <w:bCs/>
          <w:i/>
          <w:iCs/>
        </w:rPr>
        <w:t>o</w:t>
      </w:r>
      <w:r w:rsidR="00637062" w:rsidRPr="00134F5B">
        <w:rPr>
          <w:b/>
          <w:bCs/>
          <w:i/>
          <w:iCs/>
        </w:rPr>
        <w:t>gramme</w:t>
      </w:r>
    </w:p>
    <w:p w:rsidR="001150AB" w:rsidRPr="00EB7539" w:rsidRDefault="001150AB" w:rsidP="003E12FE">
      <w:pPr>
        <w:jc w:val="both"/>
      </w:pPr>
      <w:r w:rsidRPr="00802210">
        <w:t xml:space="preserve">According to Article 86 (1) and Article 136 (1) of Regulation (EU) No 1303/2013, all </w:t>
      </w:r>
      <w:r w:rsidRPr="00891354">
        <w:rPr>
          <w:rFonts w:cs="Arial"/>
        </w:rPr>
        <w:t>program</w:t>
      </w:r>
      <w:r w:rsidR="00637062" w:rsidRPr="00891354">
        <w:rPr>
          <w:rFonts w:cs="Arial"/>
        </w:rPr>
        <w:t>me</w:t>
      </w:r>
      <w:r w:rsidRPr="00891354">
        <w:rPr>
          <w:rFonts w:cs="Arial"/>
        </w:rPr>
        <w:t>s</w:t>
      </w:r>
      <w:r w:rsidRPr="00802210">
        <w:t xml:space="preserve"> shall be submitted to a decommitment procedure. It is established on the basis that amounts committed </w:t>
      </w:r>
      <w:r w:rsidR="009D427F" w:rsidRPr="00891354">
        <w:rPr>
          <w:rFonts w:cs="Arial"/>
        </w:rPr>
        <w:t xml:space="preserve">in </w:t>
      </w:r>
      <w:r w:rsidR="00FA6F5D" w:rsidRPr="00891354">
        <w:rPr>
          <w:rFonts w:cs="Arial"/>
        </w:rPr>
        <w:t>a programme</w:t>
      </w:r>
      <w:r w:rsidR="00041B6A" w:rsidRPr="00891354">
        <w:rPr>
          <w:rFonts w:cs="Arial"/>
        </w:rPr>
        <w:t>,</w:t>
      </w:r>
      <w:r w:rsidR="00FA6F5D" w:rsidRPr="00891354">
        <w:rPr>
          <w:rFonts w:cs="Arial"/>
        </w:rPr>
        <w:t xml:space="preserve"> </w:t>
      </w:r>
      <w:r w:rsidRPr="00802210">
        <w:t xml:space="preserve">but not covered by pre-financing </w:t>
      </w:r>
      <w:r w:rsidR="00E67981" w:rsidRPr="00802210">
        <w:t xml:space="preserve">(initial, additional initial and annual pre-financing) </w:t>
      </w:r>
      <w:r w:rsidRPr="00802210">
        <w:t>or by submitted interim payment applications</w:t>
      </w:r>
      <w:r w:rsidR="00067BF5" w:rsidRPr="00802210">
        <w:rPr>
          <w:rStyle w:val="FootnoteReference"/>
        </w:rPr>
        <w:footnoteReference w:id="2"/>
      </w:r>
      <w:r w:rsidRPr="00802210">
        <w:t xml:space="preserve"> (also taking into account the 10% retention</w:t>
      </w:r>
      <w:r w:rsidR="0014320C" w:rsidRPr="00802210">
        <w:t>, payment applications interrupted or affected by a suspension</w:t>
      </w:r>
      <w:r w:rsidRPr="00802210">
        <w:t>) during the budgetary years concerned are decommitted</w:t>
      </w:r>
      <w:r w:rsidR="00683A74" w:rsidRPr="00802210">
        <w:t xml:space="preserve">. </w:t>
      </w:r>
      <w:r w:rsidR="00B54161" w:rsidRPr="00891354">
        <w:rPr>
          <w:rFonts w:cs="Arial"/>
        </w:rPr>
        <w:t>Therefore, a</w:t>
      </w:r>
      <w:r w:rsidR="00FA6F5D" w:rsidRPr="00891354">
        <w:rPr>
          <w:rFonts w:cs="Arial"/>
        </w:rPr>
        <w:t xml:space="preserve">s </w:t>
      </w:r>
      <w:r w:rsidR="00BA7EB0" w:rsidRPr="00891354">
        <w:rPr>
          <w:rFonts w:cs="Arial"/>
        </w:rPr>
        <w:t xml:space="preserve">these </w:t>
      </w:r>
      <w:r w:rsidR="00FA6F5D" w:rsidRPr="00891354">
        <w:rPr>
          <w:rFonts w:cs="Arial"/>
        </w:rPr>
        <w:t xml:space="preserve">rules </w:t>
      </w:r>
      <w:r w:rsidR="00BA7EB0" w:rsidRPr="00891354">
        <w:rPr>
          <w:rFonts w:cs="Arial"/>
        </w:rPr>
        <w:t xml:space="preserve">on </w:t>
      </w:r>
      <w:r w:rsidR="00FA6F5D" w:rsidRPr="00891354">
        <w:rPr>
          <w:rFonts w:cs="Arial"/>
        </w:rPr>
        <w:t>decommi</w:t>
      </w:r>
      <w:r w:rsidR="00E6646C" w:rsidRPr="00891354">
        <w:rPr>
          <w:rFonts w:cs="Arial"/>
        </w:rPr>
        <w:t>t</w:t>
      </w:r>
      <w:r w:rsidR="00FA6F5D" w:rsidRPr="00891354">
        <w:rPr>
          <w:rFonts w:cs="Arial"/>
        </w:rPr>
        <w:t xml:space="preserve">ment do not specify explicitly that </w:t>
      </w:r>
      <w:r w:rsidR="00BA7EB0" w:rsidRPr="00891354">
        <w:rPr>
          <w:rFonts w:cs="Arial"/>
        </w:rPr>
        <w:t xml:space="preserve">the decommitment has to be calculated by Fund and – within a Fund – by category of region, the decommitment and thus </w:t>
      </w:r>
      <w:r w:rsidR="00BA7EB0" w:rsidRPr="00891354">
        <w:rPr>
          <w:rFonts w:cs="Arial"/>
          <w:b/>
        </w:rPr>
        <w:t>the total amount to be decommitted for an operational prog</w:t>
      </w:r>
      <w:r w:rsidR="00E6646C" w:rsidRPr="00891354">
        <w:rPr>
          <w:rFonts w:cs="Arial"/>
          <w:b/>
        </w:rPr>
        <w:t>r</w:t>
      </w:r>
      <w:r w:rsidR="00BA7EB0" w:rsidRPr="00891354">
        <w:rPr>
          <w:rFonts w:cs="Arial"/>
          <w:b/>
        </w:rPr>
        <w:t>amme</w:t>
      </w:r>
      <w:r w:rsidR="00BA7EB0" w:rsidRPr="00134F5B">
        <w:rPr>
          <w:rFonts w:cs="Arial"/>
          <w:b/>
        </w:rPr>
        <w:t xml:space="preserve"> will be calculated at the level of the operational programme</w:t>
      </w:r>
      <w:r w:rsidR="00BA7EB0" w:rsidRPr="00134F5B">
        <w:rPr>
          <w:rFonts w:cs="Arial"/>
        </w:rPr>
        <w:t>.</w:t>
      </w:r>
    </w:p>
    <w:p w:rsidR="001150AB" w:rsidRPr="00802210" w:rsidRDefault="001150AB" w:rsidP="003E12FE">
      <w:pPr>
        <w:jc w:val="both"/>
      </w:pPr>
      <w:r w:rsidRPr="00802210">
        <w:t>According to Article 86 (5</w:t>
      </w:r>
      <w:r w:rsidRPr="00134F5B">
        <w:rPr>
          <w:rFonts w:cs="Arial"/>
        </w:rPr>
        <w:t>)</w:t>
      </w:r>
      <w:r w:rsidR="00637062" w:rsidRPr="00134F5B">
        <w:rPr>
          <w:rFonts w:cs="Arial"/>
        </w:rPr>
        <w:t xml:space="preserve"> CPR</w:t>
      </w:r>
      <w:r w:rsidRPr="00134F5B">
        <w:rPr>
          <w:rFonts w:cs="Arial"/>
        </w:rPr>
        <w:t>,</w:t>
      </w:r>
      <w:r w:rsidRPr="00802210">
        <w:t xml:space="preserve"> budgetary commitments in respect of the performance reserve are subject to automatic decommitment only if they are not justified by expenditure declared to the Commission at closure. They are therefore excluded from the annual commitments to which the autom</w:t>
      </w:r>
      <w:r w:rsidR="00A5637E" w:rsidRPr="00802210">
        <w:t>atic decommitment rule applies.</w:t>
      </w:r>
    </w:p>
    <w:p w:rsidR="00E95EE4" w:rsidRPr="00802210" w:rsidRDefault="001150AB" w:rsidP="003E12FE">
      <w:pPr>
        <w:jc w:val="both"/>
      </w:pPr>
      <w:r w:rsidRPr="00802210">
        <w:t>The results of the examination and acceptance of accounts, including the recoveries will have no impact on the decommitment calculation</w:t>
      </w:r>
      <w:r w:rsidR="00E95EE4" w:rsidRPr="00802210">
        <w:t>. The offsetting of the recoveries against future payments, whatever pre-financing or interim payment, has no impact on the decommitment calculations.</w:t>
      </w:r>
    </w:p>
    <w:p w:rsidR="0014320C" w:rsidRPr="00802210" w:rsidRDefault="00E95EE4" w:rsidP="003E12FE">
      <w:pPr>
        <w:jc w:val="both"/>
      </w:pPr>
      <w:r w:rsidRPr="00802210">
        <w:t>A</w:t>
      </w:r>
      <w:r w:rsidR="00E86C4E" w:rsidRPr="00802210">
        <w:t xml:space="preserve">s a consequence, the </w:t>
      </w:r>
      <w:r w:rsidRPr="00802210">
        <w:t xml:space="preserve">full </w:t>
      </w:r>
      <w:r w:rsidR="00E86C4E" w:rsidRPr="00802210">
        <w:t>pre-fi</w:t>
      </w:r>
      <w:r w:rsidR="004C4958" w:rsidRPr="00802210">
        <w:t>nancing due in accordance with A</w:t>
      </w:r>
      <w:r w:rsidR="00E86C4E" w:rsidRPr="00802210">
        <w:t>rt. 134 of the CPR</w:t>
      </w:r>
      <w:r w:rsidR="00216ADB" w:rsidRPr="00802210">
        <w:rPr>
          <w:rStyle w:val="FootnoteReference"/>
        </w:rPr>
        <w:footnoteReference w:id="3"/>
      </w:r>
      <w:r w:rsidRPr="00802210">
        <w:t xml:space="preserve"> for each and every year concerned is taken into consideration, even if recovered later or if only a part of it has been transferred in cash due to the offsetting. </w:t>
      </w:r>
      <w:r w:rsidR="00613658" w:rsidRPr="00802210">
        <w:t>S</w:t>
      </w:r>
      <w:r w:rsidR="000F6EA8" w:rsidRPr="00802210">
        <w:t xml:space="preserve">ubmitted </w:t>
      </w:r>
      <w:r w:rsidR="00613658" w:rsidRPr="00802210">
        <w:t xml:space="preserve">interim </w:t>
      </w:r>
      <w:r w:rsidR="000F6EA8" w:rsidRPr="00802210">
        <w:t xml:space="preserve">payment applications are taken into </w:t>
      </w:r>
      <w:r w:rsidRPr="00802210">
        <w:t>consideration for the calculation</w:t>
      </w:r>
      <w:r w:rsidR="00613658" w:rsidRPr="00802210">
        <w:t xml:space="preserve"> of the automatic decommitments and</w:t>
      </w:r>
      <w:r w:rsidRPr="00802210">
        <w:t xml:space="preserve"> </w:t>
      </w:r>
      <w:r w:rsidR="000F6EA8" w:rsidRPr="00802210">
        <w:t>not the amounts certified in the accounts</w:t>
      </w:r>
      <w:r w:rsidR="00613658" w:rsidRPr="00802210">
        <w:t xml:space="preserve">. This remains true for later years after </w:t>
      </w:r>
      <w:r w:rsidR="00704C9D">
        <w:t>the submission of the accounts.</w:t>
      </w:r>
    </w:p>
    <w:p w:rsidR="00375575" w:rsidRDefault="00041B6A" w:rsidP="003E12FE">
      <w:pPr>
        <w:jc w:val="both"/>
        <w:rPr>
          <w:rFonts w:cs="Arial"/>
        </w:rPr>
      </w:pPr>
      <w:r w:rsidRPr="00134F5B">
        <w:rPr>
          <w:rFonts w:cs="Arial"/>
        </w:rPr>
        <w:t xml:space="preserve">Therefore the </w:t>
      </w:r>
      <w:r w:rsidR="00663CD6">
        <w:rPr>
          <w:rFonts w:cs="Arial"/>
          <w:b/>
        </w:rPr>
        <w:t>amount to decommit</w:t>
      </w:r>
      <w:r w:rsidRPr="00134F5B">
        <w:rPr>
          <w:rFonts w:cs="Arial"/>
        </w:rPr>
        <w:t xml:space="preserve"> at the level of an OP will be calculated as </w:t>
      </w:r>
      <w:r w:rsidR="00244965" w:rsidRPr="00134F5B">
        <w:rPr>
          <w:rFonts w:cs="Arial"/>
        </w:rPr>
        <w:t>set out below</w:t>
      </w:r>
      <w:r w:rsidRPr="00134F5B">
        <w:rPr>
          <w:rFonts w:cs="Arial"/>
        </w:rPr>
        <w:t xml:space="preserve"> an</w:t>
      </w:r>
      <w:r w:rsidR="006B07D8" w:rsidRPr="00134F5B">
        <w:rPr>
          <w:rFonts w:cs="Arial"/>
        </w:rPr>
        <w:t>d</w:t>
      </w:r>
      <w:r w:rsidRPr="00134F5B">
        <w:rPr>
          <w:rFonts w:cs="Arial"/>
        </w:rPr>
        <w:t xml:space="preserve"> will not make any distinction between </w:t>
      </w:r>
      <w:r w:rsidR="006B07D8" w:rsidRPr="00134F5B">
        <w:rPr>
          <w:rFonts w:cs="Arial"/>
        </w:rPr>
        <w:t xml:space="preserve">Funds, </w:t>
      </w:r>
      <w:r w:rsidRPr="00134F5B">
        <w:rPr>
          <w:rFonts w:cs="Arial"/>
        </w:rPr>
        <w:t>categories o</w:t>
      </w:r>
      <w:r w:rsidR="006B07D8" w:rsidRPr="00134F5B">
        <w:rPr>
          <w:rFonts w:cs="Arial"/>
        </w:rPr>
        <w:t>f region</w:t>
      </w:r>
      <w:r w:rsidR="00DE673A">
        <w:rPr>
          <w:rFonts w:cs="Arial"/>
        </w:rPr>
        <w:t xml:space="preserve"> </w:t>
      </w:r>
      <w:r w:rsidR="006B07D8" w:rsidRPr="00134F5B">
        <w:rPr>
          <w:rFonts w:cs="Arial"/>
        </w:rPr>
        <w:t xml:space="preserve">and </w:t>
      </w:r>
      <w:r w:rsidR="00DE673A">
        <w:rPr>
          <w:rFonts w:cs="Arial"/>
        </w:rPr>
        <w:t xml:space="preserve">the </w:t>
      </w:r>
      <w:r w:rsidR="006B07D8" w:rsidRPr="00DE673A">
        <w:t xml:space="preserve">specific allocation for the </w:t>
      </w:r>
      <w:r w:rsidR="00244965" w:rsidRPr="00DE673A">
        <w:t>Youth Employment Initiative (</w:t>
      </w:r>
      <w:r w:rsidR="006B07D8" w:rsidRPr="00DE673A">
        <w:t>YEI</w:t>
      </w:r>
      <w:r w:rsidR="00DE673A">
        <w:t>)</w:t>
      </w:r>
      <w:r w:rsidR="007A6562">
        <w:t xml:space="preserve"> and for the outermost </w:t>
      </w:r>
      <w:r w:rsidR="00061BC0">
        <w:t xml:space="preserve">and </w:t>
      </w:r>
      <w:r w:rsidR="00061BC0" w:rsidRPr="00061BC0">
        <w:t>northern sparsely</w:t>
      </w:r>
      <w:r w:rsidR="00061BC0">
        <w:t xml:space="preserve"> </w:t>
      </w:r>
      <w:r w:rsidR="00061BC0" w:rsidRPr="00061BC0">
        <w:t xml:space="preserve">populated </w:t>
      </w:r>
      <w:r w:rsidR="007A6562">
        <w:t>regions</w:t>
      </w:r>
      <w:r w:rsidR="006B07D8" w:rsidRPr="00DE673A">
        <w:rPr>
          <w:rFonts w:cs="Arial"/>
        </w:rPr>
        <w:t>.</w:t>
      </w:r>
      <w:r w:rsidR="006B07D8" w:rsidRPr="00134F5B">
        <w:rPr>
          <w:rFonts w:cs="Arial"/>
        </w:rPr>
        <w:t xml:space="preserve"> All commitment</w:t>
      </w:r>
      <w:r w:rsidR="00244965" w:rsidRPr="00134F5B">
        <w:rPr>
          <w:rFonts w:cs="Arial"/>
        </w:rPr>
        <w:t>s</w:t>
      </w:r>
      <w:r w:rsidR="000166B4">
        <w:rPr>
          <w:rFonts w:cs="Arial"/>
        </w:rPr>
        <w:t xml:space="preserve"> in an OP</w:t>
      </w:r>
      <w:r w:rsidR="00383E48">
        <w:rPr>
          <w:rFonts w:cs="Arial"/>
        </w:rPr>
        <w:t xml:space="preserve">, </w:t>
      </w:r>
      <w:r w:rsidR="00383E48" w:rsidRPr="00134F5B">
        <w:rPr>
          <w:rFonts w:cs="Arial"/>
        </w:rPr>
        <w:t xml:space="preserve">all the pre-financing and all the submitted payment applications </w:t>
      </w:r>
      <w:r w:rsidR="00E52AAC">
        <w:rPr>
          <w:rFonts w:cs="Arial"/>
        </w:rPr>
        <w:t>for</w:t>
      </w:r>
      <w:r w:rsidR="006B07D8" w:rsidRPr="00134F5B">
        <w:rPr>
          <w:rFonts w:cs="Arial"/>
        </w:rPr>
        <w:t xml:space="preserve"> a</w:t>
      </w:r>
      <w:r w:rsidR="00B4125F">
        <w:rPr>
          <w:rFonts w:cs="Arial"/>
        </w:rPr>
        <w:t>n</w:t>
      </w:r>
      <w:r w:rsidR="006B07D8" w:rsidRPr="00134F5B">
        <w:rPr>
          <w:rFonts w:cs="Arial"/>
        </w:rPr>
        <w:t xml:space="preserve"> OP will be considered together for </w:t>
      </w:r>
      <w:r w:rsidR="00383E48">
        <w:rPr>
          <w:rFonts w:cs="Arial"/>
        </w:rPr>
        <w:t xml:space="preserve">the purpose of </w:t>
      </w:r>
      <w:r w:rsidR="006B07D8" w:rsidRPr="00134F5B">
        <w:rPr>
          <w:rFonts w:cs="Arial"/>
        </w:rPr>
        <w:t xml:space="preserve">calculating the </w:t>
      </w:r>
      <w:r w:rsidR="00663CD6">
        <w:rPr>
          <w:rFonts w:cs="Arial"/>
        </w:rPr>
        <w:t xml:space="preserve">amount to </w:t>
      </w:r>
      <w:r w:rsidR="006B07D8" w:rsidRPr="00134F5B">
        <w:rPr>
          <w:rFonts w:cs="Arial"/>
        </w:rPr>
        <w:t>de</w:t>
      </w:r>
      <w:r w:rsidR="00704C9D">
        <w:rPr>
          <w:rFonts w:cs="Arial"/>
        </w:rPr>
        <w:t>commit.</w:t>
      </w:r>
    </w:p>
    <w:p w:rsidR="00375575" w:rsidRDefault="00375575" w:rsidP="003E12FE">
      <w:pPr>
        <w:jc w:val="both"/>
        <w:rPr>
          <w:rFonts w:cs="Arial"/>
        </w:rPr>
      </w:pPr>
      <w:r w:rsidRPr="00375575">
        <w:rPr>
          <w:rFonts w:cs="Arial"/>
        </w:rPr>
        <w:lastRenderedPageBreak/>
        <w:t>This approach</w:t>
      </w:r>
      <w:r w:rsidR="009A680B">
        <w:rPr>
          <w:rFonts w:cs="Arial"/>
        </w:rPr>
        <w:t xml:space="preserve">, when determining the amount </w:t>
      </w:r>
      <w:r w:rsidR="00663CD6">
        <w:rPr>
          <w:rFonts w:cs="Arial"/>
        </w:rPr>
        <w:t>of the decommitment</w:t>
      </w:r>
      <w:r w:rsidR="009A680B">
        <w:rPr>
          <w:rFonts w:cs="Arial"/>
        </w:rPr>
        <w:t>,</w:t>
      </w:r>
      <w:r w:rsidRPr="00375575">
        <w:rPr>
          <w:rFonts w:cs="Arial"/>
        </w:rPr>
        <w:t xml:space="preserve"> thus allows for compensation between categories of region and between Funds. Or, to put it differently, it allows that for programmes covering </w:t>
      </w:r>
      <w:r w:rsidRPr="004134E6">
        <w:t>more</w:t>
      </w:r>
      <w:r w:rsidRPr="00375575">
        <w:rPr>
          <w:rFonts w:cs="Arial"/>
        </w:rPr>
        <w:t xml:space="preserve"> than one category of region, a region that is better performing can compensate for a category of region that is (initially or temporally) implementing at a slower pace. The same </w:t>
      </w:r>
      <w:r w:rsidR="009A680B">
        <w:rPr>
          <w:rFonts w:cs="Arial"/>
        </w:rPr>
        <w:t>applies</w:t>
      </w:r>
      <w:r w:rsidRPr="00375575">
        <w:rPr>
          <w:rFonts w:cs="Arial"/>
        </w:rPr>
        <w:t xml:space="preserve"> for a multi-fund programme where one Fund is performing better than the other </w:t>
      </w:r>
      <w:r w:rsidR="00383E48">
        <w:rPr>
          <w:rFonts w:cs="Arial"/>
        </w:rPr>
        <w:t xml:space="preserve">compensation is possible between </w:t>
      </w:r>
      <w:r w:rsidR="00A01CD7">
        <w:rPr>
          <w:rFonts w:cs="Arial"/>
        </w:rPr>
        <w:t>Funds</w:t>
      </w:r>
      <w:r w:rsidRPr="00375575">
        <w:rPr>
          <w:rFonts w:cs="Arial"/>
        </w:rPr>
        <w:t xml:space="preserve">. It also allows for compensations between the ESF and the YEI specific allocation (and even with the ERDF in case of a multi-fund programme) for calculating the </w:t>
      </w:r>
      <w:r w:rsidR="00663CD6">
        <w:rPr>
          <w:rFonts w:cs="Arial"/>
        </w:rPr>
        <w:t xml:space="preserve">amount of the </w:t>
      </w:r>
      <w:r w:rsidRPr="00375575">
        <w:rPr>
          <w:rFonts w:cs="Arial"/>
        </w:rPr>
        <w:t>decommitment.</w:t>
      </w:r>
    </w:p>
    <w:p w:rsidR="00041B6A" w:rsidRPr="00134F5B" w:rsidRDefault="006B07D8" w:rsidP="003E12FE">
      <w:pPr>
        <w:jc w:val="both"/>
        <w:rPr>
          <w:rFonts w:cs="Arial"/>
        </w:rPr>
      </w:pPr>
      <w:r w:rsidRPr="00134F5B">
        <w:rPr>
          <w:rFonts w:cs="Arial"/>
        </w:rPr>
        <w:t>This means the following:</w:t>
      </w:r>
    </w:p>
    <w:p w:rsidR="004134E6" w:rsidRDefault="001150AB" w:rsidP="00704C9D">
      <w:pPr>
        <w:keepNext/>
        <w:spacing w:before="240" w:after="0"/>
        <w:jc w:val="both"/>
      </w:pPr>
      <w:r w:rsidRPr="00802210">
        <w:rPr>
          <w:b/>
        </w:rPr>
        <w:t>For 31/12/2017:</w:t>
      </w:r>
    </w:p>
    <w:p w:rsidR="00ED6765" w:rsidRPr="00EB7539" w:rsidRDefault="006B07D8" w:rsidP="00704C9D">
      <w:pPr>
        <w:spacing w:after="120"/>
        <w:jc w:val="both"/>
      </w:pPr>
      <w:r w:rsidRPr="00134F5B">
        <w:rPr>
          <w:rFonts w:cs="Arial"/>
        </w:rPr>
        <w:t>All m</w:t>
      </w:r>
      <w:r w:rsidR="001150AB" w:rsidRPr="00134F5B">
        <w:rPr>
          <w:rFonts w:cs="Arial"/>
        </w:rPr>
        <w:t>ain</w:t>
      </w:r>
      <w:r w:rsidR="001150AB" w:rsidRPr="00802210">
        <w:t xml:space="preserve"> allocations until 2014</w:t>
      </w:r>
      <w:r w:rsidR="001150AB" w:rsidRPr="00802210">
        <w:rPr>
          <w:rStyle w:val="FootnoteReference"/>
          <w:color w:val="222222"/>
        </w:rPr>
        <w:footnoteReference w:id="4"/>
      </w:r>
      <w:r w:rsidR="001150AB" w:rsidRPr="00802210">
        <w:t xml:space="preserve"> </w:t>
      </w:r>
      <w:r w:rsidR="009A680B" w:rsidRPr="00134F5B">
        <w:rPr>
          <w:rFonts w:cs="Arial"/>
        </w:rPr>
        <w:t>of the OP</w:t>
      </w:r>
      <w:r w:rsidR="009A680B" w:rsidRPr="009A680B">
        <w:t xml:space="preserve"> </w:t>
      </w:r>
      <w:r w:rsidR="001150AB" w:rsidRPr="00802210">
        <w:t>(as indicated in the Financial Plan in force on 31/12/2017</w:t>
      </w:r>
      <w:r w:rsidR="00CD46D1" w:rsidRPr="00802210">
        <w:t>)</w:t>
      </w:r>
      <w:r w:rsidRPr="00134F5B">
        <w:rPr>
          <w:rFonts w:cs="Arial"/>
        </w:rPr>
        <w:t xml:space="preserve"> </w:t>
      </w:r>
      <w:r w:rsidR="00712442">
        <w:rPr>
          <w:rFonts w:cs="Arial"/>
        </w:rPr>
        <w:t>covering</w:t>
      </w:r>
      <w:r w:rsidRPr="00134F5B">
        <w:rPr>
          <w:rFonts w:cs="Arial"/>
        </w:rPr>
        <w:t xml:space="preserve"> all Funds, all categories of region</w:t>
      </w:r>
      <w:r w:rsidR="00244965" w:rsidRPr="00134F5B">
        <w:rPr>
          <w:rFonts w:cs="Arial"/>
        </w:rPr>
        <w:t>,</w:t>
      </w:r>
      <w:r w:rsidR="00375575">
        <w:rPr>
          <w:rFonts w:cs="Arial"/>
        </w:rPr>
        <w:t xml:space="preserve"> including</w:t>
      </w:r>
      <w:r w:rsidR="00244965" w:rsidRPr="00134F5B">
        <w:rPr>
          <w:rFonts w:cs="Arial"/>
        </w:rPr>
        <w:t xml:space="preserve"> </w:t>
      </w:r>
      <w:r w:rsidR="00244965" w:rsidRPr="00DE673A">
        <w:t>the speci</w:t>
      </w:r>
      <w:r w:rsidR="00375575" w:rsidRPr="00DE673A">
        <w:t>fi</w:t>
      </w:r>
      <w:r w:rsidR="00244965" w:rsidRPr="00DE673A">
        <w:t>c allocation fo</w:t>
      </w:r>
      <w:r w:rsidRPr="00DE673A">
        <w:t>r</w:t>
      </w:r>
      <w:r w:rsidR="00244965" w:rsidRPr="00DE673A">
        <w:t xml:space="preserve"> </w:t>
      </w:r>
      <w:r w:rsidRPr="00DE673A">
        <w:t>the YEI</w:t>
      </w:r>
      <w:r w:rsidR="00061BC0">
        <w:t xml:space="preserve"> </w:t>
      </w:r>
      <w:r w:rsidR="002F4F6A" w:rsidRPr="00DE673A">
        <w:rPr>
          <w:rFonts w:cs="Arial"/>
        </w:rPr>
        <w:t xml:space="preserve">and the allocation for the </w:t>
      </w:r>
      <w:r w:rsidR="002F4F6A" w:rsidRPr="00DE673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rsidRPr="00DE673A">
        <w:t>regions</w:t>
      </w:r>
      <w:r w:rsidR="004362BA">
        <w:rPr>
          <w:rFonts w:cs="Arial"/>
        </w:rPr>
        <w:t>.</w:t>
      </w:r>
    </w:p>
    <w:p w:rsidR="00ED6765" w:rsidRPr="00EB7539" w:rsidRDefault="00375575" w:rsidP="00704C9D">
      <w:pPr>
        <w:pStyle w:val="ListParagraph"/>
        <w:numPr>
          <w:ilvl w:val="0"/>
          <w:numId w:val="10"/>
        </w:numPr>
        <w:spacing w:after="80"/>
        <w:ind w:left="714" w:hanging="357"/>
        <w:contextualSpacing w:val="0"/>
        <w:jc w:val="both"/>
      </w:pPr>
      <w:r w:rsidRPr="00DE673A">
        <w:rPr>
          <w:rFonts w:cs="Arial"/>
        </w:rPr>
        <w:t>minus</w:t>
      </w:r>
      <w:r w:rsidRPr="00EB7539">
        <w:t xml:space="preserve"> </w:t>
      </w:r>
      <w:r w:rsidR="00ED6765" w:rsidRPr="00802210">
        <w:t xml:space="preserve">the initial pre-financing due in accordance with Article 134 of </w:t>
      </w:r>
      <w:r w:rsidR="00CD46D1" w:rsidRPr="00802210">
        <w:t>the CPR for 2014, 2015 and 2016</w:t>
      </w:r>
    </w:p>
    <w:p w:rsidR="00ED6765" w:rsidRPr="00EB7539" w:rsidRDefault="00375575" w:rsidP="00704C9D">
      <w:pPr>
        <w:pStyle w:val="ListParagraph"/>
        <w:numPr>
          <w:ilvl w:val="0"/>
          <w:numId w:val="10"/>
        </w:numPr>
        <w:spacing w:after="80"/>
        <w:ind w:left="714" w:hanging="357"/>
        <w:contextualSpacing w:val="0"/>
        <w:jc w:val="both"/>
      </w:pPr>
      <w:r w:rsidRPr="00DE673A">
        <w:rPr>
          <w:rFonts w:cs="Arial"/>
        </w:rPr>
        <w:t>minus</w:t>
      </w:r>
      <w:r w:rsidR="00ED6765" w:rsidRPr="00EB7539">
        <w:t xml:space="preserve"> </w:t>
      </w:r>
      <w:r w:rsidR="00ED6765" w:rsidRPr="00802210">
        <w:t xml:space="preserve">annual </w:t>
      </w:r>
      <w:r w:rsidR="00ED6765" w:rsidRPr="00704C9D">
        <w:t>pre</w:t>
      </w:r>
      <w:r w:rsidR="00ED6765" w:rsidRPr="00802210">
        <w:t>-financing due in accordance with Article 134 of the CPR for 2016, 2017</w:t>
      </w:r>
    </w:p>
    <w:p w:rsidR="00ED6765" w:rsidRPr="00EB7539" w:rsidRDefault="00375575" w:rsidP="00704C9D">
      <w:pPr>
        <w:pStyle w:val="ListParagraph"/>
        <w:numPr>
          <w:ilvl w:val="0"/>
          <w:numId w:val="10"/>
        </w:numPr>
        <w:spacing w:after="80"/>
        <w:ind w:left="714" w:hanging="357"/>
        <w:contextualSpacing w:val="0"/>
        <w:jc w:val="both"/>
      </w:pPr>
      <w:r w:rsidRPr="00DE673A">
        <w:rPr>
          <w:rFonts w:cs="Arial"/>
        </w:rPr>
        <w:t>minus</w:t>
      </w:r>
      <w:r w:rsidR="00ED6765" w:rsidRPr="00EB7539">
        <w:t xml:space="preserve"> </w:t>
      </w:r>
      <w:r w:rsidR="00ED6765" w:rsidRPr="00802210">
        <w:t>payment applications drawn up in accordance with Art. 131 of the CPR and submitted by 31/12/2017</w:t>
      </w:r>
    </w:p>
    <w:p w:rsidR="003D4754" w:rsidRDefault="003D4754" w:rsidP="00C36688">
      <w:pPr>
        <w:pStyle w:val="ListParagraph"/>
        <w:jc w:val="both"/>
        <w:rPr>
          <w:rFonts w:cs="Arial"/>
        </w:rPr>
      </w:pPr>
      <w:r w:rsidRPr="00DE673A">
        <w:rPr>
          <w:rFonts w:cs="Arial"/>
        </w:rPr>
        <w:t>for all Funds, all categories of region</w:t>
      </w:r>
      <w:r w:rsidR="00645C13" w:rsidRPr="00DE673A">
        <w:rPr>
          <w:rFonts w:cs="Arial"/>
        </w:rPr>
        <w:t xml:space="preserve"> and</w:t>
      </w:r>
      <w:r w:rsidRPr="00DE673A">
        <w:rPr>
          <w:rFonts w:cs="Arial"/>
        </w:rPr>
        <w:t xml:space="preserve"> the </w:t>
      </w:r>
      <w:r w:rsidR="007727CF" w:rsidRPr="00DE673A">
        <w:t>specific</w:t>
      </w:r>
      <w:r w:rsidRPr="00DE673A">
        <w:t xml:space="preserve"> allocation for the YEI </w:t>
      </w:r>
      <w:r w:rsidR="002F4F6A" w:rsidRPr="00DE673A">
        <w:rPr>
          <w:rFonts w:cs="Arial"/>
        </w:rPr>
        <w:t xml:space="preserve">and the allocation for the </w:t>
      </w:r>
      <w:r w:rsidR="002F4F6A" w:rsidRPr="00DE673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rsidRPr="00DE673A">
        <w:t>regions</w:t>
      </w:r>
      <w:r w:rsidR="002F4F6A" w:rsidRPr="00DE673A">
        <w:rPr>
          <w:rFonts w:cs="Arial"/>
        </w:rPr>
        <w:t xml:space="preserve"> </w:t>
      </w:r>
      <w:r w:rsidR="00712442" w:rsidRPr="00DE673A">
        <w:t>of the OP</w:t>
      </w:r>
    </w:p>
    <w:p w:rsidR="004134E6" w:rsidRDefault="001150AB" w:rsidP="00704C9D">
      <w:pPr>
        <w:keepNext/>
        <w:spacing w:before="240" w:after="0"/>
        <w:jc w:val="both"/>
      </w:pPr>
      <w:r w:rsidRPr="00EB7539">
        <w:rPr>
          <w:b/>
        </w:rPr>
        <w:t>For 31/12/2018:</w:t>
      </w:r>
    </w:p>
    <w:p w:rsidR="00ED6765" w:rsidRPr="00EB7539" w:rsidRDefault="006B07D8" w:rsidP="00704C9D">
      <w:pPr>
        <w:spacing w:after="120"/>
        <w:jc w:val="both"/>
      </w:pPr>
      <w:r w:rsidRPr="00134F5B">
        <w:rPr>
          <w:rFonts w:cs="Arial"/>
        </w:rPr>
        <w:t>All m</w:t>
      </w:r>
      <w:r w:rsidR="001150AB" w:rsidRPr="00134F5B">
        <w:rPr>
          <w:rFonts w:cs="Arial"/>
        </w:rPr>
        <w:t>ain</w:t>
      </w:r>
      <w:r w:rsidR="001150AB" w:rsidRPr="00EB7539">
        <w:t xml:space="preserve"> </w:t>
      </w:r>
      <w:r w:rsidR="001150AB" w:rsidRPr="00802210">
        <w:t xml:space="preserve">allocations up to 2015 </w:t>
      </w:r>
      <w:r w:rsidR="00712442" w:rsidRPr="00134F5B">
        <w:rPr>
          <w:rFonts w:cs="Arial"/>
        </w:rPr>
        <w:t>of the OP</w:t>
      </w:r>
      <w:r w:rsidR="00712442" w:rsidRPr="00712442">
        <w:t xml:space="preserve"> </w:t>
      </w:r>
      <w:r w:rsidR="001150AB" w:rsidRPr="00802210">
        <w:t>(as indicated in the Financial Plan in force on 31/12/2018</w:t>
      </w:r>
      <w:r w:rsidR="00CD46D1" w:rsidRPr="00802210">
        <w:t>)</w:t>
      </w:r>
      <w:r w:rsidRPr="00134F5B">
        <w:rPr>
          <w:rFonts w:cs="Arial"/>
        </w:rPr>
        <w:t xml:space="preserve"> </w:t>
      </w:r>
      <w:r w:rsidR="00712442">
        <w:rPr>
          <w:rFonts w:cs="Arial"/>
        </w:rPr>
        <w:t>covering</w:t>
      </w:r>
      <w:r w:rsidRPr="00134F5B">
        <w:rPr>
          <w:rFonts w:cs="Arial"/>
        </w:rPr>
        <w:t xml:space="preserve"> all Funds, all categories of region</w:t>
      </w:r>
      <w:r w:rsidR="00244965" w:rsidRPr="00134F5B">
        <w:rPr>
          <w:rFonts w:cs="Arial"/>
        </w:rPr>
        <w:t xml:space="preserve">, the </w:t>
      </w:r>
      <w:r w:rsidR="007727CF" w:rsidRPr="00134F5B">
        <w:rPr>
          <w:rFonts w:cs="Arial"/>
        </w:rPr>
        <w:t>specific</w:t>
      </w:r>
      <w:r w:rsidR="00244965" w:rsidRPr="00134F5B">
        <w:rPr>
          <w:rFonts w:cs="Arial"/>
        </w:rPr>
        <w:t xml:space="preserve"> allocation fo</w:t>
      </w:r>
      <w:r w:rsidRPr="00134F5B">
        <w:rPr>
          <w:rFonts w:cs="Arial"/>
        </w:rPr>
        <w:t>r</w:t>
      </w:r>
      <w:r w:rsidR="00244965" w:rsidRPr="00134F5B">
        <w:rPr>
          <w:rFonts w:cs="Arial"/>
        </w:rPr>
        <w:t xml:space="preserve"> </w:t>
      </w:r>
      <w:r w:rsidRPr="00134F5B">
        <w:rPr>
          <w:rFonts w:cs="Arial"/>
        </w:rPr>
        <w:t>the YE</w:t>
      </w:r>
      <w:r w:rsidR="00061BC0">
        <w:rPr>
          <w:rFonts w:cs="Arial"/>
        </w:rPr>
        <w:t>I</w:t>
      </w:r>
      <w:r w:rsidR="002F4F6A">
        <w:rPr>
          <w:rFonts w:cs="Arial"/>
        </w:rPr>
        <w:t xml:space="preserve"> 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Pr="00134F5B">
        <w:rPr>
          <w:rFonts w:cs="Arial"/>
        </w:rPr>
        <w:t>.</w:t>
      </w:r>
    </w:p>
    <w:p w:rsidR="00ED6765" w:rsidRPr="00EB7539" w:rsidRDefault="00375575"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802210">
        <w:t xml:space="preserve">the </w:t>
      </w:r>
      <w:r w:rsidR="001150AB" w:rsidRPr="004134E6">
        <w:rPr>
          <w:rFonts w:cs="Arial"/>
        </w:rPr>
        <w:t>initial</w:t>
      </w:r>
      <w:r w:rsidR="001150AB" w:rsidRPr="00802210">
        <w:t xml:space="preserve"> pre-financing </w:t>
      </w:r>
      <w:r w:rsidR="00ED6765" w:rsidRPr="00802210">
        <w:t xml:space="preserve">due in accordance with Article 134 of the CPR </w:t>
      </w:r>
      <w:r w:rsidR="00CD46D1" w:rsidRPr="00802210">
        <w:t>for 2014, 2015 and 2016</w:t>
      </w:r>
    </w:p>
    <w:p w:rsidR="00ED6765" w:rsidRPr="00802210" w:rsidRDefault="00375575" w:rsidP="00704C9D">
      <w:pPr>
        <w:pStyle w:val="ListParagraph"/>
        <w:numPr>
          <w:ilvl w:val="0"/>
          <w:numId w:val="10"/>
        </w:numPr>
        <w:spacing w:after="80"/>
        <w:ind w:left="714" w:hanging="357"/>
        <w:contextualSpacing w:val="0"/>
        <w:jc w:val="both"/>
      </w:pPr>
      <w:r>
        <w:rPr>
          <w:rFonts w:cs="Arial"/>
        </w:rPr>
        <w:t>minus</w:t>
      </w:r>
      <w:r w:rsidRPr="00EB7539">
        <w:t xml:space="preserve"> </w:t>
      </w:r>
      <w:r w:rsidR="001150AB" w:rsidRPr="00802210">
        <w:t xml:space="preserve">annual pre-financing </w:t>
      </w:r>
      <w:r w:rsidR="00ED6765" w:rsidRPr="00802210">
        <w:t xml:space="preserve">due in accordance with Article 134 of the CPR </w:t>
      </w:r>
      <w:r w:rsidR="00CD46D1" w:rsidRPr="00802210">
        <w:t>for 2016, 2017 and 2018</w:t>
      </w:r>
    </w:p>
    <w:p w:rsidR="001150AB" w:rsidRPr="00EB7539" w:rsidRDefault="00375575" w:rsidP="00704C9D">
      <w:pPr>
        <w:pStyle w:val="ListParagraph"/>
        <w:numPr>
          <w:ilvl w:val="0"/>
          <w:numId w:val="10"/>
        </w:numPr>
        <w:spacing w:after="80"/>
        <w:ind w:left="714" w:hanging="357"/>
        <w:contextualSpacing w:val="0"/>
        <w:jc w:val="both"/>
      </w:pPr>
      <w:r>
        <w:rPr>
          <w:rFonts w:cs="Arial"/>
        </w:rPr>
        <w:t>minus</w:t>
      </w:r>
      <w:r w:rsidRPr="00EB7539">
        <w:t xml:space="preserve"> </w:t>
      </w:r>
      <w:r w:rsidR="001150AB" w:rsidRPr="004134E6">
        <w:rPr>
          <w:rFonts w:cs="Arial"/>
        </w:rPr>
        <w:t>payment</w:t>
      </w:r>
      <w:r w:rsidR="001150AB" w:rsidRPr="00802210">
        <w:t xml:space="preserve"> applications </w:t>
      </w:r>
      <w:r w:rsidR="00ED6765" w:rsidRPr="00802210">
        <w:t xml:space="preserve">drawn up in accordance with Art. 131 of the CPR and </w:t>
      </w:r>
      <w:r w:rsidR="001150AB" w:rsidRPr="00802210">
        <w:t>submitted by 31/12/2018</w:t>
      </w:r>
    </w:p>
    <w:p w:rsidR="003D4754" w:rsidRPr="00134F5B" w:rsidRDefault="003D4754" w:rsidP="00C36688">
      <w:pPr>
        <w:pStyle w:val="ListParagraph"/>
        <w:jc w:val="both"/>
        <w:rPr>
          <w:rFonts w:cs="Arial"/>
        </w:rPr>
      </w:pPr>
      <w:r w:rsidRPr="003D4754">
        <w:rPr>
          <w:rFonts w:cs="Arial"/>
        </w:rPr>
        <w:t>for all Funds, all categories of region</w:t>
      </w:r>
      <w:r w:rsidR="00645C13">
        <w:rPr>
          <w:rFonts w:cs="Arial"/>
        </w:rPr>
        <w:t xml:space="preserve"> and</w:t>
      </w:r>
      <w:r w:rsidRPr="003D4754">
        <w:rPr>
          <w:rFonts w:cs="Arial"/>
        </w:rPr>
        <w:t xml:space="preserve"> the </w:t>
      </w:r>
      <w:r w:rsidR="007727CF" w:rsidRPr="003D4754">
        <w:rPr>
          <w:rFonts w:cs="Arial"/>
        </w:rPr>
        <w:t>specific</w:t>
      </w:r>
      <w:r w:rsidRPr="003D4754">
        <w:rPr>
          <w:rFonts w:cs="Arial"/>
        </w:rPr>
        <w:t xml:space="preserve"> allocation for the YEI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2F4F6A" w:rsidRPr="00134F5B">
        <w:rPr>
          <w:rFonts w:cs="Arial"/>
        </w:rPr>
        <w:t xml:space="preserve"> </w:t>
      </w:r>
      <w:r w:rsidR="00712442" w:rsidRPr="003D4754">
        <w:rPr>
          <w:rFonts w:cs="Arial"/>
        </w:rPr>
        <w:t>of the OP</w:t>
      </w:r>
    </w:p>
    <w:p w:rsidR="004134E6" w:rsidRDefault="001150AB" w:rsidP="00704C9D">
      <w:pPr>
        <w:keepNext/>
        <w:spacing w:before="240" w:after="0"/>
        <w:jc w:val="both"/>
        <w:rPr>
          <w:b/>
        </w:rPr>
      </w:pPr>
      <w:r w:rsidRPr="00EB7539">
        <w:rPr>
          <w:b/>
        </w:rPr>
        <w:lastRenderedPageBreak/>
        <w:t>For 31/12/2019:</w:t>
      </w:r>
    </w:p>
    <w:p w:rsidR="00ED6765" w:rsidRPr="00EB7539" w:rsidRDefault="00244965" w:rsidP="00704C9D">
      <w:pPr>
        <w:spacing w:after="120"/>
        <w:jc w:val="both"/>
      </w:pPr>
      <w:r w:rsidRPr="00134F5B">
        <w:rPr>
          <w:rFonts w:cs="Arial"/>
        </w:rPr>
        <w:t>All m</w:t>
      </w:r>
      <w:r w:rsidR="001150AB" w:rsidRPr="00134F5B">
        <w:rPr>
          <w:rFonts w:cs="Arial"/>
        </w:rPr>
        <w:t>ain</w:t>
      </w:r>
      <w:r w:rsidR="001150AB" w:rsidRPr="00EB7539">
        <w:t xml:space="preserve"> </w:t>
      </w:r>
      <w:r w:rsidR="001150AB" w:rsidRPr="00802210">
        <w:t xml:space="preserve">allocations up to 2016 </w:t>
      </w:r>
      <w:r w:rsidR="00712442" w:rsidRPr="00134F5B">
        <w:rPr>
          <w:rFonts w:cs="Arial"/>
        </w:rPr>
        <w:t>of the OP</w:t>
      </w:r>
      <w:r w:rsidR="00712442" w:rsidRPr="00712442">
        <w:t xml:space="preserve"> </w:t>
      </w:r>
      <w:r w:rsidR="001150AB" w:rsidRPr="00802210">
        <w:t>(as indicated in the Financial Plan in force on 31/12/2019</w:t>
      </w:r>
      <w:r w:rsidR="00CD46D1" w:rsidRPr="00802210">
        <w:t>)</w:t>
      </w:r>
      <w:r w:rsidR="006B07D8" w:rsidRPr="00134F5B">
        <w:rPr>
          <w:rFonts w:cs="Arial"/>
        </w:rPr>
        <w:t xml:space="preserve"> </w:t>
      </w:r>
      <w:r w:rsidR="00712442">
        <w:rPr>
          <w:rFonts w:cs="Arial"/>
        </w:rPr>
        <w:t>covering</w:t>
      </w:r>
      <w:r w:rsidR="006B07D8" w:rsidRPr="00134F5B">
        <w:rPr>
          <w:rFonts w:cs="Arial"/>
        </w:rPr>
        <w:t xml:space="preserve"> all Funds, all categories of region</w:t>
      </w:r>
      <w:r w:rsidRPr="00134F5B">
        <w:rPr>
          <w:rFonts w:cs="Arial"/>
        </w:rPr>
        <w:t xml:space="preserve">, the </w:t>
      </w:r>
      <w:r w:rsidR="007727CF" w:rsidRPr="00134F5B">
        <w:rPr>
          <w:rFonts w:cs="Arial"/>
        </w:rPr>
        <w:t>specific</w:t>
      </w:r>
      <w:r w:rsidRPr="00134F5B">
        <w:rPr>
          <w:rFonts w:cs="Arial"/>
        </w:rPr>
        <w:t xml:space="preserve"> allocation fo</w:t>
      </w:r>
      <w:r w:rsidR="006B07D8" w:rsidRPr="00134F5B">
        <w:rPr>
          <w:rFonts w:cs="Arial"/>
        </w:rPr>
        <w:t>r</w:t>
      </w:r>
      <w:r w:rsidRPr="00134F5B">
        <w:rPr>
          <w:rFonts w:cs="Arial"/>
        </w:rPr>
        <w:t xml:space="preserve"> </w:t>
      </w:r>
      <w:r w:rsidR="006B07D8" w:rsidRPr="00134F5B">
        <w:rPr>
          <w:rFonts w:cs="Arial"/>
        </w:rPr>
        <w:t>the YEI</w:t>
      </w:r>
      <w:r w:rsidR="002F4F6A">
        <w:rPr>
          <w:rFonts w:cs="Arial"/>
        </w:rPr>
        <w:t xml:space="preserve"> 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6B07D8" w:rsidRPr="00134F5B">
        <w:rPr>
          <w:rFonts w:cs="Arial"/>
        </w:rPr>
        <w:t>.</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802210">
        <w:t xml:space="preserve">the initial pre-financing due in accordance with Article 134 of </w:t>
      </w:r>
      <w:r w:rsidR="00CD46D1" w:rsidRPr="00802210">
        <w:t>the CPR for 2014, 2015 and 2016</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802210">
        <w:t>annual pre-financing due in accordance with Article 134 of the CPR for 2016, 2017, 2018 and 2019</w:t>
      </w:r>
    </w:p>
    <w:p w:rsidR="001150AB" w:rsidRPr="00EB7539" w:rsidRDefault="003D4754" w:rsidP="00704C9D">
      <w:pPr>
        <w:pStyle w:val="ListParagraph"/>
        <w:numPr>
          <w:ilvl w:val="0"/>
          <w:numId w:val="10"/>
        </w:numPr>
        <w:spacing w:after="80"/>
        <w:ind w:left="714" w:hanging="357"/>
        <w:contextualSpacing w:val="0"/>
        <w:jc w:val="both"/>
        <w:rPr>
          <w:b/>
        </w:rPr>
      </w:pPr>
      <w:r>
        <w:rPr>
          <w:rFonts w:cs="Arial"/>
        </w:rPr>
        <w:t>minus</w:t>
      </w:r>
      <w:r w:rsidRPr="00EB7539">
        <w:t xml:space="preserve"> </w:t>
      </w:r>
      <w:r w:rsidR="00ED6765" w:rsidRPr="00802210">
        <w:t xml:space="preserve">payment </w:t>
      </w:r>
      <w:r w:rsidR="00ED6765" w:rsidRPr="00704C9D">
        <w:t>applications</w:t>
      </w:r>
      <w:r w:rsidR="00ED6765" w:rsidRPr="00802210">
        <w:t xml:space="preserve"> drawn up in accordance with Art. 131 of the CPR and submitted by 31/12/2019</w:t>
      </w:r>
    </w:p>
    <w:p w:rsidR="003D4754" w:rsidRPr="00134F5B" w:rsidRDefault="003D4754" w:rsidP="00C36688">
      <w:pPr>
        <w:pStyle w:val="ListParagraph"/>
        <w:jc w:val="both"/>
        <w:rPr>
          <w:rFonts w:cs="Arial"/>
          <w:b/>
        </w:rPr>
      </w:pPr>
      <w:r w:rsidRPr="00134F5B">
        <w:rPr>
          <w:rFonts w:cs="Arial"/>
        </w:rPr>
        <w:t>for all Funds, all categories of region</w:t>
      </w:r>
      <w:r w:rsidR="00645C13">
        <w:rPr>
          <w:rFonts w:cs="Arial"/>
        </w:rPr>
        <w:t xml:space="preserve"> and</w:t>
      </w:r>
      <w:r w:rsidRPr="00134F5B">
        <w:rPr>
          <w:rFonts w:cs="Arial"/>
        </w:rPr>
        <w:t xml:space="preserve"> the </w:t>
      </w:r>
      <w:r w:rsidR="005130DD">
        <w:rPr>
          <w:rFonts w:cs="Arial"/>
        </w:rPr>
        <w:t>specific</w:t>
      </w:r>
      <w:r w:rsidRPr="00134F5B">
        <w:rPr>
          <w:rFonts w:cs="Arial"/>
        </w:rPr>
        <w:t xml:space="preserve"> allocation for the YEI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2F4F6A" w:rsidRPr="00134F5B">
        <w:rPr>
          <w:rFonts w:cs="Arial"/>
        </w:rPr>
        <w:t xml:space="preserve"> </w:t>
      </w:r>
      <w:r w:rsidR="00712442" w:rsidRPr="00134F5B">
        <w:rPr>
          <w:rFonts w:cs="Arial"/>
        </w:rPr>
        <w:t>of the OP</w:t>
      </w:r>
    </w:p>
    <w:p w:rsidR="00661F54" w:rsidRDefault="001150AB" w:rsidP="00704C9D">
      <w:pPr>
        <w:keepNext/>
        <w:spacing w:before="240" w:after="0"/>
        <w:jc w:val="both"/>
      </w:pPr>
      <w:r w:rsidRPr="00EB7539">
        <w:rPr>
          <w:b/>
        </w:rPr>
        <w:t>For 31/12/2020:</w:t>
      </w:r>
    </w:p>
    <w:p w:rsidR="00ED6765" w:rsidRPr="00EB7539" w:rsidRDefault="00244965" w:rsidP="00704C9D">
      <w:pPr>
        <w:spacing w:after="120"/>
        <w:jc w:val="both"/>
      </w:pPr>
      <w:r w:rsidRPr="00134F5B">
        <w:rPr>
          <w:rFonts w:cs="Arial"/>
        </w:rPr>
        <w:t>All m</w:t>
      </w:r>
      <w:r w:rsidR="001150AB" w:rsidRPr="00134F5B">
        <w:rPr>
          <w:rFonts w:cs="Arial"/>
        </w:rPr>
        <w:t>ain</w:t>
      </w:r>
      <w:r w:rsidR="001150AB" w:rsidRPr="00EB7539">
        <w:t xml:space="preserve"> </w:t>
      </w:r>
      <w:r w:rsidR="001150AB" w:rsidRPr="00802210">
        <w:t xml:space="preserve">allocations up to 2017 </w:t>
      </w:r>
      <w:r w:rsidR="00712442" w:rsidRPr="00134F5B">
        <w:rPr>
          <w:rFonts w:cs="Arial"/>
        </w:rPr>
        <w:t>of the OP</w:t>
      </w:r>
      <w:r w:rsidR="00712442" w:rsidRPr="00712442">
        <w:t xml:space="preserve"> </w:t>
      </w:r>
      <w:r w:rsidR="001150AB" w:rsidRPr="00802210">
        <w:t>(as indicated in the Financial Plan in force on 31/12/2020)</w:t>
      </w:r>
      <w:r w:rsidRPr="00134F5B">
        <w:rPr>
          <w:rFonts w:cs="Arial"/>
        </w:rPr>
        <w:t xml:space="preserve"> </w:t>
      </w:r>
      <w:r w:rsidR="00712442">
        <w:rPr>
          <w:rFonts w:cs="Arial"/>
        </w:rPr>
        <w:t>covering</w:t>
      </w:r>
      <w:r w:rsidRPr="00134F5B">
        <w:rPr>
          <w:rFonts w:cs="Arial"/>
        </w:rPr>
        <w:t xml:space="preserve"> all Funds, all categories of region, the </w:t>
      </w:r>
      <w:r w:rsidR="007727CF" w:rsidRPr="00134F5B">
        <w:rPr>
          <w:rFonts w:cs="Arial"/>
        </w:rPr>
        <w:t>specific</w:t>
      </w:r>
      <w:r w:rsidRPr="00134F5B">
        <w:rPr>
          <w:rFonts w:cs="Arial"/>
        </w:rPr>
        <w:t xml:space="preserve"> allocation for the YEI</w:t>
      </w:r>
      <w:r w:rsidR="00061BC0">
        <w:rPr>
          <w:rFonts w:cs="Arial"/>
        </w:rPr>
        <w:t xml:space="preserve">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Pr="00134F5B">
        <w:rPr>
          <w:rFonts w:cs="Arial"/>
        </w:rPr>
        <w:t>.</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802210">
        <w:t xml:space="preserve">the initial pre-financing due in accordance with Article 134 of </w:t>
      </w:r>
      <w:r w:rsidR="00CD46D1" w:rsidRPr="00802210">
        <w:t>the CPR for 2014, 2015 and 2016</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4134E6">
        <w:rPr>
          <w:rFonts w:cs="Arial"/>
        </w:rPr>
        <w:t>annual</w:t>
      </w:r>
      <w:r w:rsidR="00ED6765" w:rsidRPr="00802210">
        <w:t xml:space="preserve"> pre-financing due in accordance with Article 134 of the CPR for 2016, 2017, 2018, 2019 and 2020</w:t>
      </w:r>
    </w:p>
    <w:p w:rsidR="003E12FE"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4134E6">
        <w:rPr>
          <w:rFonts w:cs="Arial"/>
        </w:rPr>
        <w:t>payment</w:t>
      </w:r>
      <w:r w:rsidR="00ED6765" w:rsidRPr="00802210">
        <w:t xml:space="preserve"> applications drawn up in accordance with Art. 131 of the CPR and submitted by 31/12/2020</w:t>
      </w:r>
    </w:p>
    <w:p w:rsidR="00DD418A" w:rsidRPr="00134F5B" w:rsidRDefault="00DD418A" w:rsidP="00C36688">
      <w:pPr>
        <w:pStyle w:val="ListParagraph"/>
        <w:jc w:val="both"/>
        <w:rPr>
          <w:rFonts w:cs="Arial"/>
        </w:rPr>
      </w:pPr>
      <w:r w:rsidRPr="00DD418A">
        <w:rPr>
          <w:rFonts w:cs="Arial"/>
        </w:rPr>
        <w:t>for all Funds, all categories of region</w:t>
      </w:r>
      <w:r w:rsidR="005130DD">
        <w:rPr>
          <w:rFonts w:cs="Arial"/>
        </w:rPr>
        <w:t xml:space="preserve"> and</w:t>
      </w:r>
      <w:r w:rsidRPr="00DD418A">
        <w:rPr>
          <w:rFonts w:cs="Arial"/>
        </w:rPr>
        <w:t xml:space="preserve"> the </w:t>
      </w:r>
      <w:r w:rsidR="007727CF" w:rsidRPr="00DD418A">
        <w:rPr>
          <w:rFonts w:cs="Arial"/>
        </w:rPr>
        <w:t>specific</w:t>
      </w:r>
      <w:r w:rsidRPr="00DD418A">
        <w:rPr>
          <w:rFonts w:cs="Arial"/>
        </w:rPr>
        <w:t xml:space="preserve"> allocation for the YEI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2F4F6A" w:rsidRPr="00134F5B">
        <w:rPr>
          <w:rFonts w:cs="Arial"/>
        </w:rPr>
        <w:t xml:space="preserve"> </w:t>
      </w:r>
      <w:r w:rsidR="00712442" w:rsidRPr="00DD418A">
        <w:rPr>
          <w:rFonts w:cs="Arial"/>
        </w:rPr>
        <w:t>of the OP</w:t>
      </w:r>
    </w:p>
    <w:p w:rsidR="00661F54" w:rsidRDefault="001150AB" w:rsidP="00704C9D">
      <w:pPr>
        <w:keepNext/>
        <w:spacing w:before="240" w:after="0"/>
        <w:jc w:val="both"/>
      </w:pPr>
      <w:r w:rsidRPr="00EB7539">
        <w:rPr>
          <w:b/>
        </w:rPr>
        <w:t>For 31/12/2021:</w:t>
      </w:r>
    </w:p>
    <w:p w:rsidR="00ED6765" w:rsidRPr="00EB7539" w:rsidRDefault="00244965" w:rsidP="00704C9D">
      <w:pPr>
        <w:spacing w:after="120"/>
        <w:jc w:val="both"/>
      </w:pPr>
      <w:r w:rsidRPr="00134F5B">
        <w:rPr>
          <w:rFonts w:cs="Arial"/>
        </w:rPr>
        <w:t>All m</w:t>
      </w:r>
      <w:r w:rsidR="001150AB" w:rsidRPr="00134F5B">
        <w:rPr>
          <w:rFonts w:cs="Arial"/>
        </w:rPr>
        <w:t>ain</w:t>
      </w:r>
      <w:r w:rsidR="001150AB" w:rsidRPr="00EB7539">
        <w:t xml:space="preserve"> </w:t>
      </w:r>
      <w:r w:rsidR="001150AB" w:rsidRPr="00802210">
        <w:t xml:space="preserve">allocations up to 2018 </w:t>
      </w:r>
      <w:r w:rsidR="00712442" w:rsidRPr="00134F5B">
        <w:rPr>
          <w:rFonts w:cs="Arial"/>
        </w:rPr>
        <w:t>of the OP</w:t>
      </w:r>
      <w:r w:rsidR="00712442" w:rsidRPr="00712442">
        <w:t xml:space="preserve"> </w:t>
      </w:r>
      <w:r w:rsidR="001150AB" w:rsidRPr="00802210">
        <w:t>(as indicated in the Financial Plan in force on 31/12/2021)</w:t>
      </w:r>
      <w:r w:rsidRPr="00134F5B">
        <w:rPr>
          <w:rFonts w:cs="Arial"/>
        </w:rPr>
        <w:t xml:space="preserve"> </w:t>
      </w:r>
      <w:r w:rsidR="00712442">
        <w:rPr>
          <w:rFonts w:cs="Arial"/>
        </w:rPr>
        <w:t>covering</w:t>
      </w:r>
      <w:r w:rsidRPr="00134F5B">
        <w:rPr>
          <w:rFonts w:cs="Arial"/>
        </w:rPr>
        <w:t xml:space="preserve"> all Funds, all categories of region, the </w:t>
      </w:r>
      <w:r w:rsidR="007727CF" w:rsidRPr="00134F5B">
        <w:rPr>
          <w:rFonts w:cs="Arial"/>
        </w:rPr>
        <w:t>specific</w:t>
      </w:r>
      <w:r w:rsidRPr="00134F5B">
        <w:rPr>
          <w:rFonts w:cs="Arial"/>
        </w:rPr>
        <w:t xml:space="preserve"> allocation for the YEI</w:t>
      </w:r>
      <w:r w:rsidR="00DE673A">
        <w:rPr>
          <w:rFonts w:cs="Arial"/>
        </w:rPr>
        <w:t xml:space="preserve">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2F4F6A" w:rsidRPr="00134F5B">
        <w:rPr>
          <w:rFonts w:cs="Arial"/>
        </w:rPr>
        <w:t xml:space="preserve"> </w:t>
      </w:r>
      <w:r w:rsidRPr="00134F5B">
        <w:rPr>
          <w:rFonts w:cs="Arial"/>
        </w:rPr>
        <w:t>.</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802210">
        <w:t xml:space="preserve">the initial pre-financing due in accordance with Article 134 of </w:t>
      </w:r>
      <w:r w:rsidR="00CD46D1" w:rsidRPr="00802210">
        <w:t>the CPR for 2014, 2015 and 2016</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EB7539">
        <w:t xml:space="preserve"> </w:t>
      </w:r>
      <w:r w:rsidR="00ED6765" w:rsidRPr="00802210">
        <w:t xml:space="preserve">annual </w:t>
      </w:r>
      <w:r w:rsidR="00ED6765" w:rsidRPr="004134E6">
        <w:rPr>
          <w:rFonts w:cs="Arial"/>
        </w:rPr>
        <w:t>pre</w:t>
      </w:r>
      <w:r w:rsidR="00ED6765" w:rsidRPr="00802210">
        <w:t>-financing due in accordance with Article 134 of the CPR for 2016, 2017, 2018, 2019, 2020 and 2021</w:t>
      </w:r>
    </w:p>
    <w:p w:rsidR="00ED6765" w:rsidRPr="00EB7539" w:rsidRDefault="003D4754" w:rsidP="00704C9D">
      <w:pPr>
        <w:pStyle w:val="ListParagraph"/>
        <w:numPr>
          <w:ilvl w:val="0"/>
          <w:numId w:val="10"/>
        </w:numPr>
        <w:spacing w:after="80"/>
        <w:ind w:left="714" w:hanging="357"/>
        <w:contextualSpacing w:val="0"/>
        <w:jc w:val="both"/>
      </w:pPr>
      <w:r>
        <w:rPr>
          <w:rFonts w:cs="Arial"/>
        </w:rPr>
        <w:t>minus</w:t>
      </w:r>
      <w:r w:rsidRPr="00802210">
        <w:t xml:space="preserve"> </w:t>
      </w:r>
      <w:r w:rsidR="00ED6765" w:rsidRPr="00802210">
        <w:t xml:space="preserve">payment </w:t>
      </w:r>
      <w:r w:rsidR="00ED6765" w:rsidRPr="004134E6">
        <w:rPr>
          <w:rFonts w:cs="Arial"/>
        </w:rPr>
        <w:t>applications</w:t>
      </w:r>
      <w:r w:rsidR="00ED6765" w:rsidRPr="00802210">
        <w:t xml:space="preserve"> drawn up in accordance with Art. 131 of the CPR and submitted by 31/12/2021</w:t>
      </w:r>
    </w:p>
    <w:p w:rsidR="00DD418A" w:rsidRPr="00134F5B" w:rsidRDefault="00DD418A" w:rsidP="00C36688">
      <w:pPr>
        <w:pStyle w:val="ListParagraph"/>
        <w:jc w:val="both"/>
        <w:rPr>
          <w:rFonts w:cs="Arial"/>
        </w:rPr>
      </w:pPr>
      <w:r w:rsidRPr="00DD418A">
        <w:rPr>
          <w:rFonts w:cs="Arial"/>
        </w:rPr>
        <w:t>for all Funds, all categories of region</w:t>
      </w:r>
      <w:r w:rsidR="007727CF">
        <w:rPr>
          <w:rFonts w:cs="Arial"/>
        </w:rPr>
        <w:t xml:space="preserve"> and</w:t>
      </w:r>
      <w:r w:rsidRPr="00DD418A">
        <w:rPr>
          <w:rFonts w:cs="Arial"/>
        </w:rPr>
        <w:t xml:space="preserve"> the </w:t>
      </w:r>
      <w:r w:rsidR="007727CF" w:rsidRPr="00DD418A">
        <w:rPr>
          <w:rFonts w:cs="Arial"/>
        </w:rPr>
        <w:t>specific</w:t>
      </w:r>
      <w:r w:rsidRPr="00DD418A">
        <w:rPr>
          <w:rFonts w:cs="Arial"/>
        </w:rPr>
        <w:t xml:space="preserve"> allocation for the YEI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2F4F6A" w:rsidRPr="00134F5B">
        <w:rPr>
          <w:rFonts w:cs="Arial"/>
        </w:rPr>
        <w:t xml:space="preserve"> </w:t>
      </w:r>
      <w:r w:rsidR="00712442" w:rsidRPr="00DD418A">
        <w:rPr>
          <w:rFonts w:cs="Arial"/>
        </w:rPr>
        <w:t>of the OP</w:t>
      </w:r>
    </w:p>
    <w:p w:rsidR="00661F54" w:rsidRDefault="001150AB" w:rsidP="00704C9D">
      <w:pPr>
        <w:keepNext/>
        <w:spacing w:before="240" w:after="0"/>
        <w:jc w:val="both"/>
      </w:pPr>
      <w:r w:rsidRPr="00EB7539">
        <w:rPr>
          <w:b/>
        </w:rPr>
        <w:lastRenderedPageBreak/>
        <w:t>For 31/12/2022:</w:t>
      </w:r>
    </w:p>
    <w:p w:rsidR="001150AB" w:rsidRPr="00EB7539" w:rsidRDefault="00244965" w:rsidP="00704C9D">
      <w:pPr>
        <w:spacing w:after="120"/>
        <w:jc w:val="both"/>
      </w:pPr>
      <w:r w:rsidRPr="00134F5B">
        <w:rPr>
          <w:rFonts w:cs="Arial"/>
        </w:rPr>
        <w:t>All m</w:t>
      </w:r>
      <w:r w:rsidR="001150AB" w:rsidRPr="00134F5B">
        <w:rPr>
          <w:rFonts w:cs="Arial"/>
        </w:rPr>
        <w:t>ain</w:t>
      </w:r>
      <w:r w:rsidR="001150AB" w:rsidRPr="00EB7539">
        <w:t xml:space="preserve"> </w:t>
      </w:r>
      <w:r w:rsidR="001150AB" w:rsidRPr="00802210">
        <w:t xml:space="preserve">allocations up to 2019 </w:t>
      </w:r>
      <w:r w:rsidR="00712442" w:rsidRPr="00134F5B">
        <w:rPr>
          <w:rFonts w:cs="Arial"/>
        </w:rPr>
        <w:t>of the OP</w:t>
      </w:r>
      <w:r w:rsidR="00712442" w:rsidRPr="00712442">
        <w:t xml:space="preserve"> </w:t>
      </w:r>
      <w:r w:rsidR="001150AB" w:rsidRPr="00802210">
        <w:t>(as indicated in the Financial Plan - in force on 31/12/2022)</w:t>
      </w:r>
      <w:r w:rsidRPr="00134F5B">
        <w:rPr>
          <w:rFonts w:cs="Arial"/>
        </w:rPr>
        <w:t xml:space="preserve"> </w:t>
      </w:r>
      <w:r w:rsidR="00712442">
        <w:rPr>
          <w:rFonts w:cs="Arial"/>
        </w:rPr>
        <w:t>covering</w:t>
      </w:r>
      <w:r w:rsidRPr="00134F5B">
        <w:rPr>
          <w:rFonts w:cs="Arial"/>
        </w:rPr>
        <w:t xml:space="preserve"> all Funds, all categories of region, the </w:t>
      </w:r>
      <w:r w:rsidR="007727CF" w:rsidRPr="00134F5B">
        <w:rPr>
          <w:rFonts w:cs="Arial"/>
        </w:rPr>
        <w:t>specific</w:t>
      </w:r>
      <w:r w:rsidRPr="00134F5B">
        <w:rPr>
          <w:rFonts w:cs="Arial"/>
        </w:rPr>
        <w:t xml:space="preserve"> allocation for</w:t>
      </w:r>
      <w:r w:rsidR="007727CF">
        <w:rPr>
          <w:rFonts w:cs="Arial"/>
        </w:rPr>
        <w:t xml:space="preserve"> </w:t>
      </w:r>
      <w:r w:rsidRPr="00134F5B">
        <w:rPr>
          <w:rFonts w:cs="Arial"/>
        </w:rPr>
        <w:t>the YEI</w:t>
      </w:r>
      <w:r w:rsidR="002F4F6A" w:rsidRPr="002F4F6A">
        <w:rPr>
          <w:rFonts w:cs="Arial"/>
        </w:rPr>
        <w:t xml:space="preserve"> </w:t>
      </w:r>
      <w:r w:rsidR="002F4F6A">
        <w:rPr>
          <w:rFonts w:cs="Arial"/>
        </w:rPr>
        <w:t xml:space="preserve">and the allocation for the </w:t>
      </w:r>
      <w:r w:rsidR="002F4F6A">
        <w:t xml:space="preserve">outermost </w:t>
      </w:r>
      <w:r w:rsidR="00061BC0">
        <w:t xml:space="preserve">and </w:t>
      </w:r>
      <w:r w:rsidR="00061BC0" w:rsidRPr="00061BC0">
        <w:t>northern sparsely populated</w:t>
      </w:r>
      <w:r w:rsidR="00061BC0">
        <w:t xml:space="preserve"> </w:t>
      </w:r>
      <w:r w:rsidR="002F4F6A">
        <w:t>regions</w:t>
      </w:r>
      <w:r w:rsidR="002F4F6A" w:rsidRPr="00134F5B">
        <w:rPr>
          <w:rFonts w:cs="Arial"/>
        </w:rPr>
        <w:t xml:space="preserve"> </w:t>
      </w:r>
      <w:r w:rsidRPr="00134F5B">
        <w:rPr>
          <w:rFonts w:cs="Arial"/>
        </w:rPr>
        <w:t>.</w:t>
      </w:r>
    </w:p>
    <w:p w:rsidR="0000053F" w:rsidRPr="00EB7539" w:rsidRDefault="00DD418A" w:rsidP="00704C9D">
      <w:pPr>
        <w:pStyle w:val="ListParagraph"/>
        <w:numPr>
          <w:ilvl w:val="0"/>
          <w:numId w:val="10"/>
        </w:numPr>
        <w:spacing w:after="80"/>
        <w:ind w:left="714" w:hanging="357"/>
        <w:contextualSpacing w:val="0"/>
        <w:jc w:val="both"/>
      </w:pPr>
      <w:r>
        <w:rPr>
          <w:rFonts w:cs="Arial"/>
        </w:rPr>
        <w:t>minus</w:t>
      </w:r>
      <w:r w:rsidRPr="00EB7539">
        <w:t xml:space="preserve"> </w:t>
      </w:r>
      <w:r w:rsidR="0000053F" w:rsidRPr="00802210">
        <w:t>the initial pre-financing due in accordance with Article 134 of the CPR for</w:t>
      </w:r>
      <w:r w:rsidR="00CD46D1" w:rsidRPr="00802210">
        <w:t xml:space="preserve"> 2014, 2015 and 2016</w:t>
      </w:r>
    </w:p>
    <w:p w:rsidR="0046730E" w:rsidRPr="00EB7539" w:rsidRDefault="00DD418A" w:rsidP="00704C9D">
      <w:pPr>
        <w:pStyle w:val="ListParagraph"/>
        <w:numPr>
          <w:ilvl w:val="0"/>
          <w:numId w:val="10"/>
        </w:numPr>
        <w:spacing w:after="80"/>
        <w:ind w:left="714" w:hanging="357"/>
        <w:contextualSpacing w:val="0"/>
        <w:jc w:val="both"/>
      </w:pPr>
      <w:r>
        <w:rPr>
          <w:rFonts w:cs="Arial"/>
        </w:rPr>
        <w:t>minus</w:t>
      </w:r>
      <w:r w:rsidR="0000053F" w:rsidRPr="00EB7539">
        <w:t xml:space="preserve"> </w:t>
      </w:r>
      <w:r w:rsidR="0000053F" w:rsidRPr="00802210">
        <w:t>annual pre-</w:t>
      </w:r>
      <w:r w:rsidR="0000053F" w:rsidRPr="004134E6">
        <w:rPr>
          <w:rFonts w:cs="Arial"/>
        </w:rPr>
        <w:t>financing</w:t>
      </w:r>
      <w:r w:rsidR="0000053F" w:rsidRPr="00802210">
        <w:t xml:space="preserve"> due in accordance with Article 134 of the CPR for 2016, 2017, 2018, 2019, 2020</w:t>
      </w:r>
      <w:r w:rsidR="0046730E" w:rsidRPr="00802210">
        <w:t xml:space="preserve">, </w:t>
      </w:r>
      <w:r w:rsidR="0000053F" w:rsidRPr="00802210">
        <w:t>2021</w:t>
      </w:r>
      <w:r w:rsidR="0046730E" w:rsidRPr="00802210">
        <w:t xml:space="preserve"> and 2022</w:t>
      </w:r>
    </w:p>
    <w:p w:rsidR="0000053F" w:rsidRPr="00EB7539" w:rsidRDefault="00DD418A" w:rsidP="00704C9D">
      <w:pPr>
        <w:pStyle w:val="ListParagraph"/>
        <w:numPr>
          <w:ilvl w:val="0"/>
          <w:numId w:val="10"/>
        </w:numPr>
        <w:spacing w:after="80"/>
        <w:ind w:left="714" w:hanging="357"/>
        <w:contextualSpacing w:val="0"/>
        <w:jc w:val="both"/>
      </w:pPr>
      <w:r>
        <w:rPr>
          <w:rFonts w:cs="Arial"/>
        </w:rPr>
        <w:t>minus</w:t>
      </w:r>
      <w:r w:rsidR="0000053F" w:rsidRPr="00EB7539">
        <w:t xml:space="preserve"> </w:t>
      </w:r>
      <w:r w:rsidR="0000053F" w:rsidRPr="00802210">
        <w:t xml:space="preserve">payment </w:t>
      </w:r>
      <w:r w:rsidR="0000053F" w:rsidRPr="004134E6">
        <w:rPr>
          <w:rFonts w:cs="Arial"/>
        </w:rPr>
        <w:t>applications</w:t>
      </w:r>
      <w:r w:rsidR="0000053F" w:rsidRPr="00802210">
        <w:t xml:space="preserve"> drawn up in accordance with Art. 131 of the CPR and submitted by 31/12/202</w:t>
      </w:r>
      <w:r w:rsidR="0046730E" w:rsidRPr="00802210">
        <w:t>2</w:t>
      </w:r>
    </w:p>
    <w:p w:rsidR="00DD418A" w:rsidRPr="00134F5B" w:rsidRDefault="00DD418A" w:rsidP="00C36688">
      <w:pPr>
        <w:pStyle w:val="ListParagraph"/>
        <w:jc w:val="both"/>
        <w:rPr>
          <w:rFonts w:cs="Arial"/>
        </w:rPr>
      </w:pPr>
      <w:r w:rsidRPr="00DD418A">
        <w:rPr>
          <w:rFonts w:cs="Arial"/>
        </w:rPr>
        <w:t>for all Funds, all categories of region</w:t>
      </w:r>
      <w:r w:rsidR="007727CF">
        <w:rPr>
          <w:rFonts w:cs="Arial"/>
        </w:rPr>
        <w:t xml:space="preserve"> and</w:t>
      </w:r>
      <w:r w:rsidRPr="00DD418A">
        <w:rPr>
          <w:rFonts w:cs="Arial"/>
        </w:rPr>
        <w:t xml:space="preserve"> the </w:t>
      </w:r>
      <w:r w:rsidR="007727CF" w:rsidRPr="00DD418A">
        <w:rPr>
          <w:rFonts w:cs="Arial"/>
        </w:rPr>
        <w:t>specific</w:t>
      </w:r>
      <w:r w:rsidRPr="00DD418A">
        <w:rPr>
          <w:rFonts w:cs="Arial"/>
        </w:rPr>
        <w:t xml:space="preserve"> allocation for the YEI </w:t>
      </w:r>
      <w:r w:rsidR="002F4F6A">
        <w:rPr>
          <w:rFonts w:cs="Arial"/>
        </w:rPr>
        <w:t xml:space="preserve">and the allocation for the </w:t>
      </w:r>
      <w:r w:rsidR="002F4F6A">
        <w:t xml:space="preserve">outermost </w:t>
      </w:r>
      <w:r w:rsidR="00061BC0">
        <w:t xml:space="preserve">and </w:t>
      </w:r>
      <w:r w:rsidR="00061BC0" w:rsidRPr="00061BC0">
        <w:t>northern sparsely</w:t>
      </w:r>
      <w:r w:rsidR="00061BC0">
        <w:t xml:space="preserve"> </w:t>
      </w:r>
      <w:r w:rsidR="00061BC0" w:rsidRPr="00061BC0">
        <w:t>populated</w:t>
      </w:r>
      <w:r w:rsidR="00061BC0">
        <w:t xml:space="preserve"> </w:t>
      </w:r>
      <w:r w:rsidR="002F4F6A">
        <w:t>regions</w:t>
      </w:r>
      <w:r w:rsidR="002F4F6A" w:rsidRPr="00134F5B">
        <w:rPr>
          <w:rFonts w:cs="Arial"/>
        </w:rPr>
        <w:t xml:space="preserve"> </w:t>
      </w:r>
      <w:r w:rsidR="00712442" w:rsidRPr="00DD418A">
        <w:rPr>
          <w:rFonts w:cs="Arial"/>
        </w:rPr>
        <w:t>of the OP</w:t>
      </w:r>
    </w:p>
    <w:p w:rsidR="001150AB" w:rsidRPr="00415614" w:rsidRDefault="001150AB" w:rsidP="00C36688">
      <w:pPr>
        <w:jc w:val="both"/>
      </w:pPr>
      <w:r w:rsidRPr="00415614">
        <w:t xml:space="preserve">According to Article 86 (2) of Regulation (EU) No 1303/2013, the </w:t>
      </w:r>
      <w:r w:rsidRPr="00134F5B">
        <w:rPr>
          <w:rFonts w:cs="Arial"/>
        </w:rPr>
        <w:t>commitment</w:t>
      </w:r>
      <w:r w:rsidR="00E2404A">
        <w:rPr>
          <w:rFonts w:cs="Arial"/>
        </w:rPr>
        <w:t>s</w:t>
      </w:r>
      <w:r w:rsidRPr="00415614">
        <w:t xml:space="preserve"> related to the last year of the period (</w:t>
      </w:r>
      <w:r w:rsidR="00D92FAC" w:rsidRPr="00415614">
        <w:t>i.e.</w:t>
      </w:r>
      <w:r w:rsidRPr="00415614">
        <w:t xml:space="preserve"> for the 2020 main allocation) shall be</w:t>
      </w:r>
      <w:r w:rsidRPr="00134F5B">
        <w:rPr>
          <w:rFonts w:cs="Arial"/>
        </w:rPr>
        <w:t xml:space="preserve"> </w:t>
      </w:r>
      <w:r w:rsidRPr="00415614">
        <w:t>decommitted in accordance with the rules to be followed for the closure of the programmes.</w:t>
      </w:r>
    </w:p>
    <w:p w:rsidR="00CA2A9B" w:rsidRDefault="0046730E" w:rsidP="00C36688">
      <w:pPr>
        <w:jc w:val="both"/>
      </w:pPr>
      <w:r w:rsidRPr="00EB7539">
        <w:t>Fiche 1</w:t>
      </w:r>
      <w:r w:rsidR="002F4F6A" w:rsidRPr="00EB7539">
        <w:t xml:space="preserve"> </w:t>
      </w:r>
      <w:r w:rsidR="00F45302" w:rsidRPr="00EB7539">
        <w:t>contains explanation on the above</w:t>
      </w:r>
      <w:r w:rsidRPr="00EB7539">
        <w:t>.</w:t>
      </w:r>
    </w:p>
    <w:p w:rsidR="00CA2A9B" w:rsidRPr="00134F5B" w:rsidRDefault="00CA2A9B" w:rsidP="002723D7">
      <w:pPr>
        <w:keepNext/>
        <w:spacing w:before="600"/>
        <w:rPr>
          <w:b/>
          <w:bCs/>
          <w:i/>
          <w:iCs/>
        </w:rPr>
      </w:pPr>
      <w:r>
        <w:rPr>
          <w:b/>
          <w:bCs/>
          <w:i/>
          <w:iCs/>
        </w:rPr>
        <w:t xml:space="preserve">Part </w:t>
      </w:r>
      <w:r w:rsidRPr="00134F5B">
        <w:rPr>
          <w:b/>
          <w:bCs/>
          <w:i/>
          <w:iCs/>
        </w:rPr>
        <w:t xml:space="preserve">3. How to </w:t>
      </w:r>
      <w:r w:rsidRPr="002723D7">
        <w:rPr>
          <w:b/>
          <w:i/>
        </w:rPr>
        <w:t>apply</w:t>
      </w:r>
      <w:r w:rsidRPr="00134F5B">
        <w:rPr>
          <w:b/>
          <w:bCs/>
          <w:i/>
          <w:iCs/>
        </w:rPr>
        <w:t xml:space="preserve"> the decommitment in compliance with the regulatory framework?</w:t>
      </w:r>
    </w:p>
    <w:p w:rsidR="00CA2A9B" w:rsidRPr="00134F5B" w:rsidRDefault="00CA2A9B" w:rsidP="00CA2A9B">
      <w:pPr>
        <w:jc w:val="both"/>
        <w:rPr>
          <w:rFonts w:cs="Arial"/>
        </w:rPr>
      </w:pPr>
      <w:r w:rsidRPr="00134F5B">
        <w:rPr>
          <w:rFonts w:cs="Arial"/>
        </w:rPr>
        <w:t xml:space="preserve">If, after having calculated the </w:t>
      </w:r>
      <w:r>
        <w:rPr>
          <w:rFonts w:cs="Arial"/>
        </w:rPr>
        <w:t>amount to decommit</w:t>
      </w:r>
      <w:r w:rsidRPr="00134F5B">
        <w:rPr>
          <w:rFonts w:cs="Arial"/>
        </w:rPr>
        <w:t xml:space="preserve"> at OP level, it turns out that </w:t>
      </w:r>
      <w:r>
        <w:rPr>
          <w:rFonts w:cs="Arial"/>
        </w:rPr>
        <w:t>a</w:t>
      </w:r>
      <w:r w:rsidRPr="00134F5B">
        <w:rPr>
          <w:rFonts w:cs="Arial"/>
        </w:rPr>
        <w:t xml:space="preserve"> risk has materialized and that there is an amount to decommit at the level of the OP, this decommitment will need to be attributed </w:t>
      </w:r>
      <w:r>
        <w:rPr>
          <w:rFonts w:cs="Arial"/>
        </w:rPr>
        <w:t xml:space="preserve">where the decommitment has been identified, i.e. </w:t>
      </w:r>
      <w:r w:rsidRPr="00134F5B">
        <w:rPr>
          <w:rFonts w:cs="Arial"/>
        </w:rPr>
        <w:t xml:space="preserve">to the relevant </w:t>
      </w:r>
      <w:r>
        <w:rPr>
          <w:rFonts w:cs="Arial"/>
        </w:rPr>
        <w:t xml:space="preserve">allocation as detailed </w:t>
      </w:r>
      <w:r w:rsidRPr="00134F5B">
        <w:rPr>
          <w:rFonts w:cs="Arial"/>
        </w:rPr>
        <w:t xml:space="preserve">in the </w:t>
      </w:r>
      <w:r>
        <w:rPr>
          <w:rFonts w:cs="Arial"/>
        </w:rPr>
        <w:t>financing plan</w:t>
      </w:r>
      <w:r w:rsidRPr="00134F5B">
        <w:rPr>
          <w:rFonts w:cs="Arial"/>
        </w:rPr>
        <w:t xml:space="preserve"> of the OP (table 17)</w:t>
      </w:r>
      <w:r>
        <w:rPr>
          <w:rFonts w:cs="Arial"/>
        </w:rPr>
        <w:t>. This means</w:t>
      </w:r>
      <w:r w:rsidRPr="00134F5B">
        <w:rPr>
          <w:rFonts w:cs="Arial"/>
        </w:rPr>
        <w:t xml:space="preserve"> to one or more Funds (in case of multi-fund programme), to one or more categories of region (in case of a multi-category of region programme)</w:t>
      </w:r>
      <w:r>
        <w:rPr>
          <w:rFonts w:cs="Arial"/>
        </w:rPr>
        <w:t xml:space="preserve"> or</w:t>
      </w:r>
      <w:r w:rsidRPr="00134F5B">
        <w:rPr>
          <w:rFonts w:cs="Arial"/>
        </w:rPr>
        <w:t xml:space="preserve"> to the YEI specific allocation</w:t>
      </w:r>
      <w:r w:rsidRPr="00DB4FC3">
        <w:rPr>
          <w:rFonts w:cs="Arial"/>
        </w:rPr>
        <w:t xml:space="preserve">. </w:t>
      </w:r>
      <w:r w:rsidRPr="00DB4FC3">
        <w:t>Since an outermost and northern sparsely populated region is not a category of region as defined by the CPR, the additional funding for outermost/northern sparsely populated regions shall be treated as an addition ("top up") to the category of region concerned. Consequently, this funding shall be calculated together with the allocation for the category of region concerned</w:t>
      </w:r>
      <w:r w:rsidRPr="00061BC0">
        <w:rPr>
          <w:rFonts w:cs="Arial"/>
        </w:rPr>
        <w:t>.</w:t>
      </w:r>
      <w:r w:rsidRPr="00134F5B">
        <w:rPr>
          <w:rFonts w:cs="Arial"/>
        </w:rPr>
        <w:t xml:space="preserve"> Such an attribution </w:t>
      </w:r>
      <w:r>
        <w:rPr>
          <w:rFonts w:cs="Arial"/>
        </w:rPr>
        <w:t>complies</w:t>
      </w:r>
      <w:r w:rsidRPr="00134F5B">
        <w:rPr>
          <w:rFonts w:cs="Arial"/>
        </w:rPr>
        <w:t xml:space="preserve"> with the regulatory framework which has the following features:</w:t>
      </w:r>
    </w:p>
    <w:p w:rsidR="00CA2A9B" w:rsidRPr="00134F5B" w:rsidRDefault="00CA2A9B" w:rsidP="00E81933">
      <w:pPr>
        <w:numPr>
          <w:ilvl w:val="0"/>
          <w:numId w:val="4"/>
        </w:numPr>
        <w:spacing w:after="120"/>
        <w:ind w:left="714" w:hanging="357"/>
        <w:jc w:val="both"/>
      </w:pPr>
      <w:r w:rsidRPr="00134F5B">
        <w:t>The amounts allocated to the Cohesion Fund, the Structural Funds (ERDF and ESF), the YEI specific allocation and the additional funding for the outermost and northern sparsely populated</w:t>
      </w:r>
      <w:r w:rsidRPr="00134F5B">
        <w:rPr>
          <w:sz w:val="18"/>
          <w:szCs w:val="18"/>
        </w:rPr>
        <w:t xml:space="preserve"> </w:t>
      </w:r>
      <w:r w:rsidRPr="00134F5B">
        <w:t xml:space="preserve">regions (hereafter 'outermost regions') are established separately in the CPR (Article 92 </w:t>
      </w:r>
      <w:r>
        <w:t xml:space="preserve">(1) </w:t>
      </w:r>
      <w:r w:rsidRPr="00134F5B">
        <w:t>CPR).</w:t>
      </w:r>
    </w:p>
    <w:p w:rsidR="00CA2A9B" w:rsidRPr="00134F5B" w:rsidRDefault="00CA2A9B" w:rsidP="00E81933">
      <w:pPr>
        <w:numPr>
          <w:ilvl w:val="0"/>
          <w:numId w:val="4"/>
        </w:numPr>
        <w:spacing w:after="120"/>
        <w:ind w:left="714" w:hanging="357"/>
        <w:jc w:val="both"/>
      </w:pPr>
      <w:r w:rsidRPr="00134F5B">
        <w:t>The amounts allocated to the Structural Funds (under the Invest for Growth and Jobs goal are established by category of region (Art. 9</w:t>
      </w:r>
      <w:r>
        <w:t>0</w:t>
      </w:r>
      <w:r w:rsidRPr="00134F5B">
        <w:t xml:space="preserve">(1) CPR). </w:t>
      </w:r>
    </w:p>
    <w:p w:rsidR="00CA2A9B" w:rsidRPr="00134F5B" w:rsidRDefault="00CA2A9B" w:rsidP="00E81933">
      <w:pPr>
        <w:numPr>
          <w:ilvl w:val="0"/>
          <w:numId w:val="4"/>
        </w:numPr>
        <w:spacing w:after="120"/>
        <w:ind w:left="714" w:hanging="357"/>
        <w:jc w:val="both"/>
      </w:pPr>
      <w:r w:rsidRPr="00134F5B">
        <w:t xml:space="preserve">Annex VII CPR sets out the allocation methodology for the different categories of region for the Structural Funds, for the Cohesion Fund and contains additional provisions for the additional funding to the outermost </w:t>
      </w:r>
      <w:r w:rsidR="00BF2CB9" w:rsidRPr="00BF2CB9">
        <w:t xml:space="preserve">and northern sparsely populated </w:t>
      </w:r>
      <w:r w:rsidRPr="00134F5B">
        <w:t xml:space="preserve">regions. </w:t>
      </w:r>
    </w:p>
    <w:p w:rsidR="00CA2A9B" w:rsidRPr="00134F5B" w:rsidRDefault="00CA2A9B" w:rsidP="00E81933">
      <w:pPr>
        <w:numPr>
          <w:ilvl w:val="0"/>
          <w:numId w:val="4"/>
        </w:numPr>
        <w:spacing w:after="120"/>
        <w:ind w:left="714" w:hanging="357"/>
        <w:jc w:val="both"/>
      </w:pPr>
      <w:r w:rsidRPr="00134F5B">
        <w:t>There is a minimum share for the ESF (Art. 92(4) CPR).</w:t>
      </w:r>
    </w:p>
    <w:p w:rsidR="00CA2A9B" w:rsidRPr="00134F5B" w:rsidRDefault="00CA2A9B" w:rsidP="00E81933">
      <w:pPr>
        <w:numPr>
          <w:ilvl w:val="0"/>
          <w:numId w:val="4"/>
        </w:numPr>
        <w:spacing w:after="120"/>
        <w:ind w:left="714" w:hanging="357"/>
        <w:jc w:val="both"/>
      </w:pPr>
      <w:r w:rsidRPr="00134F5B">
        <w:lastRenderedPageBreak/>
        <w:t>There is a provision on non-transferability of resources between categories of region (Art. 93 CPR).</w:t>
      </w:r>
    </w:p>
    <w:p w:rsidR="00CA2A9B" w:rsidRPr="00134F5B" w:rsidRDefault="00CA2A9B" w:rsidP="00E81933">
      <w:pPr>
        <w:numPr>
          <w:ilvl w:val="0"/>
          <w:numId w:val="4"/>
        </w:numPr>
        <w:spacing w:after="120"/>
        <w:ind w:left="714" w:hanging="357"/>
        <w:jc w:val="both"/>
      </w:pPr>
      <w:r w:rsidRPr="00134F5B">
        <w:t xml:space="preserve">There are provisions on the eligibility of operations depending on location requiring that operations are implemented in the category of region from which the funding is drawn (Art. 70(1) CPR). In case the operations are implemented outside the programme area (as defined in Art. 2(7) CPR, i.e. category of region) they need to be for the benefit of the category of region that is providing the funding (Art. 70(2) CPR and Art. 13(2) ESF Regulation). </w:t>
      </w:r>
    </w:p>
    <w:p w:rsidR="00CA2A9B" w:rsidRPr="00134F5B" w:rsidRDefault="00CA2A9B" w:rsidP="000C0269">
      <w:pPr>
        <w:spacing w:before="200"/>
        <w:jc w:val="both"/>
        <w:rPr>
          <w:rFonts w:cs="Arial"/>
        </w:rPr>
      </w:pPr>
      <w:r w:rsidRPr="00134F5B">
        <w:rPr>
          <w:rFonts w:cs="Arial"/>
        </w:rPr>
        <w:t>On the basis of the above, the conclusion can be drawn that the allocations to the different Funds (with their Fund-specific missions) and the allocations to the different categories of region</w:t>
      </w:r>
      <w:r>
        <w:rPr>
          <w:rFonts w:cs="Arial"/>
        </w:rPr>
        <w:t>s</w:t>
      </w:r>
      <w:r w:rsidRPr="00134F5B">
        <w:rPr>
          <w:rFonts w:cs="Arial"/>
        </w:rPr>
        <w:t xml:space="preserve">, need to be respected. </w:t>
      </w:r>
    </w:p>
    <w:p w:rsidR="00CA2A9B" w:rsidRPr="00134F5B" w:rsidRDefault="00CA2A9B" w:rsidP="00CA2A9B">
      <w:pPr>
        <w:jc w:val="both"/>
        <w:rPr>
          <w:rFonts w:cs="Arial"/>
        </w:rPr>
      </w:pPr>
      <w:r>
        <w:rPr>
          <w:rFonts w:cs="Arial"/>
        </w:rPr>
        <w:t>I</w:t>
      </w:r>
      <w:r w:rsidRPr="00134F5B">
        <w:rPr>
          <w:rFonts w:cs="Arial"/>
        </w:rPr>
        <w:t xml:space="preserve">n line with the budgetary discipline sought for by the decommitment rules that in case there is still an amount to be decommitted, this </w:t>
      </w:r>
      <w:r>
        <w:rPr>
          <w:rFonts w:cs="Arial"/>
        </w:rPr>
        <w:t>should be</w:t>
      </w:r>
      <w:r w:rsidRPr="00134F5B">
        <w:rPr>
          <w:rFonts w:cs="Arial"/>
        </w:rPr>
        <w:t xml:space="preserve"> done </w:t>
      </w:r>
      <w:r>
        <w:rPr>
          <w:rFonts w:cs="Arial"/>
        </w:rPr>
        <w:t>in relation to</w:t>
      </w:r>
      <w:r w:rsidRPr="00134F5B">
        <w:rPr>
          <w:rFonts w:cs="Arial"/>
        </w:rPr>
        <w:t xml:space="preserve"> the Fund and category of region where implementation is lagging behind. </w:t>
      </w:r>
    </w:p>
    <w:p w:rsidR="00CA2A9B" w:rsidRPr="00134F5B" w:rsidRDefault="00CA2A9B" w:rsidP="00CA2A9B">
      <w:pPr>
        <w:jc w:val="both"/>
        <w:rPr>
          <w:rFonts w:cs="Arial"/>
        </w:rPr>
      </w:pPr>
      <w:r w:rsidRPr="00134F5B">
        <w:rPr>
          <w:rFonts w:cs="Arial"/>
        </w:rPr>
        <w:t xml:space="preserve">Therefore, in order to establish which Fund and which category of region </w:t>
      </w:r>
      <w:r>
        <w:rPr>
          <w:rFonts w:cs="Arial"/>
        </w:rPr>
        <w:t>is affected</w:t>
      </w:r>
      <w:r w:rsidRPr="00134F5B">
        <w:rPr>
          <w:rFonts w:cs="Arial"/>
        </w:rPr>
        <w:t xml:space="preserve"> by the decommitment and </w:t>
      </w:r>
      <w:r>
        <w:rPr>
          <w:rFonts w:cs="Arial"/>
        </w:rPr>
        <w:t>how to split the amount of decommitment between the Funds and categories of regions</w:t>
      </w:r>
      <w:r w:rsidRPr="00134F5B">
        <w:rPr>
          <w:rFonts w:cs="Arial"/>
        </w:rPr>
        <w:t xml:space="preserve">, </w:t>
      </w:r>
      <w:r>
        <w:rPr>
          <w:rFonts w:cs="Arial"/>
        </w:rPr>
        <w:t xml:space="preserve">the Commission, after calculating the amount on OP level, shall also examine the implementation of the OPs by Fund and by category of region. To determine how the financing plan of the OP should be amended, </w:t>
      </w:r>
      <w:r w:rsidRPr="00134F5B">
        <w:rPr>
          <w:rFonts w:cs="Arial"/>
        </w:rPr>
        <w:t>the following steps need to be taken:</w:t>
      </w:r>
    </w:p>
    <w:p w:rsidR="00CA2A9B" w:rsidRPr="00134F5B" w:rsidRDefault="00CA2A9B" w:rsidP="00095FE4">
      <w:pPr>
        <w:pStyle w:val="ListParagraph"/>
        <w:numPr>
          <w:ilvl w:val="0"/>
          <w:numId w:val="12"/>
        </w:numPr>
        <w:ind w:left="714" w:hanging="357"/>
        <w:contextualSpacing w:val="0"/>
        <w:jc w:val="both"/>
        <w:rPr>
          <w:rFonts w:cs="Arial"/>
        </w:rPr>
      </w:pPr>
      <w:r w:rsidRPr="00134F5B">
        <w:rPr>
          <w:rFonts w:cs="Arial"/>
        </w:rPr>
        <w:t xml:space="preserve">First of all, a </w:t>
      </w:r>
      <w:r w:rsidRPr="00134F5B">
        <w:rPr>
          <w:rFonts w:cs="Arial"/>
          <w:b/>
          <w:u w:val="single"/>
        </w:rPr>
        <w:t>theoretical</w:t>
      </w:r>
      <w:r w:rsidRPr="00134F5B">
        <w:rPr>
          <w:rFonts w:cs="Arial"/>
          <w:b/>
        </w:rPr>
        <w:t xml:space="preserve"> decommitment risk </w:t>
      </w:r>
      <w:r w:rsidRPr="00134F5B">
        <w:rPr>
          <w:rFonts w:cs="Arial"/>
        </w:rPr>
        <w:t xml:space="preserve">should be </w:t>
      </w:r>
      <w:r>
        <w:rPr>
          <w:rFonts w:cs="Arial"/>
        </w:rPr>
        <w:t>applied</w:t>
      </w:r>
      <w:r w:rsidRPr="00134F5B">
        <w:rPr>
          <w:rFonts w:cs="Arial"/>
        </w:rPr>
        <w:t xml:space="preserve"> </w:t>
      </w:r>
      <w:r w:rsidRPr="00134F5B">
        <w:rPr>
          <w:rFonts w:cs="Arial"/>
          <w:b/>
        </w:rPr>
        <w:t>by Fund and by category of region</w:t>
      </w:r>
      <w:r w:rsidRPr="00134F5B">
        <w:rPr>
          <w:rFonts w:cs="Arial"/>
        </w:rPr>
        <w:t xml:space="preserve">. This is to be done in the same way as set out under </w:t>
      </w:r>
      <w:r>
        <w:rPr>
          <w:rFonts w:cs="Arial"/>
        </w:rPr>
        <w:t>part</w:t>
      </w:r>
      <w:r w:rsidRPr="00134F5B">
        <w:rPr>
          <w:rFonts w:cs="Arial"/>
        </w:rPr>
        <w:t xml:space="preserve"> 2 above with the important difference that</w:t>
      </w:r>
      <w:r>
        <w:rPr>
          <w:rFonts w:cs="Arial"/>
        </w:rPr>
        <w:t>,</w:t>
      </w:r>
      <w:r w:rsidRPr="00134F5B">
        <w:rPr>
          <w:rFonts w:cs="Arial"/>
        </w:rPr>
        <w:t xml:space="preserve"> in this case</w:t>
      </w:r>
      <w:r>
        <w:rPr>
          <w:rFonts w:cs="Arial"/>
        </w:rPr>
        <w:t>,</w:t>
      </w:r>
      <w:r w:rsidRPr="00134F5B">
        <w:rPr>
          <w:rFonts w:cs="Arial"/>
        </w:rPr>
        <w:t xml:space="preserve"> the calculation is done by Fund and by category of region. It is also to be done </w:t>
      </w:r>
      <w:r w:rsidRPr="00134F5B">
        <w:rPr>
          <w:rFonts w:cs="Arial"/>
          <w:b/>
        </w:rPr>
        <w:t>separately for the YEI specific allocation</w:t>
      </w:r>
      <w:r w:rsidRPr="00134F5B">
        <w:rPr>
          <w:rFonts w:cs="Arial"/>
        </w:rPr>
        <w:t xml:space="preserve">. </w:t>
      </w:r>
      <w:r>
        <w:rPr>
          <w:rFonts w:cs="Arial"/>
        </w:rPr>
        <w:t>T</w:t>
      </w:r>
      <w:r w:rsidRPr="00134F5B">
        <w:rPr>
          <w:rFonts w:cs="Arial"/>
        </w:rPr>
        <w:t>he allocation to the outermost regions</w:t>
      </w:r>
      <w:r>
        <w:rPr>
          <w:rFonts w:cs="Arial"/>
        </w:rPr>
        <w:t xml:space="preserve"> is taken together with </w:t>
      </w:r>
      <w:r w:rsidRPr="00134F5B">
        <w:rPr>
          <w:rFonts w:cs="Arial"/>
        </w:rPr>
        <w:t>the ERDF allocation.</w:t>
      </w:r>
    </w:p>
    <w:p w:rsidR="00CA2A9B" w:rsidRDefault="00CA2A9B" w:rsidP="00095FE4">
      <w:pPr>
        <w:pStyle w:val="ListParagraph"/>
        <w:contextualSpacing w:val="0"/>
        <w:jc w:val="both"/>
        <w:rPr>
          <w:rFonts w:cs="Arial"/>
        </w:rPr>
      </w:pPr>
      <w:r w:rsidRPr="00134F5B">
        <w:rPr>
          <w:rFonts w:cs="Arial"/>
        </w:rPr>
        <w:t>This thus means that for a programme supported by the Cohesion Fund, the ERDF (3 categories of region), the ESF (3 categories of region) as well as the YEI, the following theoretical decommitment risks need to be calculated separately</w:t>
      </w:r>
      <w:r>
        <w:rPr>
          <w:rFonts w:cs="Arial"/>
        </w:rPr>
        <w:t>.</w:t>
      </w:r>
    </w:p>
    <w:p w:rsidR="00CA2A9B" w:rsidRPr="00134F5B" w:rsidRDefault="00CA2A9B" w:rsidP="00095FE4">
      <w:pPr>
        <w:pStyle w:val="ListParagraph"/>
        <w:contextualSpacing w:val="0"/>
        <w:jc w:val="both"/>
        <w:rPr>
          <w:rFonts w:cs="Arial"/>
        </w:rPr>
      </w:pPr>
      <w:r>
        <w:rPr>
          <w:rFonts w:cs="Arial"/>
        </w:rPr>
        <w:t>This means,</w:t>
      </w:r>
      <w:r w:rsidRPr="00134F5B">
        <w:rPr>
          <w:rFonts w:cs="Arial"/>
        </w:rPr>
        <w:t xml:space="preserve"> for instance</w:t>
      </w:r>
      <w:r>
        <w:rPr>
          <w:rFonts w:cs="Arial"/>
        </w:rPr>
        <w:t>,</w:t>
      </w:r>
      <w:r w:rsidRPr="00134F5B">
        <w:rPr>
          <w:rFonts w:cs="Arial"/>
        </w:rPr>
        <w:t xml:space="preserve"> for the 2014 allocation</w:t>
      </w:r>
      <w:r>
        <w:rPr>
          <w:rFonts w:cs="Arial"/>
        </w:rPr>
        <w:t xml:space="preserve"> that the theoretical decommitment risk is calculated for</w:t>
      </w:r>
      <w:r w:rsidRPr="00134F5B">
        <w:rPr>
          <w:rFonts w:cs="Arial"/>
        </w:rPr>
        <w:t>:</w:t>
      </w:r>
    </w:p>
    <w:p w:rsidR="00CA2A9B" w:rsidRPr="00134F5B" w:rsidRDefault="00095FE4" w:rsidP="00095FE4">
      <w:pPr>
        <w:pStyle w:val="ListParagraph"/>
        <w:numPr>
          <w:ilvl w:val="0"/>
          <w:numId w:val="14"/>
        </w:numPr>
        <w:jc w:val="both"/>
        <w:rPr>
          <w:rFonts w:cs="Arial"/>
        </w:rPr>
      </w:pPr>
      <w:r>
        <w:rPr>
          <w:rFonts w:cs="Arial"/>
        </w:rPr>
        <w:t>ESF more developed region</w:t>
      </w:r>
    </w:p>
    <w:p w:rsidR="00CA2A9B" w:rsidRPr="00134F5B" w:rsidRDefault="00CA2A9B" w:rsidP="00095FE4">
      <w:pPr>
        <w:pStyle w:val="ListParagraph"/>
        <w:numPr>
          <w:ilvl w:val="0"/>
          <w:numId w:val="14"/>
        </w:numPr>
        <w:jc w:val="both"/>
        <w:rPr>
          <w:rFonts w:cs="Arial"/>
        </w:rPr>
      </w:pPr>
      <w:r w:rsidRPr="00134F5B">
        <w:rPr>
          <w:rFonts w:cs="Arial"/>
        </w:rPr>
        <w:t>ESF less developed region</w:t>
      </w:r>
    </w:p>
    <w:p w:rsidR="00CA2A9B" w:rsidRPr="00134F5B" w:rsidRDefault="00CA2A9B" w:rsidP="00095FE4">
      <w:pPr>
        <w:pStyle w:val="ListParagraph"/>
        <w:numPr>
          <w:ilvl w:val="0"/>
          <w:numId w:val="14"/>
        </w:numPr>
        <w:jc w:val="both"/>
        <w:rPr>
          <w:rFonts w:cs="Arial"/>
        </w:rPr>
      </w:pPr>
      <w:r w:rsidRPr="00134F5B">
        <w:rPr>
          <w:rFonts w:cs="Arial"/>
        </w:rPr>
        <w:t>ESF transition region</w:t>
      </w:r>
    </w:p>
    <w:p w:rsidR="00CA2A9B" w:rsidRPr="00134F5B" w:rsidRDefault="00CA2A9B" w:rsidP="00095FE4">
      <w:pPr>
        <w:pStyle w:val="ListParagraph"/>
        <w:numPr>
          <w:ilvl w:val="0"/>
          <w:numId w:val="14"/>
        </w:numPr>
        <w:jc w:val="both"/>
        <w:rPr>
          <w:rFonts w:cs="Arial"/>
        </w:rPr>
      </w:pPr>
      <w:r w:rsidRPr="00134F5B">
        <w:rPr>
          <w:rFonts w:cs="Arial"/>
        </w:rPr>
        <w:t>YEI specific allocation</w:t>
      </w:r>
    </w:p>
    <w:p w:rsidR="00CA2A9B" w:rsidRPr="00134F5B" w:rsidRDefault="00CA2A9B" w:rsidP="00095FE4">
      <w:pPr>
        <w:pStyle w:val="ListParagraph"/>
        <w:numPr>
          <w:ilvl w:val="0"/>
          <w:numId w:val="14"/>
        </w:numPr>
        <w:jc w:val="both"/>
        <w:rPr>
          <w:rFonts w:cs="Arial"/>
        </w:rPr>
      </w:pPr>
      <w:r w:rsidRPr="00134F5B">
        <w:rPr>
          <w:rFonts w:cs="Arial"/>
        </w:rPr>
        <w:t>ERDF more developed region</w:t>
      </w:r>
      <w:r>
        <w:rPr>
          <w:rFonts w:cs="Arial"/>
        </w:rPr>
        <w:t xml:space="preserve"> </w:t>
      </w:r>
      <w:r w:rsidRPr="00134F5B">
        <w:rPr>
          <w:rFonts w:cs="Arial"/>
        </w:rPr>
        <w:t>(+ allocation outermost</w:t>
      </w:r>
      <w:r w:rsidR="00BF2CB9">
        <w:rPr>
          <w:rFonts w:cs="Arial"/>
        </w:rPr>
        <w:t xml:space="preserve"> </w:t>
      </w:r>
      <w:r w:rsidR="00BF2CB9" w:rsidRPr="00BF2CB9">
        <w:rPr>
          <w:rFonts w:cs="Arial"/>
        </w:rPr>
        <w:t>and northern sparsely populated</w:t>
      </w:r>
      <w:r w:rsidRPr="00134F5B">
        <w:rPr>
          <w:rFonts w:cs="Arial"/>
        </w:rPr>
        <w:t xml:space="preserve"> region where applicable)</w:t>
      </w:r>
    </w:p>
    <w:p w:rsidR="00CA2A9B" w:rsidRPr="00134F5B" w:rsidRDefault="00CA2A9B" w:rsidP="00095FE4">
      <w:pPr>
        <w:pStyle w:val="ListParagraph"/>
        <w:numPr>
          <w:ilvl w:val="0"/>
          <w:numId w:val="14"/>
        </w:numPr>
        <w:jc w:val="both"/>
        <w:rPr>
          <w:rFonts w:cs="Arial"/>
        </w:rPr>
      </w:pPr>
      <w:r w:rsidRPr="00134F5B">
        <w:rPr>
          <w:rFonts w:cs="Arial"/>
        </w:rPr>
        <w:t xml:space="preserve">ERDF less developed region (+ allocation outermost </w:t>
      </w:r>
      <w:r w:rsidR="00BF2CB9" w:rsidRPr="00BF2CB9">
        <w:rPr>
          <w:rFonts w:cs="Arial"/>
        </w:rPr>
        <w:t xml:space="preserve">and northern sparsely populated </w:t>
      </w:r>
      <w:r w:rsidRPr="00134F5B">
        <w:rPr>
          <w:rFonts w:cs="Arial"/>
        </w:rPr>
        <w:t>region where applicable)</w:t>
      </w:r>
    </w:p>
    <w:p w:rsidR="00CA2A9B" w:rsidRPr="00134F5B" w:rsidRDefault="00CA2A9B" w:rsidP="00095FE4">
      <w:pPr>
        <w:pStyle w:val="ListParagraph"/>
        <w:numPr>
          <w:ilvl w:val="0"/>
          <w:numId w:val="14"/>
        </w:numPr>
        <w:jc w:val="both"/>
        <w:rPr>
          <w:rFonts w:cs="Arial"/>
        </w:rPr>
      </w:pPr>
      <w:r w:rsidRPr="00134F5B">
        <w:rPr>
          <w:rFonts w:cs="Arial"/>
        </w:rPr>
        <w:t>ERDF transition region</w:t>
      </w:r>
      <w:r>
        <w:rPr>
          <w:rFonts w:cs="Arial"/>
        </w:rPr>
        <w:t xml:space="preserve"> </w:t>
      </w:r>
      <w:r w:rsidRPr="00134F5B">
        <w:rPr>
          <w:rFonts w:cs="Arial"/>
        </w:rPr>
        <w:t xml:space="preserve">(+ allocation outermost </w:t>
      </w:r>
      <w:r w:rsidR="00BF2CB9" w:rsidRPr="00BF2CB9">
        <w:rPr>
          <w:rFonts w:cs="Arial"/>
        </w:rPr>
        <w:t xml:space="preserve">and northern sparsely populated </w:t>
      </w:r>
      <w:r w:rsidRPr="00134F5B">
        <w:rPr>
          <w:rFonts w:cs="Arial"/>
        </w:rPr>
        <w:t>region where applicable)</w:t>
      </w:r>
    </w:p>
    <w:p w:rsidR="00CA2A9B" w:rsidRPr="00134F5B" w:rsidRDefault="00CA2A9B" w:rsidP="00095FE4">
      <w:pPr>
        <w:pStyle w:val="ListParagraph"/>
        <w:numPr>
          <w:ilvl w:val="0"/>
          <w:numId w:val="14"/>
        </w:numPr>
        <w:jc w:val="both"/>
        <w:rPr>
          <w:rFonts w:cs="Arial"/>
        </w:rPr>
      </w:pPr>
      <w:r w:rsidRPr="00134F5B">
        <w:rPr>
          <w:rFonts w:cs="Arial"/>
        </w:rPr>
        <w:t>Cohesion Fund</w:t>
      </w:r>
    </w:p>
    <w:p w:rsidR="00CA2A9B" w:rsidRDefault="00CA2A9B" w:rsidP="00CA2A9B">
      <w:pPr>
        <w:pStyle w:val="ListParagraph"/>
        <w:ind w:left="1070"/>
        <w:jc w:val="both"/>
        <w:rPr>
          <w:rFonts w:cs="Arial"/>
        </w:rPr>
      </w:pPr>
    </w:p>
    <w:p w:rsidR="00CA2A9B" w:rsidRPr="00134F5B" w:rsidRDefault="00CA2A9B" w:rsidP="00095FE4">
      <w:pPr>
        <w:pStyle w:val="ListParagraph"/>
        <w:numPr>
          <w:ilvl w:val="0"/>
          <w:numId w:val="12"/>
        </w:numPr>
        <w:ind w:left="720"/>
        <w:jc w:val="both"/>
        <w:rPr>
          <w:rFonts w:cs="Arial"/>
        </w:rPr>
      </w:pPr>
      <w:r w:rsidRPr="00134F5B">
        <w:rPr>
          <w:rFonts w:cs="Arial"/>
        </w:rPr>
        <w:lastRenderedPageBreak/>
        <w:t xml:space="preserve">Secondly, in case the </w:t>
      </w:r>
      <w:r w:rsidRPr="00696897">
        <w:rPr>
          <w:rFonts w:cs="Arial"/>
          <w:b/>
        </w:rPr>
        <w:t>t</w:t>
      </w:r>
      <w:r w:rsidRPr="00134F5B">
        <w:rPr>
          <w:rFonts w:cs="Arial"/>
          <w:b/>
        </w:rPr>
        <w:t xml:space="preserve">heoretical decommitment risk has materialized for a single </w:t>
      </w:r>
      <w:r>
        <w:rPr>
          <w:rFonts w:cs="Arial"/>
          <w:b/>
        </w:rPr>
        <w:t>Fund and category of region or for the YEI specific allocation</w:t>
      </w:r>
      <w:r w:rsidRPr="00696897">
        <w:rPr>
          <w:rFonts w:cs="Arial"/>
        </w:rPr>
        <w:t>,</w:t>
      </w:r>
      <w:r w:rsidRPr="00134F5B">
        <w:rPr>
          <w:rFonts w:cs="Arial"/>
        </w:rPr>
        <w:t xml:space="preserve"> </w:t>
      </w:r>
      <w:r>
        <w:rPr>
          <w:rFonts w:cs="Arial"/>
        </w:rPr>
        <w:t>the decommitment has to be done on this Fund and category of region or on the YEI specific allocation</w:t>
      </w:r>
      <w:r w:rsidRPr="00134F5B">
        <w:rPr>
          <w:rFonts w:cs="Arial"/>
        </w:rPr>
        <w:t xml:space="preserve">. However, the </w:t>
      </w:r>
      <w:r w:rsidRPr="00134F5B">
        <w:rPr>
          <w:rFonts w:cs="Arial"/>
          <w:b/>
        </w:rPr>
        <w:t>amount</w:t>
      </w:r>
      <w:r w:rsidRPr="00134F5B">
        <w:rPr>
          <w:rFonts w:cs="Arial"/>
        </w:rPr>
        <w:t xml:space="preserve"> to be decommitted will be the amount that has been established at OP level (after having taken into account the compensations across Funds, categories of region and specific allocations of the same programme as set out in part 2).</w:t>
      </w:r>
    </w:p>
    <w:p w:rsidR="00CA2A9B" w:rsidRDefault="00CA2A9B" w:rsidP="00696897">
      <w:pPr>
        <w:ind w:left="720"/>
        <w:jc w:val="both"/>
        <w:rPr>
          <w:rFonts w:cs="Arial"/>
        </w:rPr>
      </w:pPr>
      <w:r w:rsidRPr="00134F5B">
        <w:rPr>
          <w:rFonts w:cs="Arial"/>
        </w:rPr>
        <w:t xml:space="preserve">In case the </w:t>
      </w:r>
      <w:r w:rsidRPr="00696897">
        <w:rPr>
          <w:rFonts w:cs="Arial"/>
          <w:b/>
        </w:rPr>
        <w:t>t</w:t>
      </w:r>
      <w:r w:rsidRPr="00134F5B">
        <w:rPr>
          <w:rFonts w:cs="Arial"/>
          <w:b/>
        </w:rPr>
        <w:t xml:space="preserve">heoretical decommitment risk has materialized for more than one </w:t>
      </w:r>
      <w:r>
        <w:rPr>
          <w:rFonts w:cs="Arial"/>
          <w:b/>
        </w:rPr>
        <w:t>Fund</w:t>
      </w:r>
      <w:r w:rsidRPr="00DE673A">
        <w:rPr>
          <w:b/>
        </w:rPr>
        <w:t xml:space="preserve"> and</w:t>
      </w:r>
      <w:r>
        <w:rPr>
          <w:rFonts w:cs="Arial"/>
          <w:b/>
        </w:rPr>
        <w:t xml:space="preserve">/or category of region and/or </w:t>
      </w:r>
      <w:r>
        <w:rPr>
          <w:rFonts w:cs="Arial"/>
        </w:rPr>
        <w:t>YEI specific allocation</w:t>
      </w:r>
      <w:r w:rsidRPr="00134F5B">
        <w:rPr>
          <w:rFonts w:cs="Arial"/>
        </w:rPr>
        <w:t xml:space="preserve">, a pro rata needs to be </w:t>
      </w:r>
      <w:r>
        <w:rPr>
          <w:rFonts w:cs="Arial"/>
        </w:rPr>
        <w:t>e</w:t>
      </w:r>
      <w:r w:rsidRPr="00134F5B">
        <w:rPr>
          <w:rFonts w:cs="Arial"/>
        </w:rPr>
        <w:t xml:space="preserve">stablished for each </w:t>
      </w:r>
      <w:r>
        <w:rPr>
          <w:rFonts w:cs="Arial"/>
        </w:rPr>
        <w:t>Fund and category or YEI specific allocation of region within the OP</w:t>
      </w:r>
      <w:r w:rsidRPr="00134F5B">
        <w:rPr>
          <w:rFonts w:cs="Arial"/>
        </w:rPr>
        <w:t xml:space="preserve">. This pro rata will then be applied to the total amount to be decommitted (which is established at OP level). </w:t>
      </w:r>
    </w:p>
    <w:p w:rsidR="00CA2A9B" w:rsidRDefault="00CA2A9B" w:rsidP="00696897">
      <w:pPr>
        <w:spacing w:before="240"/>
        <w:jc w:val="both"/>
        <w:rPr>
          <w:rFonts w:cs="Arial"/>
        </w:rPr>
      </w:pPr>
      <w:r w:rsidRPr="00134F5B">
        <w:rPr>
          <w:rFonts w:cs="Arial"/>
        </w:rPr>
        <w:t>Fiche 2 provides an example</w:t>
      </w:r>
      <w:r>
        <w:rPr>
          <w:rFonts w:cs="Arial"/>
        </w:rPr>
        <w:t xml:space="preserve"> of the application of the revised methodology</w:t>
      </w:r>
      <w:r w:rsidRPr="00134F5B">
        <w:rPr>
          <w:rFonts w:cs="Arial"/>
        </w:rPr>
        <w:t>.</w:t>
      </w:r>
      <w:r>
        <w:rPr>
          <w:rFonts w:cs="Arial"/>
        </w:rPr>
        <w:t xml:space="preserve"> </w:t>
      </w:r>
    </w:p>
    <w:p w:rsidR="0046730E" w:rsidRPr="00134F5B" w:rsidRDefault="00A01CD7" w:rsidP="001150AB">
      <w:pPr>
        <w:rPr>
          <w:rFonts w:cs="Arial"/>
        </w:rPr>
      </w:pPr>
      <w:r w:rsidRPr="00134F5B" w:rsidDel="00A01CD7">
        <w:rPr>
          <w:rFonts w:cs="Arial"/>
        </w:rPr>
        <w:t xml:space="preserve"> </w:t>
      </w:r>
    </w:p>
    <w:p w:rsidR="004702DE" w:rsidRDefault="004702DE" w:rsidP="00891354">
      <w:pPr>
        <w:jc w:val="both"/>
        <w:rPr>
          <w:rFonts w:cs="Arial"/>
        </w:rPr>
        <w:sectPr w:rsidR="004702DE" w:rsidSect="00FA32A2">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rsidR="00387054" w:rsidRPr="00C50CDB" w:rsidRDefault="00415614" w:rsidP="00EB7539">
      <w:pPr>
        <w:jc w:val="both"/>
        <w:rPr>
          <w:b/>
        </w:rPr>
      </w:pPr>
      <w:r w:rsidRPr="00C50CDB">
        <w:rPr>
          <w:b/>
        </w:rPr>
        <w:lastRenderedPageBreak/>
        <w:t>Fiche 1</w:t>
      </w:r>
    </w:p>
    <w:p w:rsidR="00415614" w:rsidRDefault="00415614" w:rsidP="00C50CDB">
      <w:pPr>
        <w:jc w:val="center"/>
      </w:pPr>
      <w:r w:rsidRPr="00415614">
        <w:rPr>
          <w:noProof/>
          <w:lang w:eastAsia="en-GB"/>
        </w:rPr>
        <w:drawing>
          <wp:inline distT="0" distB="0" distL="0" distR="0" wp14:anchorId="10D5487F" wp14:editId="614AE542">
            <wp:extent cx="7107382" cy="55240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04380" cy="5521743"/>
                    </a:xfrm>
                    <a:prstGeom prst="rect">
                      <a:avLst/>
                    </a:prstGeom>
                    <a:noFill/>
                    <a:ln>
                      <a:noFill/>
                    </a:ln>
                  </pic:spPr>
                </pic:pic>
              </a:graphicData>
            </a:graphic>
          </wp:inline>
        </w:drawing>
      </w:r>
    </w:p>
    <w:p w:rsidR="00415614" w:rsidRPr="00C50CDB" w:rsidRDefault="00415614" w:rsidP="00EB7539">
      <w:pPr>
        <w:jc w:val="both"/>
        <w:rPr>
          <w:b/>
        </w:rPr>
      </w:pPr>
      <w:r w:rsidRPr="00C50CDB">
        <w:rPr>
          <w:b/>
        </w:rPr>
        <w:lastRenderedPageBreak/>
        <w:t xml:space="preserve">Fiche 2 </w:t>
      </w:r>
    </w:p>
    <w:p w:rsidR="00415614" w:rsidRPr="00CC385A" w:rsidRDefault="001B3D6B" w:rsidP="00C50CDB">
      <w:pPr>
        <w:jc w:val="center"/>
      </w:pPr>
      <w:r w:rsidRPr="001B3D6B">
        <w:rPr>
          <w:noProof/>
          <w:lang w:eastAsia="en-GB"/>
        </w:rPr>
        <w:drawing>
          <wp:inline distT="0" distB="0" distL="0" distR="0" wp14:anchorId="0EF2F99E" wp14:editId="1A5EE490">
            <wp:extent cx="9777730" cy="54948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5494863"/>
                    </a:xfrm>
                    <a:prstGeom prst="rect">
                      <a:avLst/>
                    </a:prstGeom>
                    <a:noFill/>
                    <a:ln>
                      <a:noFill/>
                    </a:ln>
                  </pic:spPr>
                </pic:pic>
              </a:graphicData>
            </a:graphic>
          </wp:inline>
        </w:drawing>
      </w:r>
    </w:p>
    <w:sectPr w:rsidR="00415614" w:rsidRPr="00CC385A" w:rsidSect="00EB753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EB6" w:rsidRDefault="008A3EB6" w:rsidP="001150AB">
      <w:pPr>
        <w:spacing w:after="0" w:line="240" w:lineRule="auto"/>
      </w:pPr>
      <w:r>
        <w:separator/>
      </w:r>
    </w:p>
  </w:endnote>
  <w:endnote w:type="continuationSeparator" w:id="0">
    <w:p w:rsidR="008A3EB6" w:rsidRDefault="008A3EB6" w:rsidP="001150AB">
      <w:pPr>
        <w:spacing w:after="0" w:line="240" w:lineRule="auto"/>
      </w:pPr>
      <w:r>
        <w:continuationSeparator/>
      </w:r>
    </w:p>
  </w:endnote>
  <w:endnote w:type="continuationNotice" w:id="1">
    <w:p w:rsidR="008A3EB6" w:rsidRDefault="008A3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039710"/>
      <w:docPartObj>
        <w:docPartGallery w:val="Page Numbers (Bottom of Page)"/>
        <w:docPartUnique/>
      </w:docPartObj>
    </w:sdtPr>
    <w:sdtEndPr>
      <w:rPr>
        <w:noProof/>
      </w:rPr>
    </w:sdtEndPr>
    <w:sdtContent>
      <w:p w:rsidR="001E1688" w:rsidRDefault="001E1688">
        <w:pPr>
          <w:pStyle w:val="Footer"/>
          <w:jc w:val="right"/>
        </w:pPr>
        <w:r>
          <w:fldChar w:fldCharType="begin"/>
        </w:r>
        <w:r>
          <w:instrText xml:space="preserve"> PAGE   \* MERGEFORMAT </w:instrText>
        </w:r>
        <w:r>
          <w:fldChar w:fldCharType="separate"/>
        </w:r>
        <w:r w:rsidR="00044124">
          <w:rPr>
            <w:noProof/>
          </w:rPr>
          <w:t>7</w:t>
        </w:r>
        <w:r>
          <w:rPr>
            <w:noProof/>
          </w:rPr>
          <w:fldChar w:fldCharType="end"/>
        </w:r>
      </w:p>
    </w:sdtContent>
  </w:sdt>
  <w:p w:rsidR="00BE7D28" w:rsidRDefault="00BE7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521197"/>
      <w:docPartObj>
        <w:docPartGallery w:val="Page Numbers (Bottom of Page)"/>
        <w:docPartUnique/>
      </w:docPartObj>
    </w:sdtPr>
    <w:sdtEndPr>
      <w:rPr>
        <w:noProof/>
      </w:rPr>
    </w:sdtEndPr>
    <w:sdtContent>
      <w:p w:rsidR="00E21A9B" w:rsidRDefault="00E21A9B">
        <w:pPr>
          <w:pStyle w:val="Footer"/>
          <w:jc w:val="right"/>
        </w:pPr>
        <w:r>
          <w:fldChar w:fldCharType="begin"/>
        </w:r>
        <w:r>
          <w:instrText xml:space="preserve"> PAGE   \* MERGEFORMAT </w:instrText>
        </w:r>
        <w:r>
          <w:fldChar w:fldCharType="separate"/>
        </w:r>
        <w:r w:rsidR="00A362BE">
          <w:rPr>
            <w:noProof/>
          </w:rPr>
          <w:t>1</w:t>
        </w:r>
        <w:r>
          <w:rPr>
            <w:noProof/>
          </w:rPr>
          <w:fldChar w:fldCharType="end"/>
        </w:r>
      </w:p>
    </w:sdtContent>
  </w:sdt>
  <w:p w:rsidR="00A37795" w:rsidRDefault="00A37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EB6" w:rsidRDefault="008A3EB6" w:rsidP="001150AB">
      <w:pPr>
        <w:spacing w:after="0" w:line="240" w:lineRule="auto"/>
      </w:pPr>
      <w:r>
        <w:separator/>
      </w:r>
    </w:p>
  </w:footnote>
  <w:footnote w:type="continuationSeparator" w:id="0">
    <w:p w:rsidR="008A3EB6" w:rsidRDefault="008A3EB6" w:rsidP="001150AB">
      <w:pPr>
        <w:spacing w:after="0" w:line="240" w:lineRule="auto"/>
      </w:pPr>
      <w:r>
        <w:continuationSeparator/>
      </w:r>
    </w:p>
  </w:footnote>
  <w:footnote w:type="continuationNotice" w:id="1">
    <w:p w:rsidR="008A3EB6" w:rsidRDefault="008A3EB6">
      <w:pPr>
        <w:spacing w:after="0" w:line="240" w:lineRule="auto"/>
      </w:pPr>
    </w:p>
  </w:footnote>
  <w:footnote w:id="2">
    <w:p w:rsidR="00067BF5" w:rsidRPr="00A5637E" w:rsidRDefault="00067BF5" w:rsidP="003E12FE">
      <w:pPr>
        <w:pStyle w:val="FootnoteText"/>
        <w:jc w:val="both"/>
        <w:rPr>
          <w:sz w:val="18"/>
          <w:szCs w:val="18"/>
        </w:rPr>
      </w:pPr>
      <w:r w:rsidRPr="00A5637E">
        <w:rPr>
          <w:rStyle w:val="FootnoteReference"/>
          <w:sz w:val="18"/>
          <w:szCs w:val="18"/>
        </w:rPr>
        <w:footnoteRef/>
      </w:r>
      <w:r w:rsidRPr="00A5637E">
        <w:rPr>
          <w:sz w:val="18"/>
          <w:szCs w:val="18"/>
        </w:rPr>
        <w:t xml:space="preserve"> </w:t>
      </w:r>
      <w:r w:rsidR="00E95EE4" w:rsidRPr="00A5637E">
        <w:rPr>
          <w:sz w:val="18"/>
          <w:szCs w:val="18"/>
        </w:rPr>
        <w:t>Only</w:t>
      </w:r>
      <w:r w:rsidRPr="00A5637E">
        <w:rPr>
          <w:sz w:val="18"/>
          <w:szCs w:val="18"/>
        </w:rPr>
        <w:t xml:space="preserve"> the amount of the EU contribution in the payment application</w:t>
      </w:r>
      <w:r w:rsidR="004C4958" w:rsidRPr="00A5637E">
        <w:rPr>
          <w:sz w:val="18"/>
          <w:szCs w:val="18"/>
        </w:rPr>
        <w:t xml:space="preserve"> is taken into account</w:t>
      </w:r>
      <w:r w:rsidR="00E95EE4" w:rsidRPr="00A5637E">
        <w:rPr>
          <w:sz w:val="18"/>
          <w:szCs w:val="18"/>
        </w:rPr>
        <w:t xml:space="preserve"> for the decommitment calculation</w:t>
      </w:r>
      <w:r w:rsidR="004C4958" w:rsidRPr="00A5637E">
        <w:rPr>
          <w:sz w:val="18"/>
          <w:szCs w:val="18"/>
        </w:rPr>
        <w:t>.</w:t>
      </w:r>
    </w:p>
  </w:footnote>
  <w:footnote w:id="3">
    <w:p w:rsidR="00216ADB" w:rsidRPr="00A5637E" w:rsidRDefault="00216ADB" w:rsidP="003E12FE">
      <w:pPr>
        <w:pStyle w:val="FootnoteText"/>
        <w:jc w:val="both"/>
        <w:rPr>
          <w:sz w:val="18"/>
          <w:szCs w:val="18"/>
        </w:rPr>
      </w:pPr>
      <w:r w:rsidRPr="00A5637E">
        <w:rPr>
          <w:rStyle w:val="FootnoteReference"/>
          <w:sz w:val="18"/>
          <w:szCs w:val="18"/>
        </w:rPr>
        <w:footnoteRef/>
      </w:r>
      <w:r w:rsidRPr="00A5637E">
        <w:rPr>
          <w:sz w:val="18"/>
          <w:szCs w:val="18"/>
        </w:rPr>
        <w:t xml:space="preserve"> The additional pre-financing for Greece (3,5% in 2015 and 3,5% in 2016) is also </w:t>
      </w:r>
      <w:r w:rsidR="00305067" w:rsidRPr="00A5637E">
        <w:rPr>
          <w:sz w:val="18"/>
          <w:szCs w:val="18"/>
        </w:rPr>
        <w:t xml:space="preserve">taken into account in the </w:t>
      </w:r>
      <w:r w:rsidRPr="00A5637E">
        <w:rPr>
          <w:sz w:val="18"/>
          <w:szCs w:val="18"/>
        </w:rPr>
        <w:t>decommitment</w:t>
      </w:r>
      <w:r w:rsidR="00305067" w:rsidRPr="00A5637E">
        <w:rPr>
          <w:sz w:val="18"/>
          <w:szCs w:val="18"/>
        </w:rPr>
        <w:t xml:space="preserve"> calculation</w:t>
      </w:r>
      <w:r w:rsidRPr="00A5637E">
        <w:rPr>
          <w:sz w:val="18"/>
          <w:szCs w:val="18"/>
        </w:rPr>
        <w:t xml:space="preserve">, for which reason the legal reference should be understood as </w:t>
      </w:r>
      <w:r w:rsidR="0002011D" w:rsidRPr="00A5637E">
        <w:rPr>
          <w:sz w:val="18"/>
          <w:szCs w:val="18"/>
        </w:rPr>
        <w:t>article 134 CPR as modified by article 1 of Regulation 2015/1839.</w:t>
      </w:r>
    </w:p>
  </w:footnote>
  <w:footnote w:id="4">
    <w:p w:rsidR="001150AB" w:rsidRPr="00A5637E" w:rsidRDefault="001150AB" w:rsidP="003E12FE">
      <w:pPr>
        <w:pStyle w:val="FootnoteText"/>
        <w:jc w:val="both"/>
        <w:rPr>
          <w:sz w:val="18"/>
          <w:szCs w:val="18"/>
        </w:rPr>
      </w:pPr>
      <w:r w:rsidRPr="00A5637E">
        <w:rPr>
          <w:rStyle w:val="FootnoteReference"/>
          <w:sz w:val="18"/>
          <w:szCs w:val="18"/>
        </w:rPr>
        <w:footnoteRef/>
      </w:r>
      <w:r w:rsidRPr="00A5637E">
        <w:rPr>
          <w:sz w:val="18"/>
          <w:szCs w:val="18"/>
        </w:rPr>
        <w:t xml:space="preserve"> 1. Programmes adopted at the latest on 31 December 2014 have a separate 2014 and 2015 tranche in the Financi</w:t>
      </w:r>
      <w:r w:rsidR="000A2BA9" w:rsidRPr="00A5637E">
        <w:rPr>
          <w:sz w:val="18"/>
          <w:szCs w:val="18"/>
        </w:rPr>
        <w:t>ng</w:t>
      </w:r>
      <w:r w:rsidRPr="00A5637E">
        <w:rPr>
          <w:sz w:val="18"/>
          <w:szCs w:val="18"/>
        </w:rPr>
        <w:t xml:space="preserve"> Plan, so the main allocation of 2014 has a 2017 target and the main allocation of 2015 has a 2018 target.</w:t>
      </w:r>
    </w:p>
    <w:p w:rsidR="001150AB" w:rsidRPr="00A5637E" w:rsidRDefault="001150AB" w:rsidP="003E12FE">
      <w:pPr>
        <w:pStyle w:val="FootnoteText"/>
        <w:jc w:val="both"/>
        <w:rPr>
          <w:sz w:val="18"/>
          <w:szCs w:val="18"/>
        </w:rPr>
      </w:pPr>
      <w:r w:rsidRPr="00A5637E">
        <w:rPr>
          <w:sz w:val="18"/>
          <w:szCs w:val="18"/>
        </w:rPr>
        <w:t>2. Programmes ready for adoption at the end of December 2014 but actually adopted in 2015 and for which commitments of 201</w:t>
      </w:r>
      <w:r w:rsidR="00043899" w:rsidRPr="00A5637E">
        <w:rPr>
          <w:sz w:val="18"/>
          <w:szCs w:val="18"/>
        </w:rPr>
        <w:t>4 were carried over to 2015 and</w:t>
      </w:r>
      <w:r w:rsidRPr="00A5637E">
        <w:rPr>
          <w:sz w:val="18"/>
          <w:szCs w:val="18"/>
        </w:rPr>
        <w:t xml:space="preserve"> committed up t</w:t>
      </w:r>
      <w:r w:rsidR="00043899" w:rsidRPr="00A5637E">
        <w:rPr>
          <w:sz w:val="18"/>
          <w:szCs w:val="18"/>
        </w:rPr>
        <w:t>o 31 March 2015 (carried-over OP</w:t>
      </w:r>
      <w:r w:rsidRPr="00A5637E">
        <w:rPr>
          <w:sz w:val="18"/>
          <w:szCs w:val="18"/>
        </w:rPr>
        <w:t>s) have also a separate 2014 and 2015 tranche in the Financi</w:t>
      </w:r>
      <w:r w:rsidR="000A2BA9" w:rsidRPr="00A5637E">
        <w:rPr>
          <w:sz w:val="18"/>
          <w:szCs w:val="18"/>
        </w:rPr>
        <w:t>ng</w:t>
      </w:r>
      <w:r w:rsidRPr="00A5637E">
        <w:rPr>
          <w:sz w:val="18"/>
          <w:szCs w:val="18"/>
        </w:rPr>
        <w:t xml:space="preserve"> Plan. However, for the purpose of the decommitment these programmes will have no 2017 target as the commitment was made in 2015, and will have a double 2018 target, which is the third financial year following the year of the budgetary commitment (Art. 136 of the CPR).</w:t>
      </w:r>
    </w:p>
    <w:p w:rsidR="001150AB" w:rsidRPr="003E12FE" w:rsidRDefault="001150AB" w:rsidP="003E12FE">
      <w:pPr>
        <w:pStyle w:val="FootnoteText"/>
        <w:jc w:val="both"/>
      </w:pPr>
      <w:r w:rsidRPr="00A5637E">
        <w:rPr>
          <w:sz w:val="18"/>
          <w:szCs w:val="18"/>
        </w:rPr>
        <w:t>3. Programmes not ready for adoption at the end of December 2014 do not have a 2014 tranche, but the initially budgeted amounts for 2014 were added to the 2015 tranche of commitments. These programmes have no 2017 target, the new (increased) 2015</w:t>
      </w:r>
      <w:r w:rsidR="006E0591" w:rsidRPr="00A5637E">
        <w:rPr>
          <w:sz w:val="18"/>
          <w:szCs w:val="18"/>
        </w:rPr>
        <w:t xml:space="preserve"> allocation</w:t>
      </w:r>
      <w:r w:rsidRPr="00A5637E">
        <w:rPr>
          <w:sz w:val="18"/>
          <w:szCs w:val="18"/>
        </w:rPr>
        <w:t xml:space="preserve"> will have a 2018 target.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4D" w:rsidRDefault="00044124">
    <w:pPr>
      <w:pStyle w:val="Header"/>
    </w:pPr>
    <w:r>
      <w:rPr>
        <w:noProof/>
      </w:rPr>
      <w:pict w14:anchorId="43862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9830" o:spid="_x0000_s2050" type="#_x0000_t136" style="position:absolute;margin-left:0;margin-top:0;width:543.5pt;height:95.9pt;rotation:315;z-index:-251658752;mso-position-horizontal:center;mso-position-horizontal-relative:margin;mso-position-vertical:center;mso-position-vertical-relative:margin" o:allowincell="f" fillcolor="silver" stroked="f">
          <v:fill opacity=".5"/>
          <v:textpath style="font-family:&quot;Calibri&quot;;font-size:1pt" string="WORKING DOCU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D91" w:rsidRDefault="00473D91" w:rsidP="0080221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91" w:rsidRDefault="00FA32A2" w:rsidP="003F5909">
    <w:pPr>
      <w:pStyle w:val="Header"/>
      <w:tabs>
        <w:tab w:val="clear" w:pos="4536"/>
        <w:tab w:val="clear" w:pos="9072"/>
      </w:tabs>
    </w:pPr>
    <w:r w:rsidRPr="00B41B14">
      <w:t>EGESIF_17-0012-0</w:t>
    </w:r>
    <w:r w:rsidR="00822CE2" w:rsidRPr="00B41B14">
      <w:t>2</w:t>
    </w:r>
    <w:r w:rsidR="00FC5F81" w:rsidRPr="00B41B14">
      <w:br/>
    </w:r>
    <w:r w:rsidR="00822CE2" w:rsidRPr="00B41B14">
      <w:t>23</w:t>
    </w:r>
    <w:r w:rsidR="003361D3" w:rsidRPr="00B41B14">
      <w:t>/</w:t>
    </w:r>
    <w:r w:rsidR="00E855F2" w:rsidRPr="00B41B14">
      <w:t>11</w:t>
    </w:r>
    <w:r w:rsidR="003361D3" w:rsidRPr="00B41B14">
      <w:t>/</w:t>
    </w:r>
    <w:r w:rsidR="00FC5F81" w:rsidRPr="00B41B14">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37FE"/>
    <w:multiLevelType w:val="hybridMultilevel"/>
    <w:tmpl w:val="B38ECE4A"/>
    <w:lvl w:ilvl="0" w:tplc="848C76C0">
      <w:start w:val="1"/>
      <w:numFmt w:val="bullet"/>
      <w:lvlText w:val=""/>
      <w:lvlJc w:val="left"/>
      <w:pPr>
        <w:tabs>
          <w:tab w:val="num" w:pos="720"/>
        </w:tabs>
        <w:ind w:left="720" w:hanging="360"/>
      </w:pPr>
      <w:rPr>
        <w:rFonts w:ascii="Wingdings" w:hAnsi="Wingdings" w:hint="default"/>
      </w:rPr>
    </w:lvl>
    <w:lvl w:ilvl="1" w:tplc="46AA5518" w:tentative="1">
      <w:start w:val="1"/>
      <w:numFmt w:val="bullet"/>
      <w:lvlText w:val=""/>
      <w:lvlJc w:val="left"/>
      <w:pPr>
        <w:tabs>
          <w:tab w:val="num" w:pos="1440"/>
        </w:tabs>
        <w:ind w:left="1440" w:hanging="360"/>
      </w:pPr>
      <w:rPr>
        <w:rFonts w:ascii="Wingdings" w:hAnsi="Wingdings" w:hint="default"/>
      </w:rPr>
    </w:lvl>
    <w:lvl w:ilvl="2" w:tplc="160C15A8" w:tentative="1">
      <w:start w:val="1"/>
      <w:numFmt w:val="bullet"/>
      <w:lvlText w:val=""/>
      <w:lvlJc w:val="left"/>
      <w:pPr>
        <w:tabs>
          <w:tab w:val="num" w:pos="2160"/>
        </w:tabs>
        <w:ind w:left="2160" w:hanging="360"/>
      </w:pPr>
      <w:rPr>
        <w:rFonts w:ascii="Wingdings" w:hAnsi="Wingdings" w:hint="default"/>
      </w:rPr>
    </w:lvl>
    <w:lvl w:ilvl="3" w:tplc="4648BAEE" w:tentative="1">
      <w:start w:val="1"/>
      <w:numFmt w:val="bullet"/>
      <w:lvlText w:val=""/>
      <w:lvlJc w:val="left"/>
      <w:pPr>
        <w:tabs>
          <w:tab w:val="num" w:pos="2880"/>
        </w:tabs>
        <w:ind w:left="2880" w:hanging="360"/>
      </w:pPr>
      <w:rPr>
        <w:rFonts w:ascii="Wingdings" w:hAnsi="Wingdings" w:hint="default"/>
      </w:rPr>
    </w:lvl>
    <w:lvl w:ilvl="4" w:tplc="C018EAEC" w:tentative="1">
      <w:start w:val="1"/>
      <w:numFmt w:val="bullet"/>
      <w:lvlText w:val=""/>
      <w:lvlJc w:val="left"/>
      <w:pPr>
        <w:tabs>
          <w:tab w:val="num" w:pos="3600"/>
        </w:tabs>
        <w:ind w:left="3600" w:hanging="360"/>
      </w:pPr>
      <w:rPr>
        <w:rFonts w:ascii="Wingdings" w:hAnsi="Wingdings" w:hint="default"/>
      </w:rPr>
    </w:lvl>
    <w:lvl w:ilvl="5" w:tplc="1386808A" w:tentative="1">
      <w:start w:val="1"/>
      <w:numFmt w:val="bullet"/>
      <w:lvlText w:val=""/>
      <w:lvlJc w:val="left"/>
      <w:pPr>
        <w:tabs>
          <w:tab w:val="num" w:pos="4320"/>
        </w:tabs>
        <w:ind w:left="4320" w:hanging="360"/>
      </w:pPr>
      <w:rPr>
        <w:rFonts w:ascii="Wingdings" w:hAnsi="Wingdings" w:hint="default"/>
      </w:rPr>
    </w:lvl>
    <w:lvl w:ilvl="6" w:tplc="965CEEC8" w:tentative="1">
      <w:start w:val="1"/>
      <w:numFmt w:val="bullet"/>
      <w:lvlText w:val=""/>
      <w:lvlJc w:val="left"/>
      <w:pPr>
        <w:tabs>
          <w:tab w:val="num" w:pos="5040"/>
        </w:tabs>
        <w:ind w:left="5040" w:hanging="360"/>
      </w:pPr>
      <w:rPr>
        <w:rFonts w:ascii="Wingdings" w:hAnsi="Wingdings" w:hint="default"/>
      </w:rPr>
    </w:lvl>
    <w:lvl w:ilvl="7" w:tplc="144E6B9A" w:tentative="1">
      <w:start w:val="1"/>
      <w:numFmt w:val="bullet"/>
      <w:lvlText w:val=""/>
      <w:lvlJc w:val="left"/>
      <w:pPr>
        <w:tabs>
          <w:tab w:val="num" w:pos="5760"/>
        </w:tabs>
        <w:ind w:left="5760" w:hanging="360"/>
      </w:pPr>
      <w:rPr>
        <w:rFonts w:ascii="Wingdings" w:hAnsi="Wingdings" w:hint="default"/>
      </w:rPr>
    </w:lvl>
    <w:lvl w:ilvl="8" w:tplc="503C66C0" w:tentative="1">
      <w:start w:val="1"/>
      <w:numFmt w:val="bullet"/>
      <w:lvlText w:val=""/>
      <w:lvlJc w:val="left"/>
      <w:pPr>
        <w:tabs>
          <w:tab w:val="num" w:pos="6480"/>
        </w:tabs>
        <w:ind w:left="6480" w:hanging="360"/>
      </w:pPr>
      <w:rPr>
        <w:rFonts w:ascii="Wingdings" w:hAnsi="Wingdings" w:hint="default"/>
      </w:rPr>
    </w:lvl>
  </w:abstractNum>
  <w:abstractNum w:abstractNumId="1">
    <w:nsid w:val="243A7085"/>
    <w:multiLevelType w:val="hybridMultilevel"/>
    <w:tmpl w:val="FA36B638"/>
    <w:lvl w:ilvl="0" w:tplc="049C109A">
      <w:start w:val="1"/>
      <w:numFmt w:val="bullet"/>
      <w:lvlText w:val=""/>
      <w:lvlJc w:val="left"/>
      <w:pPr>
        <w:tabs>
          <w:tab w:val="num" w:pos="720"/>
        </w:tabs>
        <w:ind w:left="720" w:hanging="360"/>
      </w:pPr>
      <w:rPr>
        <w:rFonts w:ascii="Wingdings" w:hAnsi="Wingdings" w:hint="default"/>
      </w:rPr>
    </w:lvl>
    <w:lvl w:ilvl="1" w:tplc="670493D6" w:tentative="1">
      <w:start w:val="1"/>
      <w:numFmt w:val="bullet"/>
      <w:lvlText w:val=""/>
      <w:lvlJc w:val="left"/>
      <w:pPr>
        <w:tabs>
          <w:tab w:val="num" w:pos="1440"/>
        </w:tabs>
        <w:ind w:left="1440" w:hanging="360"/>
      </w:pPr>
      <w:rPr>
        <w:rFonts w:ascii="Wingdings" w:hAnsi="Wingdings" w:hint="default"/>
      </w:rPr>
    </w:lvl>
    <w:lvl w:ilvl="2" w:tplc="0A026088" w:tentative="1">
      <w:start w:val="1"/>
      <w:numFmt w:val="bullet"/>
      <w:lvlText w:val=""/>
      <w:lvlJc w:val="left"/>
      <w:pPr>
        <w:tabs>
          <w:tab w:val="num" w:pos="2160"/>
        </w:tabs>
        <w:ind w:left="2160" w:hanging="360"/>
      </w:pPr>
      <w:rPr>
        <w:rFonts w:ascii="Wingdings" w:hAnsi="Wingdings" w:hint="default"/>
      </w:rPr>
    </w:lvl>
    <w:lvl w:ilvl="3" w:tplc="997E1996" w:tentative="1">
      <w:start w:val="1"/>
      <w:numFmt w:val="bullet"/>
      <w:lvlText w:val=""/>
      <w:lvlJc w:val="left"/>
      <w:pPr>
        <w:tabs>
          <w:tab w:val="num" w:pos="2880"/>
        </w:tabs>
        <w:ind w:left="2880" w:hanging="360"/>
      </w:pPr>
      <w:rPr>
        <w:rFonts w:ascii="Wingdings" w:hAnsi="Wingdings" w:hint="default"/>
      </w:rPr>
    </w:lvl>
    <w:lvl w:ilvl="4" w:tplc="05DC175E" w:tentative="1">
      <w:start w:val="1"/>
      <w:numFmt w:val="bullet"/>
      <w:lvlText w:val=""/>
      <w:lvlJc w:val="left"/>
      <w:pPr>
        <w:tabs>
          <w:tab w:val="num" w:pos="3600"/>
        </w:tabs>
        <w:ind w:left="3600" w:hanging="360"/>
      </w:pPr>
      <w:rPr>
        <w:rFonts w:ascii="Wingdings" w:hAnsi="Wingdings" w:hint="default"/>
      </w:rPr>
    </w:lvl>
    <w:lvl w:ilvl="5" w:tplc="CFBAC564" w:tentative="1">
      <w:start w:val="1"/>
      <w:numFmt w:val="bullet"/>
      <w:lvlText w:val=""/>
      <w:lvlJc w:val="left"/>
      <w:pPr>
        <w:tabs>
          <w:tab w:val="num" w:pos="4320"/>
        </w:tabs>
        <w:ind w:left="4320" w:hanging="360"/>
      </w:pPr>
      <w:rPr>
        <w:rFonts w:ascii="Wingdings" w:hAnsi="Wingdings" w:hint="default"/>
      </w:rPr>
    </w:lvl>
    <w:lvl w:ilvl="6" w:tplc="4ADA09B4" w:tentative="1">
      <w:start w:val="1"/>
      <w:numFmt w:val="bullet"/>
      <w:lvlText w:val=""/>
      <w:lvlJc w:val="left"/>
      <w:pPr>
        <w:tabs>
          <w:tab w:val="num" w:pos="5040"/>
        </w:tabs>
        <w:ind w:left="5040" w:hanging="360"/>
      </w:pPr>
      <w:rPr>
        <w:rFonts w:ascii="Wingdings" w:hAnsi="Wingdings" w:hint="default"/>
      </w:rPr>
    </w:lvl>
    <w:lvl w:ilvl="7" w:tplc="87C2B434" w:tentative="1">
      <w:start w:val="1"/>
      <w:numFmt w:val="bullet"/>
      <w:lvlText w:val=""/>
      <w:lvlJc w:val="left"/>
      <w:pPr>
        <w:tabs>
          <w:tab w:val="num" w:pos="5760"/>
        </w:tabs>
        <w:ind w:left="5760" w:hanging="360"/>
      </w:pPr>
      <w:rPr>
        <w:rFonts w:ascii="Wingdings" w:hAnsi="Wingdings" w:hint="default"/>
      </w:rPr>
    </w:lvl>
    <w:lvl w:ilvl="8" w:tplc="D8CEF824" w:tentative="1">
      <w:start w:val="1"/>
      <w:numFmt w:val="bullet"/>
      <w:lvlText w:val=""/>
      <w:lvlJc w:val="left"/>
      <w:pPr>
        <w:tabs>
          <w:tab w:val="num" w:pos="6480"/>
        </w:tabs>
        <w:ind w:left="6480" w:hanging="360"/>
      </w:pPr>
      <w:rPr>
        <w:rFonts w:ascii="Wingdings" w:hAnsi="Wingdings" w:hint="default"/>
      </w:rPr>
    </w:lvl>
  </w:abstractNum>
  <w:abstractNum w:abstractNumId="2">
    <w:nsid w:val="2457673F"/>
    <w:multiLevelType w:val="hybridMultilevel"/>
    <w:tmpl w:val="4D066D9A"/>
    <w:lvl w:ilvl="0" w:tplc="3BF0F35A">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nsid w:val="32CA250F"/>
    <w:multiLevelType w:val="hybridMultilevel"/>
    <w:tmpl w:val="EFC88FB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nsid w:val="371D0B7E"/>
    <w:multiLevelType w:val="hybridMultilevel"/>
    <w:tmpl w:val="418C2ACA"/>
    <w:lvl w:ilvl="0" w:tplc="2C341E2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CA4F6D"/>
    <w:multiLevelType w:val="hybridMultilevel"/>
    <w:tmpl w:val="89867C18"/>
    <w:lvl w:ilvl="0" w:tplc="08090001">
      <w:start w:val="1"/>
      <w:numFmt w:val="bullet"/>
      <w:lvlText w:val=""/>
      <w:lvlJc w:val="left"/>
      <w:pPr>
        <w:ind w:left="-1464" w:hanging="360"/>
      </w:pPr>
      <w:rPr>
        <w:rFonts w:ascii="Symbol" w:hAnsi="Symbol" w:hint="default"/>
      </w:rPr>
    </w:lvl>
    <w:lvl w:ilvl="1" w:tplc="08090003">
      <w:start w:val="1"/>
      <w:numFmt w:val="bullet"/>
      <w:lvlText w:val="o"/>
      <w:lvlJc w:val="left"/>
      <w:pPr>
        <w:ind w:left="-744" w:hanging="360"/>
      </w:pPr>
      <w:rPr>
        <w:rFonts w:ascii="Courier New" w:hAnsi="Courier New" w:cs="Courier New" w:hint="default"/>
      </w:rPr>
    </w:lvl>
    <w:lvl w:ilvl="2" w:tplc="08090005">
      <w:start w:val="1"/>
      <w:numFmt w:val="bullet"/>
      <w:lvlText w:val=""/>
      <w:lvlJc w:val="left"/>
      <w:pPr>
        <w:ind w:left="-24" w:hanging="360"/>
      </w:pPr>
      <w:rPr>
        <w:rFonts w:ascii="Wingdings" w:hAnsi="Wingdings" w:hint="default"/>
      </w:rPr>
    </w:lvl>
    <w:lvl w:ilvl="3" w:tplc="08090001">
      <w:start w:val="1"/>
      <w:numFmt w:val="bullet"/>
      <w:lvlText w:val=""/>
      <w:lvlJc w:val="left"/>
      <w:pPr>
        <w:ind w:left="696" w:hanging="360"/>
      </w:pPr>
      <w:rPr>
        <w:rFonts w:ascii="Symbol" w:hAnsi="Symbol" w:hint="default"/>
      </w:rPr>
    </w:lvl>
    <w:lvl w:ilvl="4" w:tplc="08090003">
      <w:start w:val="1"/>
      <w:numFmt w:val="bullet"/>
      <w:lvlText w:val="o"/>
      <w:lvlJc w:val="left"/>
      <w:pPr>
        <w:ind w:left="1416" w:hanging="360"/>
      </w:pPr>
      <w:rPr>
        <w:rFonts w:ascii="Courier New" w:hAnsi="Courier New" w:cs="Courier New" w:hint="default"/>
      </w:rPr>
    </w:lvl>
    <w:lvl w:ilvl="5" w:tplc="08090005">
      <w:start w:val="1"/>
      <w:numFmt w:val="bullet"/>
      <w:lvlText w:val=""/>
      <w:lvlJc w:val="left"/>
      <w:pPr>
        <w:ind w:left="2136" w:hanging="360"/>
      </w:pPr>
      <w:rPr>
        <w:rFonts w:ascii="Wingdings" w:hAnsi="Wingdings" w:hint="default"/>
      </w:rPr>
    </w:lvl>
    <w:lvl w:ilvl="6" w:tplc="08090001">
      <w:start w:val="1"/>
      <w:numFmt w:val="bullet"/>
      <w:lvlText w:val=""/>
      <w:lvlJc w:val="left"/>
      <w:pPr>
        <w:ind w:left="2856" w:hanging="360"/>
      </w:pPr>
      <w:rPr>
        <w:rFonts w:ascii="Symbol" w:hAnsi="Symbol" w:hint="default"/>
      </w:rPr>
    </w:lvl>
    <w:lvl w:ilvl="7" w:tplc="08090003">
      <w:start w:val="1"/>
      <w:numFmt w:val="bullet"/>
      <w:lvlText w:val="o"/>
      <w:lvlJc w:val="left"/>
      <w:pPr>
        <w:ind w:left="3576" w:hanging="360"/>
      </w:pPr>
      <w:rPr>
        <w:rFonts w:ascii="Courier New" w:hAnsi="Courier New" w:cs="Courier New" w:hint="default"/>
      </w:rPr>
    </w:lvl>
    <w:lvl w:ilvl="8" w:tplc="08090005">
      <w:start w:val="1"/>
      <w:numFmt w:val="bullet"/>
      <w:lvlText w:val=""/>
      <w:lvlJc w:val="left"/>
      <w:pPr>
        <w:ind w:left="4296" w:hanging="360"/>
      </w:pPr>
      <w:rPr>
        <w:rFonts w:ascii="Wingdings" w:hAnsi="Wingdings" w:hint="default"/>
      </w:rPr>
    </w:lvl>
  </w:abstractNum>
  <w:abstractNum w:abstractNumId="6">
    <w:nsid w:val="510A2738"/>
    <w:multiLevelType w:val="hybridMultilevel"/>
    <w:tmpl w:val="B2F84656"/>
    <w:lvl w:ilvl="0" w:tplc="E81AE7D0">
      <w:start w:val="1"/>
      <w:numFmt w:val="bullet"/>
      <w:lvlText w:val=""/>
      <w:lvlJc w:val="left"/>
      <w:pPr>
        <w:tabs>
          <w:tab w:val="num" w:pos="720"/>
        </w:tabs>
        <w:ind w:left="720" w:hanging="360"/>
      </w:pPr>
      <w:rPr>
        <w:rFonts w:ascii="Wingdings 2" w:hAnsi="Wingdings 2" w:hint="default"/>
      </w:rPr>
    </w:lvl>
    <w:lvl w:ilvl="1" w:tplc="D78CA346" w:tentative="1">
      <w:start w:val="1"/>
      <w:numFmt w:val="bullet"/>
      <w:lvlText w:val=""/>
      <w:lvlJc w:val="left"/>
      <w:pPr>
        <w:tabs>
          <w:tab w:val="num" w:pos="1440"/>
        </w:tabs>
        <w:ind w:left="1440" w:hanging="360"/>
      </w:pPr>
      <w:rPr>
        <w:rFonts w:ascii="Wingdings 2" w:hAnsi="Wingdings 2" w:hint="default"/>
      </w:rPr>
    </w:lvl>
    <w:lvl w:ilvl="2" w:tplc="2E0E5B24" w:tentative="1">
      <w:start w:val="1"/>
      <w:numFmt w:val="bullet"/>
      <w:lvlText w:val=""/>
      <w:lvlJc w:val="left"/>
      <w:pPr>
        <w:tabs>
          <w:tab w:val="num" w:pos="2160"/>
        </w:tabs>
        <w:ind w:left="2160" w:hanging="360"/>
      </w:pPr>
      <w:rPr>
        <w:rFonts w:ascii="Wingdings 2" w:hAnsi="Wingdings 2" w:hint="default"/>
      </w:rPr>
    </w:lvl>
    <w:lvl w:ilvl="3" w:tplc="028AA5E0" w:tentative="1">
      <w:start w:val="1"/>
      <w:numFmt w:val="bullet"/>
      <w:lvlText w:val=""/>
      <w:lvlJc w:val="left"/>
      <w:pPr>
        <w:tabs>
          <w:tab w:val="num" w:pos="2880"/>
        </w:tabs>
        <w:ind w:left="2880" w:hanging="360"/>
      </w:pPr>
      <w:rPr>
        <w:rFonts w:ascii="Wingdings 2" w:hAnsi="Wingdings 2" w:hint="default"/>
      </w:rPr>
    </w:lvl>
    <w:lvl w:ilvl="4" w:tplc="267A852E" w:tentative="1">
      <w:start w:val="1"/>
      <w:numFmt w:val="bullet"/>
      <w:lvlText w:val=""/>
      <w:lvlJc w:val="left"/>
      <w:pPr>
        <w:tabs>
          <w:tab w:val="num" w:pos="3600"/>
        </w:tabs>
        <w:ind w:left="3600" w:hanging="360"/>
      </w:pPr>
      <w:rPr>
        <w:rFonts w:ascii="Wingdings 2" w:hAnsi="Wingdings 2" w:hint="default"/>
      </w:rPr>
    </w:lvl>
    <w:lvl w:ilvl="5" w:tplc="C17A149E" w:tentative="1">
      <w:start w:val="1"/>
      <w:numFmt w:val="bullet"/>
      <w:lvlText w:val=""/>
      <w:lvlJc w:val="left"/>
      <w:pPr>
        <w:tabs>
          <w:tab w:val="num" w:pos="4320"/>
        </w:tabs>
        <w:ind w:left="4320" w:hanging="360"/>
      </w:pPr>
      <w:rPr>
        <w:rFonts w:ascii="Wingdings 2" w:hAnsi="Wingdings 2" w:hint="default"/>
      </w:rPr>
    </w:lvl>
    <w:lvl w:ilvl="6" w:tplc="38989784" w:tentative="1">
      <w:start w:val="1"/>
      <w:numFmt w:val="bullet"/>
      <w:lvlText w:val=""/>
      <w:lvlJc w:val="left"/>
      <w:pPr>
        <w:tabs>
          <w:tab w:val="num" w:pos="5040"/>
        </w:tabs>
        <w:ind w:left="5040" w:hanging="360"/>
      </w:pPr>
      <w:rPr>
        <w:rFonts w:ascii="Wingdings 2" w:hAnsi="Wingdings 2" w:hint="default"/>
      </w:rPr>
    </w:lvl>
    <w:lvl w:ilvl="7" w:tplc="3A8ECDEA" w:tentative="1">
      <w:start w:val="1"/>
      <w:numFmt w:val="bullet"/>
      <w:lvlText w:val=""/>
      <w:lvlJc w:val="left"/>
      <w:pPr>
        <w:tabs>
          <w:tab w:val="num" w:pos="5760"/>
        </w:tabs>
        <w:ind w:left="5760" w:hanging="360"/>
      </w:pPr>
      <w:rPr>
        <w:rFonts w:ascii="Wingdings 2" w:hAnsi="Wingdings 2" w:hint="default"/>
      </w:rPr>
    </w:lvl>
    <w:lvl w:ilvl="8" w:tplc="19983C4C" w:tentative="1">
      <w:start w:val="1"/>
      <w:numFmt w:val="bullet"/>
      <w:lvlText w:val=""/>
      <w:lvlJc w:val="left"/>
      <w:pPr>
        <w:tabs>
          <w:tab w:val="num" w:pos="6480"/>
        </w:tabs>
        <w:ind w:left="6480" w:hanging="360"/>
      </w:pPr>
      <w:rPr>
        <w:rFonts w:ascii="Wingdings 2" w:hAnsi="Wingdings 2" w:hint="default"/>
      </w:rPr>
    </w:lvl>
  </w:abstractNum>
  <w:abstractNum w:abstractNumId="7">
    <w:nsid w:val="5A274547"/>
    <w:multiLevelType w:val="hybridMultilevel"/>
    <w:tmpl w:val="EA123CCC"/>
    <w:lvl w:ilvl="0" w:tplc="E5C6798A">
      <w:start w:val="1"/>
      <w:numFmt w:val="bullet"/>
      <w:lvlText w:val=""/>
      <w:lvlJc w:val="left"/>
      <w:pPr>
        <w:tabs>
          <w:tab w:val="num" w:pos="720"/>
        </w:tabs>
        <w:ind w:left="720" w:hanging="360"/>
      </w:pPr>
      <w:rPr>
        <w:rFonts w:ascii="Wingdings" w:hAnsi="Wingdings" w:hint="default"/>
      </w:rPr>
    </w:lvl>
    <w:lvl w:ilvl="1" w:tplc="32AA0EE8" w:tentative="1">
      <w:start w:val="1"/>
      <w:numFmt w:val="bullet"/>
      <w:lvlText w:val=""/>
      <w:lvlJc w:val="left"/>
      <w:pPr>
        <w:tabs>
          <w:tab w:val="num" w:pos="1440"/>
        </w:tabs>
        <w:ind w:left="1440" w:hanging="360"/>
      </w:pPr>
      <w:rPr>
        <w:rFonts w:ascii="Wingdings" w:hAnsi="Wingdings" w:hint="default"/>
      </w:rPr>
    </w:lvl>
    <w:lvl w:ilvl="2" w:tplc="59580E90" w:tentative="1">
      <w:start w:val="1"/>
      <w:numFmt w:val="bullet"/>
      <w:lvlText w:val=""/>
      <w:lvlJc w:val="left"/>
      <w:pPr>
        <w:tabs>
          <w:tab w:val="num" w:pos="2160"/>
        </w:tabs>
        <w:ind w:left="2160" w:hanging="360"/>
      </w:pPr>
      <w:rPr>
        <w:rFonts w:ascii="Wingdings" w:hAnsi="Wingdings" w:hint="default"/>
      </w:rPr>
    </w:lvl>
    <w:lvl w:ilvl="3" w:tplc="00342C02" w:tentative="1">
      <w:start w:val="1"/>
      <w:numFmt w:val="bullet"/>
      <w:lvlText w:val=""/>
      <w:lvlJc w:val="left"/>
      <w:pPr>
        <w:tabs>
          <w:tab w:val="num" w:pos="2880"/>
        </w:tabs>
        <w:ind w:left="2880" w:hanging="360"/>
      </w:pPr>
      <w:rPr>
        <w:rFonts w:ascii="Wingdings" w:hAnsi="Wingdings" w:hint="default"/>
      </w:rPr>
    </w:lvl>
    <w:lvl w:ilvl="4" w:tplc="D0EC9B92" w:tentative="1">
      <w:start w:val="1"/>
      <w:numFmt w:val="bullet"/>
      <w:lvlText w:val=""/>
      <w:lvlJc w:val="left"/>
      <w:pPr>
        <w:tabs>
          <w:tab w:val="num" w:pos="3600"/>
        </w:tabs>
        <w:ind w:left="3600" w:hanging="360"/>
      </w:pPr>
      <w:rPr>
        <w:rFonts w:ascii="Wingdings" w:hAnsi="Wingdings" w:hint="default"/>
      </w:rPr>
    </w:lvl>
    <w:lvl w:ilvl="5" w:tplc="D6A651C2" w:tentative="1">
      <w:start w:val="1"/>
      <w:numFmt w:val="bullet"/>
      <w:lvlText w:val=""/>
      <w:lvlJc w:val="left"/>
      <w:pPr>
        <w:tabs>
          <w:tab w:val="num" w:pos="4320"/>
        </w:tabs>
        <w:ind w:left="4320" w:hanging="360"/>
      </w:pPr>
      <w:rPr>
        <w:rFonts w:ascii="Wingdings" w:hAnsi="Wingdings" w:hint="default"/>
      </w:rPr>
    </w:lvl>
    <w:lvl w:ilvl="6" w:tplc="E454EAC4" w:tentative="1">
      <w:start w:val="1"/>
      <w:numFmt w:val="bullet"/>
      <w:lvlText w:val=""/>
      <w:lvlJc w:val="left"/>
      <w:pPr>
        <w:tabs>
          <w:tab w:val="num" w:pos="5040"/>
        </w:tabs>
        <w:ind w:left="5040" w:hanging="360"/>
      </w:pPr>
      <w:rPr>
        <w:rFonts w:ascii="Wingdings" w:hAnsi="Wingdings" w:hint="default"/>
      </w:rPr>
    </w:lvl>
    <w:lvl w:ilvl="7" w:tplc="EAD46B62" w:tentative="1">
      <w:start w:val="1"/>
      <w:numFmt w:val="bullet"/>
      <w:lvlText w:val=""/>
      <w:lvlJc w:val="left"/>
      <w:pPr>
        <w:tabs>
          <w:tab w:val="num" w:pos="5760"/>
        </w:tabs>
        <w:ind w:left="5760" w:hanging="360"/>
      </w:pPr>
      <w:rPr>
        <w:rFonts w:ascii="Wingdings" w:hAnsi="Wingdings" w:hint="default"/>
      </w:rPr>
    </w:lvl>
    <w:lvl w:ilvl="8" w:tplc="FF840806" w:tentative="1">
      <w:start w:val="1"/>
      <w:numFmt w:val="bullet"/>
      <w:lvlText w:val=""/>
      <w:lvlJc w:val="left"/>
      <w:pPr>
        <w:tabs>
          <w:tab w:val="num" w:pos="6480"/>
        </w:tabs>
        <w:ind w:left="6480" w:hanging="360"/>
      </w:pPr>
      <w:rPr>
        <w:rFonts w:ascii="Wingdings" w:hAnsi="Wingdings" w:hint="default"/>
      </w:rPr>
    </w:lvl>
  </w:abstractNum>
  <w:abstractNum w:abstractNumId="8">
    <w:nsid w:val="5A88688C"/>
    <w:multiLevelType w:val="hybridMultilevel"/>
    <w:tmpl w:val="2A36C794"/>
    <w:lvl w:ilvl="0" w:tplc="FED4B9C0">
      <w:start w:val="1"/>
      <w:numFmt w:val="bullet"/>
      <w:lvlText w:val=""/>
      <w:lvlJc w:val="left"/>
      <w:pPr>
        <w:tabs>
          <w:tab w:val="num" w:pos="720"/>
        </w:tabs>
        <w:ind w:left="720" w:hanging="360"/>
      </w:pPr>
      <w:rPr>
        <w:rFonts w:ascii="Wingdings" w:hAnsi="Wingdings" w:hint="default"/>
      </w:rPr>
    </w:lvl>
    <w:lvl w:ilvl="1" w:tplc="843EC2BC" w:tentative="1">
      <w:start w:val="1"/>
      <w:numFmt w:val="bullet"/>
      <w:lvlText w:val=""/>
      <w:lvlJc w:val="left"/>
      <w:pPr>
        <w:tabs>
          <w:tab w:val="num" w:pos="1440"/>
        </w:tabs>
        <w:ind w:left="1440" w:hanging="360"/>
      </w:pPr>
      <w:rPr>
        <w:rFonts w:ascii="Wingdings" w:hAnsi="Wingdings" w:hint="default"/>
      </w:rPr>
    </w:lvl>
    <w:lvl w:ilvl="2" w:tplc="2F621514" w:tentative="1">
      <w:start w:val="1"/>
      <w:numFmt w:val="bullet"/>
      <w:lvlText w:val=""/>
      <w:lvlJc w:val="left"/>
      <w:pPr>
        <w:tabs>
          <w:tab w:val="num" w:pos="2160"/>
        </w:tabs>
        <w:ind w:left="2160" w:hanging="360"/>
      </w:pPr>
      <w:rPr>
        <w:rFonts w:ascii="Wingdings" w:hAnsi="Wingdings" w:hint="default"/>
      </w:rPr>
    </w:lvl>
    <w:lvl w:ilvl="3" w:tplc="0C3EFFFA" w:tentative="1">
      <w:start w:val="1"/>
      <w:numFmt w:val="bullet"/>
      <w:lvlText w:val=""/>
      <w:lvlJc w:val="left"/>
      <w:pPr>
        <w:tabs>
          <w:tab w:val="num" w:pos="2880"/>
        </w:tabs>
        <w:ind w:left="2880" w:hanging="360"/>
      </w:pPr>
      <w:rPr>
        <w:rFonts w:ascii="Wingdings" w:hAnsi="Wingdings" w:hint="default"/>
      </w:rPr>
    </w:lvl>
    <w:lvl w:ilvl="4" w:tplc="B7C8E506" w:tentative="1">
      <w:start w:val="1"/>
      <w:numFmt w:val="bullet"/>
      <w:lvlText w:val=""/>
      <w:lvlJc w:val="left"/>
      <w:pPr>
        <w:tabs>
          <w:tab w:val="num" w:pos="3600"/>
        </w:tabs>
        <w:ind w:left="3600" w:hanging="360"/>
      </w:pPr>
      <w:rPr>
        <w:rFonts w:ascii="Wingdings" w:hAnsi="Wingdings" w:hint="default"/>
      </w:rPr>
    </w:lvl>
    <w:lvl w:ilvl="5" w:tplc="CBB6B75C" w:tentative="1">
      <w:start w:val="1"/>
      <w:numFmt w:val="bullet"/>
      <w:lvlText w:val=""/>
      <w:lvlJc w:val="left"/>
      <w:pPr>
        <w:tabs>
          <w:tab w:val="num" w:pos="4320"/>
        </w:tabs>
        <w:ind w:left="4320" w:hanging="360"/>
      </w:pPr>
      <w:rPr>
        <w:rFonts w:ascii="Wingdings" w:hAnsi="Wingdings" w:hint="default"/>
      </w:rPr>
    </w:lvl>
    <w:lvl w:ilvl="6" w:tplc="C090D4F4" w:tentative="1">
      <w:start w:val="1"/>
      <w:numFmt w:val="bullet"/>
      <w:lvlText w:val=""/>
      <w:lvlJc w:val="left"/>
      <w:pPr>
        <w:tabs>
          <w:tab w:val="num" w:pos="5040"/>
        </w:tabs>
        <w:ind w:left="5040" w:hanging="360"/>
      </w:pPr>
      <w:rPr>
        <w:rFonts w:ascii="Wingdings" w:hAnsi="Wingdings" w:hint="default"/>
      </w:rPr>
    </w:lvl>
    <w:lvl w:ilvl="7" w:tplc="187494C6" w:tentative="1">
      <w:start w:val="1"/>
      <w:numFmt w:val="bullet"/>
      <w:lvlText w:val=""/>
      <w:lvlJc w:val="left"/>
      <w:pPr>
        <w:tabs>
          <w:tab w:val="num" w:pos="5760"/>
        </w:tabs>
        <w:ind w:left="5760" w:hanging="360"/>
      </w:pPr>
      <w:rPr>
        <w:rFonts w:ascii="Wingdings" w:hAnsi="Wingdings" w:hint="default"/>
      </w:rPr>
    </w:lvl>
    <w:lvl w:ilvl="8" w:tplc="F080E1D2" w:tentative="1">
      <w:start w:val="1"/>
      <w:numFmt w:val="bullet"/>
      <w:lvlText w:val=""/>
      <w:lvlJc w:val="left"/>
      <w:pPr>
        <w:tabs>
          <w:tab w:val="num" w:pos="6480"/>
        </w:tabs>
        <w:ind w:left="6480" w:hanging="360"/>
      </w:pPr>
      <w:rPr>
        <w:rFonts w:ascii="Wingdings" w:hAnsi="Wingdings" w:hint="default"/>
      </w:rPr>
    </w:lvl>
  </w:abstractNum>
  <w:abstractNum w:abstractNumId="9">
    <w:nsid w:val="61816D03"/>
    <w:multiLevelType w:val="hybridMultilevel"/>
    <w:tmpl w:val="B4D867B0"/>
    <w:lvl w:ilvl="0" w:tplc="43E8A02E">
      <w:start w:val="1"/>
      <w:numFmt w:val="bullet"/>
      <w:lvlText w:val=""/>
      <w:lvlJc w:val="left"/>
      <w:pPr>
        <w:tabs>
          <w:tab w:val="num" w:pos="720"/>
        </w:tabs>
        <w:ind w:left="720" w:hanging="360"/>
      </w:pPr>
      <w:rPr>
        <w:rFonts w:ascii="Wingdings" w:hAnsi="Wingdings" w:hint="default"/>
      </w:rPr>
    </w:lvl>
    <w:lvl w:ilvl="1" w:tplc="A7D8A118" w:tentative="1">
      <w:start w:val="1"/>
      <w:numFmt w:val="bullet"/>
      <w:lvlText w:val=""/>
      <w:lvlJc w:val="left"/>
      <w:pPr>
        <w:tabs>
          <w:tab w:val="num" w:pos="1440"/>
        </w:tabs>
        <w:ind w:left="1440" w:hanging="360"/>
      </w:pPr>
      <w:rPr>
        <w:rFonts w:ascii="Wingdings" w:hAnsi="Wingdings" w:hint="default"/>
      </w:rPr>
    </w:lvl>
    <w:lvl w:ilvl="2" w:tplc="C2FAA058" w:tentative="1">
      <w:start w:val="1"/>
      <w:numFmt w:val="bullet"/>
      <w:lvlText w:val=""/>
      <w:lvlJc w:val="left"/>
      <w:pPr>
        <w:tabs>
          <w:tab w:val="num" w:pos="2160"/>
        </w:tabs>
        <w:ind w:left="2160" w:hanging="360"/>
      </w:pPr>
      <w:rPr>
        <w:rFonts w:ascii="Wingdings" w:hAnsi="Wingdings" w:hint="default"/>
      </w:rPr>
    </w:lvl>
    <w:lvl w:ilvl="3" w:tplc="C940536A" w:tentative="1">
      <w:start w:val="1"/>
      <w:numFmt w:val="bullet"/>
      <w:lvlText w:val=""/>
      <w:lvlJc w:val="left"/>
      <w:pPr>
        <w:tabs>
          <w:tab w:val="num" w:pos="2880"/>
        </w:tabs>
        <w:ind w:left="2880" w:hanging="360"/>
      </w:pPr>
      <w:rPr>
        <w:rFonts w:ascii="Wingdings" w:hAnsi="Wingdings" w:hint="default"/>
      </w:rPr>
    </w:lvl>
    <w:lvl w:ilvl="4" w:tplc="66067B4A" w:tentative="1">
      <w:start w:val="1"/>
      <w:numFmt w:val="bullet"/>
      <w:lvlText w:val=""/>
      <w:lvlJc w:val="left"/>
      <w:pPr>
        <w:tabs>
          <w:tab w:val="num" w:pos="3600"/>
        </w:tabs>
        <w:ind w:left="3600" w:hanging="360"/>
      </w:pPr>
      <w:rPr>
        <w:rFonts w:ascii="Wingdings" w:hAnsi="Wingdings" w:hint="default"/>
      </w:rPr>
    </w:lvl>
    <w:lvl w:ilvl="5" w:tplc="6AF483E4" w:tentative="1">
      <w:start w:val="1"/>
      <w:numFmt w:val="bullet"/>
      <w:lvlText w:val=""/>
      <w:lvlJc w:val="left"/>
      <w:pPr>
        <w:tabs>
          <w:tab w:val="num" w:pos="4320"/>
        </w:tabs>
        <w:ind w:left="4320" w:hanging="360"/>
      </w:pPr>
      <w:rPr>
        <w:rFonts w:ascii="Wingdings" w:hAnsi="Wingdings" w:hint="default"/>
      </w:rPr>
    </w:lvl>
    <w:lvl w:ilvl="6" w:tplc="61020BAA" w:tentative="1">
      <w:start w:val="1"/>
      <w:numFmt w:val="bullet"/>
      <w:lvlText w:val=""/>
      <w:lvlJc w:val="left"/>
      <w:pPr>
        <w:tabs>
          <w:tab w:val="num" w:pos="5040"/>
        </w:tabs>
        <w:ind w:left="5040" w:hanging="360"/>
      </w:pPr>
      <w:rPr>
        <w:rFonts w:ascii="Wingdings" w:hAnsi="Wingdings" w:hint="default"/>
      </w:rPr>
    </w:lvl>
    <w:lvl w:ilvl="7" w:tplc="B9F8EB9A" w:tentative="1">
      <w:start w:val="1"/>
      <w:numFmt w:val="bullet"/>
      <w:lvlText w:val=""/>
      <w:lvlJc w:val="left"/>
      <w:pPr>
        <w:tabs>
          <w:tab w:val="num" w:pos="5760"/>
        </w:tabs>
        <w:ind w:left="5760" w:hanging="360"/>
      </w:pPr>
      <w:rPr>
        <w:rFonts w:ascii="Wingdings" w:hAnsi="Wingdings" w:hint="default"/>
      </w:rPr>
    </w:lvl>
    <w:lvl w:ilvl="8" w:tplc="F04ADD06" w:tentative="1">
      <w:start w:val="1"/>
      <w:numFmt w:val="bullet"/>
      <w:lvlText w:val=""/>
      <w:lvlJc w:val="left"/>
      <w:pPr>
        <w:tabs>
          <w:tab w:val="num" w:pos="6480"/>
        </w:tabs>
        <w:ind w:left="6480" w:hanging="360"/>
      </w:pPr>
      <w:rPr>
        <w:rFonts w:ascii="Wingdings" w:hAnsi="Wingdings" w:hint="default"/>
      </w:rPr>
    </w:lvl>
  </w:abstractNum>
  <w:abstractNum w:abstractNumId="10">
    <w:nsid w:val="63D53B30"/>
    <w:multiLevelType w:val="hybridMultilevel"/>
    <w:tmpl w:val="DA5ECC30"/>
    <w:lvl w:ilvl="0" w:tplc="F662D38A">
      <w:start w:val="1"/>
      <w:numFmt w:val="bullet"/>
      <w:lvlText w:val=""/>
      <w:lvlJc w:val="left"/>
      <w:pPr>
        <w:tabs>
          <w:tab w:val="num" w:pos="720"/>
        </w:tabs>
        <w:ind w:left="720" w:hanging="360"/>
      </w:pPr>
      <w:rPr>
        <w:rFonts w:ascii="Wingdings" w:hAnsi="Wingdings" w:hint="default"/>
      </w:rPr>
    </w:lvl>
    <w:lvl w:ilvl="1" w:tplc="112E6868" w:tentative="1">
      <w:start w:val="1"/>
      <w:numFmt w:val="bullet"/>
      <w:lvlText w:val=""/>
      <w:lvlJc w:val="left"/>
      <w:pPr>
        <w:tabs>
          <w:tab w:val="num" w:pos="1440"/>
        </w:tabs>
        <w:ind w:left="1440" w:hanging="360"/>
      </w:pPr>
      <w:rPr>
        <w:rFonts w:ascii="Wingdings" w:hAnsi="Wingdings" w:hint="default"/>
      </w:rPr>
    </w:lvl>
    <w:lvl w:ilvl="2" w:tplc="DBFCD662" w:tentative="1">
      <w:start w:val="1"/>
      <w:numFmt w:val="bullet"/>
      <w:lvlText w:val=""/>
      <w:lvlJc w:val="left"/>
      <w:pPr>
        <w:tabs>
          <w:tab w:val="num" w:pos="2160"/>
        </w:tabs>
        <w:ind w:left="2160" w:hanging="360"/>
      </w:pPr>
      <w:rPr>
        <w:rFonts w:ascii="Wingdings" w:hAnsi="Wingdings" w:hint="default"/>
      </w:rPr>
    </w:lvl>
    <w:lvl w:ilvl="3" w:tplc="228A7654" w:tentative="1">
      <w:start w:val="1"/>
      <w:numFmt w:val="bullet"/>
      <w:lvlText w:val=""/>
      <w:lvlJc w:val="left"/>
      <w:pPr>
        <w:tabs>
          <w:tab w:val="num" w:pos="2880"/>
        </w:tabs>
        <w:ind w:left="2880" w:hanging="360"/>
      </w:pPr>
      <w:rPr>
        <w:rFonts w:ascii="Wingdings" w:hAnsi="Wingdings" w:hint="default"/>
      </w:rPr>
    </w:lvl>
    <w:lvl w:ilvl="4" w:tplc="D6226B64" w:tentative="1">
      <w:start w:val="1"/>
      <w:numFmt w:val="bullet"/>
      <w:lvlText w:val=""/>
      <w:lvlJc w:val="left"/>
      <w:pPr>
        <w:tabs>
          <w:tab w:val="num" w:pos="3600"/>
        </w:tabs>
        <w:ind w:left="3600" w:hanging="360"/>
      </w:pPr>
      <w:rPr>
        <w:rFonts w:ascii="Wingdings" w:hAnsi="Wingdings" w:hint="default"/>
      </w:rPr>
    </w:lvl>
    <w:lvl w:ilvl="5" w:tplc="3C420148" w:tentative="1">
      <w:start w:val="1"/>
      <w:numFmt w:val="bullet"/>
      <w:lvlText w:val=""/>
      <w:lvlJc w:val="left"/>
      <w:pPr>
        <w:tabs>
          <w:tab w:val="num" w:pos="4320"/>
        </w:tabs>
        <w:ind w:left="4320" w:hanging="360"/>
      </w:pPr>
      <w:rPr>
        <w:rFonts w:ascii="Wingdings" w:hAnsi="Wingdings" w:hint="default"/>
      </w:rPr>
    </w:lvl>
    <w:lvl w:ilvl="6" w:tplc="8ADED9D2" w:tentative="1">
      <w:start w:val="1"/>
      <w:numFmt w:val="bullet"/>
      <w:lvlText w:val=""/>
      <w:lvlJc w:val="left"/>
      <w:pPr>
        <w:tabs>
          <w:tab w:val="num" w:pos="5040"/>
        </w:tabs>
        <w:ind w:left="5040" w:hanging="360"/>
      </w:pPr>
      <w:rPr>
        <w:rFonts w:ascii="Wingdings" w:hAnsi="Wingdings" w:hint="default"/>
      </w:rPr>
    </w:lvl>
    <w:lvl w:ilvl="7" w:tplc="D9F2C08E" w:tentative="1">
      <w:start w:val="1"/>
      <w:numFmt w:val="bullet"/>
      <w:lvlText w:val=""/>
      <w:lvlJc w:val="left"/>
      <w:pPr>
        <w:tabs>
          <w:tab w:val="num" w:pos="5760"/>
        </w:tabs>
        <w:ind w:left="5760" w:hanging="360"/>
      </w:pPr>
      <w:rPr>
        <w:rFonts w:ascii="Wingdings" w:hAnsi="Wingdings" w:hint="default"/>
      </w:rPr>
    </w:lvl>
    <w:lvl w:ilvl="8" w:tplc="BADAB8EA" w:tentative="1">
      <w:start w:val="1"/>
      <w:numFmt w:val="bullet"/>
      <w:lvlText w:val=""/>
      <w:lvlJc w:val="left"/>
      <w:pPr>
        <w:tabs>
          <w:tab w:val="num" w:pos="6480"/>
        </w:tabs>
        <w:ind w:left="6480" w:hanging="360"/>
      </w:pPr>
      <w:rPr>
        <w:rFonts w:ascii="Wingdings" w:hAnsi="Wingdings" w:hint="default"/>
      </w:rPr>
    </w:lvl>
  </w:abstractNum>
  <w:abstractNum w:abstractNumId="11">
    <w:nsid w:val="66C030FF"/>
    <w:multiLevelType w:val="hybridMultilevel"/>
    <w:tmpl w:val="A1B0669A"/>
    <w:lvl w:ilvl="0" w:tplc="E5C6798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764420"/>
    <w:multiLevelType w:val="hybridMultilevel"/>
    <w:tmpl w:val="A6629CFE"/>
    <w:lvl w:ilvl="0" w:tplc="4278612E">
      <w:start w:val="1"/>
      <w:numFmt w:val="bullet"/>
      <w:lvlText w:val=""/>
      <w:lvlJc w:val="left"/>
      <w:pPr>
        <w:tabs>
          <w:tab w:val="num" w:pos="644"/>
        </w:tabs>
        <w:ind w:left="644" w:hanging="360"/>
      </w:pPr>
      <w:rPr>
        <w:rFonts w:ascii="Wingdings" w:hAnsi="Wingdings" w:hint="default"/>
      </w:rPr>
    </w:lvl>
    <w:lvl w:ilvl="1" w:tplc="91C829FE" w:tentative="1">
      <w:start w:val="1"/>
      <w:numFmt w:val="bullet"/>
      <w:lvlText w:val=""/>
      <w:lvlJc w:val="left"/>
      <w:pPr>
        <w:tabs>
          <w:tab w:val="num" w:pos="1440"/>
        </w:tabs>
        <w:ind w:left="1440" w:hanging="360"/>
      </w:pPr>
      <w:rPr>
        <w:rFonts w:ascii="Wingdings" w:hAnsi="Wingdings" w:hint="default"/>
      </w:rPr>
    </w:lvl>
    <w:lvl w:ilvl="2" w:tplc="759A3A5A" w:tentative="1">
      <w:start w:val="1"/>
      <w:numFmt w:val="bullet"/>
      <w:lvlText w:val=""/>
      <w:lvlJc w:val="left"/>
      <w:pPr>
        <w:tabs>
          <w:tab w:val="num" w:pos="2160"/>
        </w:tabs>
        <w:ind w:left="2160" w:hanging="360"/>
      </w:pPr>
      <w:rPr>
        <w:rFonts w:ascii="Wingdings" w:hAnsi="Wingdings" w:hint="default"/>
      </w:rPr>
    </w:lvl>
    <w:lvl w:ilvl="3" w:tplc="1F207A78" w:tentative="1">
      <w:start w:val="1"/>
      <w:numFmt w:val="bullet"/>
      <w:lvlText w:val=""/>
      <w:lvlJc w:val="left"/>
      <w:pPr>
        <w:tabs>
          <w:tab w:val="num" w:pos="2880"/>
        </w:tabs>
        <w:ind w:left="2880" w:hanging="360"/>
      </w:pPr>
      <w:rPr>
        <w:rFonts w:ascii="Wingdings" w:hAnsi="Wingdings" w:hint="default"/>
      </w:rPr>
    </w:lvl>
    <w:lvl w:ilvl="4" w:tplc="CC44CE40" w:tentative="1">
      <w:start w:val="1"/>
      <w:numFmt w:val="bullet"/>
      <w:lvlText w:val=""/>
      <w:lvlJc w:val="left"/>
      <w:pPr>
        <w:tabs>
          <w:tab w:val="num" w:pos="3600"/>
        </w:tabs>
        <w:ind w:left="3600" w:hanging="360"/>
      </w:pPr>
      <w:rPr>
        <w:rFonts w:ascii="Wingdings" w:hAnsi="Wingdings" w:hint="default"/>
      </w:rPr>
    </w:lvl>
    <w:lvl w:ilvl="5" w:tplc="0E6206B4" w:tentative="1">
      <w:start w:val="1"/>
      <w:numFmt w:val="bullet"/>
      <w:lvlText w:val=""/>
      <w:lvlJc w:val="left"/>
      <w:pPr>
        <w:tabs>
          <w:tab w:val="num" w:pos="4320"/>
        </w:tabs>
        <w:ind w:left="4320" w:hanging="360"/>
      </w:pPr>
      <w:rPr>
        <w:rFonts w:ascii="Wingdings" w:hAnsi="Wingdings" w:hint="default"/>
      </w:rPr>
    </w:lvl>
    <w:lvl w:ilvl="6" w:tplc="6F1A9FAA" w:tentative="1">
      <w:start w:val="1"/>
      <w:numFmt w:val="bullet"/>
      <w:lvlText w:val=""/>
      <w:lvlJc w:val="left"/>
      <w:pPr>
        <w:tabs>
          <w:tab w:val="num" w:pos="5040"/>
        </w:tabs>
        <w:ind w:left="5040" w:hanging="360"/>
      </w:pPr>
      <w:rPr>
        <w:rFonts w:ascii="Wingdings" w:hAnsi="Wingdings" w:hint="default"/>
      </w:rPr>
    </w:lvl>
    <w:lvl w:ilvl="7" w:tplc="B52CE856" w:tentative="1">
      <w:start w:val="1"/>
      <w:numFmt w:val="bullet"/>
      <w:lvlText w:val=""/>
      <w:lvlJc w:val="left"/>
      <w:pPr>
        <w:tabs>
          <w:tab w:val="num" w:pos="5760"/>
        </w:tabs>
        <w:ind w:left="5760" w:hanging="360"/>
      </w:pPr>
      <w:rPr>
        <w:rFonts w:ascii="Wingdings" w:hAnsi="Wingdings" w:hint="default"/>
      </w:rPr>
    </w:lvl>
    <w:lvl w:ilvl="8" w:tplc="EFC88902" w:tentative="1">
      <w:start w:val="1"/>
      <w:numFmt w:val="bullet"/>
      <w:lvlText w:val=""/>
      <w:lvlJc w:val="left"/>
      <w:pPr>
        <w:tabs>
          <w:tab w:val="num" w:pos="6480"/>
        </w:tabs>
        <w:ind w:left="6480" w:hanging="360"/>
      </w:pPr>
      <w:rPr>
        <w:rFonts w:ascii="Wingdings" w:hAnsi="Wingdings" w:hint="default"/>
      </w:rPr>
    </w:lvl>
  </w:abstractNum>
  <w:abstractNum w:abstractNumId="13">
    <w:nsid w:val="7EB400CC"/>
    <w:multiLevelType w:val="hybridMultilevel"/>
    <w:tmpl w:val="432E904C"/>
    <w:lvl w:ilvl="0" w:tplc="08090013">
      <w:start w:val="1"/>
      <w:numFmt w:val="upperRoman"/>
      <w:lvlText w:val="%1."/>
      <w:lvlJc w:val="right"/>
      <w:pPr>
        <w:ind w:left="1070" w:hanging="360"/>
      </w:p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num w:numId="1">
    <w:abstractNumId w:val="1"/>
  </w:num>
  <w:num w:numId="2">
    <w:abstractNumId w:val="7"/>
  </w:num>
  <w:num w:numId="3">
    <w:abstractNumId w:val="10"/>
  </w:num>
  <w:num w:numId="4">
    <w:abstractNumId w:val="0"/>
  </w:num>
  <w:num w:numId="5">
    <w:abstractNumId w:val="9"/>
  </w:num>
  <w:num w:numId="6">
    <w:abstractNumId w:val="12"/>
  </w:num>
  <w:num w:numId="7">
    <w:abstractNumId w:val="8"/>
  </w:num>
  <w:num w:numId="8">
    <w:abstractNumId w:val="6"/>
  </w:num>
  <w:num w:numId="9">
    <w:abstractNumId w:val="11"/>
  </w:num>
  <w:num w:numId="10">
    <w:abstractNumId w:val="4"/>
  </w:num>
  <w:num w:numId="11">
    <w:abstractNumId w:val="5"/>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93DF3"/>
    <w:rsid w:val="0000053F"/>
    <w:rsid w:val="00001A11"/>
    <w:rsid w:val="00011CDC"/>
    <w:rsid w:val="00012531"/>
    <w:rsid w:val="000166B4"/>
    <w:rsid w:val="0002011D"/>
    <w:rsid w:val="000272F6"/>
    <w:rsid w:val="000408CD"/>
    <w:rsid w:val="00041B6A"/>
    <w:rsid w:val="00043899"/>
    <w:rsid w:val="00044124"/>
    <w:rsid w:val="00054130"/>
    <w:rsid w:val="00061BC0"/>
    <w:rsid w:val="00067BF5"/>
    <w:rsid w:val="00071052"/>
    <w:rsid w:val="00077EA7"/>
    <w:rsid w:val="00082332"/>
    <w:rsid w:val="00082D82"/>
    <w:rsid w:val="00086569"/>
    <w:rsid w:val="0008684A"/>
    <w:rsid w:val="00095FE4"/>
    <w:rsid w:val="000969C2"/>
    <w:rsid w:val="000A2BA9"/>
    <w:rsid w:val="000B2F24"/>
    <w:rsid w:val="000B73FD"/>
    <w:rsid w:val="000C0269"/>
    <w:rsid w:val="000C6A04"/>
    <w:rsid w:val="000D2117"/>
    <w:rsid w:val="000E0AA1"/>
    <w:rsid w:val="000F6EA8"/>
    <w:rsid w:val="000F7025"/>
    <w:rsid w:val="00114F5A"/>
    <w:rsid w:val="001150AB"/>
    <w:rsid w:val="00134F5B"/>
    <w:rsid w:val="00137C3D"/>
    <w:rsid w:val="00137E31"/>
    <w:rsid w:val="0014320C"/>
    <w:rsid w:val="00163640"/>
    <w:rsid w:val="001641FE"/>
    <w:rsid w:val="001906C7"/>
    <w:rsid w:val="001B1FD4"/>
    <w:rsid w:val="001B3D6B"/>
    <w:rsid w:val="001B7009"/>
    <w:rsid w:val="001B77FD"/>
    <w:rsid w:val="001C1BFC"/>
    <w:rsid w:val="001C434D"/>
    <w:rsid w:val="001D206C"/>
    <w:rsid w:val="001E1688"/>
    <w:rsid w:val="001E298D"/>
    <w:rsid w:val="001F3A84"/>
    <w:rsid w:val="00216ADB"/>
    <w:rsid w:val="00244965"/>
    <w:rsid w:val="00247797"/>
    <w:rsid w:val="00250337"/>
    <w:rsid w:val="00256D84"/>
    <w:rsid w:val="002723D7"/>
    <w:rsid w:val="00276DF5"/>
    <w:rsid w:val="00280AEF"/>
    <w:rsid w:val="00286A08"/>
    <w:rsid w:val="00293809"/>
    <w:rsid w:val="002A63D3"/>
    <w:rsid w:val="002F4F6A"/>
    <w:rsid w:val="00305067"/>
    <w:rsid w:val="00314171"/>
    <w:rsid w:val="00330797"/>
    <w:rsid w:val="00331132"/>
    <w:rsid w:val="003361D3"/>
    <w:rsid w:val="0034057A"/>
    <w:rsid w:val="00366736"/>
    <w:rsid w:val="00375575"/>
    <w:rsid w:val="00376F45"/>
    <w:rsid w:val="00383E48"/>
    <w:rsid w:val="00387054"/>
    <w:rsid w:val="00392549"/>
    <w:rsid w:val="003B63F5"/>
    <w:rsid w:val="003C4CE2"/>
    <w:rsid w:val="003C58B9"/>
    <w:rsid w:val="003D4754"/>
    <w:rsid w:val="003D4C1A"/>
    <w:rsid w:val="003E12FE"/>
    <w:rsid w:val="003F5909"/>
    <w:rsid w:val="00404598"/>
    <w:rsid w:val="004134E6"/>
    <w:rsid w:val="00415614"/>
    <w:rsid w:val="004160EB"/>
    <w:rsid w:val="004362BA"/>
    <w:rsid w:val="0044009D"/>
    <w:rsid w:val="00455647"/>
    <w:rsid w:val="0046730E"/>
    <w:rsid w:val="004702DE"/>
    <w:rsid w:val="00473D91"/>
    <w:rsid w:val="0047733F"/>
    <w:rsid w:val="0049296F"/>
    <w:rsid w:val="00494E52"/>
    <w:rsid w:val="00496F2C"/>
    <w:rsid w:val="004A2E26"/>
    <w:rsid w:val="004A4EE6"/>
    <w:rsid w:val="004B55C7"/>
    <w:rsid w:val="004C4958"/>
    <w:rsid w:val="004E7131"/>
    <w:rsid w:val="00501692"/>
    <w:rsid w:val="00502991"/>
    <w:rsid w:val="005130DD"/>
    <w:rsid w:val="00516A3B"/>
    <w:rsid w:val="0052430A"/>
    <w:rsid w:val="00525FAE"/>
    <w:rsid w:val="0054190A"/>
    <w:rsid w:val="00550795"/>
    <w:rsid w:val="00551FA8"/>
    <w:rsid w:val="00560533"/>
    <w:rsid w:val="0056523A"/>
    <w:rsid w:val="00575AAA"/>
    <w:rsid w:val="005800A4"/>
    <w:rsid w:val="0059103D"/>
    <w:rsid w:val="00592601"/>
    <w:rsid w:val="00592767"/>
    <w:rsid w:val="005A5E3C"/>
    <w:rsid w:val="005C4E7C"/>
    <w:rsid w:val="005D1510"/>
    <w:rsid w:val="00610ED4"/>
    <w:rsid w:val="00613253"/>
    <w:rsid w:val="00613658"/>
    <w:rsid w:val="00615FB0"/>
    <w:rsid w:val="006301E2"/>
    <w:rsid w:val="00637062"/>
    <w:rsid w:val="006403B5"/>
    <w:rsid w:val="00645C13"/>
    <w:rsid w:val="00655E75"/>
    <w:rsid w:val="00661F54"/>
    <w:rsid w:val="00663CD6"/>
    <w:rsid w:val="00671832"/>
    <w:rsid w:val="00683A74"/>
    <w:rsid w:val="00693143"/>
    <w:rsid w:val="00696897"/>
    <w:rsid w:val="006976FC"/>
    <w:rsid w:val="00697FBB"/>
    <w:rsid w:val="006A3B72"/>
    <w:rsid w:val="006A4DAF"/>
    <w:rsid w:val="006B07D8"/>
    <w:rsid w:val="006B2291"/>
    <w:rsid w:val="006B4DC9"/>
    <w:rsid w:val="006C37D8"/>
    <w:rsid w:val="006C5C04"/>
    <w:rsid w:val="006D6008"/>
    <w:rsid w:val="006E0591"/>
    <w:rsid w:val="00704C9D"/>
    <w:rsid w:val="00712442"/>
    <w:rsid w:val="0071794A"/>
    <w:rsid w:val="00724A82"/>
    <w:rsid w:val="00731C70"/>
    <w:rsid w:val="00753010"/>
    <w:rsid w:val="00757CE9"/>
    <w:rsid w:val="00764C95"/>
    <w:rsid w:val="007727CF"/>
    <w:rsid w:val="007779B6"/>
    <w:rsid w:val="00785306"/>
    <w:rsid w:val="007A4941"/>
    <w:rsid w:val="007A6562"/>
    <w:rsid w:val="007B0762"/>
    <w:rsid w:val="007B077F"/>
    <w:rsid w:val="007B5FD3"/>
    <w:rsid w:val="007B78C1"/>
    <w:rsid w:val="007B7A40"/>
    <w:rsid w:val="007C07CC"/>
    <w:rsid w:val="007C2A4F"/>
    <w:rsid w:val="007E0AC9"/>
    <w:rsid w:val="007F6F59"/>
    <w:rsid w:val="00802210"/>
    <w:rsid w:val="0080253E"/>
    <w:rsid w:val="008104E4"/>
    <w:rsid w:val="00813F6F"/>
    <w:rsid w:val="00822CE2"/>
    <w:rsid w:val="008315A5"/>
    <w:rsid w:val="00835779"/>
    <w:rsid w:val="00844A42"/>
    <w:rsid w:val="00866B1A"/>
    <w:rsid w:val="008775E6"/>
    <w:rsid w:val="0088252D"/>
    <w:rsid w:val="00883CFE"/>
    <w:rsid w:val="00891354"/>
    <w:rsid w:val="00893DF3"/>
    <w:rsid w:val="0089794A"/>
    <w:rsid w:val="008A3EB6"/>
    <w:rsid w:val="008A7AAE"/>
    <w:rsid w:val="008B6706"/>
    <w:rsid w:val="008D0091"/>
    <w:rsid w:val="0090260E"/>
    <w:rsid w:val="0090416E"/>
    <w:rsid w:val="00917496"/>
    <w:rsid w:val="009346D7"/>
    <w:rsid w:val="00951056"/>
    <w:rsid w:val="00961297"/>
    <w:rsid w:val="00996156"/>
    <w:rsid w:val="009A4D0B"/>
    <w:rsid w:val="009A680B"/>
    <w:rsid w:val="009A7322"/>
    <w:rsid w:val="009C3984"/>
    <w:rsid w:val="009D20B9"/>
    <w:rsid w:val="009D427F"/>
    <w:rsid w:val="009F0E08"/>
    <w:rsid w:val="009F254F"/>
    <w:rsid w:val="00A01CD7"/>
    <w:rsid w:val="00A044D8"/>
    <w:rsid w:val="00A0661B"/>
    <w:rsid w:val="00A142C0"/>
    <w:rsid w:val="00A230E9"/>
    <w:rsid w:val="00A25B0B"/>
    <w:rsid w:val="00A312E4"/>
    <w:rsid w:val="00A32F39"/>
    <w:rsid w:val="00A35E38"/>
    <w:rsid w:val="00A362BE"/>
    <w:rsid w:val="00A37795"/>
    <w:rsid w:val="00A43369"/>
    <w:rsid w:val="00A5077C"/>
    <w:rsid w:val="00A5637E"/>
    <w:rsid w:val="00A85652"/>
    <w:rsid w:val="00AA3265"/>
    <w:rsid w:val="00AB4632"/>
    <w:rsid w:val="00AB690B"/>
    <w:rsid w:val="00AB6FB1"/>
    <w:rsid w:val="00AF7F1C"/>
    <w:rsid w:val="00B0138C"/>
    <w:rsid w:val="00B16E21"/>
    <w:rsid w:val="00B24DAA"/>
    <w:rsid w:val="00B4125F"/>
    <w:rsid w:val="00B41B14"/>
    <w:rsid w:val="00B41F44"/>
    <w:rsid w:val="00B45504"/>
    <w:rsid w:val="00B54161"/>
    <w:rsid w:val="00B60066"/>
    <w:rsid w:val="00B6552B"/>
    <w:rsid w:val="00B67BBB"/>
    <w:rsid w:val="00B83DB0"/>
    <w:rsid w:val="00B907F2"/>
    <w:rsid w:val="00BA43F8"/>
    <w:rsid w:val="00BA7EB0"/>
    <w:rsid w:val="00BB44C7"/>
    <w:rsid w:val="00BC1F60"/>
    <w:rsid w:val="00BC2007"/>
    <w:rsid w:val="00BD3628"/>
    <w:rsid w:val="00BD44A1"/>
    <w:rsid w:val="00BD6979"/>
    <w:rsid w:val="00BE73E9"/>
    <w:rsid w:val="00BE7D28"/>
    <w:rsid w:val="00BF2CB9"/>
    <w:rsid w:val="00C224E7"/>
    <w:rsid w:val="00C36688"/>
    <w:rsid w:val="00C50CDB"/>
    <w:rsid w:val="00C62A11"/>
    <w:rsid w:val="00C85E3A"/>
    <w:rsid w:val="00C97B23"/>
    <w:rsid w:val="00CA2A9B"/>
    <w:rsid w:val="00CC29D0"/>
    <w:rsid w:val="00CC385A"/>
    <w:rsid w:val="00CD46D1"/>
    <w:rsid w:val="00CF09E9"/>
    <w:rsid w:val="00CF5734"/>
    <w:rsid w:val="00D26EFC"/>
    <w:rsid w:val="00D32ACA"/>
    <w:rsid w:val="00D35D3B"/>
    <w:rsid w:val="00D55974"/>
    <w:rsid w:val="00D6436C"/>
    <w:rsid w:val="00D659BC"/>
    <w:rsid w:val="00D70AC1"/>
    <w:rsid w:val="00D72E17"/>
    <w:rsid w:val="00D92D15"/>
    <w:rsid w:val="00D92FAC"/>
    <w:rsid w:val="00DB14A4"/>
    <w:rsid w:val="00DB4FC3"/>
    <w:rsid w:val="00DC0996"/>
    <w:rsid w:val="00DC5088"/>
    <w:rsid w:val="00DD418A"/>
    <w:rsid w:val="00DD7B02"/>
    <w:rsid w:val="00DE1950"/>
    <w:rsid w:val="00DE673A"/>
    <w:rsid w:val="00E03070"/>
    <w:rsid w:val="00E21A9B"/>
    <w:rsid w:val="00E21EE2"/>
    <w:rsid w:val="00E2404A"/>
    <w:rsid w:val="00E277E5"/>
    <w:rsid w:val="00E33EA4"/>
    <w:rsid w:val="00E40390"/>
    <w:rsid w:val="00E50311"/>
    <w:rsid w:val="00E52AAC"/>
    <w:rsid w:val="00E6646C"/>
    <w:rsid w:val="00E670B4"/>
    <w:rsid w:val="00E67981"/>
    <w:rsid w:val="00E81933"/>
    <w:rsid w:val="00E855F2"/>
    <w:rsid w:val="00E86C4E"/>
    <w:rsid w:val="00E925A8"/>
    <w:rsid w:val="00E95EE4"/>
    <w:rsid w:val="00EA16ED"/>
    <w:rsid w:val="00EB1F9E"/>
    <w:rsid w:val="00EB3D5D"/>
    <w:rsid w:val="00EB7539"/>
    <w:rsid w:val="00EC4E42"/>
    <w:rsid w:val="00ED6765"/>
    <w:rsid w:val="00EE11F8"/>
    <w:rsid w:val="00EE15E6"/>
    <w:rsid w:val="00EF283D"/>
    <w:rsid w:val="00EF6AA0"/>
    <w:rsid w:val="00F1669D"/>
    <w:rsid w:val="00F257DD"/>
    <w:rsid w:val="00F45302"/>
    <w:rsid w:val="00F45F9A"/>
    <w:rsid w:val="00F555A6"/>
    <w:rsid w:val="00F65E85"/>
    <w:rsid w:val="00F70D0F"/>
    <w:rsid w:val="00F745D7"/>
    <w:rsid w:val="00F80707"/>
    <w:rsid w:val="00F83C49"/>
    <w:rsid w:val="00FA32A2"/>
    <w:rsid w:val="00FA46DE"/>
    <w:rsid w:val="00FA6F5D"/>
    <w:rsid w:val="00FC1384"/>
    <w:rsid w:val="00FC5F81"/>
    <w:rsid w:val="00FE5423"/>
    <w:rsid w:val="00FF70D1"/>
    <w:rsid w:val="00FF7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3D"/>
    <w:rPr>
      <w:rFonts w:ascii="Tahoma" w:hAnsi="Tahoma" w:cs="Tahoma"/>
      <w:sz w:val="16"/>
      <w:szCs w:val="16"/>
    </w:rPr>
  </w:style>
  <w:style w:type="paragraph" w:styleId="FootnoteText">
    <w:name w:val="footnote text"/>
    <w:basedOn w:val="Normal"/>
    <w:link w:val="FootnoteTextChar"/>
    <w:uiPriority w:val="99"/>
    <w:semiHidden/>
    <w:unhideWhenUsed/>
    <w:rsid w:val="00115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0AB"/>
    <w:rPr>
      <w:sz w:val="20"/>
      <w:szCs w:val="20"/>
    </w:rPr>
  </w:style>
  <w:style w:type="character" w:styleId="FootnoteReference">
    <w:name w:val="footnote reference"/>
    <w:basedOn w:val="DefaultParagraphFont"/>
    <w:uiPriority w:val="99"/>
    <w:semiHidden/>
    <w:unhideWhenUsed/>
    <w:rsid w:val="001150AB"/>
    <w:rPr>
      <w:vertAlign w:val="superscript"/>
    </w:rPr>
  </w:style>
  <w:style w:type="paragraph" w:styleId="ListParagraph">
    <w:name w:val="List Paragraph"/>
    <w:basedOn w:val="Normal"/>
    <w:uiPriority w:val="34"/>
    <w:qFormat/>
    <w:rsid w:val="005C4E7C"/>
    <w:pPr>
      <w:ind w:left="720"/>
      <w:contextualSpacing/>
    </w:pPr>
  </w:style>
  <w:style w:type="character" w:styleId="CommentReference">
    <w:name w:val="annotation reference"/>
    <w:basedOn w:val="DefaultParagraphFont"/>
    <w:uiPriority w:val="99"/>
    <w:semiHidden/>
    <w:unhideWhenUsed/>
    <w:rsid w:val="001B7009"/>
    <w:rPr>
      <w:sz w:val="16"/>
      <w:szCs w:val="16"/>
    </w:rPr>
  </w:style>
  <w:style w:type="paragraph" w:styleId="CommentText">
    <w:name w:val="annotation text"/>
    <w:basedOn w:val="Normal"/>
    <w:link w:val="CommentTextChar"/>
    <w:uiPriority w:val="99"/>
    <w:semiHidden/>
    <w:unhideWhenUsed/>
    <w:rsid w:val="001B7009"/>
    <w:pPr>
      <w:spacing w:line="240" w:lineRule="auto"/>
    </w:pPr>
    <w:rPr>
      <w:sz w:val="20"/>
      <w:szCs w:val="20"/>
    </w:rPr>
  </w:style>
  <w:style w:type="character" w:customStyle="1" w:styleId="CommentTextChar">
    <w:name w:val="Comment Text Char"/>
    <w:basedOn w:val="DefaultParagraphFont"/>
    <w:link w:val="CommentText"/>
    <w:uiPriority w:val="99"/>
    <w:semiHidden/>
    <w:rsid w:val="001B7009"/>
    <w:rPr>
      <w:sz w:val="20"/>
      <w:szCs w:val="20"/>
    </w:rPr>
  </w:style>
  <w:style w:type="paragraph" w:styleId="CommentSubject">
    <w:name w:val="annotation subject"/>
    <w:basedOn w:val="CommentText"/>
    <w:next w:val="CommentText"/>
    <w:link w:val="CommentSubjectChar"/>
    <w:uiPriority w:val="99"/>
    <w:semiHidden/>
    <w:unhideWhenUsed/>
    <w:rsid w:val="001B7009"/>
    <w:rPr>
      <w:b/>
      <w:bCs/>
    </w:rPr>
  </w:style>
  <w:style w:type="character" w:customStyle="1" w:styleId="CommentSubjectChar">
    <w:name w:val="Comment Subject Char"/>
    <w:basedOn w:val="CommentTextChar"/>
    <w:link w:val="CommentSubject"/>
    <w:uiPriority w:val="99"/>
    <w:semiHidden/>
    <w:rsid w:val="001B7009"/>
    <w:rPr>
      <w:b/>
      <w:bCs/>
      <w:sz w:val="20"/>
      <w:szCs w:val="20"/>
    </w:rPr>
  </w:style>
  <w:style w:type="paragraph" w:styleId="Header">
    <w:name w:val="header"/>
    <w:basedOn w:val="Normal"/>
    <w:link w:val="HeaderChar"/>
    <w:uiPriority w:val="99"/>
    <w:unhideWhenUsed/>
    <w:rsid w:val="00BE7D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7D28"/>
  </w:style>
  <w:style w:type="paragraph" w:styleId="Footer">
    <w:name w:val="footer"/>
    <w:basedOn w:val="Normal"/>
    <w:link w:val="FooterChar"/>
    <w:uiPriority w:val="99"/>
    <w:unhideWhenUsed/>
    <w:rsid w:val="00BE7D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7D28"/>
  </w:style>
  <w:style w:type="paragraph" w:styleId="Revision">
    <w:name w:val="Revision"/>
    <w:hidden/>
    <w:uiPriority w:val="99"/>
    <w:semiHidden/>
    <w:rsid w:val="00E670B4"/>
    <w:pPr>
      <w:spacing w:after="0" w:line="240" w:lineRule="auto"/>
    </w:pPr>
  </w:style>
  <w:style w:type="paragraph" w:customStyle="1" w:styleId="Default">
    <w:name w:val="Default"/>
    <w:rsid w:val="00F45F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3D"/>
    <w:rPr>
      <w:rFonts w:ascii="Tahoma" w:hAnsi="Tahoma" w:cs="Tahoma"/>
      <w:sz w:val="16"/>
      <w:szCs w:val="16"/>
    </w:rPr>
  </w:style>
  <w:style w:type="paragraph" w:styleId="FootnoteText">
    <w:name w:val="footnote text"/>
    <w:basedOn w:val="Normal"/>
    <w:link w:val="FootnoteTextChar"/>
    <w:uiPriority w:val="99"/>
    <w:semiHidden/>
    <w:unhideWhenUsed/>
    <w:rsid w:val="00115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0AB"/>
    <w:rPr>
      <w:sz w:val="20"/>
      <w:szCs w:val="20"/>
    </w:rPr>
  </w:style>
  <w:style w:type="character" w:styleId="FootnoteReference">
    <w:name w:val="footnote reference"/>
    <w:basedOn w:val="DefaultParagraphFont"/>
    <w:uiPriority w:val="99"/>
    <w:semiHidden/>
    <w:unhideWhenUsed/>
    <w:rsid w:val="001150AB"/>
    <w:rPr>
      <w:vertAlign w:val="superscript"/>
    </w:rPr>
  </w:style>
  <w:style w:type="paragraph" w:styleId="ListParagraph">
    <w:name w:val="List Paragraph"/>
    <w:basedOn w:val="Normal"/>
    <w:uiPriority w:val="34"/>
    <w:qFormat/>
    <w:rsid w:val="005C4E7C"/>
    <w:pPr>
      <w:ind w:left="720"/>
      <w:contextualSpacing/>
    </w:pPr>
  </w:style>
  <w:style w:type="character" w:styleId="CommentReference">
    <w:name w:val="annotation reference"/>
    <w:basedOn w:val="DefaultParagraphFont"/>
    <w:uiPriority w:val="99"/>
    <w:semiHidden/>
    <w:unhideWhenUsed/>
    <w:rsid w:val="001B7009"/>
    <w:rPr>
      <w:sz w:val="16"/>
      <w:szCs w:val="16"/>
    </w:rPr>
  </w:style>
  <w:style w:type="paragraph" w:styleId="CommentText">
    <w:name w:val="annotation text"/>
    <w:basedOn w:val="Normal"/>
    <w:link w:val="CommentTextChar"/>
    <w:uiPriority w:val="99"/>
    <w:semiHidden/>
    <w:unhideWhenUsed/>
    <w:rsid w:val="001B7009"/>
    <w:pPr>
      <w:spacing w:line="240" w:lineRule="auto"/>
    </w:pPr>
    <w:rPr>
      <w:sz w:val="20"/>
      <w:szCs w:val="20"/>
    </w:rPr>
  </w:style>
  <w:style w:type="character" w:customStyle="1" w:styleId="CommentTextChar">
    <w:name w:val="Comment Text Char"/>
    <w:basedOn w:val="DefaultParagraphFont"/>
    <w:link w:val="CommentText"/>
    <w:uiPriority w:val="99"/>
    <w:semiHidden/>
    <w:rsid w:val="001B7009"/>
    <w:rPr>
      <w:sz w:val="20"/>
      <w:szCs w:val="20"/>
    </w:rPr>
  </w:style>
  <w:style w:type="paragraph" w:styleId="CommentSubject">
    <w:name w:val="annotation subject"/>
    <w:basedOn w:val="CommentText"/>
    <w:next w:val="CommentText"/>
    <w:link w:val="CommentSubjectChar"/>
    <w:uiPriority w:val="99"/>
    <w:semiHidden/>
    <w:unhideWhenUsed/>
    <w:rsid w:val="001B7009"/>
    <w:rPr>
      <w:b/>
      <w:bCs/>
    </w:rPr>
  </w:style>
  <w:style w:type="character" w:customStyle="1" w:styleId="CommentSubjectChar">
    <w:name w:val="Comment Subject Char"/>
    <w:basedOn w:val="CommentTextChar"/>
    <w:link w:val="CommentSubject"/>
    <w:uiPriority w:val="99"/>
    <w:semiHidden/>
    <w:rsid w:val="001B7009"/>
    <w:rPr>
      <w:b/>
      <w:bCs/>
      <w:sz w:val="20"/>
      <w:szCs w:val="20"/>
    </w:rPr>
  </w:style>
  <w:style w:type="paragraph" w:styleId="Header">
    <w:name w:val="header"/>
    <w:basedOn w:val="Normal"/>
    <w:link w:val="HeaderChar"/>
    <w:uiPriority w:val="99"/>
    <w:unhideWhenUsed/>
    <w:rsid w:val="00BE7D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7D28"/>
  </w:style>
  <w:style w:type="paragraph" w:styleId="Footer">
    <w:name w:val="footer"/>
    <w:basedOn w:val="Normal"/>
    <w:link w:val="FooterChar"/>
    <w:uiPriority w:val="99"/>
    <w:unhideWhenUsed/>
    <w:rsid w:val="00BE7D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7D28"/>
  </w:style>
  <w:style w:type="paragraph" w:styleId="Revision">
    <w:name w:val="Revision"/>
    <w:hidden/>
    <w:uiPriority w:val="99"/>
    <w:semiHidden/>
    <w:rsid w:val="00E670B4"/>
    <w:pPr>
      <w:spacing w:after="0" w:line="240" w:lineRule="auto"/>
    </w:pPr>
  </w:style>
  <w:style w:type="paragraph" w:customStyle="1" w:styleId="Default">
    <w:name w:val="Default"/>
    <w:rsid w:val="00F45F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80544">
      <w:bodyDiv w:val="1"/>
      <w:marLeft w:val="0"/>
      <w:marRight w:val="0"/>
      <w:marTop w:val="0"/>
      <w:marBottom w:val="0"/>
      <w:divBdr>
        <w:top w:val="none" w:sz="0" w:space="0" w:color="auto"/>
        <w:left w:val="none" w:sz="0" w:space="0" w:color="auto"/>
        <w:bottom w:val="none" w:sz="0" w:space="0" w:color="auto"/>
        <w:right w:val="none" w:sz="0" w:space="0" w:color="auto"/>
      </w:divBdr>
    </w:div>
    <w:div w:id="464127349">
      <w:bodyDiv w:val="1"/>
      <w:marLeft w:val="0"/>
      <w:marRight w:val="0"/>
      <w:marTop w:val="0"/>
      <w:marBottom w:val="0"/>
      <w:divBdr>
        <w:top w:val="none" w:sz="0" w:space="0" w:color="auto"/>
        <w:left w:val="none" w:sz="0" w:space="0" w:color="auto"/>
        <w:bottom w:val="none" w:sz="0" w:space="0" w:color="auto"/>
        <w:right w:val="none" w:sz="0" w:space="0" w:color="auto"/>
      </w:divBdr>
      <w:divsChild>
        <w:div w:id="1572620725">
          <w:marLeft w:val="547"/>
          <w:marRight w:val="0"/>
          <w:marTop w:val="77"/>
          <w:marBottom w:val="0"/>
          <w:divBdr>
            <w:top w:val="none" w:sz="0" w:space="0" w:color="auto"/>
            <w:left w:val="none" w:sz="0" w:space="0" w:color="auto"/>
            <w:bottom w:val="none" w:sz="0" w:space="0" w:color="auto"/>
            <w:right w:val="none" w:sz="0" w:space="0" w:color="auto"/>
          </w:divBdr>
        </w:div>
        <w:div w:id="2033458689">
          <w:marLeft w:val="547"/>
          <w:marRight w:val="0"/>
          <w:marTop w:val="67"/>
          <w:marBottom w:val="0"/>
          <w:divBdr>
            <w:top w:val="none" w:sz="0" w:space="0" w:color="auto"/>
            <w:left w:val="none" w:sz="0" w:space="0" w:color="auto"/>
            <w:bottom w:val="none" w:sz="0" w:space="0" w:color="auto"/>
            <w:right w:val="none" w:sz="0" w:space="0" w:color="auto"/>
          </w:divBdr>
        </w:div>
        <w:div w:id="1513910614">
          <w:marLeft w:val="547"/>
          <w:marRight w:val="0"/>
          <w:marTop w:val="67"/>
          <w:marBottom w:val="0"/>
          <w:divBdr>
            <w:top w:val="none" w:sz="0" w:space="0" w:color="auto"/>
            <w:left w:val="none" w:sz="0" w:space="0" w:color="auto"/>
            <w:bottom w:val="none" w:sz="0" w:space="0" w:color="auto"/>
            <w:right w:val="none" w:sz="0" w:space="0" w:color="auto"/>
          </w:divBdr>
        </w:div>
        <w:div w:id="672100144">
          <w:marLeft w:val="547"/>
          <w:marRight w:val="0"/>
          <w:marTop w:val="67"/>
          <w:marBottom w:val="0"/>
          <w:divBdr>
            <w:top w:val="none" w:sz="0" w:space="0" w:color="auto"/>
            <w:left w:val="none" w:sz="0" w:space="0" w:color="auto"/>
            <w:bottom w:val="none" w:sz="0" w:space="0" w:color="auto"/>
            <w:right w:val="none" w:sz="0" w:space="0" w:color="auto"/>
          </w:divBdr>
        </w:div>
      </w:divsChild>
    </w:div>
    <w:div w:id="1033070325">
      <w:bodyDiv w:val="1"/>
      <w:marLeft w:val="0"/>
      <w:marRight w:val="0"/>
      <w:marTop w:val="0"/>
      <w:marBottom w:val="0"/>
      <w:divBdr>
        <w:top w:val="none" w:sz="0" w:space="0" w:color="auto"/>
        <w:left w:val="none" w:sz="0" w:space="0" w:color="auto"/>
        <w:bottom w:val="none" w:sz="0" w:space="0" w:color="auto"/>
        <w:right w:val="none" w:sz="0" w:space="0" w:color="auto"/>
      </w:divBdr>
    </w:div>
    <w:div w:id="1329750081">
      <w:bodyDiv w:val="1"/>
      <w:marLeft w:val="0"/>
      <w:marRight w:val="0"/>
      <w:marTop w:val="0"/>
      <w:marBottom w:val="0"/>
      <w:divBdr>
        <w:top w:val="none" w:sz="0" w:space="0" w:color="auto"/>
        <w:left w:val="none" w:sz="0" w:space="0" w:color="auto"/>
        <w:bottom w:val="none" w:sz="0" w:space="0" w:color="auto"/>
        <w:right w:val="none" w:sz="0" w:space="0" w:color="auto"/>
      </w:divBdr>
    </w:div>
    <w:div w:id="1339577871">
      <w:bodyDiv w:val="1"/>
      <w:marLeft w:val="0"/>
      <w:marRight w:val="0"/>
      <w:marTop w:val="0"/>
      <w:marBottom w:val="0"/>
      <w:divBdr>
        <w:top w:val="none" w:sz="0" w:space="0" w:color="auto"/>
        <w:left w:val="none" w:sz="0" w:space="0" w:color="auto"/>
        <w:bottom w:val="none" w:sz="0" w:space="0" w:color="auto"/>
        <w:right w:val="none" w:sz="0" w:space="0" w:color="auto"/>
      </w:divBdr>
    </w:div>
    <w:div w:id="1432361534">
      <w:bodyDiv w:val="1"/>
      <w:marLeft w:val="0"/>
      <w:marRight w:val="0"/>
      <w:marTop w:val="0"/>
      <w:marBottom w:val="0"/>
      <w:divBdr>
        <w:top w:val="none" w:sz="0" w:space="0" w:color="auto"/>
        <w:left w:val="none" w:sz="0" w:space="0" w:color="auto"/>
        <w:bottom w:val="none" w:sz="0" w:space="0" w:color="auto"/>
        <w:right w:val="none" w:sz="0" w:space="0" w:color="auto"/>
      </w:divBdr>
      <w:divsChild>
        <w:div w:id="1865557664">
          <w:marLeft w:val="547"/>
          <w:marRight w:val="0"/>
          <w:marTop w:val="77"/>
          <w:marBottom w:val="0"/>
          <w:divBdr>
            <w:top w:val="none" w:sz="0" w:space="0" w:color="auto"/>
            <w:left w:val="none" w:sz="0" w:space="0" w:color="auto"/>
            <w:bottom w:val="none" w:sz="0" w:space="0" w:color="auto"/>
            <w:right w:val="none" w:sz="0" w:space="0" w:color="auto"/>
          </w:divBdr>
        </w:div>
        <w:div w:id="1240408063">
          <w:marLeft w:val="547"/>
          <w:marRight w:val="0"/>
          <w:marTop w:val="67"/>
          <w:marBottom w:val="0"/>
          <w:divBdr>
            <w:top w:val="none" w:sz="0" w:space="0" w:color="auto"/>
            <w:left w:val="none" w:sz="0" w:space="0" w:color="auto"/>
            <w:bottom w:val="none" w:sz="0" w:space="0" w:color="auto"/>
            <w:right w:val="none" w:sz="0" w:space="0" w:color="auto"/>
          </w:divBdr>
        </w:div>
        <w:div w:id="1016809512">
          <w:marLeft w:val="547"/>
          <w:marRight w:val="0"/>
          <w:marTop w:val="67"/>
          <w:marBottom w:val="0"/>
          <w:divBdr>
            <w:top w:val="none" w:sz="0" w:space="0" w:color="auto"/>
            <w:left w:val="none" w:sz="0" w:space="0" w:color="auto"/>
            <w:bottom w:val="none" w:sz="0" w:space="0" w:color="auto"/>
            <w:right w:val="none" w:sz="0" w:space="0" w:color="auto"/>
          </w:divBdr>
        </w:div>
        <w:div w:id="185993516">
          <w:marLeft w:val="547"/>
          <w:marRight w:val="0"/>
          <w:marTop w:val="67"/>
          <w:marBottom w:val="0"/>
          <w:divBdr>
            <w:top w:val="none" w:sz="0" w:space="0" w:color="auto"/>
            <w:left w:val="none" w:sz="0" w:space="0" w:color="auto"/>
            <w:bottom w:val="none" w:sz="0" w:space="0" w:color="auto"/>
            <w:right w:val="none" w:sz="0" w:space="0" w:color="auto"/>
          </w:divBdr>
        </w:div>
      </w:divsChild>
    </w:div>
    <w:div w:id="1539662674">
      <w:bodyDiv w:val="1"/>
      <w:marLeft w:val="0"/>
      <w:marRight w:val="0"/>
      <w:marTop w:val="0"/>
      <w:marBottom w:val="0"/>
      <w:divBdr>
        <w:top w:val="none" w:sz="0" w:space="0" w:color="auto"/>
        <w:left w:val="none" w:sz="0" w:space="0" w:color="auto"/>
        <w:bottom w:val="none" w:sz="0" w:space="0" w:color="auto"/>
        <w:right w:val="none" w:sz="0" w:space="0" w:color="auto"/>
      </w:divBdr>
      <w:divsChild>
        <w:div w:id="1873108301">
          <w:marLeft w:val="547"/>
          <w:marRight w:val="0"/>
          <w:marTop w:val="77"/>
          <w:marBottom w:val="0"/>
          <w:divBdr>
            <w:top w:val="none" w:sz="0" w:space="0" w:color="auto"/>
            <w:left w:val="none" w:sz="0" w:space="0" w:color="auto"/>
            <w:bottom w:val="none" w:sz="0" w:space="0" w:color="auto"/>
            <w:right w:val="none" w:sz="0" w:space="0" w:color="auto"/>
          </w:divBdr>
        </w:div>
        <w:div w:id="1368988231">
          <w:marLeft w:val="547"/>
          <w:marRight w:val="0"/>
          <w:marTop w:val="67"/>
          <w:marBottom w:val="0"/>
          <w:divBdr>
            <w:top w:val="none" w:sz="0" w:space="0" w:color="auto"/>
            <w:left w:val="none" w:sz="0" w:space="0" w:color="auto"/>
            <w:bottom w:val="none" w:sz="0" w:space="0" w:color="auto"/>
            <w:right w:val="none" w:sz="0" w:space="0" w:color="auto"/>
          </w:divBdr>
        </w:div>
        <w:div w:id="442696602">
          <w:marLeft w:val="547"/>
          <w:marRight w:val="0"/>
          <w:marTop w:val="67"/>
          <w:marBottom w:val="0"/>
          <w:divBdr>
            <w:top w:val="none" w:sz="0" w:space="0" w:color="auto"/>
            <w:left w:val="none" w:sz="0" w:space="0" w:color="auto"/>
            <w:bottom w:val="none" w:sz="0" w:space="0" w:color="auto"/>
            <w:right w:val="none" w:sz="0" w:space="0" w:color="auto"/>
          </w:divBdr>
        </w:div>
        <w:div w:id="1362440795">
          <w:marLeft w:val="547"/>
          <w:marRight w:val="0"/>
          <w:marTop w:val="67"/>
          <w:marBottom w:val="0"/>
          <w:divBdr>
            <w:top w:val="none" w:sz="0" w:space="0" w:color="auto"/>
            <w:left w:val="none" w:sz="0" w:space="0" w:color="auto"/>
            <w:bottom w:val="none" w:sz="0" w:space="0" w:color="auto"/>
            <w:right w:val="none" w:sz="0" w:space="0" w:color="auto"/>
          </w:divBdr>
        </w:div>
        <w:div w:id="2121145754">
          <w:marLeft w:val="547"/>
          <w:marRight w:val="0"/>
          <w:marTop w:val="67"/>
          <w:marBottom w:val="0"/>
          <w:divBdr>
            <w:top w:val="none" w:sz="0" w:space="0" w:color="auto"/>
            <w:left w:val="none" w:sz="0" w:space="0" w:color="auto"/>
            <w:bottom w:val="none" w:sz="0" w:space="0" w:color="auto"/>
            <w:right w:val="none" w:sz="0" w:space="0" w:color="auto"/>
          </w:divBdr>
        </w:div>
        <w:div w:id="906107251">
          <w:marLeft w:val="547"/>
          <w:marRight w:val="0"/>
          <w:marTop w:val="67"/>
          <w:marBottom w:val="0"/>
          <w:divBdr>
            <w:top w:val="none" w:sz="0" w:space="0" w:color="auto"/>
            <w:left w:val="none" w:sz="0" w:space="0" w:color="auto"/>
            <w:bottom w:val="none" w:sz="0" w:space="0" w:color="auto"/>
            <w:right w:val="none" w:sz="0" w:space="0" w:color="auto"/>
          </w:divBdr>
        </w:div>
      </w:divsChild>
    </w:div>
    <w:div w:id="1735154579">
      <w:bodyDiv w:val="1"/>
      <w:marLeft w:val="0"/>
      <w:marRight w:val="0"/>
      <w:marTop w:val="0"/>
      <w:marBottom w:val="0"/>
      <w:divBdr>
        <w:top w:val="none" w:sz="0" w:space="0" w:color="auto"/>
        <w:left w:val="none" w:sz="0" w:space="0" w:color="auto"/>
        <w:bottom w:val="none" w:sz="0" w:space="0" w:color="auto"/>
        <w:right w:val="none" w:sz="0" w:space="0" w:color="auto"/>
      </w:divBdr>
      <w:divsChild>
        <w:div w:id="684601688">
          <w:marLeft w:val="547"/>
          <w:marRight w:val="0"/>
          <w:marTop w:val="77"/>
          <w:marBottom w:val="0"/>
          <w:divBdr>
            <w:top w:val="none" w:sz="0" w:space="0" w:color="auto"/>
            <w:left w:val="none" w:sz="0" w:space="0" w:color="auto"/>
            <w:bottom w:val="none" w:sz="0" w:space="0" w:color="auto"/>
            <w:right w:val="none" w:sz="0" w:space="0" w:color="auto"/>
          </w:divBdr>
        </w:div>
        <w:div w:id="692848989">
          <w:marLeft w:val="547"/>
          <w:marRight w:val="0"/>
          <w:marTop w:val="67"/>
          <w:marBottom w:val="0"/>
          <w:divBdr>
            <w:top w:val="none" w:sz="0" w:space="0" w:color="auto"/>
            <w:left w:val="none" w:sz="0" w:space="0" w:color="auto"/>
            <w:bottom w:val="none" w:sz="0" w:space="0" w:color="auto"/>
            <w:right w:val="none" w:sz="0" w:space="0" w:color="auto"/>
          </w:divBdr>
        </w:div>
        <w:div w:id="948396587">
          <w:marLeft w:val="547"/>
          <w:marRight w:val="0"/>
          <w:marTop w:val="67"/>
          <w:marBottom w:val="0"/>
          <w:divBdr>
            <w:top w:val="none" w:sz="0" w:space="0" w:color="auto"/>
            <w:left w:val="none" w:sz="0" w:space="0" w:color="auto"/>
            <w:bottom w:val="none" w:sz="0" w:space="0" w:color="auto"/>
            <w:right w:val="none" w:sz="0" w:space="0" w:color="auto"/>
          </w:divBdr>
        </w:div>
        <w:div w:id="985083399">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D963-B323-4071-86D6-6BDB960D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2017-11-23T13:42:00Z</dcterms:created>
  <dcterms:modified xsi:type="dcterms:W3CDTF">2017-11-23T13:42:00Z</dcterms:modified>
</cp:coreProperties>
</file>