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ED" w:rsidRDefault="004F3DC0" w:rsidP="00A54652">
      <w:pPr>
        <w:pStyle w:val="Pagedecouverture"/>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F7EDD7FD72B46A88B82AECEBB5FC942" style="width:450.45pt;height:366.75pt">
            <v:imagedata r:id="rId9" o:title=""/>
          </v:shape>
        </w:pict>
      </w:r>
    </w:p>
    <w:p w:rsidR="00A94A87" w:rsidRPr="00922C91" w:rsidRDefault="00A94A87">
      <w:pPr>
        <w:sectPr w:rsidR="00A94A87" w:rsidRPr="00922C91" w:rsidSect="00455539">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A94A87" w:rsidRPr="00922C91" w:rsidRDefault="00A54652" w:rsidP="00A54652">
      <w:pPr>
        <w:pStyle w:val="Typedudocument"/>
      </w:pPr>
      <w:proofErr w:type="gramStart"/>
      <w:r w:rsidRPr="00A54652">
        <w:lastRenderedPageBreak/>
        <w:t>COMMISSION IMPLEMENTING REGULATION (EU) …/...</w:t>
      </w:r>
      <w:proofErr w:type="gramEnd"/>
    </w:p>
    <w:p w:rsidR="00A94A87" w:rsidRPr="00922C91" w:rsidRDefault="00A54652" w:rsidP="00A54652">
      <w:pPr>
        <w:pStyle w:val="Datedadoption"/>
      </w:pPr>
      <w:proofErr w:type="gramStart"/>
      <w:r w:rsidRPr="00A54652">
        <w:t>of</w:t>
      </w:r>
      <w:proofErr w:type="gramEnd"/>
      <w:r w:rsidRPr="00A54652">
        <w:t xml:space="preserve"> </w:t>
      </w:r>
      <w:r w:rsidRPr="00A54652">
        <w:rPr>
          <w:rStyle w:val="Marker2"/>
        </w:rPr>
        <w:t>XXX</w:t>
      </w:r>
    </w:p>
    <w:p w:rsidR="00A94A87" w:rsidRPr="00922C91" w:rsidRDefault="00A54652" w:rsidP="00A54652">
      <w:pPr>
        <w:pStyle w:val="Titreobjet"/>
      </w:pPr>
      <w:r w:rsidRPr="00A54652">
        <w:t xml:space="preserve">on the setting out of the frequency and the format of the reporting of irregularities, under Regulation (EU) 1303/2013 of the European Parliament and of the Council, concerning the European Regional Development Fund, the European Social Fund, the Cohesion Fund, and the European Maritime and Fisheries Fund </w:t>
      </w:r>
    </w:p>
    <w:p w:rsidR="00A94A87" w:rsidRPr="00922C91" w:rsidRDefault="00A94A87" w:rsidP="00D62FED">
      <w:pPr>
        <w:pStyle w:val="Institutionquiagit"/>
      </w:pPr>
      <w:r w:rsidRPr="00922C91">
        <w:t>THE EUROPEAN COMMISSION,</w:t>
      </w:r>
    </w:p>
    <w:p w:rsidR="00A94A87" w:rsidRPr="00922C91" w:rsidRDefault="00A94A87" w:rsidP="00D62FED">
      <w:r w:rsidRPr="00922C91">
        <w:rPr>
          <w:color w:val="000000"/>
        </w:rPr>
        <w:t>Having regard to the Treaty on the Functioning of the European Union</w:t>
      </w:r>
      <w:r w:rsidRPr="00922C91">
        <w:t>,</w:t>
      </w:r>
    </w:p>
    <w:p w:rsidR="00D62FED" w:rsidRPr="00D62FED" w:rsidRDefault="00D62FED" w:rsidP="00D62FED">
      <w:pPr>
        <w:spacing w:before="0" w:after="0" w:line="276" w:lineRule="auto"/>
        <w:rPr>
          <w:rFonts w:eastAsia="Calibri"/>
          <w:sz w:val="22"/>
          <w:szCs w:val="24"/>
          <w:lang w:eastAsia="en-GB"/>
        </w:rPr>
      </w:pPr>
      <w:r w:rsidRPr="00D62FED">
        <w:rPr>
          <w:rFonts w:eastAsia="Calibri"/>
          <w:sz w:val="22"/>
          <w:lang w:eastAsia="en-GB"/>
        </w:rPr>
        <w:t>Having regard to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sidRPr="006A4F1C">
        <w:rPr>
          <w:rStyle w:val="FootnoteReference"/>
        </w:rPr>
        <w:footnoteReference w:id="1"/>
      </w:r>
      <w:r w:rsidRPr="00D62FED">
        <w:rPr>
          <w:rFonts w:eastAsia="Calibri"/>
          <w:sz w:val="22"/>
          <w:lang w:eastAsia="en-GB"/>
        </w:rPr>
        <w:t xml:space="preserve"> and in particular the sixth subparagraph of Article 122(2) thereof,</w:t>
      </w:r>
      <w:r w:rsidRPr="00D62FED">
        <w:rPr>
          <w:rFonts w:eastAsia="Calibri"/>
          <w:sz w:val="22"/>
          <w:szCs w:val="24"/>
          <w:lang w:eastAsia="en-GB"/>
        </w:rPr>
        <w:t xml:space="preserve"> </w:t>
      </w:r>
    </w:p>
    <w:p w:rsidR="006A4F1C" w:rsidRPr="00922C91" w:rsidRDefault="006A4F1C" w:rsidP="006A4F1C">
      <w:r w:rsidRPr="00922C91">
        <w:t>Whereas:</w:t>
      </w:r>
    </w:p>
    <w:p w:rsidR="00E803E6" w:rsidRDefault="00E803E6" w:rsidP="00330DA7">
      <w:pPr>
        <w:pStyle w:val="Considrant"/>
        <w:numPr>
          <w:ilvl w:val="0"/>
          <w:numId w:val="5"/>
        </w:numPr>
      </w:pPr>
      <w:r w:rsidRPr="00722A09">
        <w:t xml:space="preserve">Member States </w:t>
      </w:r>
      <w:r w:rsidRPr="00722A09">
        <w:rPr>
          <w:lang w:val="mt-MT"/>
        </w:rPr>
        <w:t xml:space="preserve">are required to </w:t>
      </w:r>
      <w:r>
        <w:rPr>
          <w:lang w:val="mt-MT"/>
        </w:rPr>
        <w:t>report the</w:t>
      </w:r>
      <w:r w:rsidRPr="00722A09">
        <w:rPr>
          <w:lang w:val="mt-MT"/>
        </w:rPr>
        <w:t xml:space="preserve"> irregularities pursuant to Article 122(2) of</w:t>
      </w:r>
      <w:r w:rsidRPr="00722A09">
        <w:t xml:space="preserve"> Regulation (EU) No </w:t>
      </w:r>
      <w:r w:rsidRPr="00722A09">
        <w:rPr>
          <w:lang w:val="mt-MT"/>
        </w:rPr>
        <w:t>1303</w:t>
      </w:r>
      <w:r w:rsidRPr="00722A09">
        <w:t>/201</w:t>
      </w:r>
      <w:r w:rsidRPr="00722A09">
        <w:rPr>
          <w:lang w:val="mt-MT"/>
        </w:rPr>
        <w:t>3 and in accordance with the provisions of Commission Delegated Regulation</w:t>
      </w:r>
      <w:r>
        <w:rPr>
          <w:lang w:val="mt-MT"/>
        </w:rPr>
        <w:t xml:space="preserve"> (EU) </w:t>
      </w:r>
      <w:r w:rsidRPr="008B051A">
        <w:rPr>
          <w:lang w:val="mt-MT"/>
        </w:rPr>
        <w:t>…/…</w:t>
      </w:r>
      <w:r w:rsidRPr="005E19BD">
        <w:rPr>
          <w:rStyle w:val="FootnoteReference"/>
        </w:rPr>
        <w:footnoteReference w:id="2"/>
      </w:r>
      <w:r w:rsidRPr="00722A09">
        <w:rPr>
          <w:lang w:val="sk-SK"/>
        </w:rPr>
        <w:t>[</w:t>
      </w:r>
      <w:r w:rsidRPr="008B051A">
        <w:rPr>
          <w:i/>
        </w:rPr>
        <w:t xml:space="preserve">Commission Delegated Regulation </w:t>
      </w:r>
      <w:r>
        <w:rPr>
          <w:i/>
        </w:rPr>
        <w:t xml:space="preserve">(EU) </w:t>
      </w:r>
      <w:r w:rsidRPr="008B051A">
        <w:rPr>
          <w:i/>
        </w:rPr>
        <w:t>…/…</w:t>
      </w:r>
      <w:r>
        <w:rPr>
          <w:i/>
        </w:rPr>
        <w:t xml:space="preserve"> of … </w:t>
      </w:r>
      <w:r w:rsidRPr="008B051A">
        <w:rPr>
          <w:i/>
        </w:rPr>
        <w:t>supplementing Regulation (EU) No 1303/2013</w:t>
      </w:r>
      <w:r>
        <w:rPr>
          <w:i/>
        </w:rPr>
        <w:t>].</w:t>
      </w:r>
    </w:p>
    <w:p w:rsidR="006A4F1C" w:rsidRDefault="00475963" w:rsidP="006A4F1C">
      <w:pPr>
        <w:pStyle w:val="Considrant"/>
        <w:rPr>
          <w:rFonts w:eastAsia="Calibri"/>
          <w:lang w:eastAsia="en-GB"/>
        </w:rPr>
      </w:pPr>
      <w:r w:rsidRPr="006A4F1C">
        <w:rPr>
          <w:rFonts w:eastAsia="Calibri"/>
          <w:lang w:eastAsia="en-GB"/>
        </w:rPr>
        <w:t>Financial interests of the Union should be protected in the same way irrespective of the fund used to deliver the objectives for which it was established. To that end Regulation (EU) No 1303/2013, as well as Regulations (EU) No 1306/2013</w:t>
      </w:r>
      <w:r w:rsidRPr="006A4F1C">
        <w:rPr>
          <w:rStyle w:val="FootnoteReference"/>
        </w:rPr>
        <w:footnoteReference w:id="3"/>
      </w:r>
      <w:r w:rsidRPr="006A4F1C">
        <w:rPr>
          <w:rFonts w:eastAsia="Calibri"/>
          <w:lang w:eastAsia="en-GB"/>
        </w:rPr>
        <w:t>, (EU) No 223/2014</w:t>
      </w:r>
      <w:r w:rsidRPr="006A4F1C">
        <w:rPr>
          <w:rStyle w:val="FootnoteReference"/>
        </w:rPr>
        <w:footnoteReference w:id="4"/>
      </w:r>
      <w:r w:rsidRPr="006A4F1C">
        <w:rPr>
          <w:rFonts w:eastAsia="Calibri"/>
          <w:lang w:eastAsia="en-GB"/>
        </w:rPr>
        <w:t xml:space="preserve"> and (EU) No 514/2014</w:t>
      </w:r>
      <w:r w:rsidRPr="006A4F1C">
        <w:rPr>
          <w:rStyle w:val="FootnoteReference"/>
        </w:rPr>
        <w:footnoteReference w:id="5"/>
      </w:r>
      <w:r w:rsidRPr="006A4F1C">
        <w:rPr>
          <w:rFonts w:eastAsia="Calibri"/>
          <w:lang w:eastAsia="en-GB"/>
        </w:rPr>
        <w:t>, empower the Commission to adopt rules on the reporting of irregularities. To ensure that the identical rules apply in respect of all the funds governed by those Regulations, it is necessary that this Regulation contains identical provisions as Implementing Regulations (EU) …</w:t>
      </w:r>
      <w:r w:rsidRPr="006A4F1C">
        <w:rPr>
          <w:rFonts w:eastAsia="Calibri"/>
          <w:i/>
          <w:lang w:eastAsia="en-GB"/>
        </w:rPr>
        <w:t>/…</w:t>
      </w:r>
      <w:r w:rsidRPr="006A4F1C">
        <w:rPr>
          <w:rStyle w:val="FootnoteReference"/>
        </w:rPr>
        <w:footnoteReference w:id="6"/>
      </w:r>
      <w:r w:rsidRPr="006A4F1C">
        <w:rPr>
          <w:rFonts w:eastAsia="Calibri"/>
          <w:lang w:eastAsia="en-GB"/>
        </w:rPr>
        <w:t xml:space="preserve"> [</w:t>
      </w:r>
      <w:r w:rsidRPr="006A4F1C">
        <w:rPr>
          <w:rFonts w:eastAsia="Calibri"/>
          <w:i/>
          <w:lang w:eastAsia="en-GB"/>
        </w:rPr>
        <w:t xml:space="preserve">Commission </w:t>
      </w:r>
      <w:r w:rsidRPr="006A4F1C">
        <w:rPr>
          <w:rFonts w:eastAsia="Calibri"/>
          <w:i/>
          <w:lang w:eastAsia="en-GB"/>
        </w:rPr>
        <w:lastRenderedPageBreak/>
        <w:t>Implementing Regulation (EU) …/… setting out the frequency and the format of the reporting of irregularities under Regulation (EU) No 1306/2013]</w:t>
      </w:r>
      <w:r w:rsidRPr="006A4F1C">
        <w:rPr>
          <w:rFonts w:eastAsia="Calibri"/>
          <w:lang w:eastAsia="en-GB"/>
        </w:rPr>
        <w:t>, (EU) …/…</w:t>
      </w:r>
      <w:r w:rsidRPr="006A4F1C">
        <w:rPr>
          <w:rStyle w:val="FootnoteReference"/>
        </w:rPr>
        <w:footnoteReference w:id="7"/>
      </w:r>
      <w:r w:rsidRPr="006A4F1C">
        <w:rPr>
          <w:rFonts w:eastAsia="Calibri"/>
          <w:lang w:eastAsia="en-GB"/>
        </w:rPr>
        <w:t>[</w:t>
      </w:r>
      <w:r w:rsidRPr="006A4F1C">
        <w:rPr>
          <w:rFonts w:eastAsia="Calibri"/>
          <w:i/>
          <w:lang w:eastAsia="en-GB"/>
        </w:rPr>
        <w:t xml:space="preserve">Commission Implementing Regulation (EU) …/… setting out the frequency and the format of  the reporting of irregularities under Regulation (EU) No 223/2014] </w:t>
      </w:r>
      <w:r w:rsidRPr="006A4F1C">
        <w:rPr>
          <w:rFonts w:eastAsia="Calibri"/>
          <w:lang w:eastAsia="en-GB"/>
        </w:rPr>
        <w:t>and (EU) …/…</w:t>
      </w:r>
      <w:r w:rsidRPr="006A4F1C">
        <w:rPr>
          <w:rStyle w:val="FootnoteReference"/>
        </w:rPr>
        <w:footnoteReference w:id="8"/>
      </w:r>
      <w:r w:rsidRPr="006A4F1C">
        <w:rPr>
          <w:rFonts w:eastAsia="Calibri"/>
          <w:lang w:eastAsia="en-GB"/>
        </w:rPr>
        <w:t xml:space="preserve"> [</w:t>
      </w:r>
      <w:r w:rsidRPr="006A4F1C">
        <w:rPr>
          <w:rFonts w:eastAsia="Calibri"/>
          <w:i/>
          <w:lang w:eastAsia="en-GB"/>
        </w:rPr>
        <w:t>Commission Implementing Regulation (EU) …/... setting out the frequency and the format of the reporting of irregularities under Regulation (EU) No 514/2014</w:t>
      </w:r>
      <w:r w:rsidRPr="006A4F1C">
        <w:rPr>
          <w:rFonts w:eastAsia="Calibri"/>
          <w:lang w:eastAsia="en-GB"/>
        </w:rPr>
        <w:t>].</w:t>
      </w:r>
    </w:p>
    <w:p w:rsidR="006A4F1C" w:rsidRDefault="00475963" w:rsidP="006A4F1C">
      <w:pPr>
        <w:pStyle w:val="Considrant"/>
        <w:rPr>
          <w:rFonts w:eastAsia="Calibri"/>
          <w:lang w:eastAsia="en-GB"/>
        </w:rPr>
      </w:pPr>
      <w:r w:rsidRPr="006A4F1C">
        <w:rPr>
          <w:rFonts w:eastAsia="Calibri"/>
          <w:lang w:eastAsia="en-GB"/>
        </w:rPr>
        <w:t xml:space="preserve">In order to ensure an efficient analysis and overall management of cases of irregularity, Member States are required to submit to the Commission relevant information on detected irregularities on a regular and timely basis. In order to protect the Union's financial interests it is necessary to lay down uniform conditions for the submission of that information, in particular about its frequency and format. </w:t>
      </w:r>
    </w:p>
    <w:p w:rsidR="006A4F1C" w:rsidRDefault="00475963" w:rsidP="006A4F1C">
      <w:pPr>
        <w:pStyle w:val="Considrant"/>
        <w:rPr>
          <w:rFonts w:eastAsia="Calibri"/>
          <w:lang w:eastAsia="en-GB"/>
        </w:rPr>
      </w:pPr>
      <w:r w:rsidRPr="006A4F1C">
        <w:rPr>
          <w:rFonts w:eastAsia="Calibri"/>
          <w:lang w:val="mt-MT" w:eastAsia="en-GB"/>
        </w:rPr>
        <w:t xml:space="preserve">In order to avoid an irregularity having repercussions outside the territory of the </w:t>
      </w:r>
      <w:r w:rsidRPr="006A4F1C">
        <w:rPr>
          <w:rFonts w:eastAsia="Calibri"/>
          <w:lang w:eastAsia="en-GB"/>
        </w:rPr>
        <w:t>reporting Member State</w:t>
      </w:r>
      <w:r w:rsidRPr="006A4F1C">
        <w:rPr>
          <w:rFonts w:eastAsia="Calibri"/>
          <w:lang w:val="mt-MT" w:eastAsia="en-GB"/>
        </w:rPr>
        <w:t xml:space="preserve">, the Member States concerned should report to the Commission without delay </w:t>
      </w:r>
      <w:r w:rsidRPr="006A4F1C">
        <w:rPr>
          <w:rFonts w:eastAsia="Calibri"/>
          <w:lang w:eastAsia="en-GB"/>
        </w:rPr>
        <w:t xml:space="preserve">any such irregularity. </w:t>
      </w:r>
    </w:p>
    <w:p w:rsidR="006A4F1C" w:rsidRDefault="00475963" w:rsidP="006A4F1C">
      <w:pPr>
        <w:pStyle w:val="Considrant"/>
        <w:rPr>
          <w:rFonts w:eastAsia="Calibri"/>
          <w:lang w:eastAsia="en-GB"/>
        </w:rPr>
      </w:pPr>
      <w:r w:rsidRPr="006A4F1C">
        <w:rPr>
          <w:rFonts w:eastAsia="Calibri"/>
          <w:lang w:eastAsia="en-GB"/>
        </w:rPr>
        <w:t>In order to fully exploit the advantages derived from the use of electronic means for the exchange of information while preserving the security of exchanges, Member States should use the dedicated Irregularity Management System provided on the Anti-Fraud Information System platform established by the Commission.</w:t>
      </w:r>
    </w:p>
    <w:p w:rsidR="006A4F1C" w:rsidRDefault="00475963" w:rsidP="006A4F1C">
      <w:pPr>
        <w:pStyle w:val="Considrant"/>
        <w:rPr>
          <w:rFonts w:eastAsia="Calibri"/>
          <w:lang w:eastAsia="en-GB"/>
        </w:rPr>
      </w:pPr>
      <w:r w:rsidRPr="006A4F1C">
        <w:rPr>
          <w:rFonts w:eastAsia="Calibri"/>
          <w:lang w:eastAsia="en-GB"/>
        </w:rPr>
        <w:t xml:space="preserve">Member States and the Commission should ensure that transfer of data through the Irregularity Management System is performed in a secure manner allowing for availability, integrity, authenticity, confidentiality and non-repudiation of information. </w:t>
      </w:r>
    </w:p>
    <w:p w:rsidR="006A4F1C" w:rsidRDefault="00475963" w:rsidP="006A4F1C">
      <w:pPr>
        <w:pStyle w:val="Considrant"/>
        <w:rPr>
          <w:rFonts w:eastAsia="Calibri"/>
          <w:lang w:eastAsia="en-GB"/>
        </w:rPr>
      </w:pPr>
      <w:r w:rsidRPr="006A4F1C">
        <w:rPr>
          <w:rFonts w:eastAsia="Calibri"/>
          <w:lang w:eastAsia="en-GB"/>
        </w:rPr>
        <w:t>The use of the Euro as a uniform currency for the reporting of irregularities is necessary to ensure the comparability of the information reported. For Member States which have not adopted the euro as their currency it is necessary to define the exchange rate to be used to convert the amounts concerned into euro and the exchange rate to be used for expenditure which has not been registered in the accounts of the certifying authority.</w:t>
      </w:r>
    </w:p>
    <w:p w:rsidR="006A4F1C" w:rsidRDefault="00475963" w:rsidP="006A4F1C">
      <w:pPr>
        <w:pStyle w:val="Considrant"/>
        <w:rPr>
          <w:rFonts w:eastAsia="Calibri"/>
          <w:lang w:eastAsia="en-GB"/>
        </w:rPr>
      </w:pPr>
      <w:r w:rsidRPr="006A4F1C">
        <w:rPr>
          <w:rFonts w:eastAsia="Calibri"/>
          <w:lang w:eastAsia="en-GB"/>
        </w:rPr>
        <w:t>The measures provided for in this Regulation are in accordance with the opinion of the Coordination Committee for the European Structural and Investment Funds established by Article 150(1) of Regulation (EU) No 1303/2013.</w:t>
      </w:r>
    </w:p>
    <w:p w:rsidR="00475963" w:rsidRPr="006A4F1C" w:rsidRDefault="00475963" w:rsidP="006A4F1C">
      <w:pPr>
        <w:pStyle w:val="Considrant"/>
        <w:rPr>
          <w:rFonts w:eastAsia="Calibri"/>
          <w:lang w:eastAsia="en-GB"/>
        </w:rPr>
      </w:pPr>
      <w:proofErr w:type="spellStart"/>
      <w:r w:rsidRPr="006A4F1C">
        <w:rPr>
          <w:rFonts w:eastAsia="Calibri"/>
          <w:lang w:val="sk-SK" w:eastAsia="en-GB"/>
        </w:rPr>
        <w:t>As</w:t>
      </w:r>
      <w:proofErr w:type="spellEnd"/>
      <w:r w:rsidRPr="006A4F1C">
        <w:rPr>
          <w:rFonts w:eastAsia="Calibri"/>
          <w:lang w:eastAsia="en-GB"/>
        </w:rPr>
        <w:t xml:space="preserve"> payments have already been made for the Funds concerned and irregularities could occur, </w:t>
      </w:r>
      <w:r w:rsidRPr="006A4F1C">
        <w:rPr>
          <w:rFonts w:eastAsia="Calibri"/>
          <w:lang w:val="mt-MT" w:eastAsia="en-GB"/>
        </w:rPr>
        <w:t>the provisions of this Regulation should be applicable immediately</w:t>
      </w:r>
      <w:r w:rsidRPr="006A4F1C">
        <w:rPr>
          <w:rFonts w:eastAsia="Calibri"/>
          <w:lang w:val="sk-SK" w:eastAsia="en-GB"/>
        </w:rPr>
        <w:t>.</w:t>
      </w:r>
      <w:r w:rsidRPr="006A4F1C">
        <w:rPr>
          <w:rFonts w:eastAsia="Calibri"/>
          <w:lang w:val="mt-MT" w:eastAsia="en-GB"/>
        </w:rPr>
        <w:t xml:space="preserve"> </w:t>
      </w:r>
      <w:r w:rsidRPr="006A4F1C">
        <w:rPr>
          <w:rFonts w:eastAsia="Calibri"/>
          <w:lang w:eastAsia="en-GB"/>
        </w:rPr>
        <w:t xml:space="preserve">This Regulation should </w:t>
      </w:r>
      <w:r w:rsidRPr="006A4F1C">
        <w:rPr>
          <w:rFonts w:eastAsia="Calibri"/>
          <w:lang w:val="mt-MT" w:eastAsia="en-GB"/>
        </w:rPr>
        <w:t xml:space="preserve">therefore </w:t>
      </w:r>
      <w:r w:rsidRPr="006A4F1C">
        <w:rPr>
          <w:rFonts w:eastAsia="Calibri"/>
          <w:lang w:eastAsia="en-GB"/>
        </w:rPr>
        <w:t xml:space="preserve">enter into force on the day following that of its publication </w:t>
      </w:r>
      <w:r w:rsidRPr="006A4F1C">
        <w:rPr>
          <w:rFonts w:eastAsia="Calibri"/>
          <w:i/>
          <w:lang w:eastAsia="en-GB"/>
        </w:rPr>
        <w:t>in the Official Journal of the European Union,</w:t>
      </w:r>
    </w:p>
    <w:p w:rsidR="00A94A87" w:rsidRPr="00922C91" w:rsidRDefault="00A94A87" w:rsidP="00D62FED">
      <w:pPr>
        <w:pStyle w:val="Formuledadoption"/>
      </w:pPr>
      <w:r w:rsidRPr="00922C91">
        <w:lastRenderedPageBreak/>
        <w:t>HAS ADOPTED THIS REGULATION:</w:t>
      </w:r>
    </w:p>
    <w:p w:rsidR="00A94A87" w:rsidRPr="00922C91" w:rsidRDefault="00A94A87" w:rsidP="00D62FED">
      <w:pPr>
        <w:pStyle w:val="Titrearticle"/>
      </w:pPr>
      <w:r w:rsidRPr="00922C91">
        <w:t>Article 1</w:t>
      </w:r>
    </w:p>
    <w:p w:rsidR="00475963" w:rsidRPr="00475963" w:rsidRDefault="00475963" w:rsidP="00475963">
      <w:pPr>
        <w:keepNext/>
        <w:spacing w:before="0"/>
        <w:jc w:val="center"/>
        <w:rPr>
          <w:rFonts w:eastAsia="Calibri"/>
          <w:b/>
          <w:szCs w:val="20"/>
          <w:lang w:eastAsia="en-GB"/>
        </w:rPr>
      </w:pPr>
      <w:r w:rsidRPr="00475963">
        <w:rPr>
          <w:rFonts w:eastAsia="Calibri"/>
          <w:b/>
          <w:szCs w:val="20"/>
          <w:lang w:eastAsia="en-GB"/>
        </w:rPr>
        <w:t>Subject matter</w:t>
      </w:r>
    </w:p>
    <w:p w:rsidR="00475963" w:rsidRPr="00475963" w:rsidRDefault="00475963" w:rsidP="00475963">
      <w:pPr>
        <w:rPr>
          <w:rFonts w:eastAsia="Calibri"/>
          <w:szCs w:val="20"/>
          <w:lang w:eastAsia="en-GB"/>
        </w:rPr>
      </w:pPr>
      <w:r w:rsidRPr="00475963">
        <w:rPr>
          <w:rFonts w:eastAsia="Calibri"/>
          <w:szCs w:val="20"/>
          <w:lang w:eastAsia="en-GB"/>
        </w:rPr>
        <w:t>This Regulation sets out the frequency and format of the reporting of irregularities referred to in Article 122(2) of Regulation (EU) No 1303/2013.</w:t>
      </w:r>
      <w:r w:rsidRPr="00475963">
        <w:rPr>
          <w:rFonts w:eastAsia="Calibri"/>
          <w:lang w:eastAsia="en-GB"/>
        </w:rPr>
        <w:t xml:space="preserve"> </w:t>
      </w:r>
      <w:r w:rsidRPr="00475963">
        <w:rPr>
          <w:rFonts w:eastAsia="Calibri"/>
          <w:szCs w:val="20"/>
          <w:lang w:eastAsia="en-GB"/>
        </w:rPr>
        <w:t>To this end, the automated information system, the ‘Irregularity Management System’, hereinafter referred to as the ‘IMS’, established by the Commission, shall be used.</w:t>
      </w:r>
    </w:p>
    <w:p w:rsidR="00475963" w:rsidRPr="00475963" w:rsidRDefault="00475963" w:rsidP="00475963">
      <w:pPr>
        <w:keepNext/>
        <w:spacing w:before="360"/>
        <w:jc w:val="center"/>
        <w:rPr>
          <w:rFonts w:eastAsia="Times New Roman"/>
          <w:i/>
          <w:szCs w:val="20"/>
          <w:lang w:eastAsia="en-GB"/>
        </w:rPr>
      </w:pPr>
      <w:r w:rsidRPr="00475963">
        <w:rPr>
          <w:rFonts w:eastAsia="Times New Roman"/>
          <w:i/>
          <w:szCs w:val="20"/>
          <w:lang w:eastAsia="en-GB"/>
        </w:rPr>
        <w:t>Article 2</w:t>
      </w:r>
    </w:p>
    <w:p w:rsidR="00475963" w:rsidRPr="00475963" w:rsidRDefault="00475963" w:rsidP="00475963">
      <w:pPr>
        <w:spacing w:before="0" w:after="200" w:line="276" w:lineRule="auto"/>
        <w:jc w:val="center"/>
        <w:rPr>
          <w:rFonts w:eastAsia="Calibri"/>
          <w:b/>
          <w:szCs w:val="24"/>
          <w:lang w:eastAsia="en-GB"/>
        </w:rPr>
      </w:pPr>
      <w:r w:rsidRPr="00475963">
        <w:rPr>
          <w:rFonts w:eastAsia="Calibri"/>
          <w:b/>
          <w:szCs w:val="24"/>
          <w:lang w:eastAsia="en-GB"/>
        </w:rPr>
        <w:t>Frequency of the reporting of irregularities</w:t>
      </w:r>
    </w:p>
    <w:p w:rsidR="00A40B15" w:rsidRDefault="00475963" w:rsidP="004F3DC0">
      <w:pPr>
        <w:pStyle w:val="NumPar1"/>
        <w:numPr>
          <w:ilvl w:val="0"/>
          <w:numId w:val="11"/>
        </w:numPr>
        <w:tabs>
          <w:tab w:val="clear" w:pos="850"/>
          <w:tab w:val="num" w:pos="480"/>
        </w:tabs>
        <w:ind w:left="0" w:firstLine="0"/>
        <w:rPr>
          <w:lang w:eastAsia="en-GB"/>
        </w:rPr>
      </w:pPr>
      <w:r w:rsidRPr="00470086">
        <w:rPr>
          <w:lang w:eastAsia="en-GB"/>
        </w:rPr>
        <w:t>Within two months following the end of each quarter, Member States shall send to the Commission initial report on irregularities referred to in Article 3 of Delegated Regulation (E</w:t>
      </w:r>
      <w:r w:rsidR="004C417F" w:rsidRPr="00470086">
        <w:rPr>
          <w:lang w:eastAsia="en-GB"/>
        </w:rPr>
        <w:t>U</w:t>
      </w:r>
      <w:r w:rsidRPr="00470086">
        <w:rPr>
          <w:lang w:eastAsia="en-GB"/>
        </w:rPr>
        <w:t xml:space="preserve">) </w:t>
      </w:r>
      <w:r w:rsidRPr="00E41A2E">
        <w:rPr>
          <w:lang w:eastAsia="en-GB"/>
        </w:rPr>
        <w:t>…/…[</w:t>
      </w:r>
      <w:r w:rsidRPr="00E41A2E">
        <w:rPr>
          <w:i/>
          <w:lang w:eastAsia="en-GB"/>
        </w:rPr>
        <w:t>Commission Delegated Regulation (EU) …/… of … supplementing Regulation (EU) No 1303/2013</w:t>
      </w:r>
      <w:r w:rsidRPr="00E41A2E">
        <w:rPr>
          <w:lang w:eastAsia="en-GB"/>
        </w:rPr>
        <w:t>]</w:t>
      </w:r>
      <w:r w:rsidRPr="00470086">
        <w:rPr>
          <w:lang w:eastAsia="en-GB"/>
        </w:rPr>
        <w:t>.</w:t>
      </w:r>
    </w:p>
    <w:p w:rsidR="00E41A2E" w:rsidRPr="00E41A2E" w:rsidRDefault="00475963" w:rsidP="00FE0798">
      <w:pPr>
        <w:pStyle w:val="NumPar1"/>
        <w:tabs>
          <w:tab w:val="clear" w:pos="850"/>
          <w:tab w:val="num" w:pos="480"/>
        </w:tabs>
        <w:ind w:left="0" w:firstLine="0"/>
        <w:rPr>
          <w:lang w:eastAsia="en-GB"/>
        </w:rPr>
      </w:pPr>
      <w:r w:rsidRPr="00470086">
        <w:rPr>
          <w:lang w:eastAsia="en-GB"/>
        </w:rPr>
        <w:t>Member States shall send to the Commission the follow-up report referred to in Article 4 of Delegated Regulation</w:t>
      </w:r>
      <w:r w:rsidR="004C417F" w:rsidRPr="00470086">
        <w:rPr>
          <w:lang w:eastAsia="en-GB"/>
        </w:rPr>
        <w:t xml:space="preserve"> (EU)</w:t>
      </w:r>
      <w:r w:rsidRPr="00470086">
        <w:rPr>
          <w:lang w:eastAsia="en-GB"/>
        </w:rPr>
        <w:t xml:space="preserve"> …/… [</w:t>
      </w:r>
      <w:r w:rsidRPr="000254D0">
        <w:rPr>
          <w:lang w:eastAsia="en-GB"/>
        </w:rPr>
        <w:t>Commission Delegated Regulation (EU) …/… of … supplementing Regulation (EU) No 1303/2013] as soon as possible after obtaining the relevant information.</w:t>
      </w:r>
    </w:p>
    <w:p w:rsidR="00475963" w:rsidRPr="00470086" w:rsidRDefault="00475963" w:rsidP="00FE0798">
      <w:pPr>
        <w:pStyle w:val="NumPar1"/>
        <w:tabs>
          <w:tab w:val="clear" w:pos="850"/>
          <w:tab w:val="num" w:pos="480"/>
        </w:tabs>
        <w:ind w:left="0" w:firstLine="0"/>
        <w:rPr>
          <w:lang w:eastAsia="en-GB"/>
        </w:rPr>
      </w:pPr>
      <w:r w:rsidRPr="00470086">
        <w:rPr>
          <w:lang w:eastAsia="en-GB"/>
        </w:rPr>
        <w:t>A Member State shall immediately report to the Commission indicating, where necessary, the other Member States concerned, any irregularities discovered or supposed to have occurred, where it is feared that they may have repercussions outside its territory.</w:t>
      </w:r>
    </w:p>
    <w:p w:rsidR="00475963" w:rsidRPr="00475963" w:rsidRDefault="00475963" w:rsidP="00475963">
      <w:pPr>
        <w:keepNext/>
        <w:spacing w:before="360"/>
        <w:jc w:val="center"/>
        <w:rPr>
          <w:rFonts w:eastAsia="Times New Roman"/>
          <w:i/>
          <w:szCs w:val="20"/>
          <w:lang w:eastAsia="en-GB"/>
        </w:rPr>
      </w:pPr>
      <w:r w:rsidRPr="00475963">
        <w:rPr>
          <w:rFonts w:eastAsia="Times New Roman"/>
          <w:i/>
          <w:szCs w:val="20"/>
          <w:lang w:eastAsia="en-GB"/>
        </w:rPr>
        <w:t>Article 3</w:t>
      </w:r>
    </w:p>
    <w:p w:rsidR="00475963" w:rsidRPr="00475963" w:rsidRDefault="00475963" w:rsidP="00475963">
      <w:pPr>
        <w:spacing w:before="0" w:after="200" w:line="276" w:lineRule="auto"/>
        <w:jc w:val="center"/>
        <w:rPr>
          <w:rFonts w:eastAsia="Calibri"/>
          <w:b/>
          <w:szCs w:val="24"/>
          <w:lang w:eastAsia="en-GB"/>
        </w:rPr>
      </w:pPr>
      <w:r w:rsidRPr="00475963">
        <w:rPr>
          <w:rFonts w:eastAsia="Calibri"/>
          <w:b/>
          <w:szCs w:val="24"/>
          <w:lang w:eastAsia="en-GB"/>
        </w:rPr>
        <w:t>Reporting format</w:t>
      </w:r>
    </w:p>
    <w:p w:rsidR="00475963" w:rsidRPr="00475963" w:rsidRDefault="00475963" w:rsidP="00475963">
      <w:pPr>
        <w:spacing w:before="0" w:after="200" w:line="276" w:lineRule="auto"/>
        <w:rPr>
          <w:rFonts w:eastAsia="Calibri"/>
          <w:szCs w:val="24"/>
          <w:lang w:eastAsia="en-GB"/>
        </w:rPr>
      </w:pPr>
      <w:r w:rsidRPr="00475963">
        <w:rPr>
          <w:rFonts w:eastAsia="Calibri"/>
          <w:szCs w:val="24"/>
          <w:lang w:eastAsia="en-GB"/>
        </w:rPr>
        <w:t xml:space="preserve">The information referred to in Article 3 and Article 4 of Delegated Regulation </w:t>
      </w:r>
      <w:r w:rsidR="00161181">
        <w:rPr>
          <w:rFonts w:eastAsia="Calibri"/>
          <w:szCs w:val="24"/>
          <w:lang w:eastAsia="en-GB"/>
        </w:rPr>
        <w:t xml:space="preserve">(EU) </w:t>
      </w:r>
      <w:r w:rsidRPr="00475963">
        <w:rPr>
          <w:rFonts w:eastAsia="Calibri"/>
          <w:szCs w:val="24"/>
          <w:lang w:eastAsia="en-GB"/>
        </w:rPr>
        <w:t xml:space="preserve">…/… </w:t>
      </w:r>
      <w:r w:rsidRPr="00475963">
        <w:rPr>
          <w:rFonts w:eastAsia="Calibri"/>
          <w:i/>
          <w:szCs w:val="24"/>
          <w:lang w:eastAsia="en-GB"/>
        </w:rPr>
        <w:t>[</w:t>
      </w:r>
      <w:r w:rsidRPr="00475963">
        <w:rPr>
          <w:rFonts w:eastAsia="Calibri"/>
          <w:i/>
          <w:lang w:eastAsia="en-GB"/>
        </w:rPr>
        <w:t>Commission Delegated Regulation (EU) …/… of … supplementing Regulation (EU) No 1303/2013</w:t>
      </w:r>
      <w:r w:rsidRPr="00475963">
        <w:rPr>
          <w:rFonts w:eastAsia="Calibri"/>
          <w:i/>
          <w:szCs w:val="24"/>
          <w:lang w:eastAsia="en-GB"/>
        </w:rPr>
        <w:t>]</w:t>
      </w:r>
      <w:r w:rsidRPr="00475963">
        <w:rPr>
          <w:rFonts w:eastAsia="Calibri"/>
          <w:szCs w:val="24"/>
          <w:lang w:eastAsia="en-GB"/>
        </w:rPr>
        <w:t xml:space="preserve"> shall be sent by electronic means, using the ‘IMS’.</w:t>
      </w:r>
    </w:p>
    <w:p w:rsidR="00475963" w:rsidRPr="00475963" w:rsidRDefault="00475963" w:rsidP="00475963">
      <w:pPr>
        <w:keepNext/>
        <w:spacing w:before="360"/>
        <w:jc w:val="center"/>
        <w:rPr>
          <w:rFonts w:eastAsia="Times New Roman"/>
          <w:i/>
          <w:szCs w:val="20"/>
          <w:lang w:eastAsia="en-GB"/>
        </w:rPr>
      </w:pPr>
      <w:r w:rsidRPr="00475963">
        <w:rPr>
          <w:rFonts w:eastAsia="Times New Roman"/>
          <w:i/>
          <w:szCs w:val="20"/>
          <w:lang w:eastAsia="en-GB"/>
        </w:rPr>
        <w:t>Article 4</w:t>
      </w:r>
    </w:p>
    <w:p w:rsidR="00475963" w:rsidRPr="00475963" w:rsidRDefault="00475963" w:rsidP="00475963">
      <w:pPr>
        <w:spacing w:before="0" w:after="200" w:line="276" w:lineRule="auto"/>
        <w:jc w:val="center"/>
        <w:rPr>
          <w:rFonts w:eastAsia="Calibri"/>
          <w:b/>
          <w:szCs w:val="24"/>
          <w:lang w:eastAsia="en-GB"/>
        </w:rPr>
      </w:pPr>
      <w:r w:rsidRPr="00475963">
        <w:rPr>
          <w:rFonts w:eastAsia="Calibri"/>
          <w:b/>
          <w:szCs w:val="24"/>
          <w:lang w:eastAsia="en-GB"/>
        </w:rPr>
        <w:t>Use of the euro</w:t>
      </w:r>
    </w:p>
    <w:p w:rsidR="00720144" w:rsidRPr="00720144" w:rsidRDefault="00470086" w:rsidP="004F3DC0">
      <w:pPr>
        <w:pStyle w:val="NumPar1"/>
        <w:numPr>
          <w:ilvl w:val="0"/>
          <w:numId w:val="10"/>
        </w:numPr>
        <w:tabs>
          <w:tab w:val="left" w:pos="480"/>
        </w:tabs>
        <w:ind w:left="0" w:firstLine="0"/>
        <w:rPr>
          <w:lang w:eastAsia="en-GB"/>
        </w:rPr>
      </w:pPr>
      <w:r w:rsidRPr="00720144">
        <w:rPr>
          <w:lang w:eastAsia="en-GB"/>
        </w:rPr>
        <w:t>The amounts reported by Member States shall be denominated in euro.</w:t>
      </w:r>
    </w:p>
    <w:p w:rsidR="00E803E6" w:rsidRPr="00795605" w:rsidRDefault="00E803E6" w:rsidP="004F3DC0">
      <w:pPr>
        <w:pStyle w:val="NumPar1"/>
        <w:numPr>
          <w:ilvl w:val="0"/>
          <w:numId w:val="10"/>
        </w:numPr>
        <w:tabs>
          <w:tab w:val="left" w:pos="480"/>
        </w:tabs>
        <w:ind w:left="0" w:firstLine="0"/>
      </w:pPr>
      <w:r w:rsidRPr="00795605">
        <w:t xml:space="preserve">Member States which have not adopted the euro as their currency by the date when the report under Article 3(2) of Delegated Regulation </w:t>
      </w:r>
      <w:r>
        <w:t xml:space="preserve">(EU) </w:t>
      </w:r>
      <w:r w:rsidRPr="008B051A">
        <w:t>…/…</w:t>
      </w:r>
      <w:r w:rsidRPr="00795605">
        <w:t xml:space="preserve"> </w:t>
      </w:r>
      <w:r>
        <w:t>[</w:t>
      </w:r>
      <w:r w:rsidRPr="00720144">
        <w:rPr>
          <w:i/>
        </w:rPr>
        <w:t>Commission Delegated Regulation (EU) …/… of … supplementing Regulation (EU) No 1303/2013]</w:t>
      </w:r>
      <w:r>
        <w:t xml:space="preserve"> </w:t>
      </w:r>
      <w:r w:rsidRPr="00795605">
        <w:t xml:space="preserve">is submitted shall convert amounts in national currency into euro in accordance with Article 133 of Regulation (EU) No 1303/2013 </w:t>
      </w:r>
      <w:r>
        <w:t xml:space="preserve">or, where appropriate, </w:t>
      </w:r>
      <w:r w:rsidRPr="00C51483">
        <w:t>Article</w:t>
      </w:r>
      <w:r>
        <w:t xml:space="preserve"> 28</w:t>
      </w:r>
      <w:r w:rsidRPr="00C51483">
        <w:t xml:space="preserve"> of Regulation (EU) No 1</w:t>
      </w:r>
      <w:r>
        <w:t>299</w:t>
      </w:r>
      <w:r w:rsidRPr="00C51483">
        <w:t>/2013</w:t>
      </w:r>
      <w:r>
        <w:rPr>
          <w:rStyle w:val="FootnoteReference"/>
        </w:rPr>
        <w:footnoteReference w:id="9"/>
      </w:r>
      <w:r>
        <w:t>.</w:t>
      </w:r>
      <w:r w:rsidRPr="00795605">
        <w:t xml:space="preserve"> Where the expenditure has not been registered in the accounts of the certifying authority, the </w:t>
      </w:r>
      <w:r w:rsidRPr="00795605">
        <w:lastRenderedPageBreak/>
        <w:t>most recent monthly accounting exchange rate</w:t>
      </w:r>
      <w:r>
        <w:t>,</w:t>
      </w:r>
      <w:r w:rsidRPr="00795605">
        <w:t xml:space="preserve"> published electronically by the Commission at the moment of initial reporting</w:t>
      </w:r>
      <w:r>
        <w:t>,</w:t>
      </w:r>
      <w:r w:rsidRPr="00795605">
        <w:t xml:space="preserve"> shall be used.</w:t>
      </w:r>
    </w:p>
    <w:p w:rsidR="00475963" w:rsidRPr="00475963" w:rsidRDefault="00475963" w:rsidP="00475963">
      <w:pPr>
        <w:keepNext/>
        <w:spacing w:before="360"/>
        <w:jc w:val="center"/>
        <w:rPr>
          <w:rFonts w:eastAsia="Calibri"/>
          <w:i/>
          <w:szCs w:val="20"/>
          <w:lang w:eastAsia="en-GB"/>
        </w:rPr>
      </w:pPr>
      <w:r w:rsidRPr="00475963">
        <w:rPr>
          <w:rFonts w:eastAsia="Calibri"/>
          <w:i/>
          <w:szCs w:val="20"/>
          <w:lang w:eastAsia="en-GB"/>
        </w:rPr>
        <w:t>Article 5</w:t>
      </w:r>
    </w:p>
    <w:p w:rsidR="00475963" w:rsidRPr="00475963" w:rsidRDefault="00475963" w:rsidP="00475963">
      <w:pPr>
        <w:keepNext/>
        <w:spacing w:before="0"/>
        <w:jc w:val="center"/>
        <w:rPr>
          <w:rFonts w:eastAsia="Calibri"/>
          <w:b/>
          <w:szCs w:val="20"/>
          <w:lang w:eastAsia="en-GB"/>
        </w:rPr>
      </w:pPr>
      <w:r w:rsidRPr="00475963">
        <w:rPr>
          <w:rFonts w:eastAsia="Calibri"/>
          <w:b/>
          <w:szCs w:val="20"/>
          <w:lang w:eastAsia="en-GB"/>
        </w:rPr>
        <w:t xml:space="preserve">Entry into force </w:t>
      </w:r>
    </w:p>
    <w:p w:rsidR="00475963" w:rsidRPr="00475963" w:rsidRDefault="00475963" w:rsidP="00475963">
      <w:pPr>
        <w:rPr>
          <w:rFonts w:eastAsia="Calibri"/>
          <w:szCs w:val="20"/>
          <w:lang w:eastAsia="en-GB"/>
        </w:rPr>
      </w:pPr>
      <w:r w:rsidRPr="00475963">
        <w:rPr>
          <w:rFonts w:eastAsia="Calibri"/>
          <w:szCs w:val="20"/>
          <w:lang w:eastAsia="en-GB"/>
        </w:rPr>
        <w:t xml:space="preserve">This Regulation shall enter into force on the day following that of its publication in the </w:t>
      </w:r>
      <w:r w:rsidRPr="00475963">
        <w:rPr>
          <w:rFonts w:eastAsia="Calibri"/>
          <w:i/>
          <w:szCs w:val="20"/>
          <w:lang w:eastAsia="en-GB"/>
        </w:rPr>
        <w:t>Official Journal of the European Union</w:t>
      </w:r>
      <w:r w:rsidRPr="00475963">
        <w:rPr>
          <w:rFonts w:eastAsia="Calibri"/>
          <w:szCs w:val="20"/>
          <w:lang w:eastAsia="en-GB"/>
        </w:rPr>
        <w:t>.</w:t>
      </w:r>
    </w:p>
    <w:p w:rsidR="00A94A87" w:rsidRPr="00922C91" w:rsidRDefault="00A94A87" w:rsidP="00D62FED">
      <w:pPr>
        <w:pStyle w:val="Applicationdirecte"/>
      </w:pPr>
      <w:r w:rsidRPr="00922C91">
        <w:t>This Regulation shall be binding in its entirety and directly applicable in all Member States.</w:t>
      </w:r>
    </w:p>
    <w:p w:rsidR="00A94A87" w:rsidRDefault="00A54652" w:rsidP="00A54652">
      <w:pPr>
        <w:pStyle w:val="Fait"/>
      </w:pPr>
      <w:r w:rsidRPr="00A54652">
        <w:t>Done at Brussels,</w:t>
      </w:r>
    </w:p>
    <w:p w:rsidR="00A94A87" w:rsidRDefault="00A94A87" w:rsidP="00A94A87">
      <w:pPr>
        <w:pStyle w:val="Institutionquisigne"/>
      </w:pPr>
      <w:r w:rsidRPr="00A94A87">
        <w:tab/>
        <w:t>For the Commission</w:t>
      </w:r>
    </w:p>
    <w:p w:rsidR="00A94A87" w:rsidRPr="00A94A87" w:rsidRDefault="00A94A87" w:rsidP="00A94A87">
      <w:pPr>
        <w:pStyle w:val="Personnequisigne"/>
      </w:pPr>
      <w:r w:rsidRPr="00A94A87">
        <w:tab/>
        <w:t>The President</w:t>
      </w:r>
      <w:r w:rsidRPr="00A94A87">
        <w:br/>
      </w:r>
    </w:p>
    <w:sectPr w:rsidR="00A94A87" w:rsidRPr="00A94A87" w:rsidSect="00455539">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86" w:rsidRDefault="00470086" w:rsidP="00A94A87">
      <w:pPr>
        <w:spacing w:before="0" w:after="0"/>
      </w:pPr>
      <w:r>
        <w:separator/>
      </w:r>
    </w:p>
  </w:endnote>
  <w:endnote w:type="continuationSeparator" w:id="0">
    <w:p w:rsidR="00470086" w:rsidRDefault="00470086" w:rsidP="00A94A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C0" w:rsidRDefault="004F3D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086" w:rsidRPr="00455539" w:rsidRDefault="00455539" w:rsidP="00455539">
    <w:pPr>
      <w:pStyle w:val="Footer"/>
      <w:rPr>
        <w:rFonts w:ascii="Arial" w:hAnsi="Arial" w:cs="Arial"/>
        <w:b/>
        <w:sz w:val="48"/>
      </w:rPr>
    </w:pPr>
    <w:r w:rsidRPr="00455539">
      <w:rPr>
        <w:rFonts w:ascii="Arial" w:hAnsi="Arial" w:cs="Arial"/>
        <w:b/>
        <w:sz w:val="48"/>
      </w:rPr>
      <w:t>EN</w:t>
    </w:r>
    <w:r w:rsidRPr="00455539">
      <w:rPr>
        <w:rFonts w:ascii="Arial" w:hAnsi="Arial" w:cs="Arial"/>
        <w:b/>
        <w:sz w:val="48"/>
      </w:rPr>
      <w:tab/>
    </w:r>
    <w:r w:rsidRPr="00455539">
      <w:rPr>
        <w:rFonts w:ascii="Arial" w:hAnsi="Arial" w:cs="Arial"/>
        <w:b/>
        <w:sz w:val="48"/>
      </w:rPr>
      <w:tab/>
    </w:r>
    <w:r w:rsidR="004F3DC0">
      <w:fldChar w:fldCharType="begin"/>
    </w:r>
    <w:r w:rsidR="004F3DC0">
      <w:instrText xml:space="preserve"> DOCVARIABLE "LW_Confidence" \* MERGEFORMAT </w:instrText>
    </w:r>
    <w:r w:rsidR="004F3DC0">
      <w:fldChar w:fldCharType="separate"/>
    </w:r>
    <w:r>
      <w:t xml:space="preserve"> </w:t>
    </w:r>
    <w:r w:rsidR="004F3DC0">
      <w:fldChar w:fldCharType="end"/>
    </w:r>
    <w:r w:rsidRPr="00455539">
      <w:tab/>
    </w:r>
    <w:proofErr w:type="spellStart"/>
    <w:r w:rsidRPr="00455539">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C0" w:rsidRDefault="004F3DC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539" w:rsidRPr="00455539" w:rsidRDefault="00455539" w:rsidP="00455539">
    <w:pPr>
      <w:pStyle w:val="Footer"/>
      <w:rPr>
        <w:rFonts w:ascii="Arial" w:hAnsi="Arial" w:cs="Arial"/>
        <w:b/>
        <w:sz w:val="48"/>
      </w:rPr>
    </w:pPr>
    <w:r w:rsidRPr="00455539">
      <w:rPr>
        <w:rFonts w:ascii="Arial" w:hAnsi="Arial" w:cs="Arial"/>
        <w:b/>
        <w:sz w:val="48"/>
      </w:rPr>
      <w:t>EN</w:t>
    </w:r>
    <w:r w:rsidRPr="00455539">
      <w:rPr>
        <w:rFonts w:ascii="Arial" w:hAnsi="Arial" w:cs="Arial"/>
        <w:b/>
        <w:sz w:val="48"/>
      </w:rPr>
      <w:tab/>
    </w:r>
    <w:r>
      <w:fldChar w:fldCharType="begin"/>
    </w:r>
    <w:r>
      <w:instrText xml:space="preserve"> PAGE  \* MERGEFORMAT </w:instrText>
    </w:r>
    <w:r>
      <w:fldChar w:fldCharType="separate"/>
    </w:r>
    <w:r w:rsidR="004F3DC0">
      <w:rPr>
        <w:noProof/>
      </w:rPr>
      <w:t>2</w:t>
    </w:r>
    <w:r>
      <w:fldChar w:fldCharType="end"/>
    </w:r>
    <w:r>
      <w:tab/>
    </w:r>
    <w:r w:rsidR="004F3DC0">
      <w:fldChar w:fldCharType="begin"/>
    </w:r>
    <w:r w:rsidR="004F3DC0">
      <w:instrText xml:space="preserve"> DOCVARIABLE "LW_Confidence" \* MERGEFORMAT </w:instrText>
    </w:r>
    <w:r w:rsidR="004F3DC0">
      <w:fldChar w:fldCharType="separate"/>
    </w:r>
    <w:r>
      <w:t xml:space="preserve"> </w:t>
    </w:r>
    <w:r w:rsidR="004F3DC0">
      <w:fldChar w:fldCharType="end"/>
    </w:r>
    <w:r w:rsidRPr="00455539">
      <w:tab/>
    </w:r>
    <w:r w:rsidRPr="00455539">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539" w:rsidRPr="00455539" w:rsidRDefault="00455539" w:rsidP="00455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86" w:rsidRDefault="00470086" w:rsidP="00A94A87">
      <w:pPr>
        <w:spacing w:before="0" w:after="0"/>
      </w:pPr>
      <w:r>
        <w:separator/>
      </w:r>
    </w:p>
  </w:footnote>
  <w:footnote w:type="continuationSeparator" w:id="0">
    <w:p w:rsidR="00470086" w:rsidRDefault="00470086" w:rsidP="00A94A87">
      <w:pPr>
        <w:spacing w:before="0" w:after="0"/>
      </w:pPr>
      <w:r>
        <w:continuationSeparator/>
      </w:r>
    </w:p>
  </w:footnote>
  <w:footnote w:id="1">
    <w:p w:rsidR="00470086" w:rsidRPr="008C639B" w:rsidRDefault="00470086" w:rsidP="00D62FED">
      <w:pPr>
        <w:pStyle w:val="FootnoteText"/>
      </w:pPr>
      <w:r w:rsidRPr="00E035D1">
        <w:rPr>
          <w:rStyle w:val="FootnoteReference"/>
        </w:rPr>
        <w:footnoteRef/>
      </w:r>
      <w:r>
        <w:tab/>
      </w:r>
      <w:r w:rsidRPr="008C639B">
        <w:t>OJ L 347, 20.12.2013, p. 320.</w:t>
      </w:r>
    </w:p>
  </w:footnote>
  <w:footnote w:id="2">
    <w:p w:rsidR="00E803E6" w:rsidRPr="00FF76C2" w:rsidRDefault="00E803E6" w:rsidP="00E803E6">
      <w:pPr>
        <w:pStyle w:val="FootnoteText"/>
        <w:rPr>
          <w:lang w:val="mt-MT"/>
        </w:rPr>
      </w:pPr>
      <w:r>
        <w:rPr>
          <w:rStyle w:val="FootnoteReference"/>
        </w:rPr>
        <w:footnoteRef/>
      </w:r>
      <w:r>
        <w:rPr>
          <w:lang w:val="mt-MT"/>
        </w:rPr>
        <w:tab/>
      </w:r>
      <w:r w:rsidRPr="008B051A">
        <w:t xml:space="preserve">Commission Delegated Regulation (EU) </w:t>
      </w:r>
      <w:r w:rsidRPr="000D0935">
        <w:t>…/…</w:t>
      </w:r>
      <w:r w:rsidRPr="008B051A">
        <w:t xml:space="preserve"> </w:t>
      </w:r>
      <w:r>
        <w:t>of … s</w:t>
      </w:r>
      <w:r w:rsidRPr="008B051A">
        <w:t xml:space="preserve">upplementing Regulation (EU) No 1303/2013 of the European Parliament and of the Council with specific provisions </w:t>
      </w:r>
      <w:r>
        <w:t>on</w:t>
      </w:r>
      <w:r w:rsidRPr="008B051A">
        <w:t xml:space="preserve"> the reporting of irregularities concerning the European Regional Development Fund, the European Social Fund, the Cohesion Fund, and the European Maritime and Fisheries Fund (OJ L</w:t>
      </w:r>
      <w:proofErr w:type="gramStart"/>
      <w:r w:rsidRPr="008B051A">
        <w:t>,…</w:t>
      </w:r>
      <w:proofErr w:type="gramEnd"/>
      <w:r w:rsidRPr="008B051A">
        <w:t>).</w:t>
      </w:r>
    </w:p>
  </w:footnote>
  <w:footnote w:id="3">
    <w:p w:rsidR="00470086" w:rsidRPr="00FF76C2" w:rsidRDefault="00470086" w:rsidP="00475963">
      <w:pPr>
        <w:pStyle w:val="FootnoteText"/>
        <w:rPr>
          <w:lang w:val="sk-SK"/>
        </w:rPr>
      </w:pPr>
      <w:r w:rsidRPr="00D42576">
        <w:rPr>
          <w:rStyle w:val="FootnoteReference"/>
        </w:rPr>
        <w:footnoteRef/>
      </w:r>
      <w:r w:rsidRPr="00D42576">
        <w:rPr>
          <w:lang w:val="sk-SK"/>
        </w:rPr>
        <w:tab/>
      </w:r>
      <w:proofErr w:type="spellStart"/>
      <w:r w:rsidRPr="00D42576">
        <w:rPr>
          <w:lang w:val="sk-SK"/>
        </w:rPr>
        <w:t>Regulation</w:t>
      </w:r>
      <w:proofErr w:type="spellEnd"/>
      <w:r w:rsidRPr="00D42576">
        <w:rPr>
          <w:lang w:val="sk-SK"/>
        </w:rPr>
        <w:t xml:space="preserve"> (EU) No 1306/2013 </w:t>
      </w:r>
      <w:proofErr w:type="spellStart"/>
      <w:r w:rsidRPr="00D42576">
        <w:rPr>
          <w:lang w:val="sk-SK"/>
        </w:rPr>
        <w:t>of</w:t>
      </w:r>
      <w:proofErr w:type="spellEnd"/>
      <w:r w:rsidRPr="00D42576">
        <w:rPr>
          <w:lang w:val="sk-SK"/>
        </w:rPr>
        <w:t xml:space="preserve"> </w:t>
      </w:r>
      <w:proofErr w:type="spellStart"/>
      <w:r w:rsidRPr="00D42576">
        <w:rPr>
          <w:lang w:val="sk-SK"/>
        </w:rPr>
        <w:t>the</w:t>
      </w:r>
      <w:proofErr w:type="spellEnd"/>
      <w:r w:rsidRPr="00D42576">
        <w:rPr>
          <w:lang w:val="sk-SK"/>
        </w:rPr>
        <w:t xml:space="preserve"> European </w:t>
      </w:r>
      <w:proofErr w:type="spellStart"/>
      <w:r w:rsidRPr="00D42576">
        <w:rPr>
          <w:lang w:val="sk-SK"/>
        </w:rPr>
        <w:t>Parliament</w:t>
      </w:r>
      <w:proofErr w:type="spellEnd"/>
      <w:r w:rsidRPr="00D42576">
        <w:rPr>
          <w:lang w:val="sk-SK"/>
        </w:rPr>
        <w:t xml:space="preserve"> and </w:t>
      </w:r>
      <w:proofErr w:type="spellStart"/>
      <w:r w:rsidRPr="00D42576">
        <w:rPr>
          <w:lang w:val="sk-SK"/>
        </w:rPr>
        <w:t>of</w:t>
      </w:r>
      <w:proofErr w:type="spellEnd"/>
      <w:r w:rsidRPr="00D42576">
        <w:rPr>
          <w:lang w:val="sk-SK"/>
        </w:rPr>
        <w:t xml:space="preserve"> </w:t>
      </w:r>
      <w:proofErr w:type="spellStart"/>
      <w:r w:rsidRPr="00D42576">
        <w:rPr>
          <w:lang w:val="sk-SK"/>
        </w:rPr>
        <w:t>the</w:t>
      </w:r>
      <w:proofErr w:type="spellEnd"/>
      <w:r w:rsidRPr="00D42576">
        <w:rPr>
          <w:lang w:val="sk-SK"/>
        </w:rPr>
        <w:t xml:space="preserve"> </w:t>
      </w:r>
      <w:proofErr w:type="spellStart"/>
      <w:r w:rsidRPr="00D42576">
        <w:rPr>
          <w:lang w:val="sk-SK"/>
        </w:rPr>
        <w:t>Council</w:t>
      </w:r>
      <w:proofErr w:type="spellEnd"/>
      <w:r w:rsidRPr="00D42576">
        <w:rPr>
          <w:lang w:val="sk-SK"/>
        </w:rPr>
        <w:t xml:space="preserve"> </w:t>
      </w:r>
      <w:proofErr w:type="spellStart"/>
      <w:r w:rsidRPr="00D42576">
        <w:rPr>
          <w:lang w:val="sk-SK"/>
        </w:rPr>
        <w:t>of</w:t>
      </w:r>
      <w:proofErr w:type="spellEnd"/>
      <w:r w:rsidRPr="00D42576">
        <w:rPr>
          <w:lang w:val="sk-SK"/>
        </w:rPr>
        <w:t xml:space="preserve"> 17 December 2013 on </w:t>
      </w:r>
      <w:proofErr w:type="spellStart"/>
      <w:r w:rsidRPr="00D42576">
        <w:rPr>
          <w:lang w:val="sk-SK"/>
        </w:rPr>
        <w:t>the</w:t>
      </w:r>
      <w:proofErr w:type="spellEnd"/>
      <w:r w:rsidRPr="00D42576">
        <w:rPr>
          <w:lang w:val="sk-SK"/>
        </w:rPr>
        <w:t xml:space="preserve"> </w:t>
      </w:r>
      <w:proofErr w:type="spellStart"/>
      <w:r w:rsidRPr="00D42576">
        <w:rPr>
          <w:lang w:val="sk-SK"/>
        </w:rPr>
        <w:t>financing</w:t>
      </w:r>
      <w:proofErr w:type="spellEnd"/>
      <w:r w:rsidRPr="00D42576">
        <w:rPr>
          <w:lang w:val="sk-SK"/>
        </w:rPr>
        <w:t xml:space="preserve">, </w:t>
      </w:r>
      <w:proofErr w:type="spellStart"/>
      <w:r w:rsidRPr="00D42576">
        <w:rPr>
          <w:lang w:val="sk-SK"/>
        </w:rPr>
        <w:t>mana</w:t>
      </w:r>
      <w:r w:rsidRPr="0011059B">
        <w:rPr>
          <w:lang w:val="sk-SK"/>
        </w:rPr>
        <w:t>gement</w:t>
      </w:r>
      <w:proofErr w:type="spellEnd"/>
      <w:r w:rsidRPr="0011059B">
        <w:rPr>
          <w:lang w:val="sk-SK"/>
        </w:rPr>
        <w:t xml:space="preserve"> and monitoring </w:t>
      </w:r>
      <w:proofErr w:type="spellStart"/>
      <w:r w:rsidRPr="0011059B">
        <w:rPr>
          <w:lang w:val="sk-SK"/>
        </w:rPr>
        <w:t>of</w:t>
      </w:r>
      <w:proofErr w:type="spellEnd"/>
      <w:r w:rsidRPr="0011059B">
        <w:rPr>
          <w:lang w:val="sk-SK"/>
        </w:rPr>
        <w:t xml:space="preserve"> </w:t>
      </w:r>
      <w:proofErr w:type="spellStart"/>
      <w:r w:rsidRPr="0011059B">
        <w:rPr>
          <w:lang w:val="sk-SK"/>
        </w:rPr>
        <w:t>the</w:t>
      </w:r>
      <w:proofErr w:type="spellEnd"/>
      <w:r w:rsidRPr="0011059B">
        <w:rPr>
          <w:lang w:val="sk-SK"/>
        </w:rPr>
        <w:t xml:space="preserve"> </w:t>
      </w:r>
      <w:proofErr w:type="spellStart"/>
      <w:r w:rsidRPr="0011059B">
        <w:rPr>
          <w:lang w:val="sk-SK"/>
        </w:rPr>
        <w:t>common</w:t>
      </w:r>
      <w:proofErr w:type="spellEnd"/>
      <w:r w:rsidRPr="0011059B">
        <w:rPr>
          <w:lang w:val="sk-SK"/>
        </w:rPr>
        <w:t xml:space="preserve"> </w:t>
      </w:r>
      <w:proofErr w:type="spellStart"/>
      <w:r w:rsidRPr="0011059B">
        <w:rPr>
          <w:lang w:val="sk-SK"/>
        </w:rPr>
        <w:t>agricultural</w:t>
      </w:r>
      <w:proofErr w:type="spellEnd"/>
      <w:r w:rsidRPr="0011059B">
        <w:rPr>
          <w:lang w:val="sk-SK"/>
        </w:rPr>
        <w:t xml:space="preserve"> </w:t>
      </w:r>
      <w:proofErr w:type="spellStart"/>
      <w:r w:rsidRPr="0011059B">
        <w:rPr>
          <w:lang w:val="sk-SK"/>
        </w:rPr>
        <w:t>policy</w:t>
      </w:r>
      <w:proofErr w:type="spellEnd"/>
      <w:r w:rsidRPr="0011059B">
        <w:rPr>
          <w:lang w:val="sk-SK"/>
        </w:rPr>
        <w:t xml:space="preserve"> and </w:t>
      </w:r>
      <w:proofErr w:type="spellStart"/>
      <w:r w:rsidRPr="0011059B">
        <w:rPr>
          <w:lang w:val="sk-SK"/>
        </w:rPr>
        <w:t>repealing</w:t>
      </w:r>
      <w:proofErr w:type="spellEnd"/>
      <w:r w:rsidRPr="0011059B">
        <w:rPr>
          <w:lang w:val="sk-SK"/>
        </w:rPr>
        <w:t xml:space="preserve"> </w:t>
      </w:r>
      <w:proofErr w:type="spellStart"/>
      <w:r w:rsidRPr="0011059B">
        <w:rPr>
          <w:lang w:val="sk-SK"/>
        </w:rPr>
        <w:t>Council</w:t>
      </w:r>
      <w:proofErr w:type="spellEnd"/>
      <w:r w:rsidRPr="0011059B">
        <w:rPr>
          <w:lang w:val="sk-SK"/>
        </w:rPr>
        <w:t xml:space="preserve"> </w:t>
      </w:r>
      <w:proofErr w:type="spellStart"/>
      <w:r w:rsidRPr="0011059B">
        <w:rPr>
          <w:lang w:val="sk-SK"/>
        </w:rPr>
        <w:t>Regulations</w:t>
      </w:r>
      <w:proofErr w:type="spellEnd"/>
      <w:r w:rsidRPr="0011059B">
        <w:rPr>
          <w:lang w:val="sk-SK"/>
        </w:rPr>
        <w:t xml:space="preserve"> (EEC) No 352/78, (EC) No 165/94, (EC) No 2799/98, (EC) No 814/2000, (EC) No 1290/2005 and (EC) No 485/2008 (</w:t>
      </w:r>
      <w:r w:rsidRPr="00A61E93">
        <w:rPr>
          <w:lang w:val="sk-SK"/>
        </w:rPr>
        <w:t>OJ</w:t>
      </w:r>
      <w:r>
        <w:rPr>
          <w:lang w:val="sk-SK"/>
        </w:rPr>
        <w:t xml:space="preserve"> </w:t>
      </w:r>
      <w:r w:rsidRPr="00A61E93">
        <w:rPr>
          <w:lang w:val="sk-SK"/>
        </w:rPr>
        <w:t xml:space="preserve">L, 347, 20.12.2013, </w:t>
      </w:r>
      <w:r>
        <w:rPr>
          <w:lang w:val="sk-SK"/>
        </w:rPr>
        <w:t xml:space="preserve">p. </w:t>
      </w:r>
      <w:r w:rsidRPr="00A61E93">
        <w:rPr>
          <w:lang w:val="sk-SK"/>
        </w:rPr>
        <w:t>549</w:t>
      </w:r>
      <w:r w:rsidRPr="008B051A">
        <w:rPr>
          <w:lang w:val="sk-SK"/>
        </w:rPr>
        <w:t>)</w:t>
      </w:r>
      <w:r w:rsidRPr="00FF76C2">
        <w:rPr>
          <w:lang w:val="sk-SK"/>
        </w:rPr>
        <w:t>.</w:t>
      </w:r>
    </w:p>
  </w:footnote>
  <w:footnote w:id="4">
    <w:p w:rsidR="00470086" w:rsidRPr="00A61E93" w:rsidRDefault="00470086" w:rsidP="00475963">
      <w:pPr>
        <w:pStyle w:val="FootnoteText"/>
        <w:rPr>
          <w:lang w:val="sk-SK"/>
        </w:rPr>
      </w:pPr>
      <w:r w:rsidRPr="00D42576">
        <w:rPr>
          <w:rStyle w:val="FootnoteReference"/>
        </w:rPr>
        <w:footnoteRef/>
      </w:r>
      <w:r w:rsidRPr="00D42576">
        <w:rPr>
          <w:lang w:val="sk-SK"/>
        </w:rPr>
        <w:tab/>
      </w:r>
      <w:proofErr w:type="spellStart"/>
      <w:r w:rsidRPr="00D42576">
        <w:rPr>
          <w:lang w:val="sk-SK"/>
        </w:rPr>
        <w:t>Regulation</w:t>
      </w:r>
      <w:proofErr w:type="spellEnd"/>
      <w:r w:rsidRPr="00D42576">
        <w:rPr>
          <w:lang w:val="sk-SK"/>
        </w:rPr>
        <w:t xml:space="preserve"> (EU) No 223/2014 </w:t>
      </w:r>
      <w:proofErr w:type="spellStart"/>
      <w:r w:rsidRPr="00D42576">
        <w:rPr>
          <w:lang w:val="sk-SK"/>
        </w:rPr>
        <w:t>of</w:t>
      </w:r>
      <w:proofErr w:type="spellEnd"/>
      <w:r w:rsidRPr="00D42576">
        <w:rPr>
          <w:lang w:val="sk-SK"/>
        </w:rPr>
        <w:t xml:space="preserve"> </w:t>
      </w:r>
      <w:proofErr w:type="spellStart"/>
      <w:r w:rsidRPr="00D42576">
        <w:rPr>
          <w:lang w:val="sk-SK"/>
        </w:rPr>
        <w:t>the</w:t>
      </w:r>
      <w:proofErr w:type="spellEnd"/>
      <w:r w:rsidRPr="00D42576">
        <w:rPr>
          <w:lang w:val="sk-SK"/>
        </w:rPr>
        <w:t xml:space="preserve"> European </w:t>
      </w:r>
      <w:proofErr w:type="spellStart"/>
      <w:r w:rsidRPr="00D42576">
        <w:rPr>
          <w:lang w:val="sk-SK"/>
        </w:rPr>
        <w:t>Parliament</w:t>
      </w:r>
      <w:proofErr w:type="spellEnd"/>
      <w:r w:rsidRPr="00D42576">
        <w:rPr>
          <w:lang w:val="sk-SK"/>
        </w:rPr>
        <w:t xml:space="preserve"> and </w:t>
      </w:r>
      <w:proofErr w:type="spellStart"/>
      <w:r w:rsidRPr="00D42576">
        <w:rPr>
          <w:lang w:val="sk-SK"/>
        </w:rPr>
        <w:t>of</w:t>
      </w:r>
      <w:proofErr w:type="spellEnd"/>
      <w:r w:rsidRPr="00D42576">
        <w:rPr>
          <w:lang w:val="sk-SK"/>
        </w:rPr>
        <w:t xml:space="preserve"> </w:t>
      </w:r>
      <w:proofErr w:type="spellStart"/>
      <w:r w:rsidRPr="00D42576">
        <w:rPr>
          <w:lang w:val="sk-SK"/>
        </w:rPr>
        <w:t>the</w:t>
      </w:r>
      <w:proofErr w:type="spellEnd"/>
      <w:r w:rsidRPr="00D42576">
        <w:rPr>
          <w:lang w:val="sk-SK"/>
        </w:rPr>
        <w:t xml:space="preserve"> </w:t>
      </w:r>
      <w:proofErr w:type="spellStart"/>
      <w:r w:rsidRPr="00D42576">
        <w:rPr>
          <w:lang w:val="sk-SK"/>
        </w:rPr>
        <w:t>Council</w:t>
      </w:r>
      <w:proofErr w:type="spellEnd"/>
      <w:r w:rsidRPr="00D42576">
        <w:rPr>
          <w:lang w:val="sk-SK"/>
        </w:rPr>
        <w:t xml:space="preserve"> </w:t>
      </w:r>
      <w:proofErr w:type="spellStart"/>
      <w:r w:rsidRPr="00D42576">
        <w:rPr>
          <w:lang w:val="sk-SK"/>
        </w:rPr>
        <w:t>of</w:t>
      </w:r>
      <w:proofErr w:type="spellEnd"/>
      <w:r w:rsidRPr="00D42576">
        <w:rPr>
          <w:lang w:val="sk-SK"/>
        </w:rPr>
        <w:t xml:space="preserve">  11 </w:t>
      </w:r>
      <w:proofErr w:type="spellStart"/>
      <w:r w:rsidRPr="00D42576">
        <w:rPr>
          <w:lang w:val="sk-SK"/>
        </w:rPr>
        <w:t>March</w:t>
      </w:r>
      <w:proofErr w:type="spellEnd"/>
      <w:r w:rsidRPr="00D42576">
        <w:rPr>
          <w:lang w:val="sk-SK"/>
        </w:rPr>
        <w:t xml:space="preserve"> 2014 on </w:t>
      </w:r>
      <w:proofErr w:type="spellStart"/>
      <w:r w:rsidRPr="00D42576">
        <w:rPr>
          <w:lang w:val="sk-SK"/>
        </w:rPr>
        <w:t>the</w:t>
      </w:r>
      <w:proofErr w:type="spellEnd"/>
      <w:r w:rsidRPr="00D42576">
        <w:rPr>
          <w:lang w:val="sk-SK"/>
        </w:rPr>
        <w:t xml:space="preserve"> </w:t>
      </w:r>
      <w:proofErr w:type="spellStart"/>
      <w:r w:rsidRPr="00D42576">
        <w:rPr>
          <w:lang w:val="sk-SK"/>
        </w:rPr>
        <w:t>Fund</w:t>
      </w:r>
      <w:proofErr w:type="spellEnd"/>
      <w:r w:rsidRPr="00D42576">
        <w:rPr>
          <w:lang w:val="sk-SK"/>
        </w:rPr>
        <w:t xml:space="preserve"> </w:t>
      </w:r>
      <w:proofErr w:type="spellStart"/>
      <w:r w:rsidRPr="00D42576">
        <w:rPr>
          <w:lang w:val="sk-SK"/>
        </w:rPr>
        <w:t>for</w:t>
      </w:r>
      <w:proofErr w:type="spellEnd"/>
      <w:r w:rsidRPr="00D42576">
        <w:rPr>
          <w:lang w:val="sk-SK"/>
        </w:rPr>
        <w:t xml:space="preserve"> European </w:t>
      </w:r>
      <w:proofErr w:type="spellStart"/>
      <w:r w:rsidRPr="00D42576">
        <w:rPr>
          <w:lang w:val="sk-SK"/>
        </w:rPr>
        <w:t>Aid</w:t>
      </w:r>
      <w:proofErr w:type="spellEnd"/>
      <w:r w:rsidRPr="00D42576">
        <w:rPr>
          <w:lang w:val="sk-SK"/>
        </w:rPr>
        <w:t xml:space="preserve"> to </w:t>
      </w:r>
      <w:proofErr w:type="spellStart"/>
      <w:r w:rsidRPr="00D42576">
        <w:rPr>
          <w:lang w:val="sk-SK"/>
        </w:rPr>
        <w:t>the</w:t>
      </w:r>
      <w:proofErr w:type="spellEnd"/>
      <w:r w:rsidRPr="00D42576">
        <w:rPr>
          <w:lang w:val="sk-SK"/>
        </w:rPr>
        <w:t xml:space="preserve"> Most </w:t>
      </w:r>
      <w:proofErr w:type="spellStart"/>
      <w:r w:rsidRPr="00D42576">
        <w:rPr>
          <w:lang w:val="sk-SK"/>
        </w:rPr>
        <w:t>deprived</w:t>
      </w:r>
      <w:proofErr w:type="spellEnd"/>
      <w:r w:rsidRPr="0011059B">
        <w:rPr>
          <w:lang w:val="sk-SK"/>
        </w:rPr>
        <w:t xml:space="preserve"> (OJ L 72, 11.03.2014, p. 1</w:t>
      </w:r>
      <w:r w:rsidRPr="00A61E93">
        <w:rPr>
          <w:lang w:val="sk-SK"/>
        </w:rPr>
        <w:t xml:space="preserve">). </w:t>
      </w:r>
    </w:p>
  </w:footnote>
  <w:footnote w:id="5">
    <w:p w:rsidR="00470086" w:rsidRPr="008B051A" w:rsidRDefault="00470086" w:rsidP="00475963">
      <w:pPr>
        <w:pStyle w:val="FootnoteText"/>
        <w:rPr>
          <w:lang w:val="sk-SK"/>
        </w:rPr>
      </w:pPr>
      <w:r w:rsidRPr="00DF26BE">
        <w:rPr>
          <w:rStyle w:val="FootnoteReference"/>
        </w:rPr>
        <w:footnoteRef/>
      </w:r>
      <w:r w:rsidRPr="00E8547C">
        <w:rPr>
          <w:lang w:val="sk-SK"/>
        </w:rPr>
        <w:tab/>
      </w:r>
      <w:proofErr w:type="spellStart"/>
      <w:r w:rsidRPr="00E8547C">
        <w:rPr>
          <w:lang w:val="sk-SK"/>
        </w:rPr>
        <w:t>Regulation</w:t>
      </w:r>
      <w:proofErr w:type="spellEnd"/>
      <w:r w:rsidRPr="00E8547C">
        <w:rPr>
          <w:lang w:val="sk-SK"/>
        </w:rPr>
        <w:t xml:space="preserve"> (EU) No 514/2014 </w:t>
      </w:r>
      <w:proofErr w:type="spellStart"/>
      <w:r w:rsidRPr="00E8547C">
        <w:rPr>
          <w:lang w:val="sk-SK"/>
        </w:rPr>
        <w:t>of</w:t>
      </w:r>
      <w:proofErr w:type="spellEnd"/>
      <w:r w:rsidRPr="00E8547C">
        <w:rPr>
          <w:lang w:val="sk-SK"/>
        </w:rPr>
        <w:t xml:space="preserve"> </w:t>
      </w:r>
      <w:proofErr w:type="spellStart"/>
      <w:r w:rsidRPr="00E8547C">
        <w:rPr>
          <w:lang w:val="sk-SK"/>
        </w:rPr>
        <w:t>the</w:t>
      </w:r>
      <w:proofErr w:type="spellEnd"/>
      <w:r w:rsidRPr="00E8547C">
        <w:rPr>
          <w:lang w:val="sk-SK"/>
        </w:rPr>
        <w:t xml:space="preserve"> European </w:t>
      </w:r>
      <w:proofErr w:type="spellStart"/>
      <w:r w:rsidRPr="00E8547C">
        <w:rPr>
          <w:lang w:val="sk-SK"/>
        </w:rPr>
        <w:t>Parliament</w:t>
      </w:r>
      <w:proofErr w:type="spellEnd"/>
      <w:r w:rsidRPr="00E8547C">
        <w:rPr>
          <w:lang w:val="sk-SK"/>
        </w:rPr>
        <w:t xml:space="preserve"> and </w:t>
      </w:r>
      <w:proofErr w:type="spellStart"/>
      <w:r w:rsidRPr="00E8547C">
        <w:rPr>
          <w:lang w:val="sk-SK"/>
        </w:rPr>
        <w:t>of</w:t>
      </w:r>
      <w:proofErr w:type="spellEnd"/>
      <w:r w:rsidRPr="00E8547C">
        <w:rPr>
          <w:lang w:val="sk-SK"/>
        </w:rPr>
        <w:t xml:space="preserve"> </w:t>
      </w:r>
      <w:proofErr w:type="spellStart"/>
      <w:r w:rsidRPr="00E8547C">
        <w:rPr>
          <w:lang w:val="sk-SK"/>
        </w:rPr>
        <w:t>the</w:t>
      </w:r>
      <w:proofErr w:type="spellEnd"/>
      <w:r w:rsidRPr="00E8547C">
        <w:rPr>
          <w:lang w:val="sk-SK"/>
        </w:rPr>
        <w:t xml:space="preserve"> </w:t>
      </w:r>
      <w:proofErr w:type="spellStart"/>
      <w:r w:rsidRPr="00E8547C">
        <w:rPr>
          <w:lang w:val="sk-SK"/>
        </w:rPr>
        <w:t>Council</w:t>
      </w:r>
      <w:proofErr w:type="spellEnd"/>
      <w:r w:rsidRPr="00E8547C">
        <w:rPr>
          <w:lang w:val="sk-SK"/>
        </w:rPr>
        <w:t xml:space="preserve"> </w:t>
      </w:r>
      <w:proofErr w:type="spellStart"/>
      <w:r w:rsidRPr="00E8547C">
        <w:rPr>
          <w:lang w:val="sk-SK"/>
        </w:rPr>
        <w:t>of</w:t>
      </w:r>
      <w:proofErr w:type="spellEnd"/>
      <w:r w:rsidRPr="00E8547C">
        <w:rPr>
          <w:lang w:val="sk-SK"/>
        </w:rPr>
        <w:t xml:space="preserve"> 16 </w:t>
      </w:r>
      <w:proofErr w:type="spellStart"/>
      <w:r w:rsidRPr="00E8547C">
        <w:rPr>
          <w:lang w:val="sk-SK"/>
        </w:rPr>
        <w:t>April</w:t>
      </w:r>
      <w:proofErr w:type="spellEnd"/>
      <w:r w:rsidRPr="00E8547C">
        <w:rPr>
          <w:lang w:val="sk-SK"/>
        </w:rPr>
        <w:t xml:space="preserve"> 2014 </w:t>
      </w:r>
      <w:proofErr w:type="spellStart"/>
      <w:r w:rsidRPr="00E8547C">
        <w:rPr>
          <w:lang w:val="sk-SK"/>
        </w:rPr>
        <w:t>laying</w:t>
      </w:r>
      <w:proofErr w:type="spellEnd"/>
      <w:r w:rsidRPr="00E8547C">
        <w:rPr>
          <w:lang w:val="sk-SK"/>
        </w:rPr>
        <w:t xml:space="preserve"> </w:t>
      </w:r>
      <w:proofErr w:type="spellStart"/>
      <w:r w:rsidRPr="00E8547C">
        <w:rPr>
          <w:lang w:val="sk-SK"/>
        </w:rPr>
        <w:t>down</w:t>
      </w:r>
      <w:proofErr w:type="spellEnd"/>
      <w:r w:rsidRPr="00E8547C">
        <w:rPr>
          <w:lang w:val="sk-SK"/>
        </w:rPr>
        <w:t xml:space="preserve"> </w:t>
      </w:r>
      <w:proofErr w:type="spellStart"/>
      <w:r w:rsidRPr="00C4102D">
        <w:rPr>
          <w:lang w:val="sk-SK"/>
        </w:rPr>
        <w:t>general</w:t>
      </w:r>
      <w:proofErr w:type="spellEnd"/>
      <w:r w:rsidRPr="00C4102D">
        <w:rPr>
          <w:lang w:val="sk-SK"/>
        </w:rPr>
        <w:t xml:space="preserve"> </w:t>
      </w:r>
      <w:proofErr w:type="spellStart"/>
      <w:r w:rsidRPr="00C4102D">
        <w:rPr>
          <w:lang w:val="sk-SK"/>
        </w:rPr>
        <w:t>provisions</w:t>
      </w:r>
      <w:proofErr w:type="spellEnd"/>
      <w:r w:rsidRPr="00C4102D">
        <w:rPr>
          <w:lang w:val="sk-SK"/>
        </w:rPr>
        <w:t xml:space="preserve"> on </w:t>
      </w:r>
      <w:r>
        <w:rPr>
          <w:lang w:val="sk-SK"/>
        </w:rPr>
        <w:t>t</w:t>
      </w:r>
      <w:r w:rsidRPr="008B051A">
        <w:t xml:space="preserve">he Asylum, Migration and Integration Fund and on the instrument for financial support for police cooperation, </w:t>
      </w:r>
      <w:r>
        <w:t xml:space="preserve">preventing and combating crime </w:t>
      </w:r>
      <w:r w:rsidRPr="00C4102D">
        <w:rPr>
          <w:lang w:val="sk-SK"/>
        </w:rPr>
        <w:t xml:space="preserve">and </w:t>
      </w:r>
      <w:proofErr w:type="spellStart"/>
      <w:r w:rsidRPr="00C4102D">
        <w:rPr>
          <w:lang w:val="sk-SK"/>
        </w:rPr>
        <w:t>crisis</w:t>
      </w:r>
      <w:proofErr w:type="spellEnd"/>
      <w:r w:rsidRPr="00C4102D">
        <w:rPr>
          <w:lang w:val="sk-SK"/>
        </w:rPr>
        <w:t xml:space="preserve"> </w:t>
      </w:r>
      <w:proofErr w:type="spellStart"/>
      <w:r w:rsidRPr="00C4102D">
        <w:rPr>
          <w:lang w:val="sk-SK"/>
        </w:rPr>
        <w:t>management</w:t>
      </w:r>
      <w:proofErr w:type="spellEnd"/>
      <w:r w:rsidRPr="00C4102D">
        <w:rPr>
          <w:lang w:val="sk-SK"/>
        </w:rPr>
        <w:t xml:space="preserve"> </w:t>
      </w:r>
      <w:r w:rsidRPr="008B051A">
        <w:rPr>
          <w:lang w:val="sk-SK"/>
        </w:rPr>
        <w:t xml:space="preserve">(OJ L 150, 20.5.2014, p. 112). </w:t>
      </w:r>
    </w:p>
  </w:footnote>
  <w:footnote w:id="6">
    <w:p w:rsidR="00470086" w:rsidRPr="008B051A" w:rsidRDefault="00470086" w:rsidP="00475963">
      <w:pPr>
        <w:pStyle w:val="FootnoteText"/>
      </w:pPr>
      <w:r w:rsidRPr="00244985">
        <w:rPr>
          <w:rStyle w:val="FootnoteReference"/>
        </w:rPr>
        <w:footnoteRef/>
      </w:r>
      <w:r>
        <w:tab/>
      </w:r>
      <w:r w:rsidRPr="00FF76C2">
        <w:t>Commission Implementing</w:t>
      </w:r>
      <w:r w:rsidRPr="00D42576">
        <w:t xml:space="preserve"> Regulation (EU) …/</w:t>
      </w:r>
      <w:r>
        <w:t xml:space="preserve">… </w:t>
      </w:r>
      <w:r w:rsidRPr="00D42576">
        <w:t xml:space="preserve">of </w:t>
      </w:r>
      <w:r>
        <w:t>…</w:t>
      </w:r>
      <w:r w:rsidRPr="00D42576">
        <w:t xml:space="preserve"> setting out the frequency and the format of the reporting of irregularities</w:t>
      </w:r>
      <w:r>
        <w:t>,</w:t>
      </w:r>
      <w:r w:rsidRPr="00D42576">
        <w:t xml:space="preserve"> under Regulation (EU) No 1306/2013 of the European Parliament and of the Council</w:t>
      </w:r>
      <w:r>
        <w:t>,</w:t>
      </w:r>
      <w:r w:rsidRPr="00D42576">
        <w:t xml:space="preserve"> concerning the European Agricultural Guarantee Fund (EAGF) and the European Agricultural Fund for Rural Development (EAFRD)</w:t>
      </w:r>
      <w:r>
        <w:t xml:space="preserve"> (</w:t>
      </w:r>
      <w:r w:rsidRPr="008B051A">
        <w:t>OJ</w:t>
      </w:r>
      <w:r>
        <w:t xml:space="preserve"> L</w:t>
      </w:r>
      <w:proofErr w:type="gramStart"/>
      <w:r>
        <w:t>,</w:t>
      </w:r>
      <w:r w:rsidRPr="008B051A">
        <w:t>..</w:t>
      </w:r>
      <w:proofErr w:type="gramEnd"/>
      <w:r w:rsidRPr="008B051A">
        <w:t>)</w:t>
      </w:r>
      <w:r>
        <w:t>.</w:t>
      </w:r>
    </w:p>
  </w:footnote>
  <w:footnote w:id="7">
    <w:p w:rsidR="00470086" w:rsidRPr="0011059B" w:rsidRDefault="00470086" w:rsidP="00475963">
      <w:pPr>
        <w:pStyle w:val="FootnoteText"/>
        <w:rPr>
          <w:lang w:val="sk-SK"/>
        </w:rPr>
      </w:pPr>
      <w:r w:rsidRPr="00FF76C2">
        <w:rPr>
          <w:rStyle w:val="FootnoteReference"/>
        </w:rPr>
        <w:footnoteRef/>
      </w:r>
      <w:r w:rsidRPr="00D42576">
        <w:rPr>
          <w:lang w:val="sk-SK"/>
        </w:rPr>
        <w:tab/>
        <w:t xml:space="preserve">Commission </w:t>
      </w:r>
      <w:proofErr w:type="spellStart"/>
      <w:r w:rsidRPr="00D42576">
        <w:rPr>
          <w:lang w:val="sk-SK"/>
        </w:rPr>
        <w:t>Implementing</w:t>
      </w:r>
      <w:proofErr w:type="spellEnd"/>
      <w:r w:rsidRPr="00D42576">
        <w:rPr>
          <w:lang w:val="sk-SK"/>
        </w:rPr>
        <w:t xml:space="preserve"> </w:t>
      </w:r>
      <w:proofErr w:type="spellStart"/>
      <w:r w:rsidRPr="00D42576">
        <w:rPr>
          <w:lang w:val="sk-SK"/>
        </w:rPr>
        <w:t>Regulation</w:t>
      </w:r>
      <w:proofErr w:type="spellEnd"/>
      <w:r w:rsidRPr="00D42576">
        <w:rPr>
          <w:lang w:val="sk-SK"/>
        </w:rPr>
        <w:t xml:space="preserve"> (EU) …/..</w:t>
      </w:r>
      <w:r>
        <w:rPr>
          <w:lang w:val="sk-SK"/>
        </w:rPr>
        <w:t xml:space="preserve">. </w:t>
      </w:r>
      <w:proofErr w:type="spellStart"/>
      <w:r w:rsidRPr="00D42576">
        <w:rPr>
          <w:lang w:val="sk-SK"/>
        </w:rPr>
        <w:t>of</w:t>
      </w:r>
      <w:proofErr w:type="spellEnd"/>
      <w:r w:rsidRPr="00D42576">
        <w:rPr>
          <w:lang w:val="sk-SK"/>
        </w:rPr>
        <w:t xml:space="preserve"> </w:t>
      </w:r>
      <w:r>
        <w:rPr>
          <w:lang w:val="sk-SK"/>
        </w:rPr>
        <w:t>...</w:t>
      </w:r>
      <w:r w:rsidRPr="00D42576">
        <w:rPr>
          <w:lang w:val="sk-SK"/>
        </w:rPr>
        <w:t xml:space="preserve"> </w:t>
      </w:r>
      <w:r w:rsidR="00E803E6">
        <w:rPr>
          <w:lang w:val="sk-SK"/>
        </w:rPr>
        <w:t xml:space="preserve">on </w:t>
      </w:r>
      <w:proofErr w:type="spellStart"/>
      <w:r w:rsidR="00E803E6">
        <w:rPr>
          <w:lang w:val="sk-SK"/>
        </w:rPr>
        <w:t>the</w:t>
      </w:r>
      <w:proofErr w:type="spellEnd"/>
      <w:r w:rsidR="00E803E6">
        <w:rPr>
          <w:lang w:val="sk-SK"/>
        </w:rPr>
        <w:t xml:space="preserve"> </w:t>
      </w:r>
      <w:proofErr w:type="spellStart"/>
      <w:r w:rsidRPr="00D42576">
        <w:rPr>
          <w:lang w:val="sk-SK"/>
        </w:rPr>
        <w:t>setting</w:t>
      </w:r>
      <w:proofErr w:type="spellEnd"/>
      <w:r w:rsidRPr="00D42576">
        <w:rPr>
          <w:lang w:val="sk-SK"/>
        </w:rPr>
        <w:t xml:space="preserve"> </w:t>
      </w:r>
      <w:proofErr w:type="spellStart"/>
      <w:r w:rsidRPr="00D42576">
        <w:rPr>
          <w:lang w:val="sk-SK"/>
        </w:rPr>
        <w:t>out</w:t>
      </w:r>
      <w:proofErr w:type="spellEnd"/>
      <w:r w:rsidRPr="00D42576">
        <w:rPr>
          <w:lang w:val="sk-SK"/>
        </w:rPr>
        <w:t xml:space="preserve"> </w:t>
      </w:r>
      <w:proofErr w:type="spellStart"/>
      <w:r w:rsidRPr="00D42576">
        <w:rPr>
          <w:lang w:val="sk-SK"/>
        </w:rPr>
        <w:t>the</w:t>
      </w:r>
      <w:proofErr w:type="spellEnd"/>
      <w:r w:rsidRPr="00D42576">
        <w:rPr>
          <w:lang w:val="sk-SK"/>
        </w:rPr>
        <w:t xml:space="preserve"> </w:t>
      </w:r>
      <w:proofErr w:type="spellStart"/>
      <w:r w:rsidRPr="00D42576">
        <w:rPr>
          <w:lang w:val="sk-SK"/>
        </w:rPr>
        <w:t>frequency</w:t>
      </w:r>
      <w:proofErr w:type="spellEnd"/>
      <w:r w:rsidRPr="00D42576">
        <w:rPr>
          <w:lang w:val="sk-SK"/>
        </w:rPr>
        <w:t xml:space="preserve"> and </w:t>
      </w:r>
      <w:proofErr w:type="spellStart"/>
      <w:r w:rsidRPr="00D42576">
        <w:rPr>
          <w:lang w:val="sk-SK"/>
        </w:rPr>
        <w:t>the</w:t>
      </w:r>
      <w:proofErr w:type="spellEnd"/>
      <w:r w:rsidRPr="00D42576">
        <w:rPr>
          <w:lang w:val="sk-SK"/>
        </w:rPr>
        <w:t xml:space="preserve"> </w:t>
      </w:r>
      <w:proofErr w:type="spellStart"/>
      <w:r w:rsidRPr="00D42576">
        <w:rPr>
          <w:lang w:val="sk-SK"/>
        </w:rPr>
        <w:t>format</w:t>
      </w:r>
      <w:proofErr w:type="spellEnd"/>
      <w:r w:rsidRPr="00D42576">
        <w:rPr>
          <w:lang w:val="sk-SK"/>
        </w:rPr>
        <w:t xml:space="preserve"> </w:t>
      </w:r>
      <w:proofErr w:type="spellStart"/>
      <w:r w:rsidRPr="00D42576">
        <w:rPr>
          <w:lang w:val="sk-SK"/>
        </w:rPr>
        <w:t>of</w:t>
      </w:r>
      <w:proofErr w:type="spellEnd"/>
      <w:r w:rsidRPr="00D42576">
        <w:rPr>
          <w:lang w:val="sk-SK"/>
        </w:rPr>
        <w:t xml:space="preserve"> </w:t>
      </w:r>
      <w:proofErr w:type="spellStart"/>
      <w:r w:rsidRPr="00D42576">
        <w:rPr>
          <w:lang w:val="sk-SK"/>
        </w:rPr>
        <w:t>the</w:t>
      </w:r>
      <w:proofErr w:type="spellEnd"/>
      <w:r w:rsidRPr="00D42576">
        <w:rPr>
          <w:lang w:val="sk-SK"/>
        </w:rPr>
        <w:t xml:space="preserve"> </w:t>
      </w:r>
      <w:proofErr w:type="spellStart"/>
      <w:r w:rsidRPr="00D42576">
        <w:rPr>
          <w:lang w:val="sk-SK"/>
        </w:rPr>
        <w:t>reporting</w:t>
      </w:r>
      <w:proofErr w:type="spellEnd"/>
      <w:r w:rsidRPr="00D42576">
        <w:rPr>
          <w:lang w:val="sk-SK"/>
        </w:rPr>
        <w:t xml:space="preserve"> </w:t>
      </w:r>
      <w:proofErr w:type="spellStart"/>
      <w:r w:rsidRPr="00D42576">
        <w:rPr>
          <w:lang w:val="sk-SK"/>
        </w:rPr>
        <w:t>of</w:t>
      </w:r>
      <w:proofErr w:type="spellEnd"/>
      <w:r w:rsidRPr="00D42576">
        <w:rPr>
          <w:lang w:val="sk-SK"/>
        </w:rPr>
        <w:t xml:space="preserve"> </w:t>
      </w:r>
      <w:proofErr w:type="spellStart"/>
      <w:r w:rsidRPr="00D42576">
        <w:rPr>
          <w:lang w:val="sk-SK"/>
        </w:rPr>
        <w:t>irregularities</w:t>
      </w:r>
      <w:proofErr w:type="spellEnd"/>
      <w:r>
        <w:rPr>
          <w:lang w:val="sk-SK"/>
        </w:rPr>
        <w:t>,</w:t>
      </w:r>
      <w:r w:rsidRPr="00D42576">
        <w:rPr>
          <w:lang w:val="sk-SK"/>
        </w:rPr>
        <w:t xml:space="preserve"> </w:t>
      </w:r>
      <w:proofErr w:type="spellStart"/>
      <w:r w:rsidRPr="00D42576">
        <w:rPr>
          <w:lang w:val="sk-SK"/>
        </w:rPr>
        <w:t>under</w:t>
      </w:r>
      <w:proofErr w:type="spellEnd"/>
      <w:r w:rsidRPr="00D42576">
        <w:rPr>
          <w:lang w:val="sk-SK"/>
        </w:rPr>
        <w:t xml:space="preserve"> </w:t>
      </w:r>
      <w:proofErr w:type="spellStart"/>
      <w:r w:rsidRPr="00D42576">
        <w:rPr>
          <w:lang w:val="sk-SK"/>
        </w:rPr>
        <w:t>Regulation</w:t>
      </w:r>
      <w:proofErr w:type="spellEnd"/>
      <w:r w:rsidRPr="00D42576">
        <w:rPr>
          <w:lang w:val="sk-SK"/>
        </w:rPr>
        <w:t xml:space="preserve"> (EU) No 223/2014 </w:t>
      </w:r>
      <w:proofErr w:type="spellStart"/>
      <w:r w:rsidRPr="00D42576">
        <w:rPr>
          <w:lang w:val="sk-SK"/>
        </w:rPr>
        <w:t>of</w:t>
      </w:r>
      <w:proofErr w:type="spellEnd"/>
      <w:r w:rsidRPr="00D42576">
        <w:rPr>
          <w:lang w:val="sk-SK"/>
        </w:rPr>
        <w:t xml:space="preserve"> </w:t>
      </w:r>
      <w:proofErr w:type="spellStart"/>
      <w:r w:rsidRPr="00D42576">
        <w:rPr>
          <w:lang w:val="sk-SK"/>
        </w:rPr>
        <w:t>the</w:t>
      </w:r>
      <w:proofErr w:type="spellEnd"/>
      <w:r w:rsidRPr="00D42576">
        <w:rPr>
          <w:lang w:val="sk-SK"/>
        </w:rPr>
        <w:t xml:space="preserve"> European </w:t>
      </w:r>
      <w:proofErr w:type="spellStart"/>
      <w:r w:rsidRPr="00D42576">
        <w:rPr>
          <w:lang w:val="sk-SK"/>
        </w:rPr>
        <w:t>Parliament</w:t>
      </w:r>
      <w:proofErr w:type="spellEnd"/>
      <w:r w:rsidRPr="00D42576">
        <w:rPr>
          <w:lang w:val="sk-SK"/>
        </w:rPr>
        <w:t xml:space="preserve"> and </w:t>
      </w:r>
      <w:proofErr w:type="spellStart"/>
      <w:r w:rsidRPr="00D42576">
        <w:rPr>
          <w:lang w:val="sk-SK"/>
        </w:rPr>
        <w:t>of</w:t>
      </w:r>
      <w:proofErr w:type="spellEnd"/>
      <w:r w:rsidRPr="00D42576">
        <w:rPr>
          <w:lang w:val="sk-SK"/>
        </w:rPr>
        <w:t xml:space="preserve"> </w:t>
      </w:r>
      <w:proofErr w:type="spellStart"/>
      <w:r w:rsidRPr="00D42576">
        <w:rPr>
          <w:lang w:val="sk-SK"/>
        </w:rPr>
        <w:t>the</w:t>
      </w:r>
      <w:proofErr w:type="spellEnd"/>
      <w:r w:rsidRPr="00D42576">
        <w:rPr>
          <w:lang w:val="sk-SK"/>
        </w:rPr>
        <w:t xml:space="preserve"> </w:t>
      </w:r>
      <w:proofErr w:type="spellStart"/>
      <w:r w:rsidRPr="00D42576">
        <w:rPr>
          <w:lang w:val="sk-SK"/>
        </w:rPr>
        <w:t>Co</w:t>
      </w:r>
      <w:r w:rsidRPr="0011059B">
        <w:rPr>
          <w:lang w:val="sk-SK"/>
        </w:rPr>
        <w:t>uncil</w:t>
      </w:r>
      <w:proofErr w:type="spellEnd"/>
      <w:r>
        <w:rPr>
          <w:lang w:val="sk-SK"/>
        </w:rPr>
        <w:t>,</w:t>
      </w:r>
      <w:r w:rsidRPr="0011059B">
        <w:rPr>
          <w:lang w:val="sk-SK"/>
        </w:rPr>
        <w:t xml:space="preserve"> </w:t>
      </w:r>
      <w:proofErr w:type="spellStart"/>
      <w:r w:rsidRPr="0011059B">
        <w:rPr>
          <w:lang w:val="sk-SK"/>
        </w:rPr>
        <w:t>concerning</w:t>
      </w:r>
      <w:proofErr w:type="spellEnd"/>
      <w:r w:rsidRPr="0011059B">
        <w:rPr>
          <w:lang w:val="sk-SK"/>
        </w:rPr>
        <w:t xml:space="preserve"> </w:t>
      </w:r>
      <w:proofErr w:type="spellStart"/>
      <w:r w:rsidRPr="0011059B">
        <w:rPr>
          <w:lang w:val="sk-SK"/>
        </w:rPr>
        <w:t>the</w:t>
      </w:r>
      <w:proofErr w:type="spellEnd"/>
      <w:r w:rsidRPr="0011059B">
        <w:rPr>
          <w:lang w:val="sk-SK"/>
        </w:rPr>
        <w:t xml:space="preserve"> </w:t>
      </w:r>
      <w:proofErr w:type="spellStart"/>
      <w:r w:rsidRPr="0011059B">
        <w:rPr>
          <w:lang w:val="sk-SK"/>
        </w:rPr>
        <w:t>Fund</w:t>
      </w:r>
      <w:proofErr w:type="spellEnd"/>
      <w:r w:rsidRPr="0011059B">
        <w:rPr>
          <w:lang w:val="sk-SK"/>
        </w:rPr>
        <w:t xml:space="preserve"> </w:t>
      </w:r>
      <w:proofErr w:type="spellStart"/>
      <w:r w:rsidRPr="0011059B">
        <w:rPr>
          <w:lang w:val="sk-SK"/>
        </w:rPr>
        <w:t>for</w:t>
      </w:r>
      <w:proofErr w:type="spellEnd"/>
      <w:r w:rsidRPr="0011059B">
        <w:rPr>
          <w:lang w:val="sk-SK"/>
        </w:rPr>
        <w:t xml:space="preserve"> European </w:t>
      </w:r>
      <w:proofErr w:type="spellStart"/>
      <w:r w:rsidRPr="0011059B">
        <w:rPr>
          <w:lang w:val="sk-SK"/>
        </w:rPr>
        <w:t>Aid</w:t>
      </w:r>
      <w:proofErr w:type="spellEnd"/>
      <w:r w:rsidRPr="0011059B">
        <w:rPr>
          <w:lang w:val="sk-SK"/>
        </w:rPr>
        <w:t xml:space="preserve"> to </w:t>
      </w:r>
      <w:proofErr w:type="spellStart"/>
      <w:r w:rsidRPr="0011059B">
        <w:rPr>
          <w:lang w:val="sk-SK"/>
        </w:rPr>
        <w:t>the</w:t>
      </w:r>
      <w:proofErr w:type="spellEnd"/>
      <w:r w:rsidRPr="0011059B">
        <w:rPr>
          <w:lang w:val="sk-SK"/>
        </w:rPr>
        <w:t xml:space="preserve"> Most </w:t>
      </w:r>
      <w:proofErr w:type="spellStart"/>
      <w:r w:rsidRPr="0011059B">
        <w:rPr>
          <w:lang w:val="sk-SK"/>
        </w:rPr>
        <w:t>Deprived</w:t>
      </w:r>
      <w:proofErr w:type="spellEnd"/>
      <w:r w:rsidRPr="0011059B">
        <w:rPr>
          <w:lang w:val="sk-SK"/>
        </w:rPr>
        <w:t xml:space="preserve"> </w:t>
      </w:r>
      <w:r>
        <w:rPr>
          <w:lang w:val="sk-SK"/>
        </w:rPr>
        <w:t>(</w:t>
      </w:r>
      <w:r w:rsidRPr="0011059B">
        <w:rPr>
          <w:lang w:val="sk-SK"/>
        </w:rPr>
        <w:t>OJ</w:t>
      </w:r>
      <w:r>
        <w:rPr>
          <w:lang w:val="sk-SK"/>
        </w:rPr>
        <w:t xml:space="preserve"> L,</w:t>
      </w:r>
      <w:r w:rsidRPr="0011059B">
        <w:rPr>
          <w:lang w:val="sk-SK"/>
        </w:rPr>
        <w:t>..)</w:t>
      </w:r>
      <w:r>
        <w:rPr>
          <w:lang w:val="sk-SK"/>
        </w:rPr>
        <w:t>.</w:t>
      </w:r>
    </w:p>
  </w:footnote>
  <w:footnote w:id="8">
    <w:p w:rsidR="00470086" w:rsidRPr="00FF76C2" w:rsidRDefault="00470086" w:rsidP="00475963">
      <w:pPr>
        <w:pStyle w:val="FootnoteText"/>
        <w:rPr>
          <w:lang w:val="sk-SK"/>
        </w:rPr>
      </w:pPr>
      <w:r w:rsidRPr="00A61E93">
        <w:rPr>
          <w:rStyle w:val="FootnoteReference"/>
        </w:rPr>
        <w:footnoteRef/>
      </w:r>
      <w:r w:rsidRPr="00A61E93">
        <w:rPr>
          <w:lang w:val="sk-SK"/>
        </w:rPr>
        <w:tab/>
      </w:r>
      <w:r w:rsidRPr="008B051A">
        <w:t>Commission Implementing Regulation (EU) …/</w:t>
      </w:r>
      <w:r>
        <w:t xml:space="preserve">… </w:t>
      </w:r>
      <w:r w:rsidRPr="008B051A">
        <w:t xml:space="preserve">of </w:t>
      </w:r>
      <w:r>
        <w:t>…</w:t>
      </w:r>
      <w:r w:rsidRPr="008B051A">
        <w:t xml:space="preserve"> </w:t>
      </w:r>
      <w:r w:rsidR="00E803E6">
        <w:t xml:space="preserve">on the </w:t>
      </w:r>
      <w:r w:rsidRPr="008B051A">
        <w:t>setting out the frequency and the format of the reporting of irregularities</w:t>
      </w:r>
      <w:r>
        <w:t>,</w:t>
      </w:r>
      <w:r w:rsidRPr="008B051A">
        <w:t xml:space="preserve"> under Regulation (EU) No 514/2014 of the European Parliament and of the Council</w:t>
      </w:r>
      <w:r>
        <w:t>,</w:t>
      </w:r>
      <w:r w:rsidRPr="008B051A">
        <w:t xml:space="preserve"> concerning the Asylum, Migration and Integration Fund and on the instrument for financial support for police cooperation, preventing and combating crime, and crisis </w:t>
      </w:r>
      <w:r>
        <w:t xml:space="preserve">management </w:t>
      </w:r>
      <w:r w:rsidRPr="00FF76C2">
        <w:rPr>
          <w:lang w:val="sk-SK"/>
        </w:rPr>
        <w:t>(OJ</w:t>
      </w:r>
      <w:r>
        <w:rPr>
          <w:lang w:val="sk-SK"/>
        </w:rPr>
        <w:t xml:space="preserve"> L,</w:t>
      </w:r>
      <w:r w:rsidRPr="00FF76C2">
        <w:rPr>
          <w:lang w:val="sk-SK"/>
        </w:rPr>
        <w:t>..)</w:t>
      </w:r>
      <w:r>
        <w:rPr>
          <w:lang w:val="sk-SK"/>
        </w:rPr>
        <w:t>.</w:t>
      </w:r>
    </w:p>
  </w:footnote>
  <w:footnote w:id="9">
    <w:p w:rsidR="00E803E6" w:rsidRPr="00D478C9" w:rsidRDefault="00E803E6" w:rsidP="00E803E6">
      <w:pPr>
        <w:pStyle w:val="FootnoteText"/>
      </w:pPr>
      <w:r w:rsidRPr="00244985">
        <w:rPr>
          <w:rStyle w:val="FootnoteReference"/>
        </w:rPr>
        <w:footnoteRef/>
      </w:r>
      <w:r>
        <w:tab/>
        <w:t xml:space="preserve">Regulation (EU) No 1299/2013 </w:t>
      </w:r>
      <w:r w:rsidRPr="00D478C9">
        <w:t xml:space="preserve">of the European Parliament and of the Council </w:t>
      </w:r>
      <w:r>
        <w:t>of 17 December 2013 on specific provisions for the support from the European Regional Development Fund to the European territorial cooperation goal (</w:t>
      </w:r>
      <w:r w:rsidRPr="00D478C9">
        <w:t xml:space="preserve"> OJ L 347, 20.12.2013,  p. 259</w:t>
      </w:r>
      <w:r>
        <w:t>)</w:t>
      </w:r>
      <w:r w:rsidRPr="00D478C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C0" w:rsidRDefault="004F3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C0" w:rsidRDefault="004F3D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C0" w:rsidRDefault="004F3D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4A0103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A6EE95C"/>
    <w:lvl w:ilvl="0">
      <w:start w:val="1"/>
      <w:numFmt w:val="decimal"/>
      <w:pStyle w:val="ListNumber3"/>
      <w:lvlText w:val="%1."/>
      <w:lvlJc w:val="left"/>
      <w:pPr>
        <w:tabs>
          <w:tab w:val="num" w:pos="926"/>
        </w:tabs>
        <w:ind w:left="926" w:hanging="360"/>
      </w:pPr>
    </w:lvl>
  </w:abstractNum>
  <w:abstractNum w:abstractNumId="2">
    <w:nsid w:val="FFFFFF7F"/>
    <w:multiLevelType w:val="singleLevel"/>
    <w:tmpl w:val="8F1823D4"/>
    <w:lvl w:ilvl="0">
      <w:start w:val="1"/>
      <w:numFmt w:val="decimal"/>
      <w:pStyle w:val="ListNumber2"/>
      <w:lvlText w:val="%1."/>
      <w:lvlJc w:val="left"/>
      <w:pPr>
        <w:tabs>
          <w:tab w:val="num" w:pos="643"/>
        </w:tabs>
        <w:ind w:left="643" w:hanging="360"/>
      </w:pPr>
    </w:lvl>
  </w:abstractNum>
  <w:abstractNum w:abstractNumId="3">
    <w:nsid w:val="FFFFFF81"/>
    <w:multiLevelType w:val="singleLevel"/>
    <w:tmpl w:val="E668B52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D76A0F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8CAAC40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EF82F46"/>
    <w:lvl w:ilvl="0">
      <w:start w:val="1"/>
      <w:numFmt w:val="decimal"/>
      <w:pStyle w:val="ListNumber"/>
      <w:lvlText w:val="%1."/>
      <w:lvlJc w:val="left"/>
      <w:pPr>
        <w:tabs>
          <w:tab w:val="num" w:pos="360"/>
        </w:tabs>
        <w:ind w:left="360" w:hanging="360"/>
      </w:pPr>
    </w:lvl>
  </w:abstractNum>
  <w:abstractNum w:abstractNumId="7">
    <w:nsid w:val="FFFFFF89"/>
    <w:multiLevelType w:val="singleLevel"/>
    <w:tmpl w:val="8DCA01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44"/>
  <w:displayBackgroundShape/>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4-15 11:17:42"/>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VERPAGE_GUID" w:val="9F7EDD7FD72B46A88B82AECEBB5FC942"/>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lt;UNUSED&gt;"/>
    <w:docVar w:name="LW_LANGUE" w:val="EN"/>
    <w:docVar w:name="LW_LANGUESFAISANTFOI.CP" w:val="&lt;UNUSED&gt;"/>
    <w:docVar w:name="LW_MARKING" w:val="&lt;UNUSED&g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15) XXX"/>
    <w:docVar w:name="LW_REF.INTERNE" w:val="&lt;UNUSED&gt;"/>
    <w:docVar w:name="LW_SOUS.TITRE.OBJ.CP" w:val="&lt;UNUSED&gt;"/>
    <w:docVar w:name="LW_SUPERTITRE" w:val="&lt;UNUSED&gt;"/>
    <w:docVar w:name="LW_TITRE.OBJ.CP" w:val="on the setting out of the frequency and the format of the reporting of irregularities, under Regulation (EU) 1303/2013 of the European Parliament and of the Council, concerning the European Regional Development Fund, the European Social Fund, the Cohesion Fund, and the European Maritime and Fisheries Fund "/>
    <w:docVar w:name="LW_TYPE.DOC.CP" w:val="COMMISSION IMPLEMENTING REGULATION (EU) \u8230?/..."/>
  </w:docVars>
  <w:rsids>
    <w:rsidRoot w:val="00A94A87"/>
    <w:rsid w:val="000254D0"/>
    <w:rsid w:val="00045C79"/>
    <w:rsid w:val="000754A3"/>
    <w:rsid w:val="00087B7C"/>
    <w:rsid w:val="000A2EC0"/>
    <w:rsid w:val="000D3B73"/>
    <w:rsid w:val="00161181"/>
    <w:rsid w:val="00162338"/>
    <w:rsid w:val="00171635"/>
    <w:rsid w:val="00223F04"/>
    <w:rsid w:val="00330DA7"/>
    <w:rsid w:val="0034445E"/>
    <w:rsid w:val="003C33DE"/>
    <w:rsid w:val="003E0457"/>
    <w:rsid w:val="00401B09"/>
    <w:rsid w:val="00455539"/>
    <w:rsid w:val="00470086"/>
    <w:rsid w:val="00475963"/>
    <w:rsid w:val="0048344C"/>
    <w:rsid w:val="0048557B"/>
    <w:rsid w:val="004B1C12"/>
    <w:rsid w:val="004C417F"/>
    <w:rsid w:val="004D32E8"/>
    <w:rsid w:val="004F0EAC"/>
    <w:rsid w:val="004F3DC0"/>
    <w:rsid w:val="00514537"/>
    <w:rsid w:val="005B53E8"/>
    <w:rsid w:val="006537CC"/>
    <w:rsid w:val="00673264"/>
    <w:rsid w:val="006A4F1C"/>
    <w:rsid w:val="00715D61"/>
    <w:rsid w:val="00720144"/>
    <w:rsid w:val="00791226"/>
    <w:rsid w:val="007D53B6"/>
    <w:rsid w:val="007E06BA"/>
    <w:rsid w:val="00861DF5"/>
    <w:rsid w:val="008E766F"/>
    <w:rsid w:val="00924F8B"/>
    <w:rsid w:val="00990E22"/>
    <w:rsid w:val="009E1B7F"/>
    <w:rsid w:val="009E6B80"/>
    <w:rsid w:val="00A40B15"/>
    <w:rsid w:val="00A54652"/>
    <w:rsid w:val="00A94A87"/>
    <w:rsid w:val="00A95B82"/>
    <w:rsid w:val="00B04DCA"/>
    <w:rsid w:val="00B44CFD"/>
    <w:rsid w:val="00B946B5"/>
    <w:rsid w:val="00B971D8"/>
    <w:rsid w:val="00C120E1"/>
    <w:rsid w:val="00C20F74"/>
    <w:rsid w:val="00CA3B93"/>
    <w:rsid w:val="00CD3EF7"/>
    <w:rsid w:val="00CD6939"/>
    <w:rsid w:val="00D337D8"/>
    <w:rsid w:val="00D40F18"/>
    <w:rsid w:val="00D62FED"/>
    <w:rsid w:val="00DF33F4"/>
    <w:rsid w:val="00E02E9B"/>
    <w:rsid w:val="00E41A2E"/>
    <w:rsid w:val="00E803E6"/>
    <w:rsid w:val="00EC492C"/>
    <w:rsid w:val="00F16038"/>
    <w:rsid w:val="00F73832"/>
    <w:rsid w:val="00F87183"/>
    <w:rsid w:val="00FC4858"/>
    <w:rsid w:val="00FE0798"/>
    <w:rsid w:val="00FF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8"/>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62FED"/>
    <w:pPr>
      <w:numPr>
        <w:numId w:val="1"/>
      </w:numPr>
      <w:contextualSpacing/>
    </w:pPr>
  </w:style>
  <w:style w:type="paragraph" w:styleId="ListBullet2">
    <w:name w:val="List Bullet 2"/>
    <w:basedOn w:val="Normal"/>
    <w:uiPriority w:val="99"/>
    <w:semiHidden/>
    <w:unhideWhenUsed/>
    <w:rsid w:val="00D62FED"/>
    <w:pPr>
      <w:numPr>
        <w:numId w:val="2"/>
      </w:numPr>
      <w:contextualSpacing/>
    </w:pPr>
  </w:style>
  <w:style w:type="paragraph" w:styleId="ListBullet3">
    <w:name w:val="List Bullet 3"/>
    <w:basedOn w:val="Normal"/>
    <w:uiPriority w:val="99"/>
    <w:semiHidden/>
    <w:unhideWhenUsed/>
    <w:rsid w:val="00D62FED"/>
    <w:pPr>
      <w:numPr>
        <w:numId w:val="3"/>
      </w:numPr>
      <w:contextualSpacing/>
    </w:pPr>
  </w:style>
  <w:style w:type="paragraph" w:styleId="ListBullet4">
    <w:name w:val="List Bullet 4"/>
    <w:basedOn w:val="Normal"/>
    <w:uiPriority w:val="99"/>
    <w:semiHidden/>
    <w:unhideWhenUsed/>
    <w:rsid w:val="00D62FED"/>
    <w:pPr>
      <w:numPr>
        <w:numId w:val="4"/>
      </w:numPr>
      <w:contextualSpacing/>
    </w:pPr>
  </w:style>
  <w:style w:type="paragraph" w:styleId="BalloonText">
    <w:name w:val="Balloon Text"/>
    <w:basedOn w:val="Normal"/>
    <w:link w:val="BalloonTextChar"/>
    <w:uiPriority w:val="99"/>
    <w:semiHidden/>
    <w:unhideWhenUsed/>
    <w:rsid w:val="003E04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457"/>
    <w:rPr>
      <w:rFonts w:ascii="Tahoma" w:hAnsi="Tahoma" w:cs="Tahoma"/>
      <w:sz w:val="16"/>
      <w:szCs w:val="16"/>
      <w:lang w:val="en-GB"/>
    </w:rPr>
  </w:style>
  <w:style w:type="paragraph" w:styleId="Caption">
    <w:name w:val="caption"/>
    <w:basedOn w:val="Normal"/>
    <w:next w:val="Normal"/>
    <w:uiPriority w:val="35"/>
    <w:semiHidden/>
    <w:unhideWhenUsed/>
    <w:qFormat/>
    <w:rsid w:val="00CD6939"/>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CD6939"/>
    <w:pPr>
      <w:spacing w:after="0"/>
    </w:pPr>
  </w:style>
  <w:style w:type="paragraph" w:styleId="ListNumber">
    <w:name w:val="List Number"/>
    <w:basedOn w:val="Normal"/>
    <w:uiPriority w:val="99"/>
    <w:semiHidden/>
    <w:unhideWhenUsed/>
    <w:rsid w:val="00CD6939"/>
    <w:pPr>
      <w:numPr>
        <w:numId w:val="6"/>
      </w:numPr>
      <w:contextualSpacing/>
    </w:pPr>
  </w:style>
  <w:style w:type="paragraph" w:styleId="ListNumber2">
    <w:name w:val="List Number 2"/>
    <w:basedOn w:val="Normal"/>
    <w:uiPriority w:val="99"/>
    <w:semiHidden/>
    <w:unhideWhenUsed/>
    <w:rsid w:val="00CD6939"/>
    <w:pPr>
      <w:numPr>
        <w:numId w:val="7"/>
      </w:numPr>
      <w:contextualSpacing/>
    </w:pPr>
  </w:style>
  <w:style w:type="paragraph" w:styleId="ListNumber3">
    <w:name w:val="List Number 3"/>
    <w:basedOn w:val="Normal"/>
    <w:uiPriority w:val="99"/>
    <w:semiHidden/>
    <w:unhideWhenUsed/>
    <w:rsid w:val="00CD6939"/>
    <w:pPr>
      <w:numPr>
        <w:numId w:val="8"/>
      </w:numPr>
      <w:contextualSpacing/>
    </w:pPr>
  </w:style>
  <w:style w:type="paragraph" w:styleId="ListNumber4">
    <w:name w:val="List Number 4"/>
    <w:basedOn w:val="Normal"/>
    <w:uiPriority w:val="99"/>
    <w:semiHidden/>
    <w:unhideWhenUsed/>
    <w:rsid w:val="00CD6939"/>
    <w:pPr>
      <w:numPr>
        <w:numId w:val="9"/>
      </w:numPr>
      <w:contextualSpacing/>
    </w:pPr>
  </w:style>
  <w:style w:type="character" w:styleId="CommentReference">
    <w:name w:val="annotation reference"/>
    <w:basedOn w:val="DefaultParagraphFont"/>
    <w:uiPriority w:val="99"/>
    <w:semiHidden/>
    <w:unhideWhenUsed/>
    <w:rsid w:val="006A4F1C"/>
    <w:rPr>
      <w:sz w:val="16"/>
      <w:szCs w:val="16"/>
    </w:rPr>
  </w:style>
  <w:style w:type="paragraph" w:styleId="CommentText">
    <w:name w:val="annotation text"/>
    <w:basedOn w:val="Normal"/>
    <w:link w:val="CommentTextChar"/>
    <w:uiPriority w:val="99"/>
    <w:semiHidden/>
    <w:unhideWhenUsed/>
    <w:rsid w:val="006A4F1C"/>
    <w:rPr>
      <w:sz w:val="20"/>
      <w:szCs w:val="20"/>
    </w:rPr>
  </w:style>
  <w:style w:type="character" w:customStyle="1" w:styleId="CommentTextChar">
    <w:name w:val="Comment Text Char"/>
    <w:basedOn w:val="DefaultParagraphFont"/>
    <w:link w:val="CommentText"/>
    <w:uiPriority w:val="99"/>
    <w:semiHidden/>
    <w:rsid w:val="006A4F1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A4F1C"/>
    <w:rPr>
      <w:b/>
      <w:bCs/>
    </w:rPr>
  </w:style>
  <w:style w:type="character" w:customStyle="1" w:styleId="CommentSubjectChar">
    <w:name w:val="Comment Subject Char"/>
    <w:basedOn w:val="CommentTextChar"/>
    <w:link w:val="CommentSubject"/>
    <w:uiPriority w:val="99"/>
    <w:semiHidden/>
    <w:rsid w:val="006A4F1C"/>
    <w:rPr>
      <w:rFonts w:ascii="Times New Roman" w:hAnsi="Times New Roman" w:cs="Times New Roman"/>
      <w:b/>
      <w:bCs/>
      <w:sz w:val="20"/>
      <w:szCs w:val="20"/>
      <w:lang w:val="en-GB"/>
    </w:rPr>
  </w:style>
  <w:style w:type="character" w:styleId="Hyperlink">
    <w:name w:val="Hyperlink"/>
    <w:basedOn w:val="DefaultParagraphFont"/>
    <w:uiPriority w:val="99"/>
    <w:unhideWhenUsed/>
    <w:rsid w:val="006A4F1C"/>
    <w:rPr>
      <w:color w:val="0000FF" w:themeColor="hyperlink"/>
      <w:u w:val="single"/>
    </w:rPr>
  </w:style>
  <w:style w:type="paragraph" w:styleId="ListParagraph">
    <w:name w:val="List Paragraph"/>
    <w:basedOn w:val="Normal"/>
    <w:uiPriority w:val="34"/>
    <w:qFormat/>
    <w:rsid w:val="006A4F1C"/>
    <w:pPr>
      <w:ind w:left="720"/>
      <w:contextualSpacing/>
    </w:p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2"/>
      </w:numPr>
    </w:pPr>
  </w:style>
  <w:style w:type="paragraph" w:customStyle="1" w:styleId="Tiret1">
    <w:name w:val="Tiret 1"/>
    <w:basedOn w:val="Point1"/>
    <w:rsid w:val="007D53B6"/>
    <w:pPr>
      <w:numPr>
        <w:numId w:val="13"/>
      </w:numPr>
    </w:pPr>
  </w:style>
  <w:style w:type="paragraph" w:customStyle="1" w:styleId="Tiret2">
    <w:name w:val="Tiret 2"/>
    <w:basedOn w:val="Point2"/>
    <w:rsid w:val="007D53B6"/>
    <w:pPr>
      <w:numPr>
        <w:numId w:val="14"/>
      </w:numPr>
    </w:pPr>
  </w:style>
  <w:style w:type="paragraph" w:customStyle="1" w:styleId="Tiret3">
    <w:name w:val="Tiret 3"/>
    <w:basedOn w:val="Point3"/>
    <w:rsid w:val="007D53B6"/>
    <w:pPr>
      <w:numPr>
        <w:numId w:val="15"/>
      </w:numPr>
    </w:pPr>
  </w:style>
  <w:style w:type="paragraph" w:customStyle="1" w:styleId="Tiret4">
    <w:name w:val="Tiret 4"/>
    <w:basedOn w:val="Point4"/>
    <w:rsid w:val="007D53B6"/>
    <w:pPr>
      <w:numPr>
        <w:numId w:val="16"/>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7"/>
      </w:numPr>
    </w:pPr>
  </w:style>
  <w:style w:type="paragraph" w:customStyle="1" w:styleId="NumPar2">
    <w:name w:val="NumPar 2"/>
    <w:basedOn w:val="Normal"/>
    <w:next w:val="Text1"/>
    <w:rsid w:val="007D53B6"/>
    <w:pPr>
      <w:numPr>
        <w:ilvl w:val="1"/>
        <w:numId w:val="17"/>
      </w:numPr>
    </w:pPr>
  </w:style>
  <w:style w:type="paragraph" w:customStyle="1" w:styleId="NumPar3">
    <w:name w:val="NumPar 3"/>
    <w:basedOn w:val="Normal"/>
    <w:next w:val="Text1"/>
    <w:rsid w:val="007D53B6"/>
    <w:pPr>
      <w:numPr>
        <w:ilvl w:val="2"/>
        <w:numId w:val="17"/>
      </w:numPr>
    </w:pPr>
  </w:style>
  <w:style w:type="paragraph" w:customStyle="1" w:styleId="NumPar4">
    <w:name w:val="NumPar 4"/>
    <w:basedOn w:val="Normal"/>
    <w:next w:val="Text1"/>
    <w:rsid w:val="007D53B6"/>
    <w:pPr>
      <w:numPr>
        <w:ilvl w:val="3"/>
        <w:numId w:val="17"/>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9"/>
      </w:numPr>
    </w:pPr>
  </w:style>
  <w:style w:type="paragraph" w:customStyle="1" w:styleId="Point1number">
    <w:name w:val="Point 1 (number)"/>
    <w:basedOn w:val="Normal"/>
    <w:rsid w:val="007D53B6"/>
    <w:pPr>
      <w:numPr>
        <w:ilvl w:val="2"/>
        <w:numId w:val="19"/>
      </w:numPr>
    </w:pPr>
  </w:style>
  <w:style w:type="paragraph" w:customStyle="1" w:styleId="Point2number">
    <w:name w:val="Point 2 (number)"/>
    <w:basedOn w:val="Normal"/>
    <w:rsid w:val="007D53B6"/>
    <w:pPr>
      <w:numPr>
        <w:ilvl w:val="4"/>
        <w:numId w:val="19"/>
      </w:numPr>
    </w:pPr>
  </w:style>
  <w:style w:type="paragraph" w:customStyle="1" w:styleId="Point3number">
    <w:name w:val="Point 3 (number)"/>
    <w:basedOn w:val="Normal"/>
    <w:rsid w:val="007D53B6"/>
    <w:pPr>
      <w:numPr>
        <w:ilvl w:val="6"/>
        <w:numId w:val="19"/>
      </w:numPr>
    </w:pPr>
  </w:style>
  <w:style w:type="paragraph" w:customStyle="1" w:styleId="Point0letter">
    <w:name w:val="Point 0 (letter)"/>
    <w:basedOn w:val="Normal"/>
    <w:rsid w:val="007D53B6"/>
    <w:pPr>
      <w:numPr>
        <w:ilvl w:val="1"/>
        <w:numId w:val="19"/>
      </w:numPr>
    </w:pPr>
  </w:style>
  <w:style w:type="paragraph" w:customStyle="1" w:styleId="Point1letter">
    <w:name w:val="Point 1 (letter)"/>
    <w:basedOn w:val="Normal"/>
    <w:rsid w:val="007D53B6"/>
    <w:pPr>
      <w:numPr>
        <w:ilvl w:val="3"/>
        <w:numId w:val="19"/>
      </w:numPr>
    </w:pPr>
  </w:style>
  <w:style w:type="paragraph" w:customStyle="1" w:styleId="Point2letter">
    <w:name w:val="Point 2 (letter)"/>
    <w:basedOn w:val="Normal"/>
    <w:rsid w:val="007D53B6"/>
    <w:pPr>
      <w:numPr>
        <w:ilvl w:val="5"/>
        <w:numId w:val="19"/>
      </w:numPr>
    </w:pPr>
  </w:style>
  <w:style w:type="paragraph" w:customStyle="1" w:styleId="Point3letter">
    <w:name w:val="Point 3 (letter)"/>
    <w:basedOn w:val="Normal"/>
    <w:rsid w:val="007D53B6"/>
    <w:pPr>
      <w:numPr>
        <w:ilvl w:val="7"/>
        <w:numId w:val="19"/>
      </w:numPr>
    </w:pPr>
  </w:style>
  <w:style w:type="paragraph" w:customStyle="1" w:styleId="Point4letter">
    <w:name w:val="Point 4 (letter)"/>
    <w:basedOn w:val="Normal"/>
    <w:rsid w:val="007D53B6"/>
    <w:pPr>
      <w:numPr>
        <w:ilvl w:val="8"/>
        <w:numId w:val="19"/>
      </w:numPr>
    </w:pPr>
  </w:style>
  <w:style w:type="paragraph" w:customStyle="1" w:styleId="Bullet0">
    <w:name w:val="Bullet 0"/>
    <w:basedOn w:val="Normal"/>
    <w:rsid w:val="007D53B6"/>
    <w:pPr>
      <w:numPr>
        <w:numId w:val="20"/>
      </w:numPr>
    </w:pPr>
  </w:style>
  <w:style w:type="paragraph" w:customStyle="1" w:styleId="Bullet1">
    <w:name w:val="Bullet 1"/>
    <w:basedOn w:val="Normal"/>
    <w:rsid w:val="007D53B6"/>
    <w:pPr>
      <w:numPr>
        <w:numId w:val="21"/>
      </w:numPr>
    </w:pPr>
  </w:style>
  <w:style w:type="paragraph" w:customStyle="1" w:styleId="Bullet2">
    <w:name w:val="Bullet 2"/>
    <w:basedOn w:val="Normal"/>
    <w:rsid w:val="007D53B6"/>
    <w:pPr>
      <w:numPr>
        <w:numId w:val="22"/>
      </w:numPr>
    </w:pPr>
  </w:style>
  <w:style w:type="paragraph" w:customStyle="1" w:styleId="Bullet3">
    <w:name w:val="Bullet 3"/>
    <w:basedOn w:val="Normal"/>
    <w:rsid w:val="007D53B6"/>
    <w:pPr>
      <w:numPr>
        <w:numId w:val="23"/>
      </w:numPr>
    </w:pPr>
  </w:style>
  <w:style w:type="paragraph" w:customStyle="1" w:styleId="Bullet4">
    <w:name w:val="Bullet 4"/>
    <w:basedOn w:val="Normal"/>
    <w:rsid w:val="007D53B6"/>
    <w:pPr>
      <w:numPr>
        <w:numId w:val="24"/>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5"/>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D53B6"/>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8"/>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62FED"/>
    <w:pPr>
      <w:numPr>
        <w:numId w:val="1"/>
      </w:numPr>
      <w:contextualSpacing/>
    </w:pPr>
  </w:style>
  <w:style w:type="paragraph" w:styleId="ListBullet2">
    <w:name w:val="List Bullet 2"/>
    <w:basedOn w:val="Normal"/>
    <w:uiPriority w:val="99"/>
    <w:semiHidden/>
    <w:unhideWhenUsed/>
    <w:rsid w:val="00D62FED"/>
    <w:pPr>
      <w:numPr>
        <w:numId w:val="2"/>
      </w:numPr>
      <w:contextualSpacing/>
    </w:pPr>
  </w:style>
  <w:style w:type="paragraph" w:styleId="ListBullet3">
    <w:name w:val="List Bullet 3"/>
    <w:basedOn w:val="Normal"/>
    <w:uiPriority w:val="99"/>
    <w:semiHidden/>
    <w:unhideWhenUsed/>
    <w:rsid w:val="00D62FED"/>
    <w:pPr>
      <w:numPr>
        <w:numId w:val="3"/>
      </w:numPr>
      <w:contextualSpacing/>
    </w:pPr>
  </w:style>
  <w:style w:type="paragraph" w:styleId="ListBullet4">
    <w:name w:val="List Bullet 4"/>
    <w:basedOn w:val="Normal"/>
    <w:uiPriority w:val="99"/>
    <w:semiHidden/>
    <w:unhideWhenUsed/>
    <w:rsid w:val="00D62FED"/>
    <w:pPr>
      <w:numPr>
        <w:numId w:val="4"/>
      </w:numPr>
      <w:contextualSpacing/>
    </w:pPr>
  </w:style>
  <w:style w:type="paragraph" w:styleId="BalloonText">
    <w:name w:val="Balloon Text"/>
    <w:basedOn w:val="Normal"/>
    <w:link w:val="BalloonTextChar"/>
    <w:uiPriority w:val="99"/>
    <w:semiHidden/>
    <w:unhideWhenUsed/>
    <w:rsid w:val="003E04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457"/>
    <w:rPr>
      <w:rFonts w:ascii="Tahoma" w:hAnsi="Tahoma" w:cs="Tahoma"/>
      <w:sz w:val="16"/>
      <w:szCs w:val="16"/>
      <w:lang w:val="en-GB"/>
    </w:rPr>
  </w:style>
  <w:style w:type="paragraph" w:styleId="Caption">
    <w:name w:val="caption"/>
    <w:basedOn w:val="Normal"/>
    <w:next w:val="Normal"/>
    <w:uiPriority w:val="35"/>
    <w:semiHidden/>
    <w:unhideWhenUsed/>
    <w:qFormat/>
    <w:rsid w:val="00CD6939"/>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CD6939"/>
    <w:pPr>
      <w:spacing w:after="0"/>
    </w:pPr>
  </w:style>
  <w:style w:type="paragraph" w:styleId="ListNumber">
    <w:name w:val="List Number"/>
    <w:basedOn w:val="Normal"/>
    <w:uiPriority w:val="99"/>
    <w:semiHidden/>
    <w:unhideWhenUsed/>
    <w:rsid w:val="00CD6939"/>
    <w:pPr>
      <w:numPr>
        <w:numId w:val="6"/>
      </w:numPr>
      <w:contextualSpacing/>
    </w:pPr>
  </w:style>
  <w:style w:type="paragraph" w:styleId="ListNumber2">
    <w:name w:val="List Number 2"/>
    <w:basedOn w:val="Normal"/>
    <w:uiPriority w:val="99"/>
    <w:semiHidden/>
    <w:unhideWhenUsed/>
    <w:rsid w:val="00CD6939"/>
    <w:pPr>
      <w:numPr>
        <w:numId w:val="7"/>
      </w:numPr>
      <w:contextualSpacing/>
    </w:pPr>
  </w:style>
  <w:style w:type="paragraph" w:styleId="ListNumber3">
    <w:name w:val="List Number 3"/>
    <w:basedOn w:val="Normal"/>
    <w:uiPriority w:val="99"/>
    <w:semiHidden/>
    <w:unhideWhenUsed/>
    <w:rsid w:val="00CD6939"/>
    <w:pPr>
      <w:numPr>
        <w:numId w:val="8"/>
      </w:numPr>
      <w:contextualSpacing/>
    </w:pPr>
  </w:style>
  <w:style w:type="paragraph" w:styleId="ListNumber4">
    <w:name w:val="List Number 4"/>
    <w:basedOn w:val="Normal"/>
    <w:uiPriority w:val="99"/>
    <w:semiHidden/>
    <w:unhideWhenUsed/>
    <w:rsid w:val="00CD6939"/>
    <w:pPr>
      <w:numPr>
        <w:numId w:val="9"/>
      </w:numPr>
      <w:contextualSpacing/>
    </w:pPr>
  </w:style>
  <w:style w:type="character" w:styleId="CommentReference">
    <w:name w:val="annotation reference"/>
    <w:basedOn w:val="DefaultParagraphFont"/>
    <w:uiPriority w:val="99"/>
    <w:semiHidden/>
    <w:unhideWhenUsed/>
    <w:rsid w:val="006A4F1C"/>
    <w:rPr>
      <w:sz w:val="16"/>
      <w:szCs w:val="16"/>
    </w:rPr>
  </w:style>
  <w:style w:type="paragraph" w:styleId="CommentText">
    <w:name w:val="annotation text"/>
    <w:basedOn w:val="Normal"/>
    <w:link w:val="CommentTextChar"/>
    <w:uiPriority w:val="99"/>
    <w:semiHidden/>
    <w:unhideWhenUsed/>
    <w:rsid w:val="006A4F1C"/>
    <w:rPr>
      <w:sz w:val="20"/>
      <w:szCs w:val="20"/>
    </w:rPr>
  </w:style>
  <w:style w:type="character" w:customStyle="1" w:styleId="CommentTextChar">
    <w:name w:val="Comment Text Char"/>
    <w:basedOn w:val="DefaultParagraphFont"/>
    <w:link w:val="CommentText"/>
    <w:uiPriority w:val="99"/>
    <w:semiHidden/>
    <w:rsid w:val="006A4F1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A4F1C"/>
    <w:rPr>
      <w:b/>
      <w:bCs/>
    </w:rPr>
  </w:style>
  <w:style w:type="character" w:customStyle="1" w:styleId="CommentSubjectChar">
    <w:name w:val="Comment Subject Char"/>
    <w:basedOn w:val="CommentTextChar"/>
    <w:link w:val="CommentSubject"/>
    <w:uiPriority w:val="99"/>
    <w:semiHidden/>
    <w:rsid w:val="006A4F1C"/>
    <w:rPr>
      <w:rFonts w:ascii="Times New Roman" w:hAnsi="Times New Roman" w:cs="Times New Roman"/>
      <w:b/>
      <w:bCs/>
      <w:sz w:val="20"/>
      <w:szCs w:val="20"/>
      <w:lang w:val="en-GB"/>
    </w:rPr>
  </w:style>
  <w:style w:type="character" w:styleId="Hyperlink">
    <w:name w:val="Hyperlink"/>
    <w:basedOn w:val="DefaultParagraphFont"/>
    <w:uiPriority w:val="99"/>
    <w:unhideWhenUsed/>
    <w:rsid w:val="006A4F1C"/>
    <w:rPr>
      <w:color w:val="0000FF" w:themeColor="hyperlink"/>
      <w:u w:val="single"/>
    </w:rPr>
  </w:style>
  <w:style w:type="paragraph" w:styleId="ListParagraph">
    <w:name w:val="List Paragraph"/>
    <w:basedOn w:val="Normal"/>
    <w:uiPriority w:val="34"/>
    <w:qFormat/>
    <w:rsid w:val="006A4F1C"/>
    <w:pPr>
      <w:ind w:left="720"/>
      <w:contextualSpacing/>
    </w:pPr>
  </w:style>
  <w:style w:type="paragraph" w:styleId="Header">
    <w:name w:val="header"/>
    <w:basedOn w:val="Normal"/>
    <w:link w:val="HeaderChar"/>
    <w:uiPriority w:val="99"/>
    <w:unhideWhenUsed/>
    <w:rsid w:val="007D53B6"/>
    <w:pPr>
      <w:tabs>
        <w:tab w:val="center" w:pos="4535"/>
        <w:tab w:val="right" w:pos="9071"/>
      </w:tabs>
      <w:spacing w:before="0"/>
    </w:pPr>
  </w:style>
  <w:style w:type="character" w:customStyle="1" w:styleId="HeaderChar">
    <w:name w:val="Header Char"/>
    <w:basedOn w:val="DefaultParagraphFont"/>
    <w:link w:val="Header"/>
    <w:uiPriority w:val="99"/>
    <w:rsid w:val="007D53B6"/>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7D53B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D53B6"/>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7D53B6"/>
    <w:pPr>
      <w:tabs>
        <w:tab w:val="center" w:pos="7285"/>
        <w:tab w:val="right" w:pos="14003"/>
      </w:tabs>
      <w:spacing w:before="0"/>
    </w:pPr>
  </w:style>
  <w:style w:type="paragraph" w:customStyle="1" w:styleId="FooterLandscape">
    <w:name w:val="FooterLandscape"/>
    <w:basedOn w:val="Normal"/>
    <w:rsid w:val="007D53B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2"/>
      </w:numPr>
    </w:pPr>
  </w:style>
  <w:style w:type="paragraph" w:customStyle="1" w:styleId="Tiret1">
    <w:name w:val="Tiret 1"/>
    <w:basedOn w:val="Point1"/>
    <w:rsid w:val="007D53B6"/>
    <w:pPr>
      <w:numPr>
        <w:numId w:val="13"/>
      </w:numPr>
    </w:pPr>
  </w:style>
  <w:style w:type="paragraph" w:customStyle="1" w:styleId="Tiret2">
    <w:name w:val="Tiret 2"/>
    <w:basedOn w:val="Point2"/>
    <w:rsid w:val="007D53B6"/>
    <w:pPr>
      <w:numPr>
        <w:numId w:val="14"/>
      </w:numPr>
    </w:pPr>
  </w:style>
  <w:style w:type="paragraph" w:customStyle="1" w:styleId="Tiret3">
    <w:name w:val="Tiret 3"/>
    <w:basedOn w:val="Point3"/>
    <w:rsid w:val="007D53B6"/>
    <w:pPr>
      <w:numPr>
        <w:numId w:val="15"/>
      </w:numPr>
    </w:pPr>
  </w:style>
  <w:style w:type="paragraph" w:customStyle="1" w:styleId="Tiret4">
    <w:name w:val="Tiret 4"/>
    <w:basedOn w:val="Point4"/>
    <w:rsid w:val="007D53B6"/>
    <w:pPr>
      <w:numPr>
        <w:numId w:val="16"/>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7"/>
      </w:numPr>
    </w:pPr>
  </w:style>
  <w:style w:type="paragraph" w:customStyle="1" w:styleId="NumPar2">
    <w:name w:val="NumPar 2"/>
    <w:basedOn w:val="Normal"/>
    <w:next w:val="Text1"/>
    <w:rsid w:val="007D53B6"/>
    <w:pPr>
      <w:numPr>
        <w:ilvl w:val="1"/>
        <w:numId w:val="17"/>
      </w:numPr>
    </w:pPr>
  </w:style>
  <w:style w:type="paragraph" w:customStyle="1" w:styleId="NumPar3">
    <w:name w:val="NumPar 3"/>
    <w:basedOn w:val="Normal"/>
    <w:next w:val="Text1"/>
    <w:rsid w:val="007D53B6"/>
    <w:pPr>
      <w:numPr>
        <w:ilvl w:val="2"/>
        <w:numId w:val="17"/>
      </w:numPr>
    </w:pPr>
  </w:style>
  <w:style w:type="paragraph" w:customStyle="1" w:styleId="NumPar4">
    <w:name w:val="NumPar 4"/>
    <w:basedOn w:val="Normal"/>
    <w:next w:val="Text1"/>
    <w:rsid w:val="007D53B6"/>
    <w:pPr>
      <w:numPr>
        <w:ilvl w:val="3"/>
        <w:numId w:val="17"/>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9"/>
      </w:numPr>
    </w:pPr>
  </w:style>
  <w:style w:type="paragraph" w:customStyle="1" w:styleId="Point1number">
    <w:name w:val="Point 1 (number)"/>
    <w:basedOn w:val="Normal"/>
    <w:rsid w:val="007D53B6"/>
    <w:pPr>
      <w:numPr>
        <w:ilvl w:val="2"/>
        <w:numId w:val="19"/>
      </w:numPr>
    </w:pPr>
  </w:style>
  <w:style w:type="paragraph" w:customStyle="1" w:styleId="Point2number">
    <w:name w:val="Point 2 (number)"/>
    <w:basedOn w:val="Normal"/>
    <w:rsid w:val="007D53B6"/>
    <w:pPr>
      <w:numPr>
        <w:ilvl w:val="4"/>
        <w:numId w:val="19"/>
      </w:numPr>
    </w:pPr>
  </w:style>
  <w:style w:type="paragraph" w:customStyle="1" w:styleId="Point3number">
    <w:name w:val="Point 3 (number)"/>
    <w:basedOn w:val="Normal"/>
    <w:rsid w:val="007D53B6"/>
    <w:pPr>
      <w:numPr>
        <w:ilvl w:val="6"/>
        <w:numId w:val="19"/>
      </w:numPr>
    </w:pPr>
  </w:style>
  <w:style w:type="paragraph" w:customStyle="1" w:styleId="Point0letter">
    <w:name w:val="Point 0 (letter)"/>
    <w:basedOn w:val="Normal"/>
    <w:rsid w:val="007D53B6"/>
    <w:pPr>
      <w:numPr>
        <w:ilvl w:val="1"/>
        <w:numId w:val="19"/>
      </w:numPr>
    </w:pPr>
  </w:style>
  <w:style w:type="paragraph" w:customStyle="1" w:styleId="Point1letter">
    <w:name w:val="Point 1 (letter)"/>
    <w:basedOn w:val="Normal"/>
    <w:rsid w:val="007D53B6"/>
    <w:pPr>
      <w:numPr>
        <w:ilvl w:val="3"/>
        <w:numId w:val="19"/>
      </w:numPr>
    </w:pPr>
  </w:style>
  <w:style w:type="paragraph" w:customStyle="1" w:styleId="Point2letter">
    <w:name w:val="Point 2 (letter)"/>
    <w:basedOn w:val="Normal"/>
    <w:rsid w:val="007D53B6"/>
    <w:pPr>
      <w:numPr>
        <w:ilvl w:val="5"/>
        <w:numId w:val="19"/>
      </w:numPr>
    </w:pPr>
  </w:style>
  <w:style w:type="paragraph" w:customStyle="1" w:styleId="Point3letter">
    <w:name w:val="Point 3 (letter)"/>
    <w:basedOn w:val="Normal"/>
    <w:rsid w:val="007D53B6"/>
    <w:pPr>
      <w:numPr>
        <w:ilvl w:val="7"/>
        <w:numId w:val="19"/>
      </w:numPr>
    </w:pPr>
  </w:style>
  <w:style w:type="paragraph" w:customStyle="1" w:styleId="Point4letter">
    <w:name w:val="Point 4 (letter)"/>
    <w:basedOn w:val="Normal"/>
    <w:rsid w:val="007D53B6"/>
    <w:pPr>
      <w:numPr>
        <w:ilvl w:val="8"/>
        <w:numId w:val="19"/>
      </w:numPr>
    </w:pPr>
  </w:style>
  <w:style w:type="paragraph" w:customStyle="1" w:styleId="Bullet0">
    <w:name w:val="Bullet 0"/>
    <w:basedOn w:val="Normal"/>
    <w:rsid w:val="007D53B6"/>
    <w:pPr>
      <w:numPr>
        <w:numId w:val="20"/>
      </w:numPr>
    </w:pPr>
  </w:style>
  <w:style w:type="paragraph" w:customStyle="1" w:styleId="Bullet1">
    <w:name w:val="Bullet 1"/>
    <w:basedOn w:val="Normal"/>
    <w:rsid w:val="007D53B6"/>
    <w:pPr>
      <w:numPr>
        <w:numId w:val="21"/>
      </w:numPr>
    </w:pPr>
  </w:style>
  <w:style w:type="paragraph" w:customStyle="1" w:styleId="Bullet2">
    <w:name w:val="Bullet 2"/>
    <w:basedOn w:val="Normal"/>
    <w:rsid w:val="007D53B6"/>
    <w:pPr>
      <w:numPr>
        <w:numId w:val="22"/>
      </w:numPr>
    </w:pPr>
  </w:style>
  <w:style w:type="paragraph" w:customStyle="1" w:styleId="Bullet3">
    <w:name w:val="Bullet 3"/>
    <w:basedOn w:val="Normal"/>
    <w:rsid w:val="007D53B6"/>
    <w:pPr>
      <w:numPr>
        <w:numId w:val="23"/>
      </w:numPr>
    </w:pPr>
  </w:style>
  <w:style w:type="paragraph" w:customStyle="1" w:styleId="Bullet4">
    <w:name w:val="Bullet 4"/>
    <w:basedOn w:val="Normal"/>
    <w:rsid w:val="007D53B6"/>
    <w:pPr>
      <w:numPr>
        <w:numId w:val="24"/>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5"/>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Sous-titreobjet"/>
    <w:rsid w:val="007D53B6"/>
    <w:pPr>
      <w:spacing w:before="360" w:after="360"/>
      <w:jc w:val="center"/>
    </w:pPr>
    <w:rPr>
      <w:b/>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Sous-titreobjetPagedecouverture"/>
    <w:rsid w:val="007D53B6"/>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57FB1-CA9B-47C7-989B-8FEF22CFC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Pages>
  <Words>1095</Words>
  <Characters>6081</Characters>
  <Application>Microsoft Office Word</Application>
  <DocSecurity>0</DocSecurity>
  <Lines>108</Lines>
  <Paragraphs>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NTZIOUNI-DOUMAS Maria (OLAF)</dc:creator>
  <cp:lastModifiedBy>NTZIOUNI-DOUMAS Maria (OLAF)</cp:lastModifiedBy>
  <cp:revision>3</cp:revision>
  <cp:lastPrinted>2015-04-15T08:45:00Z</cp:lastPrinted>
  <dcterms:created xsi:type="dcterms:W3CDTF">2015-04-15T09:17:00Z</dcterms:created>
  <dcterms:modified xsi:type="dcterms:W3CDTF">2015-04-15T09:17:00Z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SJ-004</vt:lpwstr>
  </property>
  <property fmtid="{D5CDD505-2E9C-101B-9397-08002B2CF9AE}" pid="10" name="DQCStatus">
    <vt:lpwstr>Green (DQC version 03)</vt:lpwstr>
  </property>
</Properties>
</file>