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FF1C09" w:rsidTr="00FF1C09">
        <w:trPr>
          <w:trHeight w:val="1440"/>
        </w:trPr>
        <w:tc>
          <w:tcPr>
            <w:tcW w:w="2381" w:type="dxa"/>
            <w:tcBorders>
              <w:top w:val="nil"/>
              <w:left w:val="nil"/>
              <w:bottom w:val="nil"/>
              <w:right w:val="nil"/>
            </w:tcBorders>
          </w:tcPr>
          <w:p w:rsidR="00FF1C09" w:rsidRDefault="00016B31">
            <w:pPr>
              <w:pStyle w:val="ZCom"/>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3.25pt" fillcolor="window">
                  <v:imagedata r:id="rId9" o:title=""/>
                </v:shape>
              </w:pict>
            </w:r>
          </w:p>
        </w:tc>
        <w:tc>
          <w:tcPr>
            <w:tcW w:w="7087" w:type="dxa"/>
            <w:tcBorders>
              <w:top w:val="nil"/>
              <w:left w:val="nil"/>
              <w:bottom w:val="nil"/>
              <w:right w:val="nil"/>
            </w:tcBorders>
          </w:tcPr>
          <w:p w:rsidR="00FF1C09" w:rsidRDefault="00FF1C09">
            <w:pPr>
              <w:pStyle w:val="ZCom"/>
              <w:spacing w:before="90"/>
            </w:pPr>
            <w:r>
              <w:t>EUROPEAN COMMISSION</w:t>
            </w:r>
          </w:p>
          <w:p w:rsidR="00FF1C09" w:rsidRDefault="00FF1C09" w:rsidP="00FF1C09">
            <w:pPr>
              <w:pStyle w:val="ZDGName"/>
            </w:pPr>
          </w:p>
        </w:tc>
      </w:tr>
    </w:tbl>
    <w:p w:rsidR="00FF1C09" w:rsidRPr="00E71824" w:rsidRDefault="00FF1C09" w:rsidP="00FF1C09">
      <w:pPr>
        <w:widowControl w:val="0"/>
        <w:spacing w:before="120" w:after="120"/>
        <w:ind w:left="120"/>
        <w:rPr>
          <w:color w:val="000000"/>
          <w:sz w:val="23"/>
          <w:szCs w:val="23"/>
          <w:highlight w:val="lightGray"/>
          <w:shd w:val="clear" w:color="auto" w:fill="FFFFFF"/>
          <w:lang w:eastAsia="sl-SI"/>
        </w:rPr>
      </w:pPr>
    </w:p>
    <w:p w:rsidR="00FF1C09" w:rsidRPr="00E71824" w:rsidRDefault="00FF1C09" w:rsidP="00FF1C09">
      <w:pPr>
        <w:widowControl w:val="0"/>
        <w:jc w:val="center"/>
        <w:rPr>
          <w:color w:val="000000"/>
          <w:szCs w:val="24"/>
          <w:u w:val="single"/>
        </w:rPr>
      </w:pPr>
      <w:r w:rsidRPr="00E71824">
        <w:rPr>
          <w:color w:val="000000"/>
          <w:szCs w:val="24"/>
          <w:u w:val="single"/>
        </w:rPr>
        <w:t>European Structural and Investment Funds</w:t>
      </w:r>
    </w:p>
    <w:p w:rsidR="00FF1C09" w:rsidRPr="00E71824" w:rsidRDefault="00FF1C09" w:rsidP="00FF1C09">
      <w:pPr>
        <w:widowControl w:val="0"/>
        <w:jc w:val="center"/>
        <w:rPr>
          <w:color w:val="000000"/>
          <w:sz w:val="32"/>
          <w:szCs w:val="32"/>
          <w:u w:val="single"/>
        </w:rPr>
      </w:pPr>
    </w:p>
    <w:p w:rsidR="00FF1C09" w:rsidRPr="00E71824" w:rsidRDefault="00FF1C09" w:rsidP="00FF1C09">
      <w:pPr>
        <w:jc w:val="center"/>
        <w:rPr>
          <w:smallCaps/>
          <w:sz w:val="28"/>
          <w:szCs w:val="28"/>
          <w:u w:val="single"/>
        </w:rPr>
      </w:pPr>
      <w:r w:rsidRPr="003A3051">
        <w:rPr>
          <w:rFonts w:ascii="Times New Roman Bold" w:hAnsi="Times New Roman Bold"/>
          <w:sz w:val="40"/>
          <w:u w:val="single"/>
        </w:rPr>
        <w:t xml:space="preserve">Guidance </w:t>
      </w:r>
      <w:r w:rsidRPr="00E71824">
        <w:rPr>
          <w:rFonts w:ascii="Times New Roman Bold" w:hAnsi="Times New Roman Bold"/>
          <w:sz w:val="40"/>
          <w:szCs w:val="40"/>
          <w:u w:val="single"/>
        </w:rPr>
        <w:t xml:space="preserve">for Member States </w:t>
      </w:r>
      <w:r w:rsidRPr="003A3051">
        <w:rPr>
          <w:rFonts w:ascii="Times New Roman Bold" w:hAnsi="Times New Roman Bold"/>
          <w:sz w:val="40"/>
          <w:u w:val="single"/>
        </w:rPr>
        <w:t>on</w:t>
      </w:r>
    </w:p>
    <w:p w:rsidR="00FF1C09" w:rsidRPr="003A3051" w:rsidRDefault="00FF1C09" w:rsidP="00FF1C09">
      <w:pPr>
        <w:jc w:val="center"/>
        <w:rPr>
          <w:rFonts w:ascii="Times New Roman Bold" w:hAnsi="Times New Roman Bold"/>
          <w:sz w:val="40"/>
          <w:u w:val="single"/>
        </w:rPr>
      </w:pPr>
      <w:proofErr w:type="gramStart"/>
      <w:r>
        <w:rPr>
          <w:rFonts w:ascii="Times New Roman Bold" w:hAnsi="Times New Roman Bold"/>
          <w:sz w:val="40"/>
          <w:szCs w:val="40"/>
          <w:u w:val="single"/>
        </w:rPr>
        <w:t>t</w:t>
      </w:r>
      <w:r w:rsidRPr="00E71824">
        <w:rPr>
          <w:rFonts w:ascii="Times New Roman Bold" w:hAnsi="Times New Roman Bold"/>
          <w:sz w:val="40"/>
          <w:szCs w:val="40"/>
          <w:u w:val="single"/>
        </w:rPr>
        <w:t>he</w:t>
      </w:r>
      <w:proofErr w:type="gramEnd"/>
      <w:r w:rsidRPr="003A3051">
        <w:rPr>
          <w:rFonts w:ascii="Times New Roman Bold" w:hAnsi="Times New Roman Bold"/>
          <w:sz w:val="40"/>
          <w:u w:val="single"/>
        </w:rPr>
        <w:t xml:space="preserve"> selection of bodies implementing FIs, including funds of funds</w:t>
      </w:r>
    </w:p>
    <w:p w:rsidR="00FF1C09" w:rsidRPr="00380A2E" w:rsidRDefault="00FF1C09" w:rsidP="00FF1C09">
      <w:pPr>
        <w:rPr>
          <w:b/>
          <w:smallCaps/>
        </w:rPr>
      </w:pPr>
    </w:p>
    <w:p w:rsidR="00FF1C09" w:rsidRPr="00E71824" w:rsidRDefault="00FF1C09" w:rsidP="00FF1C09">
      <w:pPr>
        <w:rPr>
          <w:b/>
          <w:smallCaps/>
        </w:rPr>
      </w:pPr>
    </w:p>
    <w:p w:rsidR="00FF1C09" w:rsidRPr="00E71824" w:rsidRDefault="00FF1C09" w:rsidP="00FF1C09">
      <w:pPr>
        <w:rPr>
          <w:b/>
          <w:smallCaps/>
        </w:rPr>
      </w:pPr>
    </w:p>
    <w:p w:rsidR="00FF1C09" w:rsidRPr="00E71824" w:rsidRDefault="00FF1C09" w:rsidP="00FF1C09">
      <w:pPr>
        <w:rPr>
          <w:b/>
          <w:smallCaps/>
        </w:rPr>
      </w:pPr>
    </w:p>
    <w:p w:rsidR="00FF1C09" w:rsidRPr="00E71824" w:rsidRDefault="00FF1C09" w:rsidP="00FF1C09">
      <w:pPr>
        <w:rPr>
          <w:b/>
          <w:smallCaps/>
        </w:rPr>
      </w:pPr>
    </w:p>
    <w:p w:rsidR="00FF1C09" w:rsidRPr="00E71824" w:rsidRDefault="00FF1C09" w:rsidP="00FF1C09">
      <w:pPr>
        <w:rPr>
          <w:b/>
          <w:smallCaps/>
        </w:rPr>
      </w:pPr>
    </w:p>
    <w:p w:rsidR="00FF1C09" w:rsidRPr="00E71824" w:rsidRDefault="00FF1C09" w:rsidP="00FF1C09">
      <w:pPr>
        <w:rPr>
          <w:b/>
          <w:smallCaps/>
        </w:rPr>
      </w:pPr>
    </w:p>
    <w:p w:rsidR="00FF1C09" w:rsidRDefault="00FF1C09" w:rsidP="00FF1C09">
      <w:pPr>
        <w:rPr>
          <w:b/>
          <w:smallCaps/>
        </w:rPr>
      </w:pPr>
    </w:p>
    <w:p w:rsidR="00FF1C09" w:rsidRDefault="00FF1C09" w:rsidP="00FF1C09">
      <w:pPr>
        <w:rPr>
          <w:b/>
          <w:smallCaps/>
        </w:rPr>
      </w:pPr>
    </w:p>
    <w:p w:rsidR="00FF1C09" w:rsidRDefault="00FF1C09" w:rsidP="00FF1C09">
      <w:pPr>
        <w:rPr>
          <w:b/>
          <w:smallCaps/>
        </w:rPr>
      </w:pPr>
    </w:p>
    <w:p w:rsidR="00FF1C09" w:rsidRDefault="00FF1C09" w:rsidP="00FF1C09">
      <w:pPr>
        <w:rPr>
          <w:b/>
          <w:smallCaps/>
        </w:rPr>
      </w:pPr>
    </w:p>
    <w:p w:rsidR="00FF1C09" w:rsidRDefault="00FF1C09" w:rsidP="00FF1C09">
      <w:pPr>
        <w:rPr>
          <w:b/>
          <w:smallCaps/>
        </w:rPr>
      </w:pPr>
    </w:p>
    <w:p w:rsidR="00FF1C09" w:rsidRPr="00E71824" w:rsidRDefault="00FF1C09" w:rsidP="00FF1C09">
      <w:pPr>
        <w:rPr>
          <w:b/>
          <w:smallCaps/>
        </w:rPr>
      </w:pPr>
    </w:p>
    <w:p w:rsidR="00FF1C09" w:rsidRPr="00D47E1F" w:rsidRDefault="00FF1C09" w:rsidP="00FF1C09">
      <w:pPr>
        <w:pBdr>
          <w:top w:val="single" w:sz="4" w:space="1" w:color="auto"/>
          <w:left w:val="single" w:sz="4" w:space="4" w:color="auto"/>
          <w:bottom w:val="single" w:sz="4" w:space="1" w:color="auto"/>
          <w:right w:val="single" w:sz="4" w:space="4" w:color="auto"/>
        </w:pBdr>
        <w:rPr>
          <w:sz w:val="20"/>
        </w:rPr>
      </w:pPr>
      <w:r w:rsidRPr="00E71824">
        <w:rPr>
          <w:b/>
          <w:bCs/>
          <w:i/>
          <w:iCs/>
          <w:sz w:val="20"/>
          <w:lang w:eastAsia="en-GB"/>
        </w:rPr>
        <w:t xml:space="preserve">DISCLAIMER: </w:t>
      </w:r>
      <w:r w:rsidRPr="00E71824">
        <w:rPr>
          <w:i/>
          <w:iCs/>
          <w:sz w:val="20"/>
          <w:lang w:eastAsia="en-GB"/>
        </w:rPr>
        <w:t xml:space="preserve">This is a document prepared by the </w:t>
      </w:r>
      <w:r w:rsidRPr="00263840">
        <w:rPr>
          <w:i/>
          <w:sz w:val="20"/>
        </w:rPr>
        <w:t>Commission services</w:t>
      </w:r>
      <w:r w:rsidRPr="00E71824">
        <w:rPr>
          <w:i/>
          <w:iCs/>
          <w:sz w:val="20"/>
          <w:lang w:eastAsia="en-GB"/>
        </w:rPr>
        <w:t xml:space="preserve">. On the basis of the applicable EU law, it provides technical guidance to colleagues and other bodies involved in the monitoring, control or implementation of the </w:t>
      </w:r>
      <w:r w:rsidRPr="00E71824">
        <w:rPr>
          <w:i/>
          <w:iCs/>
          <w:sz w:val="20"/>
        </w:rPr>
        <w:t xml:space="preserve">European </w:t>
      </w:r>
      <w:r>
        <w:rPr>
          <w:i/>
          <w:iCs/>
          <w:sz w:val="20"/>
        </w:rPr>
        <w:t>Structural and Investment Funds</w:t>
      </w:r>
      <w:r w:rsidRPr="00E71824">
        <w:rPr>
          <w:i/>
          <w:iCs/>
          <w:sz w:val="20"/>
          <w:lang w:eastAsia="en-GB"/>
        </w:rPr>
        <w:t xml:space="preserve"> on how to interpret and apply the EU rules in this area. The aim of this document is to provide </w:t>
      </w:r>
      <w:r w:rsidRPr="00263840">
        <w:rPr>
          <w:i/>
          <w:sz w:val="20"/>
        </w:rPr>
        <w:t>Commission's services explanations and interpretations of the said rules</w:t>
      </w:r>
      <w:r w:rsidRPr="00E71824">
        <w:rPr>
          <w:i/>
          <w:iCs/>
          <w:sz w:val="20"/>
          <w:lang w:eastAsia="en-GB"/>
        </w:rPr>
        <w:t xml:space="preserve"> in order to facilitate the programmes' implementation and to encourage good practice(s). This guidance note is without prejudice to the interpretation of the Court of Justice and the General Court or decisions of the Commission.</w:t>
      </w:r>
      <w:r>
        <w:rPr>
          <w:iCs/>
          <w:sz w:val="20"/>
          <w:lang w:eastAsia="en-GB"/>
        </w:rPr>
        <w:t xml:space="preserve"> </w:t>
      </w:r>
    </w:p>
    <w:p w:rsidR="00FF1C09" w:rsidRDefault="00FF1C09">
      <w:pPr>
        <w:spacing w:after="0"/>
        <w:jc w:val="left"/>
        <w:rPr>
          <w:b/>
          <w:smallCaps/>
        </w:rPr>
      </w:pPr>
      <w:r>
        <w:rPr>
          <w:b/>
          <w:smallCaps/>
        </w:rPr>
        <w:br w:type="page"/>
      </w:r>
    </w:p>
    <w:sdt>
      <w:sdtPr>
        <w:id w:val="-1066881062"/>
        <w:docPartObj>
          <w:docPartGallery w:val="Table of Contents"/>
          <w:docPartUnique/>
        </w:docPartObj>
      </w:sdtPr>
      <w:sdtEndPr>
        <w:rPr>
          <w:bCs/>
          <w:noProof/>
        </w:rPr>
      </w:sdtEndPr>
      <w:sdtContent>
        <w:p w:rsidR="00FF1C09" w:rsidRPr="00E71824" w:rsidRDefault="00FF1C09" w:rsidP="00FF1C09">
          <w:pPr>
            <w:keepNext/>
            <w:spacing w:before="240"/>
            <w:jc w:val="center"/>
          </w:pPr>
          <w:r w:rsidRPr="00E71824">
            <w:t>Table of Contents</w:t>
          </w:r>
        </w:p>
        <w:p w:rsidR="00CF45C6" w:rsidRDefault="00FF1C09">
          <w:pPr>
            <w:pStyle w:val="TOC1"/>
            <w:rPr>
              <w:rFonts w:asciiTheme="minorHAnsi" w:eastAsiaTheme="minorEastAsia" w:hAnsiTheme="minorHAnsi" w:cstheme="minorBidi"/>
              <w:caps w:val="0"/>
              <w:noProof/>
              <w:sz w:val="22"/>
              <w:szCs w:val="22"/>
              <w:lang w:eastAsia="en-GB"/>
            </w:rPr>
          </w:pPr>
          <w:r w:rsidRPr="00E71824">
            <w:fldChar w:fldCharType="begin"/>
          </w:r>
          <w:r w:rsidRPr="00E71824">
            <w:instrText xml:space="preserve"> TOC \o "1-3" \h \z \u </w:instrText>
          </w:r>
          <w:r w:rsidRPr="00E71824">
            <w:fldChar w:fldCharType="separate"/>
          </w:r>
          <w:hyperlink w:anchor="_Toc443553289" w:history="1">
            <w:r w:rsidR="00CF45C6" w:rsidRPr="00656DE7">
              <w:rPr>
                <w:rStyle w:val="Hyperlink"/>
                <w:noProof/>
              </w:rPr>
              <w:t>1.</w:t>
            </w:r>
            <w:r w:rsidR="00CF45C6">
              <w:rPr>
                <w:rFonts w:asciiTheme="minorHAnsi" w:eastAsiaTheme="minorEastAsia" w:hAnsiTheme="minorHAnsi" w:cstheme="minorBidi"/>
                <w:caps w:val="0"/>
                <w:noProof/>
                <w:sz w:val="22"/>
                <w:szCs w:val="22"/>
                <w:lang w:eastAsia="en-GB"/>
              </w:rPr>
              <w:tab/>
            </w:r>
            <w:r w:rsidR="00CF45C6" w:rsidRPr="00656DE7">
              <w:rPr>
                <w:rStyle w:val="Hyperlink"/>
                <w:noProof/>
              </w:rPr>
              <w:t>Regulatory references and text</w:t>
            </w:r>
            <w:r w:rsidR="00CF45C6">
              <w:rPr>
                <w:noProof/>
                <w:webHidden/>
              </w:rPr>
              <w:tab/>
            </w:r>
            <w:r w:rsidR="00CF45C6">
              <w:rPr>
                <w:noProof/>
                <w:webHidden/>
              </w:rPr>
              <w:fldChar w:fldCharType="begin"/>
            </w:r>
            <w:r w:rsidR="00CF45C6">
              <w:rPr>
                <w:noProof/>
                <w:webHidden/>
              </w:rPr>
              <w:instrText xml:space="preserve"> PAGEREF _Toc443553289 \h </w:instrText>
            </w:r>
            <w:r w:rsidR="00CF45C6">
              <w:rPr>
                <w:noProof/>
                <w:webHidden/>
              </w:rPr>
            </w:r>
            <w:r w:rsidR="00CF45C6">
              <w:rPr>
                <w:noProof/>
                <w:webHidden/>
              </w:rPr>
              <w:fldChar w:fldCharType="separate"/>
            </w:r>
            <w:r w:rsidR="00B51F3A">
              <w:rPr>
                <w:noProof/>
                <w:webHidden/>
              </w:rPr>
              <w:t>3</w:t>
            </w:r>
            <w:r w:rsidR="00CF45C6">
              <w:rPr>
                <w:noProof/>
                <w:webHidden/>
              </w:rPr>
              <w:fldChar w:fldCharType="end"/>
            </w:r>
          </w:hyperlink>
        </w:p>
        <w:p w:rsidR="00CF45C6" w:rsidRDefault="00016B31">
          <w:pPr>
            <w:pStyle w:val="TOC1"/>
            <w:rPr>
              <w:rFonts w:asciiTheme="minorHAnsi" w:eastAsiaTheme="minorEastAsia" w:hAnsiTheme="minorHAnsi" w:cstheme="minorBidi"/>
              <w:caps w:val="0"/>
              <w:noProof/>
              <w:sz w:val="22"/>
              <w:szCs w:val="22"/>
              <w:lang w:eastAsia="en-GB"/>
            </w:rPr>
          </w:pPr>
          <w:hyperlink w:anchor="_Toc443553290" w:history="1">
            <w:r w:rsidR="00CF45C6" w:rsidRPr="00656DE7">
              <w:rPr>
                <w:rStyle w:val="Hyperlink"/>
                <w:noProof/>
              </w:rPr>
              <w:t>2.</w:t>
            </w:r>
            <w:r w:rsidR="00CF45C6">
              <w:rPr>
                <w:rFonts w:asciiTheme="minorHAnsi" w:eastAsiaTheme="minorEastAsia" w:hAnsiTheme="minorHAnsi" w:cstheme="minorBidi"/>
                <w:caps w:val="0"/>
                <w:noProof/>
                <w:sz w:val="22"/>
                <w:szCs w:val="22"/>
                <w:lang w:eastAsia="en-GB"/>
              </w:rPr>
              <w:tab/>
            </w:r>
            <w:r w:rsidR="00CF45C6" w:rsidRPr="00656DE7">
              <w:rPr>
                <w:rStyle w:val="Hyperlink"/>
                <w:noProof/>
              </w:rPr>
              <w:t>Background</w:t>
            </w:r>
            <w:r w:rsidR="00CF45C6">
              <w:rPr>
                <w:noProof/>
                <w:webHidden/>
              </w:rPr>
              <w:tab/>
            </w:r>
            <w:r w:rsidR="00CF45C6">
              <w:rPr>
                <w:noProof/>
                <w:webHidden/>
              </w:rPr>
              <w:fldChar w:fldCharType="begin"/>
            </w:r>
            <w:r w:rsidR="00CF45C6">
              <w:rPr>
                <w:noProof/>
                <w:webHidden/>
              </w:rPr>
              <w:instrText xml:space="preserve"> PAGEREF _Toc443553290 \h </w:instrText>
            </w:r>
            <w:r w:rsidR="00CF45C6">
              <w:rPr>
                <w:noProof/>
                <w:webHidden/>
              </w:rPr>
            </w:r>
            <w:r w:rsidR="00CF45C6">
              <w:rPr>
                <w:noProof/>
                <w:webHidden/>
              </w:rPr>
              <w:fldChar w:fldCharType="separate"/>
            </w:r>
            <w:r w:rsidR="00B51F3A">
              <w:rPr>
                <w:noProof/>
                <w:webHidden/>
              </w:rPr>
              <w:t>3</w:t>
            </w:r>
            <w:r w:rsidR="00CF45C6">
              <w:rPr>
                <w:noProof/>
                <w:webHidden/>
              </w:rPr>
              <w:fldChar w:fldCharType="end"/>
            </w:r>
          </w:hyperlink>
        </w:p>
        <w:p w:rsidR="00CF45C6" w:rsidRDefault="00016B31">
          <w:pPr>
            <w:pStyle w:val="TOC1"/>
            <w:rPr>
              <w:rFonts w:asciiTheme="minorHAnsi" w:eastAsiaTheme="minorEastAsia" w:hAnsiTheme="minorHAnsi" w:cstheme="minorBidi"/>
              <w:caps w:val="0"/>
              <w:noProof/>
              <w:sz w:val="22"/>
              <w:szCs w:val="22"/>
              <w:lang w:eastAsia="en-GB"/>
            </w:rPr>
          </w:pPr>
          <w:hyperlink w:anchor="_Toc443553291" w:history="1">
            <w:r w:rsidR="00CF45C6" w:rsidRPr="00656DE7">
              <w:rPr>
                <w:rStyle w:val="Hyperlink"/>
                <w:noProof/>
              </w:rPr>
              <w:t>3.</w:t>
            </w:r>
            <w:r w:rsidR="00CF45C6">
              <w:rPr>
                <w:rFonts w:asciiTheme="minorHAnsi" w:eastAsiaTheme="minorEastAsia" w:hAnsiTheme="minorHAnsi" w:cstheme="minorBidi"/>
                <w:caps w:val="0"/>
                <w:noProof/>
                <w:sz w:val="22"/>
                <w:szCs w:val="22"/>
                <w:lang w:eastAsia="en-GB"/>
              </w:rPr>
              <w:tab/>
            </w:r>
            <w:r w:rsidR="00CF45C6" w:rsidRPr="00656DE7">
              <w:rPr>
                <w:rStyle w:val="Hyperlink"/>
                <w:noProof/>
              </w:rPr>
              <w:t>Selection of bodies implementing financial instruments</w:t>
            </w:r>
            <w:r w:rsidR="00CF45C6">
              <w:rPr>
                <w:noProof/>
                <w:webHidden/>
              </w:rPr>
              <w:tab/>
            </w:r>
            <w:r w:rsidR="00CF45C6">
              <w:rPr>
                <w:noProof/>
                <w:webHidden/>
              </w:rPr>
              <w:fldChar w:fldCharType="begin"/>
            </w:r>
            <w:r w:rsidR="00CF45C6">
              <w:rPr>
                <w:noProof/>
                <w:webHidden/>
              </w:rPr>
              <w:instrText xml:space="preserve"> PAGEREF _Toc443553291 \h </w:instrText>
            </w:r>
            <w:r w:rsidR="00CF45C6">
              <w:rPr>
                <w:noProof/>
                <w:webHidden/>
              </w:rPr>
            </w:r>
            <w:r w:rsidR="00CF45C6">
              <w:rPr>
                <w:noProof/>
                <w:webHidden/>
              </w:rPr>
              <w:fldChar w:fldCharType="separate"/>
            </w:r>
            <w:r w:rsidR="00B51F3A">
              <w:rPr>
                <w:noProof/>
                <w:webHidden/>
              </w:rPr>
              <w:t>5</w:t>
            </w:r>
            <w:r w:rsidR="00CF45C6">
              <w:rPr>
                <w:noProof/>
                <w:webHidden/>
              </w:rPr>
              <w:fldChar w:fldCharType="end"/>
            </w:r>
          </w:hyperlink>
        </w:p>
        <w:p w:rsidR="00CF45C6" w:rsidRDefault="00016B31">
          <w:pPr>
            <w:pStyle w:val="TOC2"/>
            <w:tabs>
              <w:tab w:val="left" w:pos="1077"/>
            </w:tabs>
            <w:rPr>
              <w:rFonts w:asciiTheme="minorHAnsi" w:eastAsiaTheme="minorEastAsia" w:hAnsiTheme="minorHAnsi" w:cstheme="minorBidi"/>
              <w:noProof/>
              <w:sz w:val="22"/>
              <w:szCs w:val="22"/>
              <w:lang w:eastAsia="en-GB"/>
            </w:rPr>
          </w:pPr>
          <w:hyperlink w:anchor="_Toc443553292" w:history="1">
            <w:r w:rsidR="00CF45C6" w:rsidRPr="00656DE7">
              <w:rPr>
                <w:rStyle w:val="Hyperlink"/>
                <w:noProof/>
                <w:lang w:val="en-US"/>
              </w:rPr>
              <w:t>3.1.</w:t>
            </w:r>
            <w:r w:rsidR="00CF45C6">
              <w:rPr>
                <w:rFonts w:asciiTheme="minorHAnsi" w:eastAsiaTheme="minorEastAsia" w:hAnsiTheme="minorHAnsi" w:cstheme="minorBidi"/>
                <w:noProof/>
                <w:sz w:val="22"/>
                <w:szCs w:val="22"/>
                <w:lang w:eastAsia="en-GB"/>
              </w:rPr>
              <w:tab/>
            </w:r>
            <w:r w:rsidR="00CF45C6" w:rsidRPr="00656DE7">
              <w:rPr>
                <w:rStyle w:val="Hyperlink"/>
                <w:noProof/>
                <w:lang w:val="en-US"/>
              </w:rPr>
              <w:t>Selection in accordance with public procurement rules and principles</w:t>
            </w:r>
            <w:r w:rsidR="00CF45C6">
              <w:rPr>
                <w:noProof/>
                <w:webHidden/>
              </w:rPr>
              <w:tab/>
            </w:r>
            <w:r w:rsidR="00CF45C6">
              <w:rPr>
                <w:noProof/>
                <w:webHidden/>
              </w:rPr>
              <w:fldChar w:fldCharType="begin"/>
            </w:r>
            <w:r w:rsidR="00CF45C6">
              <w:rPr>
                <w:noProof/>
                <w:webHidden/>
              </w:rPr>
              <w:instrText xml:space="preserve"> PAGEREF _Toc443553292 \h </w:instrText>
            </w:r>
            <w:r w:rsidR="00CF45C6">
              <w:rPr>
                <w:noProof/>
                <w:webHidden/>
              </w:rPr>
            </w:r>
            <w:r w:rsidR="00CF45C6">
              <w:rPr>
                <w:noProof/>
                <w:webHidden/>
              </w:rPr>
              <w:fldChar w:fldCharType="separate"/>
            </w:r>
            <w:r w:rsidR="00B51F3A">
              <w:rPr>
                <w:noProof/>
                <w:webHidden/>
              </w:rPr>
              <w:t>5</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293" w:history="1">
            <w:r w:rsidR="00CF45C6" w:rsidRPr="00656DE7">
              <w:rPr>
                <w:rStyle w:val="Hyperlink"/>
                <w:noProof/>
              </w:rPr>
              <w:t>3.1.1.</w:t>
            </w:r>
            <w:r w:rsidR="00CF45C6">
              <w:rPr>
                <w:rFonts w:asciiTheme="minorHAnsi" w:eastAsiaTheme="minorEastAsia" w:hAnsiTheme="minorHAnsi" w:cstheme="minorBidi"/>
                <w:noProof/>
                <w:sz w:val="22"/>
                <w:szCs w:val="22"/>
                <w:lang w:eastAsia="en-GB"/>
              </w:rPr>
              <w:tab/>
            </w:r>
            <w:r w:rsidR="00CF45C6" w:rsidRPr="00656DE7">
              <w:rPr>
                <w:rStyle w:val="Hyperlink"/>
                <w:noProof/>
              </w:rPr>
              <w:t>Selection in accordance with the provisions of Directive 2004/18/EC or Directive 2014/24/EU</w:t>
            </w:r>
            <w:r w:rsidR="00CF45C6">
              <w:rPr>
                <w:noProof/>
                <w:webHidden/>
              </w:rPr>
              <w:tab/>
            </w:r>
            <w:r w:rsidR="00CF45C6">
              <w:rPr>
                <w:noProof/>
                <w:webHidden/>
              </w:rPr>
              <w:fldChar w:fldCharType="begin"/>
            </w:r>
            <w:r w:rsidR="00CF45C6">
              <w:rPr>
                <w:noProof/>
                <w:webHidden/>
              </w:rPr>
              <w:instrText xml:space="preserve"> PAGEREF _Toc443553293 \h </w:instrText>
            </w:r>
            <w:r w:rsidR="00CF45C6">
              <w:rPr>
                <w:noProof/>
                <w:webHidden/>
              </w:rPr>
            </w:r>
            <w:r w:rsidR="00CF45C6">
              <w:rPr>
                <w:noProof/>
                <w:webHidden/>
              </w:rPr>
              <w:fldChar w:fldCharType="separate"/>
            </w:r>
            <w:r w:rsidR="00B51F3A">
              <w:rPr>
                <w:noProof/>
                <w:webHidden/>
              </w:rPr>
              <w:t>6</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294" w:history="1">
            <w:r w:rsidR="00CF45C6" w:rsidRPr="00656DE7">
              <w:rPr>
                <w:rStyle w:val="Hyperlink"/>
                <w:noProof/>
              </w:rPr>
              <w:t>3.1.2.</w:t>
            </w:r>
            <w:r w:rsidR="00CF45C6">
              <w:rPr>
                <w:rFonts w:asciiTheme="minorHAnsi" w:eastAsiaTheme="minorEastAsia" w:hAnsiTheme="minorHAnsi" w:cstheme="minorBidi"/>
                <w:noProof/>
                <w:sz w:val="22"/>
                <w:szCs w:val="22"/>
                <w:lang w:eastAsia="en-GB"/>
              </w:rPr>
              <w:tab/>
            </w:r>
            <w:r w:rsidR="00CF45C6" w:rsidRPr="00656DE7">
              <w:rPr>
                <w:rStyle w:val="Hyperlink"/>
                <w:noProof/>
              </w:rPr>
              <w:t>Below the thresholds of the Directive: selection in accordance with the principles of the Treaty</w:t>
            </w:r>
            <w:r w:rsidR="00CF45C6">
              <w:rPr>
                <w:noProof/>
                <w:webHidden/>
              </w:rPr>
              <w:tab/>
            </w:r>
            <w:r w:rsidR="00CF45C6">
              <w:rPr>
                <w:noProof/>
                <w:webHidden/>
              </w:rPr>
              <w:fldChar w:fldCharType="begin"/>
            </w:r>
            <w:r w:rsidR="00CF45C6">
              <w:rPr>
                <w:noProof/>
                <w:webHidden/>
              </w:rPr>
              <w:instrText xml:space="preserve"> PAGEREF _Toc443553294 \h </w:instrText>
            </w:r>
            <w:r w:rsidR="00CF45C6">
              <w:rPr>
                <w:noProof/>
                <w:webHidden/>
              </w:rPr>
            </w:r>
            <w:r w:rsidR="00CF45C6">
              <w:rPr>
                <w:noProof/>
                <w:webHidden/>
              </w:rPr>
              <w:fldChar w:fldCharType="separate"/>
            </w:r>
            <w:r w:rsidR="00B51F3A">
              <w:rPr>
                <w:noProof/>
                <w:webHidden/>
              </w:rPr>
              <w:t>10</w:t>
            </w:r>
            <w:r w:rsidR="00CF45C6">
              <w:rPr>
                <w:noProof/>
                <w:webHidden/>
              </w:rPr>
              <w:fldChar w:fldCharType="end"/>
            </w:r>
          </w:hyperlink>
        </w:p>
        <w:p w:rsidR="00CF45C6" w:rsidRDefault="00016B31">
          <w:pPr>
            <w:pStyle w:val="TOC2"/>
            <w:tabs>
              <w:tab w:val="left" w:pos="1077"/>
            </w:tabs>
            <w:rPr>
              <w:rFonts w:asciiTheme="minorHAnsi" w:eastAsiaTheme="minorEastAsia" w:hAnsiTheme="minorHAnsi" w:cstheme="minorBidi"/>
              <w:noProof/>
              <w:sz w:val="22"/>
              <w:szCs w:val="22"/>
              <w:lang w:eastAsia="en-GB"/>
            </w:rPr>
          </w:pPr>
          <w:hyperlink w:anchor="_Toc443553295" w:history="1">
            <w:r w:rsidR="00CF45C6" w:rsidRPr="00656DE7">
              <w:rPr>
                <w:rStyle w:val="Hyperlink"/>
                <w:noProof/>
                <w:lang w:val="en-US"/>
              </w:rPr>
              <w:t>3.2.</w:t>
            </w:r>
            <w:r w:rsidR="00CF45C6">
              <w:rPr>
                <w:rFonts w:asciiTheme="minorHAnsi" w:eastAsiaTheme="minorEastAsia" w:hAnsiTheme="minorHAnsi" w:cstheme="minorBidi"/>
                <w:noProof/>
                <w:sz w:val="22"/>
                <w:szCs w:val="22"/>
                <w:lang w:eastAsia="en-GB"/>
              </w:rPr>
              <w:tab/>
            </w:r>
            <w:r w:rsidR="00CF45C6" w:rsidRPr="00656DE7">
              <w:rPr>
                <w:rStyle w:val="Hyperlink"/>
                <w:noProof/>
                <w:lang w:val="en-US"/>
              </w:rPr>
              <w:t>Designation of the EIB</w:t>
            </w:r>
            <w:r w:rsidR="00CF45C6">
              <w:rPr>
                <w:noProof/>
                <w:webHidden/>
              </w:rPr>
              <w:tab/>
            </w:r>
            <w:r w:rsidR="00CF45C6">
              <w:rPr>
                <w:noProof/>
                <w:webHidden/>
              </w:rPr>
              <w:fldChar w:fldCharType="begin"/>
            </w:r>
            <w:r w:rsidR="00CF45C6">
              <w:rPr>
                <w:noProof/>
                <w:webHidden/>
              </w:rPr>
              <w:instrText xml:space="preserve"> PAGEREF _Toc443553295 \h </w:instrText>
            </w:r>
            <w:r w:rsidR="00CF45C6">
              <w:rPr>
                <w:noProof/>
                <w:webHidden/>
              </w:rPr>
            </w:r>
            <w:r w:rsidR="00CF45C6">
              <w:rPr>
                <w:noProof/>
                <w:webHidden/>
              </w:rPr>
              <w:fldChar w:fldCharType="separate"/>
            </w:r>
            <w:r w:rsidR="00B51F3A">
              <w:rPr>
                <w:noProof/>
                <w:webHidden/>
              </w:rPr>
              <w:t>10</w:t>
            </w:r>
            <w:r w:rsidR="00CF45C6">
              <w:rPr>
                <w:noProof/>
                <w:webHidden/>
              </w:rPr>
              <w:fldChar w:fldCharType="end"/>
            </w:r>
          </w:hyperlink>
        </w:p>
        <w:p w:rsidR="00CF45C6" w:rsidRDefault="00016B31">
          <w:pPr>
            <w:pStyle w:val="TOC2"/>
            <w:tabs>
              <w:tab w:val="left" w:pos="1077"/>
            </w:tabs>
            <w:rPr>
              <w:rFonts w:asciiTheme="minorHAnsi" w:eastAsiaTheme="minorEastAsia" w:hAnsiTheme="minorHAnsi" w:cstheme="minorBidi"/>
              <w:noProof/>
              <w:sz w:val="22"/>
              <w:szCs w:val="22"/>
              <w:lang w:eastAsia="en-GB"/>
            </w:rPr>
          </w:pPr>
          <w:hyperlink w:anchor="_Toc443553296" w:history="1">
            <w:r w:rsidR="00CF45C6" w:rsidRPr="00656DE7">
              <w:rPr>
                <w:rStyle w:val="Hyperlink"/>
                <w:noProof/>
                <w:lang w:val="en-US"/>
              </w:rPr>
              <w:t>3.3.</w:t>
            </w:r>
            <w:r w:rsidR="00CF45C6">
              <w:rPr>
                <w:rFonts w:asciiTheme="minorHAnsi" w:eastAsiaTheme="minorEastAsia" w:hAnsiTheme="minorHAnsi" w:cstheme="minorBidi"/>
                <w:noProof/>
                <w:sz w:val="22"/>
                <w:szCs w:val="22"/>
                <w:lang w:eastAsia="en-GB"/>
              </w:rPr>
              <w:tab/>
            </w:r>
            <w:r w:rsidR="00CF45C6" w:rsidRPr="00656DE7">
              <w:rPr>
                <w:rStyle w:val="Hyperlink"/>
                <w:noProof/>
                <w:lang w:val="en-US"/>
              </w:rPr>
              <w:t>Designation of the EIF</w:t>
            </w:r>
            <w:r w:rsidR="00CF45C6">
              <w:rPr>
                <w:noProof/>
                <w:webHidden/>
              </w:rPr>
              <w:tab/>
            </w:r>
            <w:r w:rsidR="00CF45C6">
              <w:rPr>
                <w:noProof/>
                <w:webHidden/>
              </w:rPr>
              <w:fldChar w:fldCharType="begin"/>
            </w:r>
            <w:r w:rsidR="00CF45C6">
              <w:rPr>
                <w:noProof/>
                <w:webHidden/>
              </w:rPr>
              <w:instrText xml:space="preserve"> PAGEREF _Toc443553296 \h </w:instrText>
            </w:r>
            <w:r w:rsidR="00CF45C6">
              <w:rPr>
                <w:noProof/>
                <w:webHidden/>
              </w:rPr>
            </w:r>
            <w:r w:rsidR="00CF45C6">
              <w:rPr>
                <w:noProof/>
                <w:webHidden/>
              </w:rPr>
              <w:fldChar w:fldCharType="separate"/>
            </w:r>
            <w:r w:rsidR="00B51F3A">
              <w:rPr>
                <w:noProof/>
                <w:webHidden/>
              </w:rPr>
              <w:t>11</w:t>
            </w:r>
            <w:r w:rsidR="00CF45C6">
              <w:rPr>
                <w:noProof/>
                <w:webHidden/>
              </w:rPr>
              <w:fldChar w:fldCharType="end"/>
            </w:r>
          </w:hyperlink>
        </w:p>
        <w:p w:rsidR="00CF45C6" w:rsidRDefault="00016B31">
          <w:pPr>
            <w:pStyle w:val="TOC2"/>
            <w:tabs>
              <w:tab w:val="left" w:pos="1077"/>
            </w:tabs>
            <w:rPr>
              <w:rFonts w:asciiTheme="minorHAnsi" w:eastAsiaTheme="minorEastAsia" w:hAnsiTheme="minorHAnsi" w:cstheme="minorBidi"/>
              <w:noProof/>
              <w:sz w:val="22"/>
              <w:szCs w:val="22"/>
              <w:lang w:eastAsia="en-GB"/>
            </w:rPr>
          </w:pPr>
          <w:hyperlink w:anchor="_Toc443553297" w:history="1">
            <w:r w:rsidR="00CF45C6" w:rsidRPr="00656DE7">
              <w:rPr>
                <w:rStyle w:val="Hyperlink"/>
                <w:noProof/>
                <w:lang w:val="en-US"/>
              </w:rPr>
              <w:t>3.4.</w:t>
            </w:r>
            <w:r w:rsidR="00CF45C6">
              <w:rPr>
                <w:rFonts w:asciiTheme="minorHAnsi" w:eastAsiaTheme="minorEastAsia" w:hAnsiTheme="minorHAnsi" w:cstheme="minorBidi"/>
                <w:noProof/>
                <w:sz w:val="22"/>
                <w:szCs w:val="22"/>
                <w:lang w:eastAsia="en-GB"/>
              </w:rPr>
              <w:tab/>
            </w:r>
            <w:r w:rsidR="00CF45C6" w:rsidRPr="00656DE7">
              <w:rPr>
                <w:rStyle w:val="Hyperlink"/>
                <w:noProof/>
                <w:lang w:val="en-US"/>
              </w:rPr>
              <w:t>Designation of an international financial institution</w:t>
            </w:r>
            <w:r w:rsidR="00CF45C6">
              <w:rPr>
                <w:noProof/>
                <w:webHidden/>
              </w:rPr>
              <w:tab/>
            </w:r>
            <w:r w:rsidR="00CF45C6">
              <w:rPr>
                <w:noProof/>
                <w:webHidden/>
              </w:rPr>
              <w:fldChar w:fldCharType="begin"/>
            </w:r>
            <w:r w:rsidR="00CF45C6">
              <w:rPr>
                <w:noProof/>
                <w:webHidden/>
              </w:rPr>
              <w:instrText xml:space="preserve"> PAGEREF _Toc443553297 \h </w:instrText>
            </w:r>
            <w:r w:rsidR="00CF45C6">
              <w:rPr>
                <w:noProof/>
                <w:webHidden/>
              </w:rPr>
            </w:r>
            <w:r w:rsidR="00CF45C6">
              <w:rPr>
                <w:noProof/>
                <w:webHidden/>
              </w:rPr>
              <w:fldChar w:fldCharType="separate"/>
            </w:r>
            <w:r w:rsidR="00B51F3A">
              <w:rPr>
                <w:noProof/>
                <w:webHidden/>
              </w:rPr>
              <w:t>12</w:t>
            </w:r>
            <w:r w:rsidR="00CF45C6">
              <w:rPr>
                <w:noProof/>
                <w:webHidden/>
              </w:rPr>
              <w:fldChar w:fldCharType="end"/>
            </w:r>
          </w:hyperlink>
        </w:p>
        <w:p w:rsidR="00CF45C6" w:rsidRDefault="00016B31">
          <w:pPr>
            <w:pStyle w:val="TOC2"/>
            <w:tabs>
              <w:tab w:val="left" w:pos="1077"/>
            </w:tabs>
            <w:rPr>
              <w:rFonts w:asciiTheme="minorHAnsi" w:eastAsiaTheme="minorEastAsia" w:hAnsiTheme="minorHAnsi" w:cstheme="minorBidi"/>
              <w:noProof/>
              <w:sz w:val="22"/>
              <w:szCs w:val="22"/>
              <w:lang w:eastAsia="en-GB"/>
            </w:rPr>
          </w:pPr>
          <w:hyperlink w:anchor="_Toc443553298" w:history="1">
            <w:r w:rsidR="00CF45C6" w:rsidRPr="00656DE7">
              <w:rPr>
                <w:rStyle w:val="Hyperlink"/>
                <w:noProof/>
                <w:lang w:val="en-US"/>
              </w:rPr>
              <w:t>3.5.</w:t>
            </w:r>
            <w:r w:rsidR="00CF45C6">
              <w:rPr>
                <w:rFonts w:asciiTheme="minorHAnsi" w:eastAsiaTheme="minorEastAsia" w:hAnsiTheme="minorHAnsi" w:cstheme="minorBidi"/>
                <w:noProof/>
                <w:sz w:val="22"/>
                <w:szCs w:val="22"/>
                <w:lang w:eastAsia="en-GB"/>
              </w:rPr>
              <w:tab/>
            </w:r>
            <w:r w:rsidR="00CF45C6" w:rsidRPr="00656DE7">
              <w:rPr>
                <w:rStyle w:val="Hyperlink"/>
                <w:noProof/>
                <w:lang w:val="en-US"/>
              </w:rPr>
              <w:t>In-house award</w:t>
            </w:r>
            <w:r w:rsidR="00CF45C6">
              <w:rPr>
                <w:noProof/>
                <w:webHidden/>
              </w:rPr>
              <w:tab/>
            </w:r>
            <w:r w:rsidR="00CF45C6">
              <w:rPr>
                <w:noProof/>
                <w:webHidden/>
              </w:rPr>
              <w:fldChar w:fldCharType="begin"/>
            </w:r>
            <w:r w:rsidR="00CF45C6">
              <w:rPr>
                <w:noProof/>
                <w:webHidden/>
              </w:rPr>
              <w:instrText xml:space="preserve"> PAGEREF _Toc443553298 \h </w:instrText>
            </w:r>
            <w:r w:rsidR="00CF45C6">
              <w:rPr>
                <w:noProof/>
                <w:webHidden/>
              </w:rPr>
            </w:r>
            <w:r w:rsidR="00CF45C6">
              <w:rPr>
                <w:noProof/>
                <w:webHidden/>
              </w:rPr>
              <w:fldChar w:fldCharType="separate"/>
            </w:r>
            <w:r w:rsidR="00B51F3A">
              <w:rPr>
                <w:noProof/>
                <w:webHidden/>
              </w:rPr>
              <w:t>13</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299" w:history="1">
            <w:r w:rsidR="00CF45C6" w:rsidRPr="00656DE7">
              <w:rPr>
                <w:rStyle w:val="Hyperlink"/>
                <w:noProof/>
              </w:rPr>
              <w:t>3.5.1.</w:t>
            </w:r>
            <w:r w:rsidR="00CF45C6">
              <w:rPr>
                <w:rFonts w:asciiTheme="minorHAnsi" w:eastAsiaTheme="minorEastAsia" w:hAnsiTheme="minorHAnsi" w:cstheme="minorBidi"/>
                <w:noProof/>
                <w:sz w:val="22"/>
                <w:szCs w:val="22"/>
                <w:lang w:eastAsia="en-GB"/>
              </w:rPr>
              <w:tab/>
            </w:r>
            <w:r w:rsidR="00CF45C6" w:rsidRPr="00656DE7">
              <w:rPr>
                <w:rStyle w:val="Hyperlink"/>
                <w:noProof/>
              </w:rPr>
              <w:t>Conditions for award to in-house entities until Directive 2014/24/EU is transposed or until 18 April 2016 whatever is earlier</w:t>
            </w:r>
            <w:r w:rsidR="00CF45C6">
              <w:rPr>
                <w:noProof/>
                <w:webHidden/>
              </w:rPr>
              <w:tab/>
            </w:r>
            <w:r w:rsidR="00CF45C6">
              <w:rPr>
                <w:noProof/>
                <w:webHidden/>
              </w:rPr>
              <w:fldChar w:fldCharType="begin"/>
            </w:r>
            <w:r w:rsidR="00CF45C6">
              <w:rPr>
                <w:noProof/>
                <w:webHidden/>
              </w:rPr>
              <w:instrText xml:space="preserve"> PAGEREF _Toc443553299 \h </w:instrText>
            </w:r>
            <w:r w:rsidR="00CF45C6">
              <w:rPr>
                <w:noProof/>
                <w:webHidden/>
              </w:rPr>
            </w:r>
            <w:r w:rsidR="00CF45C6">
              <w:rPr>
                <w:noProof/>
                <w:webHidden/>
              </w:rPr>
              <w:fldChar w:fldCharType="separate"/>
            </w:r>
            <w:r w:rsidR="00B51F3A">
              <w:rPr>
                <w:noProof/>
                <w:webHidden/>
              </w:rPr>
              <w:t>13</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300" w:history="1">
            <w:r w:rsidR="00CF45C6" w:rsidRPr="00656DE7">
              <w:rPr>
                <w:rStyle w:val="Hyperlink"/>
                <w:noProof/>
              </w:rPr>
              <w:t>3.5.2.</w:t>
            </w:r>
            <w:r w:rsidR="00CF45C6">
              <w:rPr>
                <w:rFonts w:asciiTheme="minorHAnsi" w:eastAsiaTheme="minorEastAsia" w:hAnsiTheme="minorHAnsi" w:cstheme="minorBidi"/>
                <w:noProof/>
                <w:sz w:val="22"/>
                <w:szCs w:val="22"/>
                <w:lang w:eastAsia="en-GB"/>
              </w:rPr>
              <w:tab/>
            </w:r>
            <w:r w:rsidR="00CF45C6" w:rsidRPr="00656DE7">
              <w:rPr>
                <w:rStyle w:val="Hyperlink"/>
                <w:noProof/>
              </w:rPr>
              <w:t>Conditions for award to in-house entities after transposition of Directive 2014/24/EU (Article 12 of Directive 2014/24/EU) or after 18 April 2016</w:t>
            </w:r>
            <w:r w:rsidR="00CF45C6">
              <w:rPr>
                <w:noProof/>
                <w:webHidden/>
              </w:rPr>
              <w:tab/>
            </w:r>
            <w:r w:rsidR="00CF45C6">
              <w:rPr>
                <w:noProof/>
                <w:webHidden/>
              </w:rPr>
              <w:fldChar w:fldCharType="begin"/>
            </w:r>
            <w:r w:rsidR="00CF45C6">
              <w:rPr>
                <w:noProof/>
                <w:webHidden/>
              </w:rPr>
              <w:instrText xml:space="preserve"> PAGEREF _Toc443553300 \h </w:instrText>
            </w:r>
            <w:r w:rsidR="00CF45C6">
              <w:rPr>
                <w:noProof/>
                <w:webHidden/>
              </w:rPr>
            </w:r>
            <w:r w:rsidR="00CF45C6">
              <w:rPr>
                <w:noProof/>
                <w:webHidden/>
              </w:rPr>
              <w:fldChar w:fldCharType="separate"/>
            </w:r>
            <w:r w:rsidR="00B51F3A">
              <w:rPr>
                <w:noProof/>
                <w:webHidden/>
              </w:rPr>
              <w:t>17</w:t>
            </w:r>
            <w:r w:rsidR="00CF45C6">
              <w:rPr>
                <w:noProof/>
                <w:webHidden/>
              </w:rPr>
              <w:fldChar w:fldCharType="end"/>
            </w:r>
          </w:hyperlink>
        </w:p>
        <w:p w:rsidR="00CF45C6" w:rsidRDefault="00016B31">
          <w:pPr>
            <w:pStyle w:val="TOC2"/>
            <w:tabs>
              <w:tab w:val="left" w:pos="1077"/>
            </w:tabs>
            <w:rPr>
              <w:rFonts w:asciiTheme="minorHAnsi" w:eastAsiaTheme="minorEastAsia" w:hAnsiTheme="minorHAnsi" w:cstheme="minorBidi"/>
              <w:noProof/>
              <w:sz w:val="22"/>
              <w:szCs w:val="22"/>
              <w:lang w:eastAsia="en-GB"/>
            </w:rPr>
          </w:pPr>
          <w:hyperlink w:anchor="_Toc443553301" w:history="1">
            <w:r w:rsidR="00CF45C6" w:rsidRPr="00656DE7">
              <w:rPr>
                <w:rStyle w:val="Hyperlink"/>
                <w:noProof/>
                <w:lang w:val="en-US"/>
              </w:rPr>
              <w:t>3.6.</w:t>
            </w:r>
            <w:r w:rsidR="00CF45C6">
              <w:rPr>
                <w:rFonts w:asciiTheme="minorHAnsi" w:eastAsiaTheme="minorEastAsia" w:hAnsiTheme="minorHAnsi" w:cstheme="minorBidi"/>
                <w:noProof/>
                <w:sz w:val="22"/>
                <w:szCs w:val="22"/>
                <w:lang w:eastAsia="en-GB"/>
              </w:rPr>
              <w:tab/>
            </w:r>
            <w:r w:rsidR="00CF45C6" w:rsidRPr="00656DE7">
              <w:rPr>
                <w:rStyle w:val="Hyperlink"/>
                <w:noProof/>
                <w:lang w:val="en-US"/>
              </w:rPr>
              <w:t>Inter-administrative cooperation</w:t>
            </w:r>
            <w:r w:rsidR="00CF45C6">
              <w:rPr>
                <w:noProof/>
                <w:webHidden/>
              </w:rPr>
              <w:tab/>
            </w:r>
            <w:r w:rsidR="00CF45C6">
              <w:rPr>
                <w:noProof/>
                <w:webHidden/>
              </w:rPr>
              <w:fldChar w:fldCharType="begin"/>
            </w:r>
            <w:r w:rsidR="00CF45C6">
              <w:rPr>
                <w:noProof/>
                <w:webHidden/>
              </w:rPr>
              <w:instrText xml:space="preserve"> PAGEREF _Toc443553301 \h </w:instrText>
            </w:r>
            <w:r w:rsidR="00CF45C6">
              <w:rPr>
                <w:noProof/>
                <w:webHidden/>
              </w:rPr>
            </w:r>
            <w:r w:rsidR="00CF45C6">
              <w:rPr>
                <w:noProof/>
                <w:webHidden/>
              </w:rPr>
              <w:fldChar w:fldCharType="separate"/>
            </w:r>
            <w:r w:rsidR="00B51F3A">
              <w:rPr>
                <w:noProof/>
                <w:webHidden/>
              </w:rPr>
              <w:t>20</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302" w:history="1">
            <w:r w:rsidR="00CF45C6" w:rsidRPr="00656DE7">
              <w:rPr>
                <w:rStyle w:val="Hyperlink"/>
                <w:noProof/>
              </w:rPr>
              <w:t>3.6.1.</w:t>
            </w:r>
            <w:r w:rsidR="00CF45C6">
              <w:rPr>
                <w:rFonts w:asciiTheme="minorHAnsi" w:eastAsiaTheme="minorEastAsia" w:hAnsiTheme="minorHAnsi" w:cstheme="minorBidi"/>
                <w:noProof/>
                <w:sz w:val="22"/>
                <w:szCs w:val="22"/>
                <w:lang w:eastAsia="en-GB"/>
              </w:rPr>
              <w:tab/>
            </w:r>
            <w:r w:rsidR="00CF45C6" w:rsidRPr="00656DE7">
              <w:rPr>
                <w:rStyle w:val="Hyperlink"/>
                <w:noProof/>
              </w:rPr>
              <w:t>Conditions for inter-administrative cooperation until Directive 2014/24/EU is transposed or until 18 April 2016 whatever is earlier</w:t>
            </w:r>
            <w:r w:rsidR="00CF45C6">
              <w:rPr>
                <w:noProof/>
                <w:webHidden/>
              </w:rPr>
              <w:tab/>
            </w:r>
            <w:r w:rsidR="00CF45C6">
              <w:rPr>
                <w:noProof/>
                <w:webHidden/>
              </w:rPr>
              <w:fldChar w:fldCharType="begin"/>
            </w:r>
            <w:r w:rsidR="00CF45C6">
              <w:rPr>
                <w:noProof/>
                <w:webHidden/>
              </w:rPr>
              <w:instrText xml:space="preserve"> PAGEREF _Toc443553302 \h </w:instrText>
            </w:r>
            <w:r w:rsidR="00CF45C6">
              <w:rPr>
                <w:noProof/>
                <w:webHidden/>
              </w:rPr>
            </w:r>
            <w:r w:rsidR="00CF45C6">
              <w:rPr>
                <w:noProof/>
                <w:webHidden/>
              </w:rPr>
              <w:fldChar w:fldCharType="separate"/>
            </w:r>
            <w:r w:rsidR="00B51F3A">
              <w:rPr>
                <w:noProof/>
                <w:webHidden/>
              </w:rPr>
              <w:t>21</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303" w:history="1">
            <w:r w:rsidR="00CF45C6" w:rsidRPr="00656DE7">
              <w:rPr>
                <w:rStyle w:val="Hyperlink"/>
                <w:noProof/>
              </w:rPr>
              <w:t>3.6.2.</w:t>
            </w:r>
            <w:r w:rsidR="00CF45C6">
              <w:rPr>
                <w:rFonts w:asciiTheme="minorHAnsi" w:eastAsiaTheme="minorEastAsia" w:hAnsiTheme="minorHAnsi" w:cstheme="minorBidi"/>
                <w:noProof/>
                <w:sz w:val="22"/>
                <w:szCs w:val="22"/>
                <w:lang w:eastAsia="en-GB"/>
              </w:rPr>
              <w:tab/>
            </w:r>
            <w:r w:rsidR="00CF45C6" w:rsidRPr="00656DE7">
              <w:rPr>
                <w:rStyle w:val="Hyperlink"/>
                <w:noProof/>
              </w:rPr>
              <w:t>Conditions for Inter-administrative cooperation after transposition of Directive 2014/24/EU or after 18 April 2016</w:t>
            </w:r>
            <w:r w:rsidR="00CF45C6">
              <w:rPr>
                <w:noProof/>
                <w:webHidden/>
              </w:rPr>
              <w:tab/>
            </w:r>
            <w:r w:rsidR="00CF45C6">
              <w:rPr>
                <w:noProof/>
                <w:webHidden/>
              </w:rPr>
              <w:fldChar w:fldCharType="begin"/>
            </w:r>
            <w:r w:rsidR="00CF45C6">
              <w:rPr>
                <w:noProof/>
                <w:webHidden/>
              </w:rPr>
              <w:instrText xml:space="preserve"> PAGEREF _Toc443553303 \h </w:instrText>
            </w:r>
            <w:r w:rsidR="00CF45C6">
              <w:rPr>
                <w:noProof/>
                <w:webHidden/>
              </w:rPr>
            </w:r>
            <w:r w:rsidR="00CF45C6">
              <w:rPr>
                <w:noProof/>
                <w:webHidden/>
              </w:rPr>
              <w:fldChar w:fldCharType="separate"/>
            </w:r>
            <w:r w:rsidR="00B51F3A">
              <w:rPr>
                <w:noProof/>
                <w:webHidden/>
              </w:rPr>
              <w:t>22</w:t>
            </w:r>
            <w:r w:rsidR="00CF45C6">
              <w:rPr>
                <w:noProof/>
                <w:webHidden/>
              </w:rPr>
              <w:fldChar w:fldCharType="end"/>
            </w:r>
          </w:hyperlink>
        </w:p>
        <w:p w:rsidR="00CF45C6" w:rsidRDefault="00016B31">
          <w:pPr>
            <w:pStyle w:val="TOC2"/>
            <w:tabs>
              <w:tab w:val="left" w:pos="1077"/>
            </w:tabs>
            <w:rPr>
              <w:rFonts w:asciiTheme="minorHAnsi" w:eastAsiaTheme="minorEastAsia" w:hAnsiTheme="minorHAnsi" w:cstheme="minorBidi"/>
              <w:noProof/>
              <w:sz w:val="22"/>
              <w:szCs w:val="22"/>
              <w:lang w:eastAsia="en-GB"/>
            </w:rPr>
          </w:pPr>
          <w:hyperlink w:anchor="_Toc443553304" w:history="1">
            <w:r w:rsidR="00CF45C6" w:rsidRPr="00656DE7">
              <w:rPr>
                <w:rStyle w:val="Hyperlink"/>
                <w:noProof/>
                <w:lang w:val="en-US"/>
              </w:rPr>
              <w:t>3.7.</w:t>
            </w:r>
            <w:r w:rsidR="00CF45C6">
              <w:rPr>
                <w:rFonts w:asciiTheme="minorHAnsi" w:eastAsiaTheme="minorEastAsia" w:hAnsiTheme="minorHAnsi" w:cstheme="minorBidi"/>
                <w:noProof/>
                <w:sz w:val="22"/>
                <w:szCs w:val="22"/>
                <w:lang w:eastAsia="en-GB"/>
              </w:rPr>
              <w:tab/>
            </w:r>
            <w:r w:rsidR="00CF45C6" w:rsidRPr="00656DE7">
              <w:rPr>
                <w:rStyle w:val="Hyperlink"/>
                <w:noProof/>
                <w:lang w:val="en-US"/>
              </w:rPr>
              <w:t>Designation as intermediate body</w:t>
            </w:r>
            <w:r w:rsidR="00CF45C6">
              <w:rPr>
                <w:noProof/>
                <w:webHidden/>
              </w:rPr>
              <w:tab/>
            </w:r>
            <w:r w:rsidR="00CF45C6">
              <w:rPr>
                <w:noProof/>
                <w:webHidden/>
              </w:rPr>
              <w:fldChar w:fldCharType="begin"/>
            </w:r>
            <w:r w:rsidR="00CF45C6">
              <w:rPr>
                <w:noProof/>
                <w:webHidden/>
              </w:rPr>
              <w:instrText xml:space="preserve"> PAGEREF _Toc443553304 \h </w:instrText>
            </w:r>
            <w:r w:rsidR="00CF45C6">
              <w:rPr>
                <w:noProof/>
                <w:webHidden/>
              </w:rPr>
            </w:r>
            <w:r w:rsidR="00CF45C6">
              <w:rPr>
                <w:noProof/>
                <w:webHidden/>
              </w:rPr>
              <w:fldChar w:fldCharType="separate"/>
            </w:r>
            <w:r w:rsidR="00B51F3A">
              <w:rPr>
                <w:noProof/>
                <w:webHidden/>
              </w:rPr>
              <w:t>23</w:t>
            </w:r>
            <w:r w:rsidR="00CF45C6">
              <w:rPr>
                <w:noProof/>
                <w:webHidden/>
              </w:rPr>
              <w:fldChar w:fldCharType="end"/>
            </w:r>
          </w:hyperlink>
        </w:p>
        <w:p w:rsidR="00CF45C6" w:rsidRDefault="00016B31">
          <w:pPr>
            <w:pStyle w:val="TOC2"/>
            <w:tabs>
              <w:tab w:val="left" w:pos="1077"/>
            </w:tabs>
            <w:rPr>
              <w:rFonts w:asciiTheme="minorHAnsi" w:eastAsiaTheme="minorEastAsia" w:hAnsiTheme="minorHAnsi" w:cstheme="minorBidi"/>
              <w:noProof/>
              <w:sz w:val="22"/>
              <w:szCs w:val="22"/>
              <w:lang w:eastAsia="en-GB"/>
            </w:rPr>
          </w:pPr>
          <w:hyperlink w:anchor="_Toc443553305" w:history="1">
            <w:r w:rsidR="00CF45C6" w:rsidRPr="00656DE7">
              <w:rPr>
                <w:rStyle w:val="Hyperlink"/>
                <w:noProof/>
                <w:lang w:val="en-US"/>
              </w:rPr>
              <w:t>3.8.</w:t>
            </w:r>
            <w:r w:rsidR="00CF45C6">
              <w:rPr>
                <w:rFonts w:asciiTheme="minorHAnsi" w:eastAsiaTheme="minorEastAsia" w:hAnsiTheme="minorHAnsi" w:cstheme="minorBidi"/>
                <w:noProof/>
                <w:sz w:val="22"/>
                <w:szCs w:val="22"/>
                <w:lang w:eastAsia="en-GB"/>
              </w:rPr>
              <w:tab/>
            </w:r>
            <w:r w:rsidR="00CF45C6" w:rsidRPr="00656DE7">
              <w:rPr>
                <w:rStyle w:val="Hyperlink"/>
                <w:noProof/>
                <w:lang w:val="en-US"/>
              </w:rPr>
              <w:t>Requirements of Article 7 of the CDR</w:t>
            </w:r>
            <w:r w:rsidR="00CF45C6">
              <w:rPr>
                <w:noProof/>
                <w:webHidden/>
              </w:rPr>
              <w:tab/>
            </w:r>
            <w:r w:rsidR="00CF45C6">
              <w:rPr>
                <w:noProof/>
                <w:webHidden/>
              </w:rPr>
              <w:fldChar w:fldCharType="begin"/>
            </w:r>
            <w:r w:rsidR="00CF45C6">
              <w:rPr>
                <w:noProof/>
                <w:webHidden/>
              </w:rPr>
              <w:instrText xml:space="preserve"> PAGEREF _Toc443553305 \h </w:instrText>
            </w:r>
            <w:r w:rsidR="00CF45C6">
              <w:rPr>
                <w:noProof/>
                <w:webHidden/>
              </w:rPr>
            </w:r>
            <w:r w:rsidR="00CF45C6">
              <w:rPr>
                <w:noProof/>
                <w:webHidden/>
              </w:rPr>
              <w:fldChar w:fldCharType="separate"/>
            </w:r>
            <w:r w:rsidR="00B51F3A">
              <w:rPr>
                <w:noProof/>
                <w:webHidden/>
              </w:rPr>
              <w:t>25</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306" w:history="1">
            <w:r w:rsidR="00CF45C6" w:rsidRPr="00656DE7">
              <w:rPr>
                <w:rStyle w:val="Hyperlink"/>
                <w:noProof/>
              </w:rPr>
              <w:t>3.8.1.</w:t>
            </w:r>
            <w:r w:rsidR="00CF45C6">
              <w:rPr>
                <w:rFonts w:asciiTheme="minorHAnsi" w:eastAsiaTheme="minorEastAsia" w:hAnsiTheme="minorHAnsi" w:cstheme="minorBidi"/>
                <w:noProof/>
                <w:sz w:val="22"/>
                <w:szCs w:val="22"/>
                <w:lang w:eastAsia="en-GB"/>
              </w:rPr>
              <w:tab/>
            </w:r>
            <w:r w:rsidR="00CF45C6" w:rsidRPr="00656DE7">
              <w:rPr>
                <w:rStyle w:val="Hyperlink"/>
                <w:noProof/>
              </w:rPr>
              <w:t>Selection criteria</w:t>
            </w:r>
            <w:r w:rsidR="00CF45C6">
              <w:rPr>
                <w:noProof/>
                <w:webHidden/>
              </w:rPr>
              <w:tab/>
            </w:r>
            <w:r w:rsidR="00CF45C6">
              <w:rPr>
                <w:noProof/>
                <w:webHidden/>
              </w:rPr>
              <w:fldChar w:fldCharType="begin"/>
            </w:r>
            <w:r w:rsidR="00CF45C6">
              <w:rPr>
                <w:noProof/>
                <w:webHidden/>
              </w:rPr>
              <w:instrText xml:space="preserve"> PAGEREF _Toc443553306 \h </w:instrText>
            </w:r>
            <w:r w:rsidR="00CF45C6">
              <w:rPr>
                <w:noProof/>
                <w:webHidden/>
              </w:rPr>
            </w:r>
            <w:r w:rsidR="00CF45C6">
              <w:rPr>
                <w:noProof/>
                <w:webHidden/>
              </w:rPr>
              <w:fldChar w:fldCharType="separate"/>
            </w:r>
            <w:r w:rsidR="00B51F3A">
              <w:rPr>
                <w:noProof/>
                <w:webHidden/>
              </w:rPr>
              <w:t>25</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307" w:history="1">
            <w:r w:rsidR="00CF45C6" w:rsidRPr="00656DE7">
              <w:rPr>
                <w:rStyle w:val="Hyperlink"/>
                <w:noProof/>
              </w:rPr>
              <w:t>3.8.2.</w:t>
            </w:r>
            <w:r w:rsidR="00CF45C6">
              <w:rPr>
                <w:rFonts w:asciiTheme="minorHAnsi" w:eastAsiaTheme="minorEastAsia" w:hAnsiTheme="minorHAnsi" w:cstheme="minorBidi"/>
                <w:noProof/>
                <w:sz w:val="22"/>
                <w:szCs w:val="22"/>
                <w:lang w:eastAsia="en-GB"/>
              </w:rPr>
              <w:tab/>
            </w:r>
            <w:r w:rsidR="00CF45C6" w:rsidRPr="00656DE7">
              <w:rPr>
                <w:rStyle w:val="Hyperlink"/>
                <w:noProof/>
              </w:rPr>
              <w:t>Award criteria</w:t>
            </w:r>
            <w:r w:rsidR="00CF45C6">
              <w:rPr>
                <w:noProof/>
                <w:webHidden/>
              </w:rPr>
              <w:tab/>
            </w:r>
            <w:r w:rsidR="00CF45C6">
              <w:rPr>
                <w:noProof/>
                <w:webHidden/>
              </w:rPr>
              <w:fldChar w:fldCharType="begin"/>
            </w:r>
            <w:r w:rsidR="00CF45C6">
              <w:rPr>
                <w:noProof/>
                <w:webHidden/>
              </w:rPr>
              <w:instrText xml:space="preserve"> PAGEREF _Toc443553307 \h </w:instrText>
            </w:r>
            <w:r w:rsidR="00CF45C6">
              <w:rPr>
                <w:noProof/>
                <w:webHidden/>
              </w:rPr>
            </w:r>
            <w:r w:rsidR="00CF45C6">
              <w:rPr>
                <w:noProof/>
                <w:webHidden/>
              </w:rPr>
              <w:fldChar w:fldCharType="separate"/>
            </w:r>
            <w:r w:rsidR="00B51F3A">
              <w:rPr>
                <w:noProof/>
                <w:webHidden/>
              </w:rPr>
              <w:t>27</w:t>
            </w:r>
            <w:r w:rsidR="00CF45C6">
              <w:rPr>
                <w:noProof/>
                <w:webHidden/>
              </w:rPr>
              <w:fldChar w:fldCharType="end"/>
            </w:r>
          </w:hyperlink>
        </w:p>
        <w:p w:rsidR="00CF45C6" w:rsidRDefault="00016B31">
          <w:pPr>
            <w:pStyle w:val="TOC3"/>
            <w:tabs>
              <w:tab w:val="left" w:pos="1916"/>
            </w:tabs>
            <w:rPr>
              <w:rFonts w:asciiTheme="minorHAnsi" w:eastAsiaTheme="minorEastAsia" w:hAnsiTheme="minorHAnsi" w:cstheme="minorBidi"/>
              <w:noProof/>
              <w:sz w:val="22"/>
              <w:szCs w:val="22"/>
              <w:lang w:eastAsia="en-GB"/>
            </w:rPr>
          </w:pPr>
          <w:hyperlink w:anchor="_Toc443553308" w:history="1">
            <w:r w:rsidR="00CF45C6" w:rsidRPr="00656DE7">
              <w:rPr>
                <w:rStyle w:val="Hyperlink"/>
                <w:noProof/>
              </w:rPr>
              <w:t>3.8.3.</w:t>
            </w:r>
            <w:r w:rsidR="00CF45C6">
              <w:rPr>
                <w:rFonts w:asciiTheme="minorHAnsi" w:eastAsiaTheme="minorEastAsia" w:hAnsiTheme="minorHAnsi" w:cstheme="minorBidi"/>
                <w:noProof/>
                <w:sz w:val="22"/>
                <w:szCs w:val="22"/>
                <w:lang w:eastAsia="en-GB"/>
              </w:rPr>
              <w:tab/>
            </w:r>
            <w:r w:rsidR="00CF45C6" w:rsidRPr="00656DE7">
              <w:rPr>
                <w:rStyle w:val="Hyperlink"/>
                <w:noProof/>
              </w:rPr>
              <w:t>Elements for the terms of reference</w:t>
            </w:r>
            <w:r w:rsidR="00CF45C6">
              <w:rPr>
                <w:noProof/>
                <w:webHidden/>
              </w:rPr>
              <w:tab/>
            </w:r>
            <w:r w:rsidR="00CF45C6">
              <w:rPr>
                <w:noProof/>
                <w:webHidden/>
              </w:rPr>
              <w:fldChar w:fldCharType="begin"/>
            </w:r>
            <w:r w:rsidR="00CF45C6">
              <w:rPr>
                <w:noProof/>
                <w:webHidden/>
              </w:rPr>
              <w:instrText xml:space="preserve"> PAGEREF _Toc443553308 \h </w:instrText>
            </w:r>
            <w:r w:rsidR="00CF45C6">
              <w:rPr>
                <w:noProof/>
                <w:webHidden/>
              </w:rPr>
            </w:r>
            <w:r w:rsidR="00CF45C6">
              <w:rPr>
                <w:noProof/>
                <w:webHidden/>
              </w:rPr>
              <w:fldChar w:fldCharType="separate"/>
            </w:r>
            <w:r w:rsidR="00B51F3A">
              <w:rPr>
                <w:noProof/>
                <w:webHidden/>
              </w:rPr>
              <w:t>28</w:t>
            </w:r>
            <w:r w:rsidR="00CF45C6">
              <w:rPr>
                <w:noProof/>
                <w:webHidden/>
              </w:rPr>
              <w:fldChar w:fldCharType="end"/>
            </w:r>
          </w:hyperlink>
        </w:p>
        <w:p w:rsidR="00CF45C6" w:rsidRDefault="00016B31">
          <w:pPr>
            <w:pStyle w:val="TOC1"/>
            <w:rPr>
              <w:rFonts w:asciiTheme="minorHAnsi" w:eastAsiaTheme="minorEastAsia" w:hAnsiTheme="minorHAnsi" w:cstheme="minorBidi"/>
              <w:caps w:val="0"/>
              <w:noProof/>
              <w:sz w:val="22"/>
              <w:szCs w:val="22"/>
              <w:lang w:eastAsia="en-GB"/>
            </w:rPr>
          </w:pPr>
          <w:hyperlink w:anchor="_Toc443553309" w:history="1">
            <w:r w:rsidR="00CF45C6" w:rsidRPr="00656DE7">
              <w:rPr>
                <w:rStyle w:val="Hyperlink"/>
                <w:noProof/>
              </w:rPr>
              <w:t>4.</w:t>
            </w:r>
            <w:r w:rsidR="00CF45C6">
              <w:rPr>
                <w:rFonts w:asciiTheme="minorHAnsi" w:eastAsiaTheme="minorEastAsia" w:hAnsiTheme="minorHAnsi" w:cstheme="minorBidi"/>
                <w:caps w:val="0"/>
                <w:noProof/>
                <w:sz w:val="22"/>
                <w:szCs w:val="22"/>
                <w:lang w:eastAsia="en-GB"/>
              </w:rPr>
              <w:tab/>
            </w:r>
            <w:r w:rsidR="00CF45C6" w:rsidRPr="00656DE7">
              <w:rPr>
                <w:rStyle w:val="Hyperlink"/>
                <w:noProof/>
              </w:rPr>
              <w:t>Reference, links</w:t>
            </w:r>
            <w:r w:rsidR="00CF45C6">
              <w:rPr>
                <w:noProof/>
                <w:webHidden/>
              </w:rPr>
              <w:tab/>
            </w:r>
            <w:r w:rsidR="00CF45C6">
              <w:rPr>
                <w:noProof/>
                <w:webHidden/>
              </w:rPr>
              <w:fldChar w:fldCharType="begin"/>
            </w:r>
            <w:r w:rsidR="00CF45C6">
              <w:rPr>
                <w:noProof/>
                <w:webHidden/>
              </w:rPr>
              <w:instrText xml:space="preserve"> PAGEREF _Toc443553309 \h </w:instrText>
            </w:r>
            <w:r w:rsidR="00CF45C6">
              <w:rPr>
                <w:noProof/>
                <w:webHidden/>
              </w:rPr>
            </w:r>
            <w:r w:rsidR="00CF45C6">
              <w:rPr>
                <w:noProof/>
                <w:webHidden/>
              </w:rPr>
              <w:fldChar w:fldCharType="separate"/>
            </w:r>
            <w:r w:rsidR="00B51F3A">
              <w:rPr>
                <w:noProof/>
                <w:webHidden/>
              </w:rPr>
              <w:t>29</w:t>
            </w:r>
            <w:r w:rsidR="00CF45C6">
              <w:rPr>
                <w:noProof/>
                <w:webHidden/>
              </w:rPr>
              <w:fldChar w:fldCharType="end"/>
            </w:r>
          </w:hyperlink>
        </w:p>
        <w:p w:rsidR="00FF1C09" w:rsidRPr="00E71824" w:rsidRDefault="00FF1C09" w:rsidP="00FF1C09">
          <w:r w:rsidRPr="00E71824">
            <w:rPr>
              <w:bCs/>
              <w:noProof/>
            </w:rPr>
            <w:fldChar w:fldCharType="end"/>
          </w:r>
        </w:p>
      </w:sdtContent>
    </w:sdt>
    <w:p w:rsidR="00FF1C09" w:rsidRDefault="00FF1C09">
      <w:pPr>
        <w:spacing w:after="0"/>
        <w:jc w:val="left"/>
        <w:rPr>
          <w:b/>
          <w:smallCaps/>
        </w:rPr>
      </w:pPr>
      <w:bookmarkStart w:id="1" w:name="_Toc440018371"/>
      <w:r>
        <w:br w:type="page"/>
      </w:r>
    </w:p>
    <w:p w:rsidR="00FF1C09" w:rsidRPr="00FF1C09" w:rsidRDefault="00FF1C09" w:rsidP="00FF1C09">
      <w:pPr>
        <w:pStyle w:val="Heading1"/>
        <w:keepNext w:val="0"/>
        <w:widowControl w:val="0"/>
      </w:pPr>
      <w:bookmarkStart w:id="2" w:name="_Toc443553289"/>
      <w:r w:rsidRPr="00FF1C09">
        <w:lastRenderedPageBreak/>
        <w:t>Regulatory references and text</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181"/>
      </w:tblGrid>
      <w:tr w:rsidR="00FF1C09" w:rsidRPr="00177030" w:rsidTr="00FF1C09">
        <w:tc>
          <w:tcPr>
            <w:tcW w:w="3652" w:type="dxa"/>
            <w:shd w:val="clear" w:color="auto" w:fill="A6A6A6"/>
          </w:tcPr>
          <w:p w:rsidR="00FF1C09" w:rsidRPr="00177030" w:rsidRDefault="00FF1C09" w:rsidP="00FF1C09">
            <w:pPr>
              <w:spacing w:before="240" w:after="120"/>
              <w:jc w:val="center"/>
              <w:rPr>
                <w:b/>
              </w:rPr>
            </w:pPr>
            <w:r w:rsidRPr="00177030">
              <w:rPr>
                <w:b/>
              </w:rPr>
              <w:t>Regulat</w:t>
            </w:r>
            <w:r w:rsidR="00F747FA">
              <w:rPr>
                <w:b/>
              </w:rPr>
              <w:t>ory references</w:t>
            </w:r>
          </w:p>
        </w:tc>
        <w:tc>
          <w:tcPr>
            <w:tcW w:w="5181" w:type="dxa"/>
            <w:shd w:val="clear" w:color="auto" w:fill="A6A6A6"/>
          </w:tcPr>
          <w:p w:rsidR="00FF1C09" w:rsidRPr="00177030" w:rsidRDefault="00FF1C09" w:rsidP="00FF1C09">
            <w:pPr>
              <w:spacing w:before="240" w:after="120"/>
              <w:jc w:val="center"/>
              <w:rPr>
                <w:b/>
              </w:rPr>
            </w:pPr>
            <w:r w:rsidRPr="00177030">
              <w:rPr>
                <w:b/>
              </w:rPr>
              <w:t>Articles</w:t>
            </w:r>
          </w:p>
        </w:tc>
      </w:tr>
      <w:tr w:rsidR="00FF1C09" w:rsidRPr="00177030" w:rsidTr="00FF1C09">
        <w:tc>
          <w:tcPr>
            <w:tcW w:w="3652" w:type="dxa"/>
            <w:shd w:val="clear" w:color="auto" w:fill="auto"/>
          </w:tcPr>
          <w:p w:rsidR="00FF1C09" w:rsidRPr="00177030" w:rsidRDefault="00FF1C09" w:rsidP="00FF1C09">
            <w:pPr>
              <w:spacing w:before="120" w:after="120"/>
            </w:pPr>
            <w:r w:rsidRPr="00177030">
              <w:t>Reg. (EU) N° 1303/2013</w:t>
            </w:r>
            <w:r w:rsidRPr="00177030">
              <w:rPr>
                <w:rStyle w:val="FootnoteReference"/>
              </w:rPr>
              <w:footnoteReference w:id="1"/>
            </w:r>
          </w:p>
          <w:p w:rsidR="00FF1C09" w:rsidRPr="00177030" w:rsidRDefault="00FF1C09" w:rsidP="00FF1C09">
            <w:pPr>
              <w:spacing w:after="120"/>
            </w:pPr>
            <w:r w:rsidRPr="00177030">
              <w:t>Common Provisions Regulation</w:t>
            </w:r>
          </w:p>
          <w:p w:rsidR="00FF1C09" w:rsidRPr="00177030" w:rsidRDefault="00FF1C09" w:rsidP="00FF1C09">
            <w:pPr>
              <w:spacing w:after="120"/>
              <w:rPr>
                <w:i/>
              </w:rPr>
            </w:pPr>
            <w:r w:rsidRPr="00177030">
              <w:rPr>
                <w:i/>
              </w:rPr>
              <w:t>(hereafter CPR)</w:t>
            </w:r>
          </w:p>
        </w:tc>
        <w:tc>
          <w:tcPr>
            <w:tcW w:w="5181" w:type="dxa"/>
            <w:shd w:val="clear" w:color="auto" w:fill="auto"/>
          </w:tcPr>
          <w:p w:rsidR="00FF1C09" w:rsidRPr="00177030" w:rsidRDefault="00FF1C09" w:rsidP="00FF1C09">
            <w:pPr>
              <w:spacing w:before="80" w:after="120"/>
            </w:pPr>
            <w:r w:rsidRPr="00177030">
              <w:t>Article 37 (1) – Financial instruments</w:t>
            </w:r>
          </w:p>
          <w:p w:rsidR="00FF1C09" w:rsidRPr="00177030" w:rsidRDefault="00FF1C09" w:rsidP="00FF1C09">
            <w:pPr>
              <w:spacing w:before="80" w:after="120"/>
            </w:pPr>
            <w:r w:rsidRPr="00177030">
              <w:t xml:space="preserve">Article 38 (4) &amp; (5) – Implementation of the financial instruments </w:t>
            </w:r>
          </w:p>
          <w:p w:rsidR="00FF1C09" w:rsidRPr="00177030" w:rsidRDefault="00FF1C09" w:rsidP="00FF1C09">
            <w:pPr>
              <w:spacing w:before="120" w:after="120"/>
            </w:pPr>
          </w:p>
        </w:tc>
      </w:tr>
      <w:tr w:rsidR="00FF1C09" w:rsidRPr="00177030" w:rsidTr="00FF1C09">
        <w:tc>
          <w:tcPr>
            <w:tcW w:w="3652" w:type="dxa"/>
            <w:shd w:val="clear" w:color="auto" w:fill="auto"/>
          </w:tcPr>
          <w:p w:rsidR="00FF1C09" w:rsidRPr="00177030" w:rsidRDefault="00FF1C09" w:rsidP="00FF1C09">
            <w:pPr>
              <w:spacing w:before="120" w:after="120"/>
            </w:pPr>
            <w:r w:rsidRPr="00177030">
              <w:t>Reg. (EU) N° 480/2014</w:t>
            </w:r>
            <w:r w:rsidRPr="00177030">
              <w:rPr>
                <w:rStyle w:val="FootnoteReference"/>
              </w:rPr>
              <w:footnoteReference w:id="2"/>
            </w:r>
          </w:p>
          <w:p w:rsidR="00FF1C09" w:rsidRPr="00177030" w:rsidRDefault="00FF1C09" w:rsidP="00FF1C09">
            <w:pPr>
              <w:spacing w:after="120"/>
            </w:pPr>
            <w:r w:rsidRPr="00177030">
              <w:t>Commission Delegated Regulation</w:t>
            </w:r>
          </w:p>
          <w:p w:rsidR="00FF1C09" w:rsidRPr="00177030" w:rsidRDefault="00FF1C09" w:rsidP="00FF1C09">
            <w:pPr>
              <w:spacing w:after="120"/>
              <w:rPr>
                <w:i/>
              </w:rPr>
            </w:pPr>
            <w:r w:rsidRPr="00177030">
              <w:rPr>
                <w:i/>
              </w:rPr>
              <w:t>(hereafter CDR)</w:t>
            </w:r>
          </w:p>
        </w:tc>
        <w:tc>
          <w:tcPr>
            <w:tcW w:w="5181" w:type="dxa"/>
            <w:shd w:val="clear" w:color="auto" w:fill="auto"/>
          </w:tcPr>
          <w:p w:rsidR="00FF1C09" w:rsidRPr="00177030" w:rsidRDefault="00FF1C09" w:rsidP="00FF1C09">
            <w:pPr>
              <w:spacing w:before="120" w:after="120"/>
            </w:pPr>
            <w:r w:rsidRPr="00177030">
              <w:t>Article 7 – Criteria for the selection of bodies implementing financial instruments</w:t>
            </w:r>
          </w:p>
          <w:p w:rsidR="00FF1C09" w:rsidRPr="00177030" w:rsidRDefault="00FF1C09" w:rsidP="00FF1C09">
            <w:pPr>
              <w:spacing w:before="120" w:after="120"/>
            </w:pPr>
          </w:p>
        </w:tc>
      </w:tr>
      <w:tr w:rsidR="00FF1C09" w:rsidRPr="00177030" w:rsidTr="00FF1C09">
        <w:tc>
          <w:tcPr>
            <w:tcW w:w="3652" w:type="dxa"/>
            <w:shd w:val="clear" w:color="auto" w:fill="auto"/>
          </w:tcPr>
          <w:p w:rsidR="00FF1C09" w:rsidRPr="000532C6" w:rsidRDefault="00FF1C09" w:rsidP="00FF1C09">
            <w:pPr>
              <w:widowControl w:val="0"/>
              <w:autoSpaceDE w:val="0"/>
              <w:autoSpaceDN w:val="0"/>
              <w:adjustRightInd w:val="0"/>
              <w:spacing w:after="0"/>
            </w:pPr>
            <w:r w:rsidRPr="003E36CC">
              <w:t>Regulation (EU) No 1305/2013</w:t>
            </w:r>
          </w:p>
          <w:p w:rsidR="00FF1C09" w:rsidRPr="00177030" w:rsidRDefault="00FF1C09" w:rsidP="00FF1C09">
            <w:pPr>
              <w:widowControl w:val="0"/>
              <w:autoSpaceDE w:val="0"/>
              <w:autoSpaceDN w:val="0"/>
              <w:adjustRightInd w:val="0"/>
              <w:spacing w:after="0"/>
            </w:pPr>
          </w:p>
        </w:tc>
        <w:tc>
          <w:tcPr>
            <w:tcW w:w="5181" w:type="dxa"/>
            <w:shd w:val="clear" w:color="auto" w:fill="auto"/>
          </w:tcPr>
          <w:p w:rsidR="00FF1C09" w:rsidRPr="00177030" w:rsidRDefault="00FF1C09" w:rsidP="00FF1C09">
            <w:pPr>
              <w:spacing w:before="120" w:after="120"/>
            </w:pPr>
          </w:p>
        </w:tc>
      </w:tr>
      <w:tr w:rsidR="00FF1C09" w:rsidRPr="00177030" w:rsidTr="00FF1C09">
        <w:tc>
          <w:tcPr>
            <w:tcW w:w="3652" w:type="dxa"/>
            <w:shd w:val="clear" w:color="auto" w:fill="auto"/>
          </w:tcPr>
          <w:p w:rsidR="00FF1C09" w:rsidRPr="00177030" w:rsidRDefault="00FF1C09" w:rsidP="00FF1C09">
            <w:pPr>
              <w:widowControl w:val="0"/>
              <w:autoSpaceDE w:val="0"/>
              <w:autoSpaceDN w:val="0"/>
              <w:adjustRightInd w:val="0"/>
              <w:spacing w:after="0"/>
            </w:pPr>
            <w:r w:rsidRPr="00177030">
              <w:t>Directive 2004/18/EC</w:t>
            </w:r>
          </w:p>
          <w:p w:rsidR="00FF1C09" w:rsidRPr="000532C6" w:rsidRDefault="00FF1C09" w:rsidP="00FF1C09">
            <w:pPr>
              <w:widowControl w:val="0"/>
              <w:autoSpaceDE w:val="0"/>
              <w:autoSpaceDN w:val="0"/>
              <w:adjustRightInd w:val="0"/>
              <w:spacing w:after="0"/>
              <w:rPr>
                <w:highlight w:val="green"/>
              </w:rPr>
            </w:pPr>
          </w:p>
        </w:tc>
        <w:tc>
          <w:tcPr>
            <w:tcW w:w="5181" w:type="dxa"/>
            <w:shd w:val="clear" w:color="auto" w:fill="auto"/>
          </w:tcPr>
          <w:p w:rsidR="00FF1C09" w:rsidRPr="00177030" w:rsidRDefault="00FF1C09" w:rsidP="00FF1C09">
            <w:pPr>
              <w:spacing w:before="120" w:after="120"/>
            </w:pPr>
          </w:p>
        </w:tc>
      </w:tr>
      <w:tr w:rsidR="00FF1C09" w:rsidRPr="00177030" w:rsidTr="00FF1C09">
        <w:tc>
          <w:tcPr>
            <w:tcW w:w="3652" w:type="dxa"/>
            <w:shd w:val="clear" w:color="auto" w:fill="auto"/>
          </w:tcPr>
          <w:p w:rsidR="00FF1C09" w:rsidRPr="00177030" w:rsidRDefault="00FF1C09" w:rsidP="00FF1C09">
            <w:pPr>
              <w:widowControl w:val="0"/>
              <w:autoSpaceDE w:val="0"/>
              <w:autoSpaceDN w:val="0"/>
              <w:adjustRightInd w:val="0"/>
              <w:spacing w:after="0"/>
            </w:pPr>
            <w:r w:rsidRPr="00177030">
              <w:t>Directive 2014/24/EU</w:t>
            </w:r>
          </w:p>
          <w:p w:rsidR="00FF1C09" w:rsidRPr="000532C6" w:rsidRDefault="00FF1C09" w:rsidP="00FF1C09">
            <w:pPr>
              <w:widowControl w:val="0"/>
              <w:autoSpaceDE w:val="0"/>
              <w:autoSpaceDN w:val="0"/>
              <w:adjustRightInd w:val="0"/>
              <w:spacing w:after="0"/>
              <w:rPr>
                <w:highlight w:val="green"/>
              </w:rPr>
            </w:pPr>
          </w:p>
        </w:tc>
        <w:tc>
          <w:tcPr>
            <w:tcW w:w="5181" w:type="dxa"/>
            <w:shd w:val="clear" w:color="auto" w:fill="auto"/>
          </w:tcPr>
          <w:p w:rsidR="00FF1C09" w:rsidRPr="00177030" w:rsidRDefault="00FF1C09" w:rsidP="00FF1C09">
            <w:pPr>
              <w:spacing w:before="120" w:after="120"/>
            </w:pPr>
          </w:p>
        </w:tc>
      </w:tr>
    </w:tbl>
    <w:p w:rsidR="00FF1C09" w:rsidRPr="00FF1C09" w:rsidRDefault="00FF1C09" w:rsidP="00FF1C09">
      <w:pPr>
        <w:pStyle w:val="Heading1"/>
        <w:keepNext w:val="0"/>
        <w:widowControl w:val="0"/>
      </w:pPr>
      <w:bookmarkStart w:id="3" w:name="_Toc440018372"/>
      <w:bookmarkStart w:id="4" w:name="_Toc443553290"/>
      <w:r w:rsidRPr="00FF1C09">
        <w:t>Background</w:t>
      </w:r>
      <w:bookmarkEnd w:id="3"/>
      <w:bookmarkEnd w:id="4"/>
    </w:p>
    <w:p w:rsidR="00FF1C09" w:rsidRPr="00177030" w:rsidRDefault="00FF1C09" w:rsidP="00FF1C09">
      <w:pPr>
        <w:widowControl w:val="0"/>
        <w:rPr>
          <w:color w:val="000000"/>
        </w:rPr>
      </w:pPr>
      <w:r w:rsidRPr="00177030">
        <w:rPr>
          <w:color w:val="000000"/>
        </w:rPr>
        <w:t>Managing authorities</w:t>
      </w:r>
      <w:r>
        <w:rPr>
          <w:rStyle w:val="FootnoteReference"/>
          <w:color w:val="000000"/>
        </w:rPr>
        <w:footnoteReference w:id="3"/>
      </w:r>
      <w:r w:rsidRPr="00177030">
        <w:rPr>
          <w:color w:val="000000"/>
        </w:rPr>
        <w:t xml:space="preserve"> willing to use financial instruments as a tool for achieving the objectives of the programme may either undertake implementation tasks directly, </w:t>
      </w:r>
      <w:r w:rsidRPr="008623F8">
        <w:rPr>
          <w:u w:val="single"/>
        </w:rPr>
        <w:t xml:space="preserve">invest in the capital of a newly created </w:t>
      </w:r>
      <w:r w:rsidRPr="003A3051">
        <w:rPr>
          <w:u w:val="single"/>
        </w:rPr>
        <w:t xml:space="preserve">or </w:t>
      </w:r>
      <w:r w:rsidRPr="008623F8">
        <w:rPr>
          <w:u w:val="single"/>
        </w:rPr>
        <w:t>existing legal entity</w:t>
      </w:r>
      <w:r w:rsidRPr="00177030">
        <w:rPr>
          <w:color w:val="000000"/>
        </w:rPr>
        <w:t xml:space="preserve"> or </w:t>
      </w:r>
      <w:r w:rsidRPr="003E36CC">
        <w:rPr>
          <w:color w:val="000000"/>
          <w:u w:val="single"/>
        </w:rPr>
        <w:t>entrust implementation tasks to other bodies</w:t>
      </w:r>
      <w:r>
        <w:rPr>
          <w:rStyle w:val="FootnoteReference"/>
          <w:color w:val="000000"/>
        </w:rPr>
        <w:footnoteReference w:id="4"/>
      </w:r>
      <w:r w:rsidRPr="00177030">
        <w:rPr>
          <w:color w:val="000000"/>
        </w:rPr>
        <w:t>. In the latter case, Article 38(4</w:t>
      </w:r>
      <w:proofErr w:type="gramStart"/>
      <w:r w:rsidRPr="00177030">
        <w:rPr>
          <w:color w:val="000000"/>
        </w:rPr>
        <w:t>)(</w:t>
      </w:r>
      <w:proofErr w:type="gramEnd"/>
      <w:r w:rsidRPr="00177030">
        <w:rPr>
          <w:color w:val="000000"/>
        </w:rPr>
        <w:t xml:space="preserve">b) of the CPR </w:t>
      </w:r>
      <w:r>
        <w:rPr>
          <w:color w:val="000000"/>
        </w:rPr>
        <w:t xml:space="preserve">provides for different possibilities for entrusting </w:t>
      </w:r>
      <w:r w:rsidRPr="00177030">
        <w:rPr>
          <w:color w:val="000000"/>
        </w:rPr>
        <w:t xml:space="preserve">financial instruments implementation tasks. </w:t>
      </w:r>
      <w:r>
        <w:rPr>
          <w:color w:val="000000"/>
        </w:rPr>
        <w:t>This note aims at providing clarifications about the possibilities of such an entrustment</w:t>
      </w:r>
      <w:r>
        <w:rPr>
          <w:rStyle w:val="FootnoteReference"/>
          <w:color w:val="000000"/>
        </w:rPr>
        <w:footnoteReference w:id="5"/>
      </w:r>
      <w:r>
        <w:rPr>
          <w:color w:val="000000"/>
        </w:rPr>
        <w:t>.</w:t>
      </w:r>
    </w:p>
    <w:p w:rsidR="00FF1C09" w:rsidRPr="00177030" w:rsidRDefault="00FF1C09" w:rsidP="00FF1C09">
      <w:pPr>
        <w:widowControl w:val="0"/>
        <w:rPr>
          <w:color w:val="000000"/>
        </w:rPr>
      </w:pPr>
      <w:r w:rsidRPr="00177030">
        <w:lastRenderedPageBreak/>
        <w:t>Financial instruments may be implemented through a structure with or without</w:t>
      </w:r>
      <w:r>
        <w:t xml:space="preserve"> </w:t>
      </w:r>
      <w:r w:rsidRPr="00177030">
        <w:t xml:space="preserve">a fund of funds. In case financial instruments are implemented through a structure including a fund of funds, </w:t>
      </w:r>
      <w:r>
        <w:t xml:space="preserve">typically </w:t>
      </w:r>
      <w:r w:rsidRPr="00177030">
        <w:t xml:space="preserve">two levels of bodies will be selected: the body implementing the fund of funds and </w:t>
      </w:r>
      <w:proofErr w:type="gramStart"/>
      <w:r w:rsidRPr="00177030">
        <w:t>bodies implementing</w:t>
      </w:r>
      <w:proofErr w:type="gramEnd"/>
      <w:r w:rsidRPr="00177030">
        <w:t xml:space="preserve"> the specific financial instruments product(s), i.e. financial intermediaries</w:t>
      </w:r>
      <w:r>
        <w:t xml:space="preserve"> (both being referred to below as bodies implementing financial instruments). </w:t>
      </w:r>
      <w:r w:rsidRPr="00177030">
        <w:rPr>
          <w:color w:val="000000"/>
        </w:rPr>
        <w:t>The managing authority</w:t>
      </w:r>
      <w:r>
        <w:rPr>
          <w:color w:val="000000"/>
        </w:rPr>
        <w:t xml:space="preserve"> </w:t>
      </w:r>
      <w:r w:rsidRPr="00177030">
        <w:rPr>
          <w:color w:val="000000"/>
        </w:rPr>
        <w:t>decides on the most appropriate implementing structure taking into consideration the findings of the ex-ante assessment required under Article 37(2) of the CPR.</w:t>
      </w:r>
    </w:p>
    <w:p w:rsidR="00FF1C09" w:rsidRPr="00177030" w:rsidRDefault="00FF1C09" w:rsidP="00FF1C09">
      <w:r w:rsidRPr="00177030">
        <w:t>The CPR identifies several types of entities to whom tasks of implementation of financial instruments may be entrusted by managing authorities without specifying the procedures that need to be followed for such an entrustment.</w:t>
      </w:r>
    </w:p>
    <w:p w:rsidR="00FF1C09" w:rsidRPr="000239A4" w:rsidRDefault="00FF1C09" w:rsidP="00FF1C09">
      <w:pPr>
        <w:rPr>
          <w:color w:val="000000"/>
        </w:rPr>
      </w:pPr>
      <w:r w:rsidRPr="00177030">
        <w:t>However,</w:t>
      </w:r>
      <w:r>
        <w:t xml:space="preserve"> </w:t>
      </w:r>
      <w:r w:rsidRPr="00177030">
        <w:t xml:space="preserve">Article 37(1) of the CPR recalls the general principles that managing authorities must comply with, including when selecting </w:t>
      </w:r>
      <w:r w:rsidRPr="00A254A1">
        <w:t>bodies imple</w:t>
      </w:r>
      <w:r w:rsidRPr="00F04ABD">
        <w:t>menting financial instruments</w:t>
      </w:r>
      <w:r>
        <w:t xml:space="preserve">: </w:t>
      </w:r>
      <w:r w:rsidRPr="00177030">
        <w:t xml:space="preserve">they must comply with applicable law, in particular on State aid and public procurement and they are therefore responsible for </w:t>
      </w:r>
      <w:r w:rsidRPr="006457B0">
        <w:t>ensuring</w:t>
      </w:r>
      <w:r w:rsidRPr="00177030">
        <w:t>, if necessary after consultation of national authorities</w:t>
      </w:r>
      <w:r>
        <w:t xml:space="preserve"> in charge of control of competition</w:t>
      </w:r>
      <w:r w:rsidRPr="00177030">
        <w:t>, that all applicable rules in relation to the selection of bodies implementing financial instruments are respected. According to Article 38(4) of the CPR, the bodies implementing financial instruments must ensure compliance with applicable law (</w:t>
      </w:r>
      <w:r w:rsidRPr="00177030">
        <w:rPr>
          <w:i/>
          <w:iCs/>
        </w:rPr>
        <w:t xml:space="preserve">inter alia, </w:t>
      </w:r>
      <w:r w:rsidRPr="00177030">
        <w:t xml:space="preserve">public procurement).  </w:t>
      </w:r>
      <w:r w:rsidRPr="00177030">
        <w:rPr>
          <w:color w:val="000000"/>
        </w:rPr>
        <w:t xml:space="preserve">Article 38(5) </w:t>
      </w:r>
      <w:r w:rsidRPr="00177030">
        <w:t>of the</w:t>
      </w:r>
      <w:r w:rsidRPr="003A3051">
        <w:t xml:space="preserve"> </w:t>
      </w:r>
      <w:r w:rsidRPr="00177030">
        <w:rPr>
          <w:color w:val="000000"/>
        </w:rPr>
        <w:t>CPR echoing the principles of the Treaty on the Functioning of the European Union (</w:t>
      </w:r>
      <w:r w:rsidRPr="00177030">
        <w:t xml:space="preserve">TFEU), also </w:t>
      </w:r>
      <w:r w:rsidRPr="00177030">
        <w:rPr>
          <w:color w:val="000000"/>
        </w:rPr>
        <w:t>states that the selection of financial intermediaries must be made on the basis of open, transparent, proportionate and non-discriminatory procedures, avoiding conflicts of interest</w:t>
      </w:r>
      <w:r>
        <w:rPr>
          <w:rStyle w:val="FootnoteReference"/>
          <w:color w:val="000000"/>
        </w:rPr>
        <w:footnoteReference w:id="6"/>
      </w:r>
      <w:r w:rsidRPr="00177030">
        <w:rPr>
          <w:color w:val="000000"/>
        </w:rPr>
        <w:t xml:space="preserve">. </w:t>
      </w:r>
    </w:p>
    <w:p w:rsidR="00FF1C09" w:rsidRPr="00177030" w:rsidRDefault="00FF1C09" w:rsidP="00FF1C09">
      <w:pPr>
        <w:rPr>
          <w:szCs w:val="24"/>
          <w:u w:val="single"/>
        </w:rPr>
      </w:pPr>
      <w:r w:rsidRPr="00177030">
        <w:t xml:space="preserve">Furthermore, </w:t>
      </w:r>
      <w:r w:rsidRPr="00177030">
        <w:rPr>
          <w:szCs w:val="24"/>
        </w:rPr>
        <w:t>Article 7(1) and (2) of the CDR contain</w:t>
      </w:r>
      <w:r>
        <w:rPr>
          <w:szCs w:val="24"/>
        </w:rPr>
        <w:t>s</w:t>
      </w:r>
      <w:r w:rsidRPr="00177030">
        <w:rPr>
          <w:szCs w:val="24"/>
        </w:rPr>
        <w:t xml:space="preserve"> specific requirements applicable to the selection of bodies implementing financial instruments (with the exception of the EIB and the EIF)</w:t>
      </w:r>
      <w:r w:rsidRPr="00177030">
        <w:t xml:space="preserve"> and Article 7(3) to the selection procedure of financial intermediaries by bodies implementing funds of funds (including the EIB and the EIF).</w:t>
      </w:r>
    </w:p>
    <w:p w:rsidR="00FF1C09" w:rsidRDefault="00FF1C09" w:rsidP="00FF1C09">
      <w:pPr>
        <w:widowControl w:val="0"/>
        <w:rPr>
          <w:color w:val="000000"/>
        </w:rPr>
      </w:pPr>
      <w:r>
        <w:rPr>
          <w:color w:val="000000"/>
        </w:rPr>
        <w:t>The selection of bodies implementing financial instruments must not be confused with the selection of the financial instrument operation.</w:t>
      </w:r>
    </w:p>
    <w:p w:rsidR="00FF1C09" w:rsidRPr="00177030" w:rsidRDefault="00FF1C09" w:rsidP="00FF1C09">
      <w:pPr>
        <w:widowControl w:val="0"/>
        <w:rPr>
          <w:color w:val="000000"/>
        </w:rPr>
      </w:pPr>
      <w:r>
        <w:rPr>
          <w:color w:val="000000"/>
        </w:rPr>
        <w:t>The selection of t</w:t>
      </w:r>
      <w:r>
        <w:t xml:space="preserve">he operation is done by </w:t>
      </w:r>
      <w:r>
        <w:rPr>
          <w:color w:val="000000"/>
        </w:rPr>
        <w:t>the managing authority</w:t>
      </w:r>
      <w:r>
        <w:t xml:space="preserve"> on the basis of the selection criteria defined by the monitoring committee</w:t>
      </w:r>
      <w:r>
        <w:rPr>
          <w:rStyle w:val="FootnoteReference"/>
          <w:color w:val="000000"/>
        </w:rPr>
        <w:footnoteReference w:id="7"/>
      </w:r>
      <w:r>
        <w:t>. Unlike the selection of the body implementing the financial instrument, selection of the operation is not subject to public procurement rules and principles, nor is it subject to the respect of Article 7 of the CDR.</w:t>
      </w:r>
    </w:p>
    <w:p w:rsidR="00FF1C09" w:rsidRDefault="00FF1C09" w:rsidP="00FF1C09">
      <w:pPr>
        <w:widowControl w:val="0"/>
        <w:rPr>
          <w:color w:val="000000"/>
        </w:rPr>
      </w:pPr>
      <w:r w:rsidRPr="00177030">
        <w:rPr>
          <w:color w:val="000000"/>
        </w:rPr>
        <w:t xml:space="preserve">Subject to a number of situations which fall outside public procurement rules and are explained below, services performed by </w:t>
      </w:r>
      <w:r w:rsidRPr="00177030">
        <w:rPr>
          <w:szCs w:val="24"/>
        </w:rPr>
        <w:t xml:space="preserve">bodies implementing financial instruments </w:t>
      </w:r>
      <w:r w:rsidRPr="00177030">
        <w:rPr>
          <w:color w:val="000000"/>
        </w:rPr>
        <w:t xml:space="preserve">set up </w:t>
      </w:r>
      <w:r w:rsidRPr="00177030">
        <w:rPr>
          <w:color w:val="000000"/>
        </w:rPr>
        <w:lastRenderedPageBreak/>
        <w:t xml:space="preserve">under the ESIF regulatory framework fall within the scope of public procurement rules and principles. Therefore, the selection of such entities (whether </w:t>
      </w:r>
      <w:r w:rsidRPr="003E36CC">
        <w:rPr>
          <w:color w:val="000000"/>
        </w:rPr>
        <w:t>bodies implementing funds of funds</w:t>
      </w:r>
      <w:r w:rsidRPr="00177030">
        <w:rPr>
          <w:color w:val="000000"/>
        </w:rPr>
        <w:t xml:space="preserve"> or financial intermediaries) must comply with applicable law.</w:t>
      </w:r>
      <w:r>
        <w:rPr>
          <w:color w:val="000000"/>
        </w:rPr>
        <w:t xml:space="preserve"> </w:t>
      </w:r>
    </w:p>
    <w:p w:rsidR="00FF1C09" w:rsidRPr="00177030" w:rsidRDefault="00FF1C09" w:rsidP="00FF1C09">
      <w:pPr>
        <w:widowControl w:val="0"/>
        <w:rPr>
          <w:color w:val="000000"/>
        </w:rPr>
      </w:pPr>
      <w:r w:rsidRPr="00177030">
        <w:rPr>
          <w:color w:val="000000"/>
        </w:rPr>
        <w:t>The identification of the applicable Public Procurement Directive (Directive 2004/18/EC or Directive 2014/24/EU) depends on the date when the selection procedure is launched by the contracting authority</w:t>
      </w:r>
      <w:r>
        <w:rPr>
          <w:rStyle w:val="FootnoteReference"/>
          <w:color w:val="000000"/>
        </w:rPr>
        <w:footnoteReference w:id="8"/>
      </w:r>
      <w:r w:rsidRPr="00177030">
        <w:rPr>
          <w:color w:val="000000"/>
        </w:rPr>
        <w:t xml:space="preserve"> (</w:t>
      </w:r>
      <w:r w:rsidRPr="00177030">
        <w:rPr>
          <w:i/>
          <w:color w:val="000000"/>
        </w:rPr>
        <w:t>i.e.</w:t>
      </w:r>
      <w:r w:rsidRPr="00177030">
        <w:rPr>
          <w:color w:val="000000"/>
        </w:rPr>
        <w:t xml:space="preserve"> the managing authority of the programme purchasing services of an entity for the implementation of a financial instrument) or on the date of the  decision </w:t>
      </w:r>
      <w:r w:rsidRPr="00177030">
        <w:t>to use a negotiated procedure without a prior call for competition to award the contract</w:t>
      </w:r>
      <w:r>
        <w:t xml:space="preserve"> </w:t>
      </w:r>
      <w:r w:rsidRPr="00177030">
        <w:rPr>
          <w:color w:val="000000"/>
        </w:rPr>
        <w:t>as well as</w:t>
      </w:r>
      <w:r>
        <w:rPr>
          <w:color w:val="000000"/>
        </w:rPr>
        <w:t xml:space="preserve"> </w:t>
      </w:r>
      <w:r w:rsidRPr="00177030">
        <w:rPr>
          <w:color w:val="000000"/>
        </w:rPr>
        <w:t>on the date of transposition of Directive 2014/24/EU.</w:t>
      </w:r>
      <w:r>
        <w:rPr>
          <w:color w:val="000000"/>
        </w:rPr>
        <w:t xml:space="preserve"> In case of in-house and inter-administrative cooperation, the date of the award decision, or, where no award decision is adopted, the date when the fulfilment of Article 7 of the CDR criteria was positively assessed, is relevant to determine whether the conditions established by case law or the provisions of Directive 2014/24/EU apply (see below sections 3.5 and 3.6). </w:t>
      </w:r>
    </w:p>
    <w:p w:rsidR="00FF1C09" w:rsidRPr="00177030" w:rsidRDefault="00FF1C09" w:rsidP="00FF1C09">
      <w:pPr>
        <w:widowControl w:val="0"/>
        <w:rPr>
          <w:color w:val="000000"/>
        </w:rPr>
      </w:pPr>
      <w:r w:rsidRPr="00177030">
        <w:rPr>
          <w:color w:val="000000"/>
        </w:rPr>
        <w:t>18 April 2016 is the ultimate deadline for transposing Directive 2014/24/EU into national law. Transposition measures adopted before that date must be applied by contracting authorities. After that date, even in the absence of transposition by Member States, contracting authorities must apply the provisions of Directive 2014/24/EU. From 18 April 2016 all provisions of the Directive, including those on in-house and inter-administrative cooperation</w:t>
      </w:r>
      <w:r>
        <w:rPr>
          <w:color w:val="000000"/>
        </w:rPr>
        <w:t>,</w:t>
      </w:r>
      <w:r w:rsidRPr="00177030">
        <w:rPr>
          <w:color w:val="000000"/>
        </w:rPr>
        <w:t xml:space="preserve"> must be fully respected.</w:t>
      </w:r>
    </w:p>
    <w:p w:rsidR="00FF1C09" w:rsidRPr="00177030" w:rsidRDefault="00FF1C09" w:rsidP="00FF1C09">
      <w:pPr>
        <w:widowControl w:val="0"/>
        <w:rPr>
          <w:color w:val="000000"/>
        </w:rPr>
      </w:pPr>
      <w:r w:rsidRPr="00177030">
        <w:t>Building on case law of the European Court of Justice (ECJ), Directive 2014/24/EU specifically addresses the entrustment of tasks to public entities owned and controlled by a contracting authority (vertical cooperation, or “in-house”) as well as inter-administrative cooperation (horizontal cooperation). Until the date of transposition of Directive 2014/24/ EU, the</w:t>
      </w:r>
      <w:r>
        <w:t xml:space="preserve"> </w:t>
      </w:r>
      <w:r w:rsidRPr="00177030">
        <w:t>award of contract</w:t>
      </w:r>
      <w:r>
        <w:t>s</w:t>
      </w:r>
      <w:r w:rsidRPr="00177030">
        <w:t xml:space="preserve"> in the context of both types of cooperation must respect the conditions established by case law (see below sections 3.5.1 and 3.6.1).</w:t>
      </w:r>
    </w:p>
    <w:p w:rsidR="00FF1C09" w:rsidRPr="00177030" w:rsidRDefault="00FF1C09" w:rsidP="00FF1C09">
      <w:pPr>
        <w:rPr>
          <w:color w:val="000000"/>
        </w:rPr>
      </w:pPr>
      <w:r w:rsidRPr="00177030">
        <w:rPr>
          <w:color w:val="000000"/>
        </w:rPr>
        <w:t xml:space="preserve">It should be noted that the possible identification </w:t>
      </w:r>
      <w:r>
        <w:rPr>
          <w:color w:val="000000"/>
        </w:rPr>
        <w:t xml:space="preserve">in ESIF programmes </w:t>
      </w:r>
      <w:r w:rsidRPr="00177030">
        <w:rPr>
          <w:color w:val="000000"/>
        </w:rPr>
        <w:t>of</w:t>
      </w:r>
      <w:r>
        <w:rPr>
          <w:color w:val="000000"/>
        </w:rPr>
        <w:t xml:space="preserve"> </w:t>
      </w:r>
      <w:r w:rsidRPr="00177030">
        <w:rPr>
          <w:szCs w:val="24"/>
        </w:rPr>
        <w:t>bodies implementing financial instruments</w:t>
      </w:r>
      <w:r w:rsidRPr="003E36CC">
        <w:t xml:space="preserve"> </w:t>
      </w:r>
      <w:r w:rsidRPr="00177030">
        <w:rPr>
          <w:color w:val="000000"/>
        </w:rPr>
        <w:t>does not exempt from applying public procurement rules and principles when selecting such bodies.</w:t>
      </w:r>
    </w:p>
    <w:p w:rsidR="00FF1C09" w:rsidRPr="00FF1C09" w:rsidRDefault="00FF1C09" w:rsidP="00FF1C09">
      <w:pPr>
        <w:pStyle w:val="Heading1"/>
        <w:keepNext w:val="0"/>
        <w:widowControl w:val="0"/>
      </w:pPr>
      <w:bookmarkStart w:id="5" w:name="_Toc440018373"/>
      <w:bookmarkStart w:id="6" w:name="_Toc443553291"/>
      <w:r w:rsidRPr="00FF1C09">
        <w:t>Selection of bodies implementing financial instruments</w:t>
      </w:r>
      <w:bookmarkEnd w:id="5"/>
      <w:bookmarkEnd w:id="6"/>
    </w:p>
    <w:p w:rsidR="00FF1C09" w:rsidRPr="00177030" w:rsidRDefault="00FF1C09" w:rsidP="00FF1C09">
      <w:pPr>
        <w:pStyle w:val="Heading2"/>
        <w:rPr>
          <w:lang w:val="en-US"/>
        </w:rPr>
      </w:pPr>
      <w:bookmarkStart w:id="7" w:name="_Toc443553292"/>
      <w:r w:rsidRPr="00177030">
        <w:rPr>
          <w:lang w:val="en-US"/>
        </w:rPr>
        <w:t xml:space="preserve">Selection </w:t>
      </w:r>
      <w:r>
        <w:rPr>
          <w:lang w:val="en-US"/>
        </w:rPr>
        <w:t>in accordance with</w:t>
      </w:r>
      <w:r w:rsidRPr="00177030">
        <w:rPr>
          <w:lang w:val="en-US"/>
        </w:rPr>
        <w:t xml:space="preserve"> public procurement rules and principles</w:t>
      </w:r>
      <w:bookmarkEnd w:id="7"/>
    </w:p>
    <w:p w:rsidR="00FF1C09" w:rsidRPr="00177030" w:rsidRDefault="00FF1C09" w:rsidP="00FF1C09">
      <w:pPr>
        <w:widowControl w:val="0"/>
        <w:rPr>
          <w:color w:val="000000"/>
        </w:rPr>
      </w:pPr>
      <w:r w:rsidRPr="00177030">
        <w:t xml:space="preserve">Outside the situations described below and outside the case where managing authorities decide to implement directly a </w:t>
      </w:r>
      <w:r>
        <w:t>f</w:t>
      </w:r>
      <w:r w:rsidRPr="00177030">
        <w:t>inancial instrument under Article 38(4</w:t>
      </w:r>
      <w:proofErr w:type="gramStart"/>
      <w:r w:rsidRPr="00177030">
        <w:t>)(</w:t>
      </w:r>
      <w:proofErr w:type="gramEnd"/>
      <w:r w:rsidRPr="00177030">
        <w:t xml:space="preserve">c) of the CPR, they must select </w:t>
      </w:r>
      <w:r w:rsidRPr="003E36CC">
        <w:t>bodies implementing financial instruments</w:t>
      </w:r>
      <w:r w:rsidRPr="00177030">
        <w:t xml:space="preserve"> </w:t>
      </w:r>
      <w:r>
        <w:rPr>
          <w:color w:val="000000"/>
        </w:rPr>
        <w:t>in accordance with</w:t>
      </w:r>
      <w:r w:rsidRPr="00177030">
        <w:rPr>
          <w:color w:val="000000"/>
        </w:rPr>
        <w:t xml:space="preserve"> public procurement rules and principles</w:t>
      </w:r>
      <w:r w:rsidRPr="00177030">
        <w:t xml:space="preserve">. </w:t>
      </w:r>
    </w:p>
    <w:p w:rsidR="00FF1C09" w:rsidRPr="00177030" w:rsidRDefault="00FF1C09" w:rsidP="00FF1C09">
      <w:pPr>
        <w:widowControl w:val="0"/>
        <w:rPr>
          <w:color w:val="000000"/>
        </w:rPr>
      </w:pPr>
      <w:r w:rsidRPr="00177030">
        <w:t>The</w:t>
      </w:r>
      <w:r w:rsidRPr="00177030">
        <w:rPr>
          <w:color w:val="000000"/>
        </w:rPr>
        <w:t xml:space="preserve"> award of public contracts by or on behalf of Member States’ authorities has to comply with the principles of the TFEU, and in particular the free movement of goods, freedom of establishment and freedom to provide services, as well as </w:t>
      </w:r>
      <w:r>
        <w:rPr>
          <w:color w:val="000000"/>
        </w:rPr>
        <w:t>other related fundamental</w:t>
      </w:r>
      <w:r w:rsidRPr="00177030">
        <w:rPr>
          <w:color w:val="000000"/>
        </w:rPr>
        <w:t xml:space="preserve"> principles such as equal treatment, non-discrimination, mutual recognition, proportionality and transparency. For public contracts above a certain value, national procurement procedures are coordinated so as to ensure that those principles are given </w:t>
      </w:r>
      <w:r w:rsidRPr="00177030">
        <w:rPr>
          <w:color w:val="000000"/>
        </w:rPr>
        <w:lastRenderedPageBreak/>
        <w:t>practical effect and public procurement is opened up to competition. For such public contracts, Public Procurement Directives (Directive 2004/18/EC or 2014/24/EU) apply.</w:t>
      </w:r>
    </w:p>
    <w:p w:rsidR="00FF1C09" w:rsidRPr="00177030" w:rsidRDefault="00FF1C09" w:rsidP="00FF1C09">
      <w:pPr>
        <w:pStyle w:val="Heading3"/>
      </w:pPr>
      <w:bookmarkStart w:id="8" w:name="_Toc443553293"/>
      <w:r w:rsidRPr="00177030">
        <w:t xml:space="preserve">Selection </w:t>
      </w:r>
      <w:r>
        <w:t>in accordance with</w:t>
      </w:r>
      <w:r w:rsidRPr="00177030">
        <w:t xml:space="preserve"> the provisions of Directive 2004/18/EC or Directive 2014/24/EU</w:t>
      </w:r>
      <w:bookmarkEnd w:id="8"/>
    </w:p>
    <w:p w:rsidR="00FF1C09" w:rsidRPr="00177030" w:rsidRDefault="00FF1C09" w:rsidP="00FF1C09">
      <w:pPr>
        <w:pStyle w:val="Heading4"/>
      </w:pPr>
      <w:r w:rsidRPr="00177030">
        <w:t>Threshold</w:t>
      </w:r>
    </w:p>
    <w:p w:rsidR="00FF1C09" w:rsidRPr="00177030" w:rsidRDefault="00FF1C09" w:rsidP="00FF1C09">
      <w:pPr>
        <w:widowControl w:val="0"/>
      </w:pPr>
      <w:r w:rsidRPr="00177030">
        <w:t>For service contracts, Article 7 of Directive 2004/18/EC and Article 4 of Directive 2014/24/EU refer to two thresholds above which the relevant Directive applies</w:t>
      </w:r>
      <w:r>
        <w:rPr>
          <w:rStyle w:val="FootnoteReference"/>
        </w:rPr>
        <w:footnoteReference w:id="9"/>
      </w:r>
      <w:r w:rsidRPr="00177030">
        <w:t>:</w:t>
      </w:r>
    </w:p>
    <w:p w:rsidR="00FF1C09" w:rsidRPr="00177030" w:rsidRDefault="00FF1C09" w:rsidP="005545F9">
      <w:pPr>
        <w:widowControl w:val="0"/>
        <w:numPr>
          <w:ilvl w:val="0"/>
          <w:numId w:val="20"/>
        </w:numPr>
        <w:autoSpaceDE w:val="0"/>
        <w:autoSpaceDN w:val="0"/>
        <w:adjustRightInd w:val="0"/>
        <w:spacing w:after="0" w:line="276" w:lineRule="auto"/>
      </w:pPr>
      <w:r w:rsidRPr="00177030">
        <w:t>EUR 13</w:t>
      </w:r>
      <w:r>
        <w:t>5</w:t>
      </w:r>
      <w:r w:rsidRPr="00177030">
        <w:t xml:space="preserve"> 000 for public service contracts awarded by contracting authorities which are listed as central government authorities in Annex IV of Directive 2004/18/EC, and Annex I of Directive 2014/24/EU;</w:t>
      </w:r>
    </w:p>
    <w:p w:rsidR="00FF1C09" w:rsidRPr="00177030" w:rsidRDefault="00FF1C09" w:rsidP="005545F9">
      <w:pPr>
        <w:widowControl w:val="0"/>
        <w:numPr>
          <w:ilvl w:val="0"/>
          <w:numId w:val="20"/>
        </w:numPr>
        <w:autoSpaceDE w:val="0"/>
        <w:autoSpaceDN w:val="0"/>
        <w:adjustRightInd w:val="0"/>
        <w:spacing w:after="0" w:line="276" w:lineRule="auto"/>
      </w:pPr>
      <w:r w:rsidRPr="00177030">
        <w:t>EUR 20</w:t>
      </w:r>
      <w:r>
        <w:t>9</w:t>
      </w:r>
      <w:r w:rsidRPr="00177030">
        <w:t xml:space="preserve"> 000 for public supply and service contracts awarded by other types of contracting authorities.</w:t>
      </w:r>
    </w:p>
    <w:p w:rsidR="00FF1C09" w:rsidRPr="00177030" w:rsidRDefault="00FF1C09" w:rsidP="00FF1C09">
      <w:pPr>
        <w:widowControl w:val="0"/>
        <w:autoSpaceDE w:val="0"/>
        <w:autoSpaceDN w:val="0"/>
        <w:adjustRightInd w:val="0"/>
        <w:spacing w:after="0"/>
        <w:ind w:left="720"/>
      </w:pPr>
    </w:p>
    <w:p w:rsidR="00FF1C09" w:rsidRDefault="00FF1C09" w:rsidP="00FF1C09">
      <w:pPr>
        <w:widowControl w:val="0"/>
      </w:pPr>
      <w:r>
        <w:t>In a</w:t>
      </w:r>
      <w:r w:rsidRPr="00177030">
        <w:t>ccord</w:t>
      </w:r>
      <w:r>
        <w:t xml:space="preserve">ance with </w:t>
      </w:r>
      <w:r w:rsidRPr="00177030">
        <w:t xml:space="preserve">Article </w:t>
      </w:r>
      <w:r>
        <w:t xml:space="preserve">7 of Directive 2004/18/EC and Article </w:t>
      </w:r>
      <w:r w:rsidRPr="00177030">
        <w:t xml:space="preserve">4 of Directive 2014/24/EU the threshold applies to the estimated value of the services to be provided by the </w:t>
      </w:r>
      <w:r w:rsidRPr="003E36CC">
        <w:t>body implementing the financial instrument</w:t>
      </w:r>
      <w:r w:rsidRPr="00177030">
        <w:t xml:space="preserve"> net of value-added tax (VAT).</w:t>
      </w:r>
    </w:p>
    <w:p w:rsidR="00FF1C09" w:rsidRPr="00177030" w:rsidRDefault="00FF1C09" w:rsidP="00FF1C09">
      <w:pPr>
        <w:widowControl w:val="0"/>
      </w:pPr>
      <w:r w:rsidRPr="00177030">
        <w:t xml:space="preserve">The basis for calculating the estimated contract value is, for banking and other financial services, the fees, commissions payable, interests and other forms of remuneration (Article 9(8) of Directive 2004/18/EU, Article 5(13) Directive 2014/24/EU). </w:t>
      </w:r>
    </w:p>
    <w:p w:rsidR="00FF1C09" w:rsidRPr="00FF1C09" w:rsidRDefault="00FF1C09" w:rsidP="00FF1C09">
      <w:pPr>
        <w:pStyle w:val="Heading4"/>
      </w:pPr>
      <w:r w:rsidRPr="00FF1C09">
        <w:t>Guidance on public procurement procedures</w:t>
      </w:r>
    </w:p>
    <w:p w:rsidR="00FF1C09" w:rsidRDefault="00FF1C09" w:rsidP="00FF1C09">
      <w:pPr>
        <w:widowControl w:val="0"/>
      </w:pPr>
      <w:r w:rsidRPr="00177030">
        <w:t>The guidance for practitioners on the avoidance of the most common errors in public procurement</w:t>
      </w:r>
      <w:r w:rsidRPr="00177030">
        <w:rPr>
          <w:rStyle w:val="FootnoteReference"/>
        </w:rPr>
        <w:footnoteReference w:id="10"/>
      </w:r>
      <w:r w:rsidRPr="00177030">
        <w:t xml:space="preserve"> could be usefully referred to by contracting authorities even if it covers procurements under Directive 2004/18/EC. It contains reminders on specific points that require particular attention, such as the scoping of the tender, the choice of the  appropriate selection procedure, the definition of appropriate exclusion, selection and award criteria (avoiding confusion between them), the need to respect the applicable deadlines to give to tenderers sufficient time for the preparation and submission of an offer and the need to properly document the evaluation of the offers on the basis of the criteria announced.  </w:t>
      </w:r>
    </w:p>
    <w:p w:rsidR="00FF1C09" w:rsidRPr="00FF1C09" w:rsidRDefault="00FF1C09" w:rsidP="00FF1C09">
      <w:pPr>
        <w:pStyle w:val="Heading4"/>
      </w:pPr>
      <w:r w:rsidRPr="00FF1C09">
        <w:t>Choice of the procedure</w:t>
      </w:r>
    </w:p>
    <w:p w:rsidR="00FF1C09" w:rsidRDefault="00FF1C09" w:rsidP="00FF1C09">
      <w:pPr>
        <w:rPr>
          <w:lang w:val="en"/>
        </w:rPr>
      </w:pPr>
      <w:r>
        <w:rPr>
          <w:lang w:val="en"/>
        </w:rPr>
        <w:t xml:space="preserve">Contracting authorities should decide on the </w:t>
      </w:r>
      <w:r w:rsidR="006E6298">
        <w:rPr>
          <w:lang w:val="en"/>
        </w:rPr>
        <w:t xml:space="preserve">most appropriate procurement </w:t>
      </w:r>
      <w:r>
        <w:rPr>
          <w:lang w:val="en"/>
        </w:rPr>
        <w:t xml:space="preserve">procedure </w:t>
      </w:r>
      <w:r w:rsidR="006E6298">
        <w:rPr>
          <w:lang w:val="en"/>
        </w:rPr>
        <w:t>for</w:t>
      </w:r>
      <w:r>
        <w:rPr>
          <w:lang w:val="en"/>
        </w:rPr>
        <w:t xml:space="preserve"> the selection of bodies implementing financial instruments. The Public Procurement Directives provide for the possibility to apply, under certain conditions,</w:t>
      </w:r>
      <w:r w:rsidRPr="00FD7E6A">
        <w:rPr>
          <w:lang w:val="en"/>
        </w:rPr>
        <w:t xml:space="preserve"> the competitive procedure with negotiation or the competitive dialogue</w:t>
      </w:r>
      <w:r>
        <w:rPr>
          <w:lang w:val="en"/>
        </w:rPr>
        <w:t xml:space="preserve"> (</w:t>
      </w:r>
      <w:proofErr w:type="spellStart"/>
      <w:r>
        <w:rPr>
          <w:lang w:val="en"/>
        </w:rPr>
        <w:t>Cf</w:t>
      </w:r>
      <w:proofErr w:type="spellEnd"/>
      <w:r>
        <w:rPr>
          <w:lang w:val="en"/>
        </w:rPr>
        <w:t xml:space="preserve"> </w:t>
      </w:r>
      <w:r>
        <w:rPr>
          <w:caps/>
          <w:lang w:val="en"/>
        </w:rPr>
        <w:t>A</w:t>
      </w:r>
      <w:r>
        <w:rPr>
          <w:lang w:val="en"/>
        </w:rPr>
        <w:t>rticles 28 to 31 of Directive 2004/18/EC and Article 26 of Directive 2014/24/EU).</w:t>
      </w:r>
    </w:p>
    <w:p w:rsidR="00FF1C09" w:rsidRPr="002747FA" w:rsidRDefault="00FF1C09" w:rsidP="00FF1C09">
      <w:pPr>
        <w:widowControl w:val="0"/>
        <w:rPr>
          <w:lang w:val="en"/>
        </w:rPr>
      </w:pPr>
      <w:r>
        <w:rPr>
          <w:lang w:val="en"/>
        </w:rPr>
        <w:t>According to Article 26</w:t>
      </w:r>
      <w:r w:rsidR="006E6298">
        <w:rPr>
          <w:lang w:val="en"/>
        </w:rPr>
        <w:t xml:space="preserve"> (4</w:t>
      </w:r>
      <w:proofErr w:type="gramStart"/>
      <w:r w:rsidR="006E6298">
        <w:rPr>
          <w:lang w:val="en"/>
        </w:rPr>
        <w:t>)(</w:t>
      </w:r>
      <w:proofErr w:type="gramEnd"/>
      <w:r w:rsidR="006E6298">
        <w:rPr>
          <w:lang w:val="en"/>
        </w:rPr>
        <w:t>a)</w:t>
      </w:r>
      <w:r>
        <w:rPr>
          <w:lang w:val="en"/>
        </w:rPr>
        <w:t xml:space="preserve"> of Directive 2014/24/EU, one or the other of those two procedures can be used </w:t>
      </w:r>
      <w:r w:rsidRPr="00FD7E6A">
        <w:rPr>
          <w:i/>
          <w:lang w:val="en"/>
        </w:rPr>
        <w:t>inter alia</w:t>
      </w:r>
      <w:r>
        <w:rPr>
          <w:lang w:val="en"/>
        </w:rPr>
        <w:t xml:space="preserve"> </w:t>
      </w:r>
      <w:r w:rsidRPr="002747FA">
        <w:rPr>
          <w:lang w:val="en"/>
        </w:rPr>
        <w:t xml:space="preserve">in </w:t>
      </w:r>
      <w:r>
        <w:rPr>
          <w:lang w:val="en"/>
        </w:rPr>
        <w:t xml:space="preserve">case </w:t>
      </w:r>
      <w:r w:rsidRPr="002747FA">
        <w:rPr>
          <w:lang w:val="en"/>
        </w:rPr>
        <w:t xml:space="preserve">the needs of the contracting authority cannot be </w:t>
      </w:r>
      <w:r w:rsidRPr="002747FA">
        <w:rPr>
          <w:lang w:val="en"/>
        </w:rPr>
        <w:lastRenderedPageBreak/>
        <w:t>met without adaptation</w:t>
      </w:r>
      <w:r>
        <w:rPr>
          <w:lang w:val="en"/>
        </w:rPr>
        <w:t xml:space="preserve"> of readily available solutions and in case </w:t>
      </w:r>
      <w:r w:rsidRPr="002747FA">
        <w:rPr>
          <w:lang w:val="en"/>
        </w:rPr>
        <w:t>the contract cannot be awarded without prior negotiations because of specific circumstances related to the nature, the complexity or the legal and financial make-up or because</w:t>
      </w:r>
      <w:r>
        <w:rPr>
          <w:lang w:val="en"/>
        </w:rPr>
        <w:t xml:space="preserve"> of the risks attach</w:t>
      </w:r>
      <w:r w:rsidR="006E6298">
        <w:rPr>
          <w:lang w:val="en"/>
        </w:rPr>
        <w:t>ed</w:t>
      </w:r>
      <w:r>
        <w:rPr>
          <w:lang w:val="en"/>
        </w:rPr>
        <w:t xml:space="preserve"> to them.</w:t>
      </w:r>
      <w:r w:rsidR="006E6298">
        <w:rPr>
          <w:lang w:val="en"/>
        </w:rPr>
        <w:t xml:space="preserve"> It is up to the contracting authority to assess whether such specific circumstances exist.</w:t>
      </w:r>
    </w:p>
    <w:p w:rsidR="00D127C5" w:rsidRPr="002747FA" w:rsidRDefault="006E6298" w:rsidP="00FF1C09">
      <w:pPr>
        <w:widowControl w:val="0"/>
        <w:rPr>
          <w:lang w:val="en"/>
        </w:rPr>
      </w:pPr>
      <w:r>
        <w:rPr>
          <w:lang w:val="en"/>
        </w:rPr>
        <w:t>The Directive also provides for the possibility to use the same procedures in case a procurement procedure failed. According to Article 26 (4)(b) of Directive 2014/24/EU a</w:t>
      </w:r>
      <w:r w:rsidR="00FF1C09" w:rsidRPr="002747FA">
        <w:rPr>
          <w:lang w:val="en"/>
        </w:rPr>
        <w:t xml:space="preserve"> competitive procedure with negotiation or a competitive dialogue </w:t>
      </w:r>
      <w:r>
        <w:rPr>
          <w:lang w:val="en"/>
        </w:rPr>
        <w:t xml:space="preserve">may, </w:t>
      </w:r>
      <w:r w:rsidR="00FF1C09">
        <w:rPr>
          <w:lang w:val="en"/>
        </w:rPr>
        <w:t>also be used in case</w:t>
      </w:r>
      <w:r w:rsidR="00FF1C09" w:rsidRPr="002747FA">
        <w:rPr>
          <w:lang w:val="en"/>
        </w:rPr>
        <w:t xml:space="preserve"> only irregular or unacceptable tenders are submitted in response to an</w:t>
      </w:r>
      <w:r w:rsidR="00FF1C09">
        <w:rPr>
          <w:lang w:val="en"/>
        </w:rPr>
        <w:t xml:space="preserve"> open or a restricted procedure</w:t>
      </w:r>
      <w:r w:rsidR="00FF1C09" w:rsidRPr="002747FA">
        <w:rPr>
          <w:lang w:val="en"/>
        </w:rPr>
        <w:t xml:space="preserve">. In such </w:t>
      </w:r>
      <w:r w:rsidR="00FF1C09">
        <w:rPr>
          <w:lang w:val="en"/>
        </w:rPr>
        <w:t xml:space="preserve">a </w:t>
      </w:r>
      <w:r w:rsidR="00FF1C09" w:rsidRPr="002747FA">
        <w:rPr>
          <w:lang w:val="en"/>
        </w:rPr>
        <w:t xml:space="preserve">situation </w:t>
      </w:r>
      <w:r w:rsidR="00FF1C09">
        <w:rPr>
          <w:lang w:val="en"/>
        </w:rPr>
        <w:t xml:space="preserve">when the procedure is used in relation to </w:t>
      </w:r>
      <w:r w:rsidR="00FF1C09" w:rsidRPr="002747FA">
        <w:rPr>
          <w:lang w:val="en"/>
        </w:rPr>
        <w:t xml:space="preserve">all tenderers which satisfy the criteria </w:t>
      </w:r>
      <w:r w:rsidR="00FF1C09">
        <w:rPr>
          <w:lang w:val="en"/>
        </w:rPr>
        <w:t>referred to</w:t>
      </w:r>
      <w:r w:rsidR="00FF1C09" w:rsidRPr="002747FA">
        <w:rPr>
          <w:lang w:val="en"/>
        </w:rPr>
        <w:t xml:space="preserve"> in Articles 57 to 64 </w:t>
      </w:r>
      <w:r w:rsidR="00FF1C09">
        <w:rPr>
          <w:lang w:val="en"/>
        </w:rPr>
        <w:t xml:space="preserve">of Directive 2014/24/EU </w:t>
      </w:r>
      <w:r w:rsidR="00FF1C09" w:rsidRPr="002747FA">
        <w:rPr>
          <w:lang w:val="en"/>
        </w:rPr>
        <w:t>and which, during the prior open</w:t>
      </w:r>
      <w:r w:rsidR="00FF1C09">
        <w:rPr>
          <w:lang w:val="en"/>
        </w:rPr>
        <w:t xml:space="preserve"> or restricted</w:t>
      </w:r>
      <w:r w:rsidR="00FF1C09" w:rsidRPr="002747FA">
        <w:rPr>
          <w:lang w:val="en"/>
        </w:rPr>
        <w:t xml:space="preserve"> procedure, submitted tenders in accordance with the formal requirements of the procurement procedure</w:t>
      </w:r>
      <w:r>
        <w:rPr>
          <w:lang w:val="en"/>
        </w:rPr>
        <w:t>,</w:t>
      </w:r>
      <w:r w:rsidRPr="006E6298">
        <w:rPr>
          <w:lang w:val="en"/>
        </w:rPr>
        <w:t xml:space="preserve"> </w:t>
      </w:r>
      <w:r>
        <w:rPr>
          <w:lang w:val="en"/>
        </w:rPr>
        <w:t>no publication of</w:t>
      </w:r>
      <w:r w:rsidRPr="002747FA">
        <w:rPr>
          <w:lang w:val="en"/>
        </w:rPr>
        <w:t xml:space="preserve"> a contract notice </w:t>
      </w:r>
      <w:r>
        <w:rPr>
          <w:lang w:val="en"/>
        </w:rPr>
        <w:t>is required</w:t>
      </w:r>
      <w:r w:rsidR="00FF1C09" w:rsidRPr="002747FA">
        <w:rPr>
          <w:lang w:val="en"/>
        </w:rPr>
        <w:t>.</w:t>
      </w:r>
    </w:p>
    <w:p w:rsidR="00FF1C09" w:rsidRPr="00FF1C09" w:rsidRDefault="00FF1C09" w:rsidP="00FF1C09">
      <w:pPr>
        <w:pStyle w:val="Heading4"/>
      </w:pPr>
      <w:r w:rsidRPr="00FF1C09">
        <w:t>Use of Framework agreements</w:t>
      </w:r>
    </w:p>
    <w:p w:rsidR="00FF1C09" w:rsidRPr="00FD7E6A" w:rsidRDefault="00FF1C09" w:rsidP="00FF1C09">
      <w:pPr>
        <w:widowControl w:val="0"/>
      </w:pPr>
      <w:r w:rsidRPr="00FD7E6A">
        <w:t xml:space="preserve">In order to avoid the need for contract modifications </w:t>
      </w:r>
      <w:r>
        <w:t>and</w:t>
      </w:r>
      <w:r w:rsidRPr="00FD7E6A">
        <w:t xml:space="preserve"> to manage changes in the scope of tasks to be entrusted, for the future, managing authorities may consider using a Framework agreement</w:t>
      </w:r>
      <w:r w:rsidRPr="00FD7E6A">
        <w:rPr>
          <w:rStyle w:val="FootnoteReference"/>
        </w:rPr>
        <w:footnoteReference w:id="11"/>
      </w:r>
      <w:r w:rsidRPr="00FD7E6A">
        <w:t xml:space="preserve">. </w:t>
      </w:r>
    </w:p>
    <w:p w:rsidR="00FF1C09" w:rsidRDefault="00FF1C09" w:rsidP="00FF1C09">
      <w:r>
        <w:t xml:space="preserve">Framework agreements provide some flexibility in the management of financial services contracts as they allow adjusting the volume of services to the needs of the contracting authorities and/or to the final beneficiaries. Since it is not always easy to foresee the volume of demands coming from beneficiaries for financial engineering instruments use of a Framework agreement may provide the flexibility needed to cover lower or higher volumes. </w:t>
      </w:r>
    </w:p>
    <w:p w:rsidR="00FF1C09" w:rsidRDefault="00FF1C09" w:rsidP="00FF1C09">
      <w:r>
        <w:t>It must be reminded that contracting authorities are not obliged to award specific contracts following framework agreements for the whole amount forecasted. Therefore, if a Framework agreement covers several types of financial instruments and a specific financial instrument is found not to be well designed or well adapted to the needs of final beneficiaries, there is no obligation to sign any specific contract to implement such instrument.</w:t>
      </w:r>
    </w:p>
    <w:p w:rsidR="00FF1C09" w:rsidRDefault="00FF1C09" w:rsidP="00FF1C09">
      <w:r>
        <w:t xml:space="preserve">Using the same conditions for different financial services entails the risk that  price or quality conditions for one specific financial service (or instrument) are affected by those concerning other financial services even if there is no material link between both services  (or instruments). For that reason, if use is made of Framework agreements, it is recommended to use lots. This allows assessing the price and quality of each lot separately and on its own merits. Tenderers can adjust their tenders by compensating economic or quality conditions between lots in order to present best value for money tenders for several of these lots or to make an effort for one specific lot better adapted to their specific capacities.     </w:t>
      </w:r>
    </w:p>
    <w:p w:rsidR="00FF1C09" w:rsidRDefault="00FF1C09" w:rsidP="00FF1C09">
      <w:r>
        <w:t xml:space="preserve">Contracting authorities are advised to analyse before launching the tendering procedure the specific objectives of every financial service (or instrument) in relation to the scope of the final recipients targeted by the instrument in order to define the subject-matter of each contract. Flexibility of Framework agreements allows contracting in case the </w:t>
      </w:r>
      <w:r>
        <w:lastRenderedPageBreak/>
        <w:t xml:space="preserve">financial instrument is successful in terms of demand as well as testing if a specific kind of financial instrument matches the needs of final recipients in a specific economic sector. </w:t>
      </w:r>
    </w:p>
    <w:p w:rsidR="00FF1C09" w:rsidRDefault="00FF1C09" w:rsidP="00FF1C09">
      <w:pPr>
        <w:widowControl w:val="0"/>
      </w:pPr>
      <w:r>
        <w:t xml:space="preserve">The estimated value of the Framework agreement, calculated as </w:t>
      </w:r>
      <w:r w:rsidRPr="0084194A">
        <w:t xml:space="preserve">the maximum estimated value net of VAT of all the contracts envisaged for the total term of the framework </w:t>
      </w:r>
      <w:proofErr w:type="gramStart"/>
      <w:r w:rsidRPr="0084194A">
        <w:t>agreement</w:t>
      </w:r>
      <w:r>
        <w:t>,</w:t>
      </w:r>
      <w:proofErr w:type="gramEnd"/>
      <w:r>
        <w:t xml:space="preserve"> should be assessed having in mind the possibility to cover increases in the amount given for management to the body implementing the financial instrument.  </w:t>
      </w:r>
    </w:p>
    <w:p w:rsidR="00D4061B" w:rsidRPr="00FF1C09" w:rsidRDefault="00D4061B" w:rsidP="00D4061B">
      <w:pPr>
        <w:widowControl w:val="0"/>
      </w:pPr>
      <w:r>
        <w:t>As regards the duration of the Framework agreement, according to Article 33(1) of Directive 2014/24/EU, t</w:t>
      </w:r>
      <w:r w:rsidRPr="00204119">
        <w:t>he term of a framework agreement shall not exceed four years, save in exceptional cases duly justified, in particular by the subject of the framework agreement. However as clarified in recital 62 of the Directive, " while contracts based on a framework agreement are to be awarded before the end of the term of the framework agreement itself, the duration of the individual contracts based on a framework agreement does not need to coincide with the duration of that framework agreement, but might, as appropriate, be shorter or longer".</w:t>
      </w:r>
    </w:p>
    <w:p w:rsidR="00D4061B" w:rsidRPr="00FF1C09" w:rsidRDefault="00D4061B" w:rsidP="00FF1C09">
      <w:pPr>
        <w:widowControl w:val="0"/>
      </w:pPr>
    </w:p>
    <w:p w:rsidR="00FF1C09" w:rsidRPr="00FF1C09" w:rsidRDefault="00FF1C09" w:rsidP="00FF1C09">
      <w:pPr>
        <w:pStyle w:val="Heading4"/>
      </w:pPr>
      <w:r w:rsidRPr="00FF1C09">
        <w:t>Contract modifications</w:t>
      </w:r>
    </w:p>
    <w:p w:rsidR="00FF1C09" w:rsidRDefault="00FF1C09" w:rsidP="00FF1C09">
      <w:pPr>
        <w:widowControl w:val="0"/>
      </w:pPr>
      <w:r w:rsidRPr="00FD7E6A">
        <w:rPr>
          <w:b/>
        </w:rPr>
        <w:t>Contract modifications under Directive 2004/18/EC</w:t>
      </w:r>
      <w:r>
        <w:rPr>
          <w:b/>
        </w:rPr>
        <w:t>, pursuant to applicable case-law,</w:t>
      </w:r>
      <w:r>
        <w:t xml:space="preserve"> are possible only i</w:t>
      </w:r>
      <w:r w:rsidRPr="00177030">
        <w:t xml:space="preserve">f this information </w:t>
      </w:r>
      <w:r>
        <w:t>has been made</w:t>
      </w:r>
      <w:r w:rsidRPr="00177030">
        <w:t xml:space="preserve"> available in the tender notice for all potential bidders and if the modifications, irrespective of their monetary value, have been provided for in the initial procurement documents in clear, precise and unequivocal review clauses</w:t>
      </w:r>
      <w:r>
        <w:t>. If this is the case,</w:t>
      </w:r>
      <w:r w:rsidRPr="00177030">
        <w:t xml:space="preserve"> the managing authority will have the possibility to avail itself of the same </w:t>
      </w:r>
      <w:r w:rsidRPr="003E36CC">
        <w:t>body implementing the financial instrument</w:t>
      </w:r>
      <w:r w:rsidRPr="00177030">
        <w:t xml:space="preserve"> for the subsequent amendments to the initial contribution up to the indicative amount procured. </w:t>
      </w:r>
      <w:r>
        <w:t>If those conditions are not fulfilled and</w:t>
      </w:r>
      <w:r w:rsidRPr="00177030">
        <w:t xml:space="preserve"> </w:t>
      </w:r>
      <w:r>
        <w:t>the</w:t>
      </w:r>
      <w:r w:rsidRPr="00177030">
        <w:t xml:space="preserve"> </w:t>
      </w:r>
      <w:r>
        <w:t>m</w:t>
      </w:r>
      <w:r w:rsidRPr="00177030">
        <w:t xml:space="preserve">anaging authority </w:t>
      </w:r>
      <w:r>
        <w:t xml:space="preserve">substantially amends a contract without procuring </w:t>
      </w:r>
      <w:r w:rsidRPr="00177030">
        <w:t xml:space="preserve">again, </w:t>
      </w:r>
      <w:r>
        <w:t>such amendment</w:t>
      </w:r>
      <w:r w:rsidRPr="00177030">
        <w:t xml:space="preserve"> would entail a change in the initial tendering conditions </w:t>
      </w:r>
      <w:r>
        <w:t>contrary to</w:t>
      </w:r>
      <w:r w:rsidRPr="00177030">
        <w:t xml:space="preserve"> the principle of transparency and equal treatment and thus constitut</w:t>
      </w:r>
      <w:r>
        <w:t>ing</w:t>
      </w:r>
      <w:r w:rsidRPr="00177030">
        <w:t xml:space="preserve"> an irregularity.</w:t>
      </w:r>
    </w:p>
    <w:p w:rsidR="00FF1C09" w:rsidRDefault="00FF1C09" w:rsidP="00FF1C09">
      <w:pPr>
        <w:widowControl w:val="0"/>
      </w:pPr>
      <w:r w:rsidRPr="00FD7E6A">
        <w:rPr>
          <w:b/>
        </w:rPr>
        <w:t xml:space="preserve">Under </w:t>
      </w:r>
      <w:r w:rsidRPr="003A3051">
        <w:rPr>
          <w:b/>
        </w:rPr>
        <w:t>Directive 2014/24/EU, modifications</w:t>
      </w:r>
      <w:r w:rsidRPr="00FD7E6A">
        <w:rPr>
          <w:b/>
        </w:rPr>
        <w:t xml:space="preserve"> of contracts</w:t>
      </w:r>
      <w:r>
        <w:t xml:space="preserve"> are possible </w:t>
      </w:r>
      <w:r w:rsidRPr="00D2711B">
        <w:t xml:space="preserve">without a new procurement procedure </w:t>
      </w:r>
      <w:r>
        <w:t>in particular in the following situations and provided the specific conditions laid down in Article 72 of the Directive are respected:</w:t>
      </w:r>
    </w:p>
    <w:p w:rsidR="00FF1C09" w:rsidRDefault="00FF1C09" w:rsidP="005545F9">
      <w:pPr>
        <w:widowControl w:val="0"/>
        <w:numPr>
          <w:ilvl w:val="0"/>
          <w:numId w:val="22"/>
        </w:numPr>
        <w:spacing w:after="200" w:line="276" w:lineRule="auto"/>
      </w:pPr>
      <w:proofErr w:type="gramStart"/>
      <w:r>
        <w:t>where</w:t>
      </w:r>
      <w:proofErr w:type="gramEnd"/>
      <w:r>
        <w:t xml:space="preserve"> the modifications have been provided for in the initial procurement documents in clear and unequivocal review clauses stating the scope and nature of possible modifications or options as well as the conditions under which they may be used. </w:t>
      </w:r>
      <w:r w:rsidRPr="00D2711B">
        <w:t>The clauses must not provide for modifications or options that would alter the overall nature of the contract or the framework agreement</w:t>
      </w:r>
      <w:r>
        <w:t>. I</w:t>
      </w:r>
      <w:r w:rsidRPr="00177030">
        <w:t>n order to cover the possibility that the programme contribution in the financial instrument is increased later on, the managing authority should</w:t>
      </w:r>
      <w:r>
        <w:t>,</w:t>
      </w:r>
      <w:r w:rsidRPr="00177030">
        <w:t xml:space="preserve"> when procuring the relevant financial services</w:t>
      </w:r>
      <w:r>
        <w:t>,</w:t>
      </w:r>
      <w:r w:rsidRPr="00177030">
        <w:t xml:space="preserve"> estimat</w:t>
      </w:r>
      <w:r>
        <w:t>e ex ante</w:t>
      </w:r>
      <w:r w:rsidRPr="00177030">
        <w:t xml:space="preserve"> possible additional programme contributions and </w:t>
      </w:r>
      <w:r>
        <w:t>their</w:t>
      </w:r>
      <w:r w:rsidRPr="00177030">
        <w:t xml:space="preserve"> impact on the estimated contract value.</w:t>
      </w:r>
    </w:p>
    <w:p w:rsidR="00FF1C09" w:rsidRDefault="00FF1C09" w:rsidP="005545F9">
      <w:pPr>
        <w:widowControl w:val="0"/>
        <w:numPr>
          <w:ilvl w:val="0"/>
          <w:numId w:val="22"/>
        </w:numPr>
        <w:spacing w:after="200" w:line="276" w:lineRule="auto"/>
      </w:pPr>
      <w:r w:rsidRPr="00D2711B">
        <w:t>for additional  services by the original contractor that have become necessary and that were not included in the initial procurement</w:t>
      </w:r>
      <w:r>
        <w:t>,</w:t>
      </w:r>
      <w:r w:rsidRPr="00D2711B">
        <w:t xml:space="preserve"> where a change of contractor</w:t>
      </w:r>
      <w:r>
        <w:t xml:space="preserve"> </w:t>
      </w:r>
      <w:r w:rsidRPr="00D2711B">
        <w:t xml:space="preserve">cannot be made for economic reasons and would cause significant inconvenience or substantial duplication of costs for the contracting authority. In accordance </w:t>
      </w:r>
      <w:r w:rsidRPr="00D2711B">
        <w:lastRenderedPageBreak/>
        <w:t>with Article 72</w:t>
      </w:r>
      <w:r>
        <w:t>,</w:t>
      </w:r>
      <w:r w:rsidRPr="00D2711B">
        <w:t xml:space="preserve"> any increase in price shall not exceed 50 % of the </w:t>
      </w:r>
      <w:r>
        <w:t xml:space="preserve">value of the original contract. </w:t>
      </w:r>
      <w:r w:rsidRPr="003E36CC">
        <w:t>In the case that several successive modifications are made, that limitation applies to the value of each modification. Such consecutive modifications shall not be aimed at circumventing the Directive;</w:t>
      </w:r>
    </w:p>
    <w:p w:rsidR="00FF1C09" w:rsidRDefault="00FF1C09" w:rsidP="005545F9">
      <w:pPr>
        <w:widowControl w:val="0"/>
        <w:numPr>
          <w:ilvl w:val="0"/>
          <w:numId w:val="22"/>
        </w:numPr>
        <w:spacing w:after="200" w:line="276" w:lineRule="auto"/>
      </w:pPr>
      <w:r w:rsidRPr="00D2711B">
        <w:t xml:space="preserve">where </w:t>
      </w:r>
      <w:r>
        <w:t>t</w:t>
      </w:r>
      <w:r w:rsidRPr="00D2711B">
        <w:t>he need for modification has been brought about by circumstances which a diligent contracting authority could not foresee, the modification does not alter the overall nature of the contract and the increase in price is not higher than 50 % of the value of the original c</w:t>
      </w:r>
      <w:r>
        <w:t>ontract or framework agreement (in case of several successive modifications the conditions indicated above apply);</w:t>
      </w:r>
    </w:p>
    <w:p w:rsidR="00FF1C09" w:rsidRDefault="00FF1C09" w:rsidP="005545F9">
      <w:pPr>
        <w:widowControl w:val="0"/>
        <w:numPr>
          <w:ilvl w:val="0"/>
          <w:numId w:val="22"/>
        </w:numPr>
        <w:spacing w:after="200" w:line="276" w:lineRule="auto"/>
      </w:pPr>
      <w:r>
        <w:t>where a new contractor replaces the one to which the contracting authority had initially awarded the contract as a consequence of either: (</w:t>
      </w:r>
      <w:proofErr w:type="spellStart"/>
      <w:r>
        <w:t>i</w:t>
      </w:r>
      <w:proofErr w:type="spellEnd"/>
      <w:r>
        <w:t>) an unequivocal review clause or option in conformity with the first point; (ii) universal or partial succession into the position of the initial contractor, following corporate restructuring, including takeover, merger, acquisition or insolvency, of another economic operator that fulfils the criteria for qualitative selection initially established provided that this does not entail other substantial modifications to the contract and is not aimed at circumventing the application of the Directive; or (iii) in the event that the contracting authority itself assumes the main contractor’s obligations towards its subcontractors where this possibility is provided for under national legislation pursuant to Article 71 of the Directive;</w:t>
      </w:r>
    </w:p>
    <w:p w:rsidR="00FF1C09" w:rsidRPr="00D2711B" w:rsidRDefault="00FF1C09" w:rsidP="005545F9">
      <w:pPr>
        <w:widowControl w:val="0"/>
        <w:numPr>
          <w:ilvl w:val="0"/>
          <w:numId w:val="22"/>
        </w:numPr>
        <w:spacing w:after="200" w:line="276" w:lineRule="auto"/>
      </w:pPr>
      <w:r w:rsidRPr="00D2711B">
        <w:t>where the modifications, irrespective of their value, are not substantial</w:t>
      </w:r>
      <w:r w:rsidRPr="00D2711B">
        <w:rPr>
          <w:vertAlign w:val="superscript"/>
        </w:rPr>
        <w:footnoteReference w:id="12"/>
      </w:r>
      <w:r>
        <w:t>;</w:t>
      </w:r>
    </w:p>
    <w:p w:rsidR="00FF1C09" w:rsidRDefault="00FF1C09" w:rsidP="005545F9">
      <w:pPr>
        <w:numPr>
          <w:ilvl w:val="0"/>
          <w:numId w:val="23"/>
        </w:numPr>
        <w:spacing w:before="120" w:after="0"/>
      </w:pPr>
      <w:proofErr w:type="gramStart"/>
      <w:r w:rsidRPr="00D2711B">
        <w:t>where</w:t>
      </w:r>
      <w:proofErr w:type="gramEnd"/>
      <w:r w:rsidRPr="00D2711B">
        <w:t xml:space="preserve"> the value of the modification is below the thresholds of application of Directive 2014/24/EU and</w:t>
      </w:r>
      <w:r>
        <w:t xml:space="preserve"> </w:t>
      </w:r>
      <w:r w:rsidRPr="00D2711B">
        <w:t>10 % of the initial contract value for service contracts.</w:t>
      </w:r>
      <w:r>
        <w:t xml:space="preserve"> In addition, the</w:t>
      </w:r>
      <w:r w:rsidRPr="00D2711B">
        <w:t xml:space="preserve"> modification may not alter the overall nature of the contract or framework agreement. Where several successive modifications are made, the value shall be assessed on the basis of the net cumulative value of the successive modifications</w:t>
      </w:r>
      <w:r>
        <w:t xml:space="preserve"> (differing from above)</w:t>
      </w:r>
      <w:r w:rsidRPr="00D2711B">
        <w:t>.</w:t>
      </w:r>
    </w:p>
    <w:p w:rsidR="00FF1C09" w:rsidRPr="00177030" w:rsidRDefault="00FF1C09" w:rsidP="00FF1C09">
      <w:pPr>
        <w:widowControl w:val="0"/>
        <w:spacing w:before="120" w:after="0"/>
      </w:pPr>
      <w:r w:rsidRPr="00177030">
        <w:rPr>
          <w:b/>
          <w:u w:val="single"/>
        </w:rPr>
        <w:t>Conclusion</w:t>
      </w:r>
      <w:r w:rsidRPr="00177030">
        <w:t xml:space="preserve">: Managing authorities willing to increase the amount of programme </w:t>
      </w:r>
      <w:r w:rsidRPr="00177030">
        <w:lastRenderedPageBreak/>
        <w:t xml:space="preserve">contributions to </w:t>
      </w:r>
      <w:r>
        <w:t>f</w:t>
      </w:r>
      <w:r w:rsidRPr="00177030">
        <w:t>inancial instruments implemented by bodies already selected (under the 2007-2013 programming period for instance) must carefully check whether the conditions for such a contract modification are met.</w:t>
      </w:r>
    </w:p>
    <w:p w:rsidR="00FF1C09" w:rsidRPr="00FF1C09" w:rsidRDefault="00FF1C09" w:rsidP="00FF1C09">
      <w:pPr>
        <w:widowControl w:val="0"/>
        <w:rPr>
          <w:color w:val="000000"/>
        </w:rPr>
      </w:pPr>
      <w:r w:rsidRPr="00177030">
        <w:t xml:space="preserve">In addition, in order to anticipate possible subsequent programme contribution increases for the future, </w:t>
      </w:r>
      <w:r>
        <w:t>it is recommended that m</w:t>
      </w:r>
      <w:r w:rsidRPr="00177030">
        <w:t xml:space="preserve">anaging authorities envisage the conclusion of Framework </w:t>
      </w:r>
      <w:r>
        <w:t>agreements</w:t>
      </w:r>
      <w:r w:rsidRPr="00177030">
        <w:t xml:space="preserve"> rather than proceeding by contract modifications.</w:t>
      </w:r>
    </w:p>
    <w:p w:rsidR="00FF1C09" w:rsidRPr="00177030" w:rsidRDefault="00FF1C09" w:rsidP="00FF1C09">
      <w:pPr>
        <w:pStyle w:val="Heading3"/>
      </w:pPr>
      <w:bookmarkStart w:id="9" w:name="_Toc443553294"/>
      <w:r w:rsidRPr="00177030">
        <w:t>Below the thresholds of the Directive</w:t>
      </w:r>
      <w:r>
        <w:t>:</w:t>
      </w:r>
      <w:r w:rsidRPr="00177030">
        <w:t xml:space="preserve"> selection </w:t>
      </w:r>
      <w:r>
        <w:t>in accordance with</w:t>
      </w:r>
      <w:r w:rsidRPr="00177030">
        <w:t xml:space="preserve"> the principles of the Treaty</w:t>
      </w:r>
      <w:bookmarkEnd w:id="9"/>
    </w:p>
    <w:p w:rsidR="00FF1C09" w:rsidRPr="00177030" w:rsidRDefault="00FF1C09" w:rsidP="00FF1C09">
      <w:pPr>
        <w:widowControl w:val="0"/>
      </w:pPr>
      <w:r w:rsidRPr="00177030">
        <w:t xml:space="preserve">Below the thresholds of the </w:t>
      </w:r>
      <w:r>
        <w:t>P</w:t>
      </w:r>
      <w:r w:rsidRPr="00177030">
        <w:t xml:space="preserve">ublic </w:t>
      </w:r>
      <w:r>
        <w:t>P</w:t>
      </w:r>
      <w:r w:rsidRPr="00177030">
        <w:t xml:space="preserve">rocurement Directives, the selection of bodies entrusted with the task of implementation of financial instruments </w:t>
      </w:r>
      <w:r>
        <w:t xml:space="preserve">and financial intermediaries </w:t>
      </w:r>
      <w:r w:rsidRPr="00177030">
        <w:t xml:space="preserve">must comply with the principles of the Treaty if the contract is of cross border interest. </w:t>
      </w:r>
    </w:p>
    <w:p w:rsidR="00FF1C09" w:rsidRPr="00177030" w:rsidRDefault="00FF1C09" w:rsidP="00FF1C09">
      <w:pPr>
        <w:widowControl w:val="0"/>
      </w:pPr>
      <w:r w:rsidRPr="00177030">
        <w:t>The principles of the Treaty to be respected are those of free movement of goods, freedom of establishment and freedom to provide services, as well as equal treatment, non-discrimination, mutual recognition</w:t>
      </w:r>
      <w:r>
        <w:t>,</w:t>
      </w:r>
      <w:r w:rsidRPr="00177030">
        <w:t xml:space="preserve"> transparency</w:t>
      </w:r>
      <w:r>
        <w:t xml:space="preserve"> and proportionality</w:t>
      </w:r>
      <w:r w:rsidRPr="00177030">
        <w:t>.</w:t>
      </w:r>
    </w:p>
    <w:p w:rsidR="00FF1C09" w:rsidRPr="00177030" w:rsidRDefault="00FF1C09" w:rsidP="00FF1C09">
      <w:pPr>
        <w:widowControl w:val="0"/>
      </w:pPr>
      <w:r w:rsidRPr="00177030">
        <w:t xml:space="preserve">The Commission, building on the ECJ case law, issued an interpretative communication </w:t>
      </w:r>
      <w:r>
        <w:t>entitled</w:t>
      </w:r>
      <w:r w:rsidRPr="00177030">
        <w:t xml:space="preserve"> the "Community law applicable to contract awards not or not fully subject to the provisions of the “Public Procurement” Directives" of 23 June 2006</w:t>
      </w:r>
      <w:r w:rsidRPr="00177030">
        <w:rPr>
          <w:rStyle w:val="FootnoteReference"/>
        </w:rPr>
        <w:footnoteReference w:id="13"/>
      </w:r>
      <w:r w:rsidRPr="00177030">
        <w:t xml:space="preserve"> in which the requirements </w:t>
      </w:r>
      <w:r>
        <w:t>stemming</w:t>
      </w:r>
      <w:r w:rsidRPr="00177030">
        <w:t xml:space="preserve"> from th</w:t>
      </w:r>
      <w:r>
        <w:t>o</w:t>
      </w:r>
      <w:r w:rsidRPr="00177030">
        <w:t>se principles are developed.</w:t>
      </w:r>
    </w:p>
    <w:p w:rsidR="00FF1C09" w:rsidRPr="00177030" w:rsidRDefault="00FF1C09" w:rsidP="00FF1C09">
      <w:pPr>
        <w:widowControl w:val="0"/>
      </w:pPr>
      <w:r>
        <w:t>In accordance with the case law of</w:t>
      </w:r>
      <w:r w:rsidRPr="00177030">
        <w:t xml:space="preserve"> the ECJ, the principles of equal treatment and of non-discrimination imply an obligation of transparency which consists in ensuring, for the benefit of any potential tenderer, a degree of advertising sufficient to enable the market to be opened up to competition. The obligation of transparency requires that economic operators located in another Member State have access to appropriate information regarding the contract before it is awarded, so that, if they so wish, they </w:t>
      </w:r>
      <w:r>
        <w:t>are</w:t>
      </w:r>
      <w:r w:rsidRPr="00177030">
        <w:t xml:space="preserve"> in a position to express their interest in obtaining that contract. </w:t>
      </w:r>
    </w:p>
    <w:p w:rsidR="00FF1C09" w:rsidRPr="00177030" w:rsidRDefault="00FF1C09" w:rsidP="00FF1C09">
      <w:pPr>
        <w:widowControl w:val="0"/>
      </w:pPr>
      <w:r w:rsidRPr="00177030">
        <w:t>This requires publication of a sufficiently accessible advertisement prior to the award of the contract. This advertisement should be published by the contracting entity in order to open the contract award to competition.</w:t>
      </w:r>
      <w:r>
        <w:t xml:space="preserve"> </w:t>
      </w:r>
      <w:r w:rsidRPr="00177030">
        <w:t xml:space="preserve">The contracting entities are responsible for deciding the most appropriate medium for advertising their contracts. </w:t>
      </w:r>
    </w:p>
    <w:p w:rsidR="00FF1C09" w:rsidRPr="00177030" w:rsidRDefault="00FF1C09" w:rsidP="00FF1C09">
      <w:pPr>
        <w:widowControl w:val="0"/>
        <w:autoSpaceDE w:val="0"/>
        <w:autoSpaceDN w:val="0"/>
        <w:adjustRightInd w:val="0"/>
      </w:pPr>
      <w:r>
        <w:t>O</w:t>
      </w:r>
      <w:r w:rsidRPr="00177030">
        <w:t>bligation</w:t>
      </w:r>
      <w:r>
        <w:t>s</w:t>
      </w:r>
      <w:r w:rsidRPr="00177030">
        <w:t xml:space="preserve"> stemming from the principles of the Treaty </w:t>
      </w:r>
      <w:r>
        <w:t>apply to</w:t>
      </w:r>
      <w:r w:rsidRPr="00177030">
        <w:t xml:space="preserve"> contracts below the thresholds of the Directive</w:t>
      </w:r>
      <w:r>
        <w:t>s</w:t>
      </w:r>
      <w:r w:rsidRPr="00177030">
        <w:t xml:space="preserve"> which present a cross border interest. The existence of a certain cross border interest must be </w:t>
      </w:r>
      <w:r>
        <w:t>assessed</w:t>
      </w:r>
      <w:r w:rsidRPr="00177030">
        <w:t xml:space="preserve"> by individual contracting entities based on an evaluation of the individual circumstances of the case, such as the subject-matter of the contract, the importance of its estimated value, in conjunction with the place where the work is to be carried out or the technical characteristics of the contract</w:t>
      </w:r>
      <w:r w:rsidRPr="00177030">
        <w:rPr>
          <w:rStyle w:val="FootnoteReference"/>
        </w:rPr>
        <w:footnoteReference w:id="14"/>
      </w:r>
      <w:r w:rsidRPr="00177030">
        <w:t>, the specifics of the sector concerned (size and structure of the market, commercial practices, etc.).    </w:t>
      </w:r>
    </w:p>
    <w:p w:rsidR="00FF1C09" w:rsidRPr="00177030" w:rsidRDefault="00FF1C09" w:rsidP="00FF1C09">
      <w:pPr>
        <w:pStyle w:val="Heading2"/>
        <w:rPr>
          <w:lang w:val="en-US"/>
        </w:rPr>
      </w:pPr>
      <w:bookmarkStart w:id="10" w:name="_Toc443553295"/>
      <w:r w:rsidRPr="00177030">
        <w:rPr>
          <w:lang w:val="en-US"/>
        </w:rPr>
        <w:lastRenderedPageBreak/>
        <w:t>Designation of the EIB</w:t>
      </w:r>
      <w:bookmarkEnd w:id="10"/>
    </w:p>
    <w:p w:rsidR="00FF1C09" w:rsidRPr="00177030" w:rsidRDefault="00FF1C09" w:rsidP="00FF1C09">
      <w:pPr>
        <w:widowControl w:val="0"/>
      </w:pPr>
      <w:r w:rsidRPr="00177030">
        <w:t>The EIB is one of the bodies identified in the CPR to whom tasks of implementation of financial instruments may be entrusted by managing authorities (Article 38(4</w:t>
      </w:r>
      <w:proofErr w:type="gramStart"/>
      <w:r w:rsidRPr="00177030">
        <w:t>)(</w:t>
      </w:r>
      <w:proofErr w:type="gramEnd"/>
      <w:r w:rsidRPr="00177030">
        <w:t>b)(</w:t>
      </w:r>
      <w:proofErr w:type="spellStart"/>
      <w:r w:rsidRPr="00177030">
        <w:t>i</w:t>
      </w:r>
      <w:proofErr w:type="spellEnd"/>
      <w:r w:rsidRPr="00177030">
        <w:t>)of the CPR).</w:t>
      </w:r>
    </w:p>
    <w:p w:rsidR="00FF1C09" w:rsidRPr="00177030" w:rsidRDefault="00FF1C09" w:rsidP="00FF1C09">
      <w:pPr>
        <w:widowControl w:val="0"/>
      </w:pPr>
      <w:r w:rsidRPr="00177030">
        <w:t>As the relation between Member States and the EIB is ruled by primary law</w:t>
      </w:r>
      <w:r>
        <w:rPr>
          <w:rStyle w:val="FootnoteReference"/>
        </w:rPr>
        <w:footnoteReference w:id="15"/>
      </w:r>
      <w:r w:rsidRPr="00177030">
        <w:t xml:space="preserve">, access to the EIB's statutory activities cannot be subject to procedural rules and conditions extraneous to the provisions governing the EIB's activities under primary EU law. This means that the provisions of the directives on public procurement (which are secondary law) do not apply to mandates with regard to management of financial instruments concluded between </w:t>
      </w:r>
      <w:r>
        <w:t>m</w:t>
      </w:r>
      <w:r w:rsidRPr="00177030">
        <w:t xml:space="preserve">anaging </w:t>
      </w:r>
      <w:r>
        <w:t>a</w:t>
      </w:r>
      <w:r w:rsidRPr="00177030">
        <w:t>uthorities and the EIB. Therefore, such contracts may be concluded directly with the EIB.</w:t>
      </w:r>
    </w:p>
    <w:p w:rsidR="00FF1C09" w:rsidRPr="00177030" w:rsidRDefault="00FF1C09" w:rsidP="00FF1C09">
      <w:pPr>
        <w:widowControl w:val="0"/>
        <w:autoSpaceDE w:val="0"/>
        <w:autoSpaceDN w:val="0"/>
        <w:adjustRightInd w:val="0"/>
        <w:spacing w:after="0"/>
      </w:pPr>
      <w:r w:rsidRPr="00177030">
        <w:t>Where a contract is directly awarded</w:t>
      </w:r>
      <w:r>
        <w:t xml:space="preserve"> </w:t>
      </w:r>
      <w:r w:rsidRPr="00177030">
        <w:t>by a managing authority to the EIB for the implementation of a fund of funds, the EIB will select financial intermediaries to implement financial instruments on the basis of its own rules laid down in the EIB Guide to Procurement</w:t>
      </w:r>
      <w:r w:rsidRPr="00177030">
        <w:rPr>
          <w:vertAlign w:val="superscript"/>
        </w:rPr>
        <w:footnoteReference w:id="16"/>
      </w:r>
      <w:r w:rsidRPr="00177030">
        <w:t xml:space="preserve"> which,</w:t>
      </w:r>
      <w:r>
        <w:t xml:space="preserve"> </w:t>
      </w:r>
      <w:r w:rsidRPr="00177030">
        <w:t>since the EIB is subject to the Treaty, must comply with the principles of the Treaty.</w:t>
      </w:r>
    </w:p>
    <w:p w:rsidR="00FF1C09" w:rsidRPr="00177030" w:rsidRDefault="00FF1C09" w:rsidP="00FF1C09">
      <w:pPr>
        <w:widowControl w:val="0"/>
        <w:autoSpaceDE w:val="0"/>
        <w:autoSpaceDN w:val="0"/>
        <w:adjustRightInd w:val="0"/>
        <w:spacing w:after="0"/>
      </w:pPr>
    </w:p>
    <w:p w:rsidR="00FF1C09" w:rsidRPr="00177030" w:rsidRDefault="00FF1C09" w:rsidP="00FF1C09">
      <w:pPr>
        <w:widowControl w:val="0"/>
        <w:rPr>
          <w:szCs w:val="24"/>
          <w:lang w:val="en-US"/>
        </w:rPr>
      </w:pPr>
      <w:r w:rsidRPr="00177030">
        <w:t xml:space="preserve">In addition, </w:t>
      </w:r>
      <w:r>
        <w:t>in accordance with</w:t>
      </w:r>
      <w:r w:rsidRPr="00177030">
        <w:t xml:space="preserve"> Article 7(3) of the </w:t>
      </w:r>
      <w:r w:rsidRPr="00177030">
        <w:rPr>
          <w:szCs w:val="24"/>
          <w:lang w:val="en-US"/>
        </w:rPr>
        <w:t xml:space="preserve">CDR, when the EIB further entrusts implementation tasks to financial intermediaries, the selection must also respect the </w:t>
      </w:r>
      <w:r w:rsidRPr="00177030">
        <w:rPr>
          <w:szCs w:val="24"/>
        </w:rPr>
        <w:t>specific requirements laid down in that provision</w:t>
      </w:r>
      <w:r w:rsidRPr="00177030">
        <w:rPr>
          <w:szCs w:val="24"/>
          <w:lang w:val="en-US"/>
        </w:rPr>
        <w:t xml:space="preserve"> (see section 3.8 below).</w:t>
      </w:r>
    </w:p>
    <w:p w:rsidR="00FF1C09" w:rsidRPr="00177030" w:rsidRDefault="00FF1C09" w:rsidP="00FF1C09">
      <w:pPr>
        <w:widowControl w:val="0"/>
      </w:pPr>
      <w:r w:rsidRPr="00177030">
        <w:rPr>
          <w:b/>
          <w:u w:val="single"/>
        </w:rPr>
        <w:t>Conclusion</w:t>
      </w:r>
      <w:r w:rsidRPr="00177030">
        <w:t xml:space="preserve">:  Managing authorities may conclude directly with the EIB, </w:t>
      </w:r>
      <w:r w:rsidRPr="00177030">
        <w:rPr>
          <w:i/>
        </w:rPr>
        <w:t>i.e.</w:t>
      </w:r>
      <w:r w:rsidRPr="00177030">
        <w:t xml:space="preserve"> without competitive process</w:t>
      </w:r>
      <w:r>
        <w:rPr>
          <w:rStyle w:val="FootnoteReference"/>
        </w:rPr>
        <w:footnoteReference w:id="17"/>
      </w:r>
      <w:r w:rsidRPr="00177030">
        <w:t>, mandates with regard to the implementation of financial instruments.</w:t>
      </w:r>
    </w:p>
    <w:p w:rsidR="00FF1C09" w:rsidRPr="00FF1C09" w:rsidRDefault="00FF1C09" w:rsidP="00FF1C09">
      <w:pPr>
        <w:pStyle w:val="Heading2"/>
        <w:rPr>
          <w:lang w:val="en-US"/>
        </w:rPr>
      </w:pPr>
      <w:bookmarkStart w:id="11" w:name="_Toc443553296"/>
      <w:r w:rsidRPr="00177030">
        <w:rPr>
          <w:lang w:val="en-US"/>
        </w:rPr>
        <w:t>Designation of the EIF</w:t>
      </w:r>
      <w:bookmarkEnd w:id="11"/>
    </w:p>
    <w:p w:rsidR="00FF1C09" w:rsidRPr="003A3051" w:rsidRDefault="00FF1C09" w:rsidP="00FF1C09">
      <w:pPr>
        <w:widowControl w:val="0"/>
      </w:pPr>
      <w:r w:rsidRPr="00177030">
        <w:rPr>
          <w:szCs w:val="24"/>
          <w:lang w:val="en-US"/>
        </w:rPr>
        <w:t>The EIF was established in 1994 by the Board of Governors of the EIB (representing the Member States), based on an act of primary EU law</w:t>
      </w:r>
      <w:r w:rsidRPr="00177030">
        <w:rPr>
          <w:szCs w:val="24"/>
          <w:vertAlign w:val="superscript"/>
          <w:lang w:val="en-US"/>
        </w:rPr>
        <w:footnoteReference w:id="18"/>
      </w:r>
      <w:r w:rsidRPr="00177030">
        <w:rPr>
          <w:szCs w:val="24"/>
          <w:lang w:val="en-US"/>
        </w:rPr>
        <w:t>. The Act added an Article 30 to the Statute of the EIB, annexed to the Treaty, empowering the Board to establish the EIF and its statutes. Pursuant to that Article (since replaced by a general article on the establishment of EIB subsidiaries, the current</w:t>
      </w:r>
      <w:r w:rsidRPr="003A3051">
        <w:rPr>
          <w:lang w:val="en-US"/>
        </w:rPr>
        <w:t xml:space="preserve"> </w:t>
      </w:r>
      <w:r w:rsidRPr="00177030">
        <w:rPr>
          <w:szCs w:val="24"/>
          <w:lang w:val="en-US"/>
        </w:rPr>
        <w:t xml:space="preserve">Article 28 of Protocol (No. 5) </w:t>
      </w:r>
      <w:r w:rsidRPr="003A3051">
        <w:t>on the Statute of the EIB),</w:t>
      </w:r>
      <w:r>
        <w:t xml:space="preserve"> </w:t>
      </w:r>
      <w:r w:rsidRPr="00177030">
        <w:rPr>
          <w:szCs w:val="24"/>
          <w:lang w:val="en-US"/>
        </w:rPr>
        <w:t>the EIF</w:t>
      </w:r>
      <w:r w:rsidRPr="003A3051">
        <w:t xml:space="preserve"> has legal personality and a financial autonomy similar to that of the EIB. </w:t>
      </w:r>
    </w:p>
    <w:p w:rsidR="00FF1C09" w:rsidRPr="00177030" w:rsidRDefault="00FF1C09" w:rsidP="00FF1C09">
      <w:pPr>
        <w:widowControl w:val="0"/>
        <w:rPr>
          <w:szCs w:val="24"/>
          <w:lang w:val="en-US"/>
        </w:rPr>
      </w:pPr>
      <w:r w:rsidRPr="00177030">
        <w:rPr>
          <w:szCs w:val="24"/>
          <w:lang w:val="en-US"/>
        </w:rPr>
        <w:lastRenderedPageBreak/>
        <w:t xml:space="preserve">According to Article 2 of its Statute, the task of the EIF is to contribute to the pursuit of the objectives of the European Union </w:t>
      </w:r>
      <w:r>
        <w:rPr>
          <w:szCs w:val="24"/>
          <w:lang w:val="en-US"/>
        </w:rPr>
        <w:t>by providing</w:t>
      </w:r>
      <w:r w:rsidRPr="00177030">
        <w:rPr>
          <w:szCs w:val="24"/>
          <w:lang w:val="en-US"/>
        </w:rPr>
        <w:t xml:space="preserve"> guarantees and taking participations in enterprises. In addition, the EIF may engage in other activities connected with or resulting from those tasks. </w:t>
      </w:r>
    </w:p>
    <w:p w:rsidR="00FF1C09" w:rsidRPr="00177030" w:rsidRDefault="00FF1C09" w:rsidP="00FF1C09">
      <w:pPr>
        <w:widowControl w:val="0"/>
        <w:rPr>
          <w:szCs w:val="24"/>
          <w:lang w:val="en-US"/>
        </w:rPr>
      </w:pPr>
      <w:r w:rsidRPr="00177030">
        <w:rPr>
          <w:szCs w:val="24"/>
          <w:lang w:val="en-US"/>
        </w:rPr>
        <w:t xml:space="preserve">As for the EIB, the position of the EIF is </w:t>
      </w:r>
      <w:r w:rsidRPr="00177030">
        <w:rPr>
          <w:szCs w:val="24"/>
        </w:rPr>
        <w:t>characterised</w:t>
      </w:r>
      <w:r w:rsidRPr="00177030">
        <w:rPr>
          <w:szCs w:val="24"/>
          <w:lang w:val="en-US"/>
        </w:rPr>
        <w:t xml:space="preserve"> by a close link with the European Union as regards its objectives. The EIF intends to contribute towards the Union’s objectives and task</w:t>
      </w:r>
      <w:r>
        <w:rPr>
          <w:szCs w:val="24"/>
          <w:lang w:val="en-US"/>
        </w:rPr>
        <w:t>s</w:t>
      </w:r>
      <w:r w:rsidRPr="00177030">
        <w:rPr>
          <w:szCs w:val="24"/>
          <w:lang w:val="en-US"/>
        </w:rPr>
        <w:t xml:space="preserve"> </w:t>
      </w:r>
      <w:r>
        <w:rPr>
          <w:szCs w:val="24"/>
          <w:lang w:val="en-US"/>
        </w:rPr>
        <w:t>by</w:t>
      </w:r>
      <w:r w:rsidRPr="00177030">
        <w:rPr>
          <w:szCs w:val="24"/>
          <w:lang w:val="en-US"/>
        </w:rPr>
        <w:t xml:space="preserve"> carrying out activities in pursuit of the Union’s goals.</w:t>
      </w:r>
    </w:p>
    <w:p w:rsidR="00FF1C09" w:rsidRPr="00177030" w:rsidRDefault="00FF1C09" w:rsidP="00FF1C09">
      <w:pPr>
        <w:widowControl w:val="0"/>
      </w:pPr>
      <w:r w:rsidRPr="00177030">
        <w:rPr>
          <w:szCs w:val="24"/>
          <w:lang w:val="en-US"/>
        </w:rPr>
        <w:t xml:space="preserve">Article 2(23) of the CPR defines the "EIB", for the purpose of the CPR, as comprising the EIB, the EIF and any (other) subsidiary of the EIB. </w:t>
      </w:r>
      <w:r w:rsidRPr="00177030">
        <w:t>The EIF is therefore also identified in the CPR among the bodies to whom tasks of implementation of financial instruments may be entrusted by managing authorities (Article 38(4</w:t>
      </w:r>
      <w:proofErr w:type="gramStart"/>
      <w:r w:rsidRPr="00177030">
        <w:t>)(</w:t>
      </w:r>
      <w:proofErr w:type="gramEnd"/>
      <w:r w:rsidRPr="00177030">
        <w:t>b)(</w:t>
      </w:r>
      <w:proofErr w:type="spellStart"/>
      <w:r w:rsidRPr="00177030">
        <w:t>i</w:t>
      </w:r>
      <w:proofErr w:type="spellEnd"/>
      <w:r w:rsidRPr="00177030">
        <w:t>) of the CPR).</w:t>
      </w:r>
    </w:p>
    <w:p w:rsidR="00FF1C09" w:rsidRDefault="00FF1C09" w:rsidP="00FF1C09">
      <w:pPr>
        <w:widowControl w:val="0"/>
      </w:pPr>
      <w:r>
        <w:t xml:space="preserve">As a result of the special status of the EIF, mandates </w:t>
      </w:r>
      <w:r w:rsidRPr="00177030">
        <w:t xml:space="preserve">with regard to management of financial instruments between </w:t>
      </w:r>
      <w:r>
        <w:t>m</w:t>
      </w:r>
      <w:r w:rsidRPr="00177030">
        <w:t xml:space="preserve">anaging </w:t>
      </w:r>
      <w:r>
        <w:t>a</w:t>
      </w:r>
      <w:r w:rsidRPr="00177030">
        <w:t>uthorities and the EIB may be concluded directly.</w:t>
      </w:r>
    </w:p>
    <w:p w:rsidR="00FF1C09" w:rsidRPr="00177030" w:rsidRDefault="00FF1C09" w:rsidP="00FF1C09">
      <w:pPr>
        <w:widowControl w:val="0"/>
      </w:pPr>
      <w:r w:rsidRPr="00177030">
        <w:t>Where</w:t>
      </w:r>
      <w:r>
        <w:t xml:space="preserve"> </w:t>
      </w:r>
      <w:r w:rsidRPr="00177030">
        <w:t xml:space="preserve">a contract is directly awarded by a managing authority to the EIF for the implementation of a fund of funds, the EIF will select financial intermediaries to implement financial instruments on the basis of its own rules laid down in </w:t>
      </w:r>
      <w:r w:rsidRPr="003A3051">
        <w:t>the "EIF Guide for Procurement - Guide for the procurement of services, supplies and works by the EIF for its own account"</w:t>
      </w:r>
      <w:r w:rsidRPr="003A3051">
        <w:rPr>
          <w:vertAlign w:val="superscript"/>
        </w:rPr>
        <w:footnoteReference w:id="19"/>
      </w:r>
      <w:r w:rsidRPr="003A3051">
        <w:t>.</w:t>
      </w:r>
    </w:p>
    <w:p w:rsidR="00FF1C09" w:rsidRPr="00177030" w:rsidRDefault="00FF1C09" w:rsidP="00FF1C09">
      <w:pPr>
        <w:widowControl w:val="0"/>
        <w:rPr>
          <w:szCs w:val="24"/>
          <w:lang w:val="en-US"/>
        </w:rPr>
      </w:pPr>
      <w:r w:rsidRPr="00177030">
        <w:t xml:space="preserve">In addition, according to Article 7(3) of the </w:t>
      </w:r>
      <w:r w:rsidRPr="00177030">
        <w:rPr>
          <w:szCs w:val="24"/>
          <w:lang w:val="en-US"/>
        </w:rPr>
        <w:t>CDR, when the EIF further entrusts implementation tasks to financial intermediaries,</w:t>
      </w:r>
      <w:r>
        <w:rPr>
          <w:szCs w:val="24"/>
          <w:lang w:val="en-US"/>
        </w:rPr>
        <w:t xml:space="preserve"> </w:t>
      </w:r>
      <w:r w:rsidRPr="00177030">
        <w:rPr>
          <w:szCs w:val="24"/>
          <w:lang w:val="en-US"/>
        </w:rPr>
        <w:t xml:space="preserve">the selection must respect the </w:t>
      </w:r>
      <w:r w:rsidRPr="00177030">
        <w:rPr>
          <w:szCs w:val="24"/>
        </w:rPr>
        <w:t>specific requirements laid down in that provision</w:t>
      </w:r>
      <w:r w:rsidRPr="00177030">
        <w:rPr>
          <w:szCs w:val="24"/>
          <w:lang w:val="en-US"/>
        </w:rPr>
        <w:t xml:space="preserve"> (see section</w:t>
      </w:r>
      <w:r>
        <w:rPr>
          <w:szCs w:val="24"/>
          <w:lang w:val="en-US"/>
        </w:rPr>
        <w:t xml:space="preserve"> </w:t>
      </w:r>
      <w:r w:rsidRPr="00177030">
        <w:rPr>
          <w:szCs w:val="24"/>
          <w:lang w:val="en-US"/>
        </w:rPr>
        <w:t>3.8 below).</w:t>
      </w:r>
    </w:p>
    <w:p w:rsidR="00FF1C09" w:rsidRPr="00177030" w:rsidRDefault="00FF1C09" w:rsidP="00FF1C09">
      <w:pPr>
        <w:widowControl w:val="0"/>
      </w:pPr>
      <w:r w:rsidRPr="00177030">
        <w:rPr>
          <w:b/>
          <w:u w:val="single"/>
        </w:rPr>
        <w:t>Conclusion</w:t>
      </w:r>
      <w:r w:rsidRPr="00177030">
        <w:t xml:space="preserve">: Managing authorities may conclude directly with the EIF, </w:t>
      </w:r>
      <w:r w:rsidRPr="00177030">
        <w:rPr>
          <w:i/>
        </w:rPr>
        <w:t>i.e.</w:t>
      </w:r>
      <w:r w:rsidRPr="00177030">
        <w:t xml:space="preserve"> without competitive process</w:t>
      </w:r>
      <w:r>
        <w:rPr>
          <w:rStyle w:val="FootnoteReference"/>
        </w:rPr>
        <w:footnoteReference w:id="20"/>
      </w:r>
      <w:r w:rsidRPr="00177030">
        <w:t>, mandates with regard to the implementation of financial instruments.</w:t>
      </w:r>
    </w:p>
    <w:p w:rsidR="00FF1C09" w:rsidRPr="00177030" w:rsidRDefault="00FF1C09" w:rsidP="00FF1C09">
      <w:pPr>
        <w:pStyle w:val="Heading2"/>
        <w:rPr>
          <w:lang w:val="en-US"/>
        </w:rPr>
      </w:pPr>
      <w:bookmarkStart w:id="12" w:name="_Toc443553297"/>
      <w:r w:rsidRPr="00177030">
        <w:rPr>
          <w:lang w:val="en-US"/>
        </w:rPr>
        <w:t xml:space="preserve">Designation of an </w:t>
      </w:r>
      <w:r>
        <w:rPr>
          <w:lang w:val="en-US"/>
        </w:rPr>
        <w:t>i</w:t>
      </w:r>
      <w:r w:rsidRPr="00177030">
        <w:rPr>
          <w:lang w:val="en-US"/>
        </w:rPr>
        <w:t xml:space="preserve">nternational </w:t>
      </w:r>
      <w:r>
        <w:rPr>
          <w:lang w:val="en-US"/>
        </w:rPr>
        <w:t>f</w:t>
      </w:r>
      <w:r w:rsidRPr="00177030">
        <w:rPr>
          <w:lang w:val="en-US"/>
        </w:rPr>
        <w:t xml:space="preserve">inancial </w:t>
      </w:r>
      <w:r>
        <w:rPr>
          <w:lang w:val="en-US"/>
        </w:rPr>
        <w:t>i</w:t>
      </w:r>
      <w:r w:rsidRPr="00177030">
        <w:rPr>
          <w:lang w:val="en-US"/>
        </w:rPr>
        <w:t>nstitution</w:t>
      </w:r>
      <w:bookmarkEnd w:id="12"/>
    </w:p>
    <w:p w:rsidR="00FF1C09" w:rsidRPr="00177030" w:rsidRDefault="00FF1C09" w:rsidP="00FF1C09">
      <w:pPr>
        <w:widowControl w:val="0"/>
        <w:rPr>
          <w:lang w:val="en-US"/>
        </w:rPr>
      </w:pPr>
      <w:r w:rsidRPr="00177030">
        <w:rPr>
          <w:lang w:val="en-US"/>
        </w:rPr>
        <w:t>Managing authorities may consider entrusting the implementation of a financial instrument to an international financial institution, as envisaged in Article 38(4</w:t>
      </w:r>
      <w:proofErr w:type="gramStart"/>
      <w:r w:rsidRPr="00177030">
        <w:rPr>
          <w:lang w:val="en-US"/>
        </w:rPr>
        <w:t>)(</w:t>
      </w:r>
      <w:proofErr w:type="gramEnd"/>
      <w:r w:rsidRPr="00177030">
        <w:rPr>
          <w:lang w:val="en-US"/>
        </w:rPr>
        <w:t xml:space="preserve">b)(ii) of the CPR. </w:t>
      </w:r>
    </w:p>
    <w:p w:rsidR="00FF1C09" w:rsidRPr="003A3051" w:rsidRDefault="00FF1C09" w:rsidP="00FF1C09">
      <w:pPr>
        <w:widowControl w:val="0"/>
      </w:pPr>
      <w:r w:rsidRPr="003A3051">
        <w:t xml:space="preserve">The CPR does not contain a definition of international financial institution. International financial institutions may be defined as financial institutions set up by at least two countries by intergovernmental agreements to provide financial support for economic and </w:t>
      </w:r>
      <w:r w:rsidRPr="003A3051">
        <w:lastRenderedPageBreak/>
        <w:t>social development activities. Their owners or shareholders are generally national governments but may also be other international institutions and/or other organisations.</w:t>
      </w:r>
    </w:p>
    <w:p w:rsidR="00FF1C09" w:rsidRPr="00177030" w:rsidRDefault="00FF1C09" w:rsidP="00FF1C09">
      <w:pPr>
        <w:widowControl w:val="0"/>
        <w:rPr>
          <w:lang w:val="en-US"/>
        </w:rPr>
      </w:pPr>
      <w:r w:rsidRPr="00177030">
        <w:rPr>
          <w:lang w:val="en-US"/>
        </w:rPr>
        <w:t>Entrustment of tasks for the implementation of a financial instrument to an international financial institution may be done directly by a managing authority, provided that the Member State is member of the international financial institution and the tasks entrusted fall within the statutory mission of the institution.</w:t>
      </w:r>
    </w:p>
    <w:p w:rsidR="00FF1C09" w:rsidRPr="00177030" w:rsidRDefault="00FF1C09" w:rsidP="00FF1C09">
      <w:pPr>
        <w:widowControl w:val="0"/>
        <w:rPr>
          <w:lang w:val="en-US"/>
        </w:rPr>
      </w:pPr>
      <w:r w:rsidRPr="00177030">
        <w:rPr>
          <w:lang w:val="en-US"/>
        </w:rPr>
        <w:t>When designating an international financial institution (except the EIB and the EIF), the managing authorities must check that the institution compl</w:t>
      </w:r>
      <w:r>
        <w:rPr>
          <w:lang w:val="en-US"/>
        </w:rPr>
        <w:t>ies</w:t>
      </w:r>
      <w:r w:rsidRPr="00177030">
        <w:rPr>
          <w:lang w:val="en-US"/>
        </w:rPr>
        <w:t xml:space="preserve"> with the selection criteria listed in Article 7(1) and (2) of the CDR.</w:t>
      </w:r>
    </w:p>
    <w:p w:rsidR="00FF1C09" w:rsidRPr="00177030" w:rsidRDefault="00FF1C09" w:rsidP="00FF1C09">
      <w:pPr>
        <w:widowControl w:val="0"/>
        <w:rPr>
          <w:lang w:val="en-US"/>
        </w:rPr>
      </w:pPr>
      <w:r w:rsidRPr="00177030">
        <w:rPr>
          <w:lang w:val="en-US"/>
        </w:rPr>
        <w:t>Following the entrustment of tasks of implementation of a fund of funds</w:t>
      </w:r>
      <w:r>
        <w:rPr>
          <w:lang w:val="en-US"/>
        </w:rPr>
        <w:t xml:space="preserve"> </w:t>
      </w:r>
      <w:r w:rsidRPr="00177030">
        <w:rPr>
          <w:lang w:val="en-US"/>
        </w:rPr>
        <w:t>to an international financial institution by a managing authority,</w:t>
      </w:r>
      <w:r>
        <w:rPr>
          <w:lang w:val="en-US"/>
        </w:rPr>
        <w:t xml:space="preserve"> </w:t>
      </w:r>
      <w:r w:rsidRPr="00177030">
        <w:rPr>
          <w:lang w:val="en-US"/>
        </w:rPr>
        <w:t xml:space="preserve">the international financial institution </w:t>
      </w:r>
      <w:r>
        <w:rPr>
          <w:lang w:val="en-US"/>
        </w:rPr>
        <w:t>may</w:t>
      </w:r>
      <w:r w:rsidRPr="00177030">
        <w:rPr>
          <w:lang w:val="en-US"/>
        </w:rPr>
        <w:t xml:space="preserve"> select financial intermediaries to implement financial instruments. Selection of financial intermediaries by the international financial institution will be carried out </w:t>
      </w:r>
      <w:r>
        <w:rPr>
          <w:lang w:val="en-US"/>
        </w:rPr>
        <w:t>in accordance with</w:t>
      </w:r>
      <w:r w:rsidRPr="00177030">
        <w:rPr>
          <w:lang w:val="en-US"/>
        </w:rPr>
        <w:t xml:space="preserve"> the rules of the international financial institution.</w:t>
      </w:r>
    </w:p>
    <w:p w:rsidR="00FF1C09" w:rsidRPr="00177030" w:rsidRDefault="00FF1C09" w:rsidP="00FF1C09">
      <w:pPr>
        <w:widowControl w:val="0"/>
        <w:rPr>
          <w:lang w:val="en-US"/>
        </w:rPr>
      </w:pPr>
      <w:r w:rsidRPr="00177030">
        <w:rPr>
          <w:lang w:val="en-US"/>
        </w:rPr>
        <w:t xml:space="preserve">In addition, </w:t>
      </w:r>
      <w:r>
        <w:rPr>
          <w:lang w:val="en-US"/>
        </w:rPr>
        <w:t>in accordance with</w:t>
      </w:r>
      <w:r w:rsidRPr="00177030">
        <w:rPr>
          <w:lang w:val="en-US"/>
        </w:rPr>
        <w:t xml:space="preserve"> Article 7(3) of the CDR, when the international financial institution further entrusts implementation tasks to financial intermediaries, </w:t>
      </w:r>
      <w:r w:rsidRPr="00177030">
        <w:rPr>
          <w:szCs w:val="24"/>
          <w:lang w:val="en-US"/>
        </w:rPr>
        <w:t xml:space="preserve">the selection must respect the </w:t>
      </w:r>
      <w:r w:rsidRPr="00177030">
        <w:rPr>
          <w:szCs w:val="24"/>
        </w:rPr>
        <w:t>specific requirements laid down in that provision</w:t>
      </w:r>
      <w:r>
        <w:rPr>
          <w:szCs w:val="24"/>
        </w:rPr>
        <w:t xml:space="preserve"> </w:t>
      </w:r>
      <w:r w:rsidRPr="00177030">
        <w:rPr>
          <w:lang w:val="en-US"/>
        </w:rPr>
        <w:t>(see section 3.8 below).</w:t>
      </w:r>
    </w:p>
    <w:p w:rsidR="00FF1C09" w:rsidRPr="00177030" w:rsidRDefault="00FF1C09" w:rsidP="00FF1C09">
      <w:pPr>
        <w:widowControl w:val="0"/>
      </w:pPr>
      <w:r w:rsidRPr="00177030">
        <w:rPr>
          <w:b/>
          <w:u w:val="single"/>
        </w:rPr>
        <w:t>Conclusion</w:t>
      </w:r>
      <w:r w:rsidRPr="00177030">
        <w:t xml:space="preserve">: Managing authorities may conclude directly with an international financial institution of which the Member State is </w:t>
      </w:r>
      <w:r>
        <w:t>m</w:t>
      </w:r>
      <w:r w:rsidRPr="00177030">
        <w:t xml:space="preserve">ember, </w:t>
      </w:r>
      <w:r w:rsidRPr="00177030">
        <w:rPr>
          <w:i/>
        </w:rPr>
        <w:t>i.e.</w:t>
      </w:r>
      <w:r w:rsidRPr="00177030">
        <w:t xml:space="preserve"> without competitive process</w:t>
      </w:r>
      <w:r>
        <w:rPr>
          <w:rStyle w:val="FootnoteReference"/>
        </w:rPr>
        <w:footnoteReference w:id="21"/>
      </w:r>
      <w:r w:rsidRPr="00177030">
        <w:t>, mandates with regard to management of financial instruments, provided the tasks entrusted fall within the statutory mission of the institution.</w:t>
      </w:r>
    </w:p>
    <w:p w:rsidR="00FF1C09" w:rsidRPr="00177030" w:rsidRDefault="00FF1C09" w:rsidP="00FF1C09">
      <w:pPr>
        <w:pStyle w:val="Heading2"/>
        <w:rPr>
          <w:lang w:val="en-US"/>
        </w:rPr>
      </w:pPr>
      <w:bookmarkStart w:id="13" w:name="_Toc443553298"/>
      <w:r w:rsidRPr="00177030">
        <w:rPr>
          <w:lang w:val="en-US"/>
        </w:rPr>
        <w:t>In-house award</w:t>
      </w:r>
      <w:r>
        <w:rPr>
          <w:rStyle w:val="FootnoteReference"/>
          <w:szCs w:val="24"/>
          <w:u w:val="single"/>
          <w:lang w:val="en-US"/>
        </w:rPr>
        <w:footnoteReference w:id="22"/>
      </w:r>
      <w:bookmarkEnd w:id="13"/>
    </w:p>
    <w:p w:rsidR="00FF1C09" w:rsidRPr="00177030" w:rsidRDefault="00FF1C09" w:rsidP="00FF1C09">
      <w:pPr>
        <w:widowControl w:val="0"/>
      </w:pPr>
      <w:r w:rsidRPr="00177030">
        <w:t xml:space="preserve">The sole fact that both parties to an agreement are public authorities does not rule out the application of </w:t>
      </w:r>
      <w:r>
        <w:t xml:space="preserve">public </w:t>
      </w:r>
      <w:r w:rsidRPr="00177030">
        <w:t>procurement rules.</w:t>
      </w:r>
    </w:p>
    <w:p w:rsidR="00FF1C09" w:rsidRPr="00177030" w:rsidRDefault="00FF1C09" w:rsidP="00FF1C09">
      <w:pPr>
        <w:widowControl w:val="0"/>
      </w:pPr>
      <w:r w:rsidRPr="00177030">
        <w:t>However, the application of public procurement rules must not interfere with the freedom of public authorities to perform the public service tasks conferred on them by using their own resources, which includes the possibility of in-house services.</w:t>
      </w:r>
    </w:p>
    <w:p w:rsidR="00FF1C09" w:rsidRDefault="00FF1C09" w:rsidP="00FF1C09">
      <w:pPr>
        <w:widowControl w:val="0"/>
      </w:pPr>
      <w:r>
        <w:t>In that context, a managing authority may consider entrusting the implementation of a financial instrument to an in-house entity.</w:t>
      </w:r>
    </w:p>
    <w:p w:rsidR="00FF1C09" w:rsidRPr="00177030" w:rsidRDefault="00FF1C09" w:rsidP="00FF1C09">
      <w:pPr>
        <w:widowControl w:val="0"/>
      </w:pPr>
      <w:r w:rsidRPr="00177030">
        <w:t>Prior to the adoption of Directive 2014/24/EU,</w:t>
      </w:r>
      <w:r>
        <w:t xml:space="preserve"> </w:t>
      </w:r>
      <w:r w:rsidRPr="00177030">
        <w:t>the conditions for concluding contracts directly with entities owned and controlled by a contracting authority ("in-house entities")</w:t>
      </w:r>
      <w:r>
        <w:t xml:space="preserve"> </w:t>
      </w:r>
      <w:r w:rsidRPr="00177030">
        <w:t>were</w:t>
      </w:r>
      <w:r>
        <w:t xml:space="preserve"> </w:t>
      </w:r>
      <w:r w:rsidRPr="00177030">
        <w:t xml:space="preserve">defined by case law.  </w:t>
      </w:r>
    </w:p>
    <w:p w:rsidR="00FF1C09" w:rsidRPr="00177030" w:rsidRDefault="00FF1C09" w:rsidP="00FF1C09">
      <w:pPr>
        <w:widowControl w:val="0"/>
      </w:pPr>
      <w:r w:rsidRPr="00177030">
        <w:t>The conditions under which such a direct award is possible have subsequently been defined and enlarged by Directive 2014/24/EU.</w:t>
      </w:r>
      <w:r>
        <w:t xml:space="preserve"> </w:t>
      </w:r>
      <w:r w:rsidRPr="00177030">
        <w:t xml:space="preserve">The fulfilment of these conditions must </w:t>
      </w:r>
      <w:r w:rsidRPr="00177030">
        <w:lastRenderedPageBreak/>
        <w:t>be carefully assessed on a case by case basis.</w:t>
      </w:r>
    </w:p>
    <w:p w:rsidR="00FF1C09" w:rsidRPr="00177030" w:rsidRDefault="00FF1C09" w:rsidP="00FF1C09">
      <w:pPr>
        <w:widowControl w:val="0"/>
        <w:rPr>
          <w:lang w:val="en-US"/>
        </w:rPr>
      </w:pPr>
      <w:r w:rsidRPr="00177030">
        <w:rPr>
          <w:lang w:val="en-US"/>
        </w:rPr>
        <w:t xml:space="preserve">When designating an in-house entity, the managing authorities </w:t>
      </w:r>
      <w:r>
        <w:rPr>
          <w:lang w:val="en-US"/>
        </w:rPr>
        <w:t xml:space="preserve">or intermediate bodies </w:t>
      </w:r>
      <w:r w:rsidRPr="00177030">
        <w:rPr>
          <w:lang w:val="en-US"/>
        </w:rPr>
        <w:t xml:space="preserve">must </w:t>
      </w:r>
      <w:r>
        <w:rPr>
          <w:lang w:val="en-US"/>
        </w:rPr>
        <w:t xml:space="preserve">ensure compliance </w:t>
      </w:r>
      <w:r w:rsidRPr="00177030">
        <w:rPr>
          <w:lang w:val="en-US"/>
        </w:rPr>
        <w:t>with provisions of Article 7(1) and (2) of the CDR.</w:t>
      </w:r>
    </w:p>
    <w:p w:rsidR="00FF1C09" w:rsidRPr="00177030" w:rsidRDefault="00FF1C09" w:rsidP="00FF1C09">
      <w:pPr>
        <w:pStyle w:val="Heading3"/>
      </w:pPr>
      <w:bookmarkStart w:id="14" w:name="_Toc443553299"/>
      <w:r w:rsidRPr="00177030">
        <w:t>Conditions for award to in-house entities until Directive 2014/24/EU is transposed or until 18 April 2016 whatever is earlier</w:t>
      </w:r>
      <w:bookmarkEnd w:id="14"/>
    </w:p>
    <w:p w:rsidR="00FF1C09" w:rsidRPr="00177030" w:rsidRDefault="00FF1C09" w:rsidP="00FF1C09">
      <w:pPr>
        <w:widowControl w:val="0"/>
      </w:pPr>
      <w:r w:rsidRPr="00177030">
        <w:t>In accordance with</w:t>
      </w:r>
      <w:r>
        <w:t xml:space="preserve"> </w:t>
      </w:r>
      <w:r w:rsidRPr="00177030">
        <w:t xml:space="preserve">case law, if a </w:t>
      </w:r>
      <w:r w:rsidRPr="00E132ED">
        <w:t>public authority</w:t>
      </w:r>
      <w:r w:rsidRPr="00177030">
        <w:t xml:space="preserve"> decides not to perform the tasks conferred on it in the public interest by using its own administrative, technical and other resources, it may directly award the implementation of such tasks to other entities when (</w:t>
      </w:r>
      <w:proofErr w:type="spellStart"/>
      <w:r w:rsidRPr="00177030">
        <w:t>i</w:t>
      </w:r>
      <w:proofErr w:type="spellEnd"/>
      <w:r w:rsidRPr="00177030">
        <w:t xml:space="preserve">) they are 100% publicly owned, (ii) it exercises over the entities concerned a control which is similar to that which it exercises over its own departments and (iii) those entities carry out the essential part of their activities for the controlling public authority or authorities. </w:t>
      </w:r>
    </w:p>
    <w:p w:rsidR="00FF1C09" w:rsidRPr="00177030" w:rsidRDefault="00FF1C09" w:rsidP="00FF1C09">
      <w:pPr>
        <w:pStyle w:val="Heading4"/>
      </w:pPr>
      <w:r w:rsidRPr="00177030">
        <w:t>Condition of full public ownership</w:t>
      </w:r>
    </w:p>
    <w:p w:rsidR="00FF1C09" w:rsidRDefault="00FF1C09" w:rsidP="00FF1C09">
      <w:r w:rsidRPr="00177030">
        <w:t xml:space="preserve">As regards the first criteria, 100% public ownership of the entity is required. However no exclusive ownership is required. </w:t>
      </w:r>
    </w:p>
    <w:p w:rsidR="00FF1C09" w:rsidRPr="00177228" w:rsidRDefault="00FF1C09" w:rsidP="00FF1C09">
      <w:r w:rsidRPr="00177030">
        <w:t xml:space="preserve">Therefore </w:t>
      </w:r>
      <w:r>
        <w:t>the</w:t>
      </w:r>
      <w:r w:rsidRPr="00177030">
        <w:t xml:space="preserve"> </w:t>
      </w:r>
      <w:r w:rsidRPr="00263840">
        <w:t xml:space="preserve">managing authority </w:t>
      </w:r>
      <w:r w:rsidRPr="00C21588">
        <w:t xml:space="preserve">(the contracting authority) does not need to be the sole shareholder of the entity. The condition of ownership is met if </w:t>
      </w:r>
      <w:r w:rsidRPr="00E7238B">
        <w:t>the managing authority owns one or more shares</w:t>
      </w:r>
      <w:r w:rsidRPr="008D28C7">
        <w:t xml:space="preserve"> in a 100 % public entity owned by several public entities</w:t>
      </w:r>
      <w:r w:rsidRPr="00263840">
        <w:rPr>
          <w:rStyle w:val="FootnoteReference"/>
        </w:rPr>
        <w:footnoteReference w:id="23"/>
      </w:r>
      <w:r w:rsidRPr="00263840">
        <w:t xml:space="preserve">. </w:t>
      </w:r>
    </w:p>
    <w:p w:rsidR="00FF1C09" w:rsidRPr="00FF1C09" w:rsidRDefault="00FF1C09" w:rsidP="00FF1C09">
      <w:pPr>
        <w:pStyle w:val="Heading4"/>
      </w:pPr>
      <w:r w:rsidRPr="00FF1C09">
        <w:t>Condition concerning the similar control</w:t>
      </w:r>
    </w:p>
    <w:p w:rsidR="00FF1C09" w:rsidRPr="00177030" w:rsidRDefault="00FF1C09" w:rsidP="00FF1C09">
      <w:r w:rsidRPr="00177030">
        <w:t>The contracting authority must exercise over the entity concerned a control which is similar to that which it exercises over its own departments. This control can be exercised individually or jointly.</w:t>
      </w:r>
    </w:p>
    <w:p w:rsidR="00FF1C09" w:rsidRPr="00D2711B" w:rsidRDefault="00FF1C09" w:rsidP="00FF1C09">
      <w:pPr>
        <w:rPr>
          <w:i/>
          <w:u w:val="single"/>
        </w:rPr>
      </w:pPr>
      <w:r w:rsidRPr="00D2711B">
        <w:rPr>
          <w:i/>
          <w:u w:val="single"/>
        </w:rPr>
        <w:t>Similar control:</w:t>
      </w:r>
    </w:p>
    <w:p w:rsidR="00FF1C09" w:rsidRDefault="00FF1C09" w:rsidP="00FF1C09">
      <w:r w:rsidRPr="00177030">
        <w:t> According to settled case</w:t>
      </w:r>
      <w:r w:rsidRPr="00177030">
        <w:noBreakHyphen/>
        <w:t>law</w:t>
      </w:r>
      <w:r w:rsidRPr="00177030">
        <w:rPr>
          <w:rStyle w:val="FootnoteReference"/>
        </w:rPr>
        <w:footnoteReference w:id="24"/>
      </w:r>
      <w:r w:rsidRPr="00177030">
        <w:t xml:space="preserve">, there is ‘similar control’ where the entity in question is subject to control enabling the contracting authority to influence that entity’s decisions. </w:t>
      </w:r>
      <w:r>
        <w:t>The contracting authority does not need to exercise its decisive influence in practice, it is sufficient that it has the possibility to exercise it.</w:t>
      </w:r>
    </w:p>
    <w:p w:rsidR="00FF1C09" w:rsidRDefault="00FF1C09" w:rsidP="00FF1C09">
      <w:pPr>
        <w:rPr>
          <w:lang w:eastAsia="en-GB"/>
        </w:rPr>
      </w:pPr>
      <w:r w:rsidRPr="00177030">
        <w:t>The power exercised must be a power of decisive influence over both the strategic objectives and the significant decisions of that entity</w:t>
      </w:r>
      <w:r w:rsidRPr="00177030">
        <w:rPr>
          <w:rStyle w:val="FootnoteReference"/>
        </w:rPr>
        <w:footnoteReference w:id="25"/>
      </w:r>
      <w:r w:rsidRPr="00177030">
        <w:t xml:space="preserve">. In other words, the contracting authority must be able to exercise a structural and functional control over that entity. </w:t>
      </w:r>
      <w:r w:rsidRPr="00177030">
        <w:rPr>
          <w:lang w:eastAsia="en-GB"/>
        </w:rPr>
        <w:t>This does not necessarily require a daily operational control</w:t>
      </w:r>
      <w:r w:rsidRPr="00177030">
        <w:rPr>
          <w:rStyle w:val="FootnoteReference"/>
        </w:rPr>
        <w:footnoteReference w:id="26"/>
      </w:r>
      <w:r w:rsidRPr="00177030">
        <w:rPr>
          <w:lang w:eastAsia="en-GB"/>
        </w:rPr>
        <w:t>. </w:t>
      </w:r>
    </w:p>
    <w:p w:rsidR="00FF1C09" w:rsidRDefault="00FF1C09" w:rsidP="00FF1C09">
      <w:pPr>
        <w:widowControl w:val="0"/>
      </w:pPr>
      <w:r>
        <w:lastRenderedPageBreak/>
        <w:t xml:space="preserve">The condition of similar control is met where the contracting authority participates in the supervisory or management board of the entity (a promotional or development bank for example) and has the possibility to exercise a </w:t>
      </w:r>
      <w:r w:rsidRPr="00177030">
        <w:t xml:space="preserve">decisive influence over both </w:t>
      </w:r>
      <w:r>
        <w:t xml:space="preserve">the </w:t>
      </w:r>
      <w:r w:rsidRPr="00177030">
        <w:t>strategic objectives and significant decisions of th</w:t>
      </w:r>
      <w:r>
        <w:t>at entity</w:t>
      </w:r>
      <w:r w:rsidRPr="00177030">
        <w:t xml:space="preserve">. </w:t>
      </w:r>
    </w:p>
    <w:p w:rsidR="00FF1C09" w:rsidRPr="00FF1C09" w:rsidRDefault="00FF1C09" w:rsidP="00FF1C09">
      <w:pPr>
        <w:widowControl w:val="0"/>
      </w:pPr>
      <w:r w:rsidRPr="00FF1C09">
        <w:t>To assess whether the contracting authority can exercise decisive influence over both strategic objectives and significant decisions of the entity, the ECJ examines (</w:t>
      </w:r>
      <w:proofErr w:type="spellStart"/>
      <w:r w:rsidRPr="00FF1C09">
        <w:t>i</w:t>
      </w:r>
      <w:proofErr w:type="spellEnd"/>
      <w:r w:rsidRPr="00FF1C09">
        <w:t>) whether there is private participation in the capital of the entity, (ii) the composition of its decision-making bodies, and (iii) the extent of the powers conferred on its governing council</w:t>
      </w:r>
      <w:r w:rsidRPr="00FF1C09">
        <w:footnoteReference w:id="27"/>
      </w:r>
      <w:r w:rsidRPr="00FF1C09">
        <w:t>.</w:t>
      </w:r>
    </w:p>
    <w:p w:rsidR="00FF1C09" w:rsidRPr="00D2711B" w:rsidRDefault="00FF1C09" w:rsidP="00FF1C09">
      <w:r>
        <w:t>A</w:t>
      </w:r>
      <w:r w:rsidRPr="00D2711B">
        <w:t xml:space="preserve">ccording to ECJ, </w:t>
      </w:r>
      <w:r>
        <w:t>participation of</w:t>
      </w:r>
      <w:r w:rsidRPr="00D2711B">
        <w:t xml:space="preserve"> a private undertaking</w:t>
      </w:r>
      <w:r w:rsidRPr="00061A6C">
        <w:t>, even as a minority, in the capital of a company in which a contracting authority is also a participant</w:t>
      </w:r>
      <w:r>
        <w:t xml:space="preserve">, </w:t>
      </w:r>
      <w:r w:rsidRPr="00061A6C">
        <w:t>excludes the possibility that the contracting authority exercise</w:t>
      </w:r>
      <w:r>
        <w:t>s</w:t>
      </w:r>
      <w:r w:rsidRPr="00061A6C">
        <w:t xml:space="preserve"> over that company a control similar to that which it exercises over its own departments</w:t>
      </w:r>
      <w:r>
        <w:rPr>
          <w:rStyle w:val="FootnoteReference"/>
        </w:rPr>
        <w:footnoteReference w:id="28"/>
      </w:r>
      <w:r w:rsidRPr="00D2711B">
        <w:t>.</w:t>
      </w:r>
    </w:p>
    <w:p w:rsidR="00FF1C09" w:rsidRPr="00FF1C09" w:rsidRDefault="00FF1C09" w:rsidP="00FF1C09">
      <w:r w:rsidRPr="00FF1C09">
        <w:t>However, the fact that the concession-granting public authority holds, alone or together with other public authorities, all of the share capital in a concessionaire, tends to indicate – generally, but not conclusively – that that contracting authority exercises over that company a control similar to that which it exercises over its own departments</w:t>
      </w:r>
      <w:r w:rsidRPr="005707A9">
        <w:rPr>
          <w:vertAlign w:val="superscript"/>
        </w:rPr>
        <w:footnoteReference w:id="29"/>
      </w:r>
      <w:r w:rsidRPr="00FF1C09">
        <w:t xml:space="preserve">. </w:t>
      </w:r>
    </w:p>
    <w:p w:rsidR="00FF1C09" w:rsidRPr="00FF1C09" w:rsidRDefault="00FF1C09" w:rsidP="00FF1C09">
      <w:r w:rsidRPr="00FF1C09">
        <w:t xml:space="preserve">The fact that the entity's decision-making bodies are composed of representatives of the public authorities which own the entity shows that the entity is under the control of the public authorities, which are thus able to exert decisive influence over both the entity's </w:t>
      </w:r>
      <w:bookmarkStart w:id="15" w:name="ctx2"/>
      <w:r w:rsidRPr="00FF1C09">
        <w:t>strategic objectives and significant decisions</w:t>
      </w:r>
      <w:bookmarkEnd w:id="15"/>
      <w:r w:rsidRPr="00FF1C09">
        <w:t>.</w:t>
      </w:r>
    </w:p>
    <w:p w:rsidR="00FF1C09" w:rsidRPr="00FF1C09" w:rsidRDefault="00FF1C09" w:rsidP="00FF1C09">
      <w:r w:rsidRPr="00FF1C09">
        <w:t>It is necessary to check the extent of the powers conferred on its governing council to assess whether the entity is market-oriented and has such a degree of independence that it would render tenuous the control exercised by the public authorities affiliated to it.</w:t>
      </w:r>
    </w:p>
    <w:p w:rsidR="00FF1C09" w:rsidRPr="00FF1C09" w:rsidRDefault="00FF1C09" w:rsidP="00FF1C09">
      <w:r w:rsidRPr="00FF1C09">
        <w:t>The legal form of the company must be taken into account, due to the fact that certain forms of companies can pursue objectives independently of their shareholders</w:t>
      </w:r>
      <w:bookmarkStart w:id="16" w:name="point38"/>
      <w:r w:rsidRPr="00FF1C09">
        <w:t>.</w:t>
      </w:r>
    </w:p>
    <w:p w:rsidR="00FF1C09" w:rsidRPr="00FF1C09" w:rsidRDefault="00FF1C09" w:rsidP="00FF1C09">
      <w:r w:rsidRPr="00FF1C09">
        <w:t xml:space="preserve">If under its statutes the entity aims at pursuing the interests of its owners </w:t>
      </w:r>
      <w:bookmarkEnd w:id="16"/>
      <w:r w:rsidRPr="00FF1C09">
        <w:t>and does not pursue any interest distinct from that of the public affiliated authorities, this is an indication of control similar to that exercised over the contracting authority's own departments.</w:t>
      </w:r>
    </w:p>
    <w:p w:rsidR="00FF1C09" w:rsidRPr="00FF1C09" w:rsidRDefault="00FF1C09" w:rsidP="00FF1C09">
      <w:r w:rsidRPr="00FF1C09">
        <w:t>The control exercised by the public authorities, via the statutory bodies, over that entity's decisions may be regarded as enabling those authorities to exercise over that entity control similar to that exercised over their own departments.</w:t>
      </w:r>
    </w:p>
    <w:p w:rsidR="00FF1C09" w:rsidRPr="00423A1D" w:rsidRDefault="00FF1C09" w:rsidP="00FF1C09">
      <w:pPr>
        <w:autoSpaceDE w:val="0"/>
        <w:autoSpaceDN w:val="0"/>
        <w:adjustRightInd w:val="0"/>
        <w:spacing w:after="0"/>
      </w:pPr>
      <w:r w:rsidRPr="00423A1D">
        <w:t xml:space="preserve">This control has to </w:t>
      </w:r>
      <w:r w:rsidRPr="007A1A25">
        <w:t>be effective</w:t>
      </w:r>
      <w:r w:rsidRPr="00423A1D">
        <w:rPr>
          <w:rStyle w:val="FootnoteReference"/>
        </w:rPr>
        <w:footnoteReference w:id="30"/>
      </w:r>
      <w:r w:rsidRPr="00423A1D">
        <w:t>.</w:t>
      </w:r>
      <w:r>
        <w:t xml:space="preserve"> </w:t>
      </w:r>
      <w:r w:rsidRPr="00423A1D">
        <w:t xml:space="preserve">It is not enough that the control exercised consists essentially of the latitude conferred by company law on the majority of the shareholders, </w:t>
      </w:r>
      <w:r w:rsidRPr="00423A1D">
        <w:lastRenderedPageBreak/>
        <w:t xml:space="preserve">which results in limits on </w:t>
      </w:r>
      <w:r w:rsidRPr="007A1A25">
        <w:t>the contracting authority's</w:t>
      </w:r>
      <w:r w:rsidRPr="00073A9D">
        <w:t xml:space="preserve"> power to influence the decisions of those companies</w:t>
      </w:r>
      <w:r w:rsidRPr="00423A1D">
        <w:rPr>
          <w:rStyle w:val="FootnoteReference"/>
        </w:rPr>
        <w:footnoteReference w:id="31"/>
      </w:r>
      <w:r w:rsidRPr="00423A1D">
        <w:t>.</w:t>
      </w:r>
    </w:p>
    <w:p w:rsidR="00FF1C09" w:rsidRPr="00D2711B" w:rsidRDefault="00FF1C09" w:rsidP="00FF1C09">
      <w:pPr>
        <w:autoSpaceDE w:val="0"/>
        <w:autoSpaceDN w:val="0"/>
        <w:adjustRightInd w:val="0"/>
        <w:spacing w:after="0"/>
        <w:rPr>
          <w:i/>
          <w:u w:val="single"/>
        </w:rPr>
      </w:pPr>
      <w:r>
        <w:rPr>
          <w:i/>
          <w:u w:val="single"/>
        </w:rPr>
        <w:t>Similar control can be exercised i</w:t>
      </w:r>
      <w:r w:rsidRPr="00D2711B">
        <w:rPr>
          <w:i/>
          <w:u w:val="single"/>
        </w:rPr>
        <w:t>ndividual</w:t>
      </w:r>
      <w:r>
        <w:rPr>
          <w:i/>
          <w:u w:val="single"/>
        </w:rPr>
        <w:t>ly or jointly</w:t>
      </w:r>
      <w:r w:rsidRPr="00D2711B">
        <w:rPr>
          <w:i/>
          <w:u w:val="single"/>
        </w:rPr>
        <w:t>:</w:t>
      </w:r>
    </w:p>
    <w:p w:rsidR="00FF1C09" w:rsidRPr="00177030" w:rsidRDefault="00FF1C09" w:rsidP="00FF1C09">
      <w:pPr>
        <w:autoSpaceDE w:val="0"/>
        <w:autoSpaceDN w:val="0"/>
        <w:adjustRightInd w:val="0"/>
        <w:spacing w:after="0"/>
      </w:pPr>
      <w:r w:rsidRPr="00177030">
        <w:t>It is not essential that the control be exercised individually: joint analogous control is admitted. According to the case</w:t>
      </w:r>
      <w:r w:rsidRPr="00177030">
        <w:noBreakHyphen/>
        <w:t>law, where use is made of an entity jointly owned by a number of public authorities, the ‘similar control’ may be exercised jointly by those authorities, without it being essential for such control to be exercised individually by each of them. Decisions can be taken by a majority, as the case may be</w:t>
      </w:r>
      <w:r w:rsidRPr="00177030">
        <w:rPr>
          <w:rStyle w:val="FootnoteReference"/>
        </w:rPr>
        <w:footnoteReference w:id="32"/>
      </w:r>
      <w:r w:rsidRPr="00177030">
        <w:t xml:space="preserve">. </w:t>
      </w:r>
    </w:p>
    <w:p w:rsidR="00FF1C09" w:rsidRPr="00177030" w:rsidRDefault="00FF1C09" w:rsidP="00FF1C09">
      <w:pPr>
        <w:autoSpaceDE w:val="0"/>
        <w:autoSpaceDN w:val="0"/>
        <w:adjustRightInd w:val="0"/>
        <w:spacing w:after="0"/>
      </w:pPr>
    </w:p>
    <w:p w:rsidR="00FF1C09" w:rsidRPr="00177030" w:rsidRDefault="00FF1C09" w:rsidP="00FF1C09">
      <w:pPr>
        <w:autoSpaceDE w:val="0"/>
        <w:autoSpaceDN w:val="0"/>
        <w:adjustRightInd w:val="0"/>
        <w:spacing w:after="0"/>
      </w:pPr>
      <w:r w:rsidRPr="00177030">
        <w:t>The Court recognised that in certain circumstances the condition relating to the control exercised by the public authority could be satisfied where such an authority held only 0.25% of the capital in a public undertaking</w:t>
      </w:r>
      <w:r w:rsidRPr="00177030">
        <w:rPr>
          <w:rStyle w:val="FootnoteReference"/>
        </w:rPr>
        <w:footnoteReference w:id="33"/>
      </w:r>
      <w:r w:rsidRPr="00177030">
        <w:t>. Joint analogous control is possible even if the percentage of the shareholding is very low provided the right</w:t>
      </w:r>
      <w:r>
        <w:t>s</w:t>
      </w:r>
      <w:r w:rsidRPr="00177030">
        <w:t xml:space="preserve"> attached to this shareholding </w:t>
      </w:r>
      <w:r>
        <w:t>are</w:t>
      </w:r>
      <w:r w:rsidRPr="00177030">
        <w:t xml:space="preserve"> sufficient for the shareholders to exercise jointly an effective control</w:t>
      </w:r>
      <w:r w:rsidRPr="00177030">
        <w:rPr>
          <w:rStyle w:val="FootnoteReference"/>
        </w:rPr>
        <w:footnoteReference w:id="34"/>
      </w:r>
      <w:r w:rsidRPr="00177030">
        <w:t>.</w:t>
      </w:r>
    </w:p>
    <w:p w:rsidR="00FF1C09" w:rsidRPr="00177030" w:rsidRDefault="00FF1C09" w:rsidP="00FF1C09">
      <w:pPr>
        <w:autoSpaceDE w:val="0"/>
        <w:autoSpaceDN w:val="0"/>
        <w:adjustRightInd w:val="0"/>
        <w:spacing w:after="0"/>
      </w:pPr>
    </w:p>
    <w:p w:rsidR="00FF1C09" w:rsidRPr="00177030" w:rsidRDefault="00FF1C09" w:rsidP="00FF1C09">
      <w:pPr>
        <w:rPr>
          <w:bCs/>
        </w:rPr>
      </w:pPr>
      <w:r w:rsidRPr="00177030">
        <w:t>When</w:t>
      </w:r>
      <w:r>
        <w:t xml:space="preserve"> the </w:t>
      </w:r>
      <w:r w:rsidRPr="00177030">
        <w:t>managing authority</w:t>
      </w:r>
      <w:r>
        <w:t xml:space="preserve"> </w:t>
      </w:r>
      <w:r w:rsidRPr="00177030">
        <w:t>participates in the decision making body of an entity collectively owned and controlled by several public owners, it is necessary to assess whether there is a joint analogous control over the entity.</w:t>
      </w:r>
    </w:p>
    <w:p w:rsidR="00FF1C09" w:rsidRPr="00177030" w:rsidRDefault="00FF1C09" w:rsidP="00FF1C09">
      <w:pPr>
        <w:pStyle w:val="Heading4"/>
        <w:rPr>
          <w:szCs w:val="24"/>
          <w:lang w:eastAsia="en-GB"/>
        </w:rPr>
      </w:pPr>
      <w:proofErr w:type="gramStart"/>
      <w:r w:rsidRPr="00177030">
        <w:rPr>
          <w:bCs/>
        </w:rPr>
        <w:t xml:space="preserve">Condition relating to </w:t>
      </w:r>
      <w:r w:rsidRPr="00177030">
        <w:t>the essential part of the activities of the entity being carried out for the controlling public authority or authorities.</w:t>
      </w:r>
      <w:proofErr w:type="gramEnd"/>
    </w:p>
    <w:p w:rsidR="00FF1C09" w:rsidRPr="000A659E" w:rsidRDefault="00FF1C09" w:rsidP="00FF1C09">
      <w:pPr>
        <w:widowControl w:val="0"/>
      </w:pPr>
      <w:r w:rsidRPr="00177030">
        <w:t>The entity must carry out the essential part of its activities for the controlling public authority or authorities</w:t>
      </w:r>
      <w:r>
        <w:t xml:space="preserve">, i.e. </w:t>
      </w:r>
      <w:r w:rsidRPr="00177030">
        <w:t>in the performance of tasks entrusted to it by the controlling contracting authority or by other legal persons controlled by that contracting authority, regardless of the beneficiary of the contract performance.</w:t>
      </w:r>
      <w:r>
        <w:t xml:space="preserve"> The ECJ has not to date established a percentage that might constitute the essential part of an entity's activity</w:t>
      </w:r>
      <w:r>
        <w:rPr>
          <w:rStyle w:val="FootnoteReference"/>
        </w:rPr>
        <w:footnoteReference w:id="35"/>
      </w:r>
      <w:r>
        <w:t xml:space="preserve">. </w:t>
      </w:r>
    </w:p>
    <w:p w:rsidR="00FF1C09" w:rsidRPr="00177030" w:rsidRDefault="00FF1C09" w:rsidP="00FF1C09">
      <w:pPr>
        <w:widowControl w:val="0"/>
      </w:pPr>
      <w:r w:rsidRPr="00177030">
        <w:t xml:space="preserve">In case </w:t>
      </w:r>
      <w:r>
        <w:t>the</w:t>
      </w:r>
      <w:r w:rsidRPr="00177030">
        <w:t xml:space="preserve"> managing authority</w:t>
      </w:r>
      <w:r>
        <w:t xml:space="preserve"> </w:t>
      </w:r>
      <w:r w:rsidRPr="00177030">
        <w:t>is not the sole owner and controller of the entity, the condition that the</w:t>
      </w:r>
      <w:r>
        <w:t xml:space="preserve"> </w:t>
      </w:r>
      <w:r w:rsidRPr="00177030">
        <w:t xml:space="preserve">entity carries out the essential part of its activities for the controlling public authority or authorities is met even if at the moment of the award of the contract the in-house entity is not specifically carrying out any </w:t>
      </w:r>
      <w:r>
        <w:t xml:space="preserve">tasks entrusted by the </w:t>
      </w:r>
      <w:r w:rsidRPr="00177030">
        <w:t xml:space="preserve">managing authority but where the essential part of the activity of that entity </w:t>
      </w:r>
      <w:r>
        <w:t>consists of tasks entrusted by</w:t>
      </w:r>
      <w:r w:rsidRPr="00177030">
        <w:t xml:space="preserve"> the other authorities controlling </w:t>
      </w:r>
      <w:r>
        <w:t>it</w:t>
      </w:r>
      <w:r w:rsidRPr="00177030">
        <w:t>.</w:t>
      </w:r>
    </w:p>
    <w:p w:rsidR="00FF1C09" w:rsidRPr="00177030" w:rsidRDefault="00FF1C09" w:rsidP="00FF1C09">
      <w:r w:rsidRPr="00177030">
        <w:rPr>
          <w:b/>
          <w:u w:val="single"/>
        </w:rPr>
        <w:lastRenderedPageBreak/>
        <w:t>Conclusion:</w:t>
      </w:r>
      <w:r w:rsidRPr="00177030">
        <w:t xml:space="preserve"> </w:t>
      </w:r>
      <w:r>
        <w:t>The</w:t>
      </w:r>
      <w:r w:rsidRPr="00177030">
        <w:t xml:space="preserve"> managing authority</w:t>
      </w:r>
      <w:r>
        <w:t xml:space="preserve"> </w:t>
      </w:r>
      <w:r w:rsidRPr="00177030">
        <w:t>may therefore, under the above-mentioned conditions, entrust tasks of implementation of financial instruments to a 100% publicly owned entity</w:t>
      </w:r>
      <w:r w:rsidRPr="00177030">
        <w:rPr>
          <w:lang w:val="en-US"/>
        </w:rPr>
        <w:t xml:space="preserve"> (for instance a development bank)</w:t>
      </w:r>
      <w:r w:rsidRPr="00177030">
        <w:t xml:space="preserve"> over which it exercises a control which is similar to that which it exercises over its own departments provided this entity carries out the essential part of its activities for the controlling public authority or authorities. Selection of financial intermediaries by in-house entities must respect public procurement rules and principles provided that the in-house entities are themselves contracting authorities.</w:t>
      </w:r>
    </w:p>
    <w:p w:rsidR="00FF1C09" w:rsidRPr="00177030" w:rsidRDefault="00FF1C09" w:rsidP="00FF1C09">
      <w:pPr>
        <w:pStyle w:val="Heading3"/>
      </w:pPr>
      <w:bookmarkStart w:id="17" w:name="_Toc443553300"/>
      <w:r w:rsidRPr="00177030">
        <w:t>Conditions for award to in-house entities after transposition of Directive 2014/24/EU (Article 12 of Directive 2014/24/EU) or after 18 April 2016</w:t>
      </w:r>
      <w:bookmarkEnd w:id="17"/>
    </w:p>
    <w:p w:rsidR="00FF1C09" w:rsidRPr="00177030" w:rsidRDefault="00FF1C09" w:rsidP="00FF1C09">
      <w:pPr>
        <w:widowControl w:val="0"/>
      </w:pPr>
      <w:r>
        <w:t xml:space="preserve">In accordance with Article 12 </w:t>
      </w:r>
      <w:r w:rsidRPr="00177030">
        <w:t>o</w:t>
      </w:r>
      <w:r>
        <w:t>f</w:t>
      </w:r>
      <w:r w:rsidRPr="00177030">
        <w:t xml:space="preserve"> Directive 2014/24/EU, a contracting authority may conclude a public contract with a controlled legal person provided that</w:t>
      </w:r>
      <w:r>
        <w:t xml:space="preserve"> the</w:t>
      </w:r>
      <w:r w:rsidRPr="00177030">
        <w:t xml:space="preserve"> three following cumulative conditions are met.</w:t>
      </w:r>
    </w:p>
    <w:p w:rsidR="00FF1C09" w:rsidRPr="00FD7E6A" w:rsidRDefault="00FF1C09" w:rsidP="00FF1C09">
      <w:pPr>
        <w:pStyle w:val="Heading4"/>
      </w:pPr>
      <w:r w:rsidRPr="00FD7E6A">
        <w:t>Condition concerning the ownership</w:t>
      </w:r>
      <w:r>
        <w:t xml:space="preserve"> of the in-house entity</w:t>
      </w:r>
    </w:p>
    <w:p w:rsidR="00FF1C09" w:rsidRDefault="00FF1C09" w:rsidP="00FF1C09">
      <w:pPr>
        <w:widowControl w:val="0"/>
      </w:pPr>
      <w:r>
        <w:t>T</w:t>
      </w:r>
      <w:r w:rsidRPr="00177030">
        <w:t xml:space="preserve">here must be no direct private capital participation in the controlled legal person with the exception of non-controlling and non-blocking forms of private capital participation required by national legislative provisions, in conformity with the Treaties, which do not exert a decisive influence on the controlled legal person. </w:t>
      </w:r>
    </w:p>
    <w:p w:rsidR="00FF1C09" w:rsidRDefault="00FF1C09" w:rsidP="00FF1C09">
      <w:pPr>
        <w:widowControl w:val="0"/>
      </w:pPr>
      <w:proofErr w:type="gramStart"/>
      <w:r>
        <w:t>A (</w:t>
      </w:r>
      <w:proofErr w:type="gramEnd"/>
      <w:r>
        <w:t xml:space="preserve">non-controlling and non-blocking) </w:t>
      </w:r>
      <w:r w:rsidRPr="00177030">
        <w:t xml:space="preserve">private capital participation </w:t>
      </w:r>
      <w:r>
        <w:t>in</w:t>
      </w:r>
      <w:r w:rsidRPr="00177030">
        <w:t xml:space="preserve"> conformity with the Treaties</w:t>
      </w:r>
      <w:r>
        <w:t xml:space="preserve"> refers to a private participation resulting from a transparent and non-discriminatory procedure</w:t>
      </w:r>
      <w:r>
        <w:rPr>
          <w:rStyle w:val="FootnoteReference"/>
        </w:rPr>
        <w:footnoteReference w:id="36"/>
      </w:r>
      <w:r>
        <w:t xml:space="preserve"> in conformity with the Treaty principles.</w:t>
      </w:r>
    </w:p>
    <w:p w:rsidR="00FF1C09" w:rsidRDefault="00FF1C09" w:rsidP="00FF1C09">
      <w:pPr>
        <w:widowControl w:val="0"/>
      </w:pPr>
      <w:r>
        <w:t>It is not required that the contracting authority using the services of an in-house entity owns shares in this entity, provided the in-house entity is 100% publicly owned and the other criteria indicated below are fulfilled. It is however difficult to envisage a set up where a contracting authority would effectively control an in-house entity without even partially owning that entity.</w:t>
      </w:r>
    </w:p>
    <w:p w:rsidR="00FF1C09" w:rsidRPr="00FF1C09" w:rsidRDefault="00FF1C09" w:rsidP="00FF1C09">
      <w:pPr>
        <w:pStyle w:val="Heading4"/>
      </w:pPr>
      <w:r w:rsidRPr="00FF1C09">
        <w:t>Condition of control of public authorities over the in-house entity</w:t>
      </w:r>
    </w:p>
    <w:p w:rsidR="00FF1C09" w:rsidRDefault="00FF1C09" w:rsidP="00FF1C09">
      <w:pPr>
        <w:widowControl w:val="0"/>
      </w:pPr>
      <w:r>
        <w:t>T</w:t>
      </w:r>
      <w:r w:rsidRPr="00177030">
        <w:t xml:space="preserve">he contracting authority must exercise a control over the legal person concerned which is similar to that which it exercises over its own departments. </w:t>
      </w:r>
      <w:r>
        <w:t>Codifying the criteria identified by case law, Article 12(1) of the Directive provides that a</w:t>
      </w:r>
      <w:r w:rsidRPr="00177030">
        <w:t xml:space="preserve"> contracting authority is deemed to exercise such control where it exercises a decisive influence over both strategic objectives and significant decisions of the controlled legal person. </w:t>
      </w:r>
      <w:r>
        <w:t xml:space="preserve">The indicators of </w:t>
      </w:r>
      <w:r w:rsidRPr="00177030">
        <w:t>decisive influence</w:t>
      </w:r>
      <w:r>
        <w:t xml:space="preserve"> by the contracting authority </w:t>
      </w:r>
      <w:r w:rsidRPr="00177030">
        <w:t>over both strategic objectives and significant decisions</w:t>
      </w:r>
      <w:r>
        <w:t xml:space="preserve"> of the entity referred to above in section 3.5.1.2 are therefore relevant.</w:t>
      </w:r>
    </w:p>
    <w:p w:rsidR="00FF1C09" w:rsidRPr="00177030" w:rsidRDefault="00FF1C09" w:rsidP="00FF1C09">
      <w:pPr>
        <w:widowControl w:val="0"/>
      </w:pPr>
      <w:r w:rsidRPr="00177030">
        <w:t>Such control may also be exercised by another legal person, which is itself controlled in the same way by the contracting authority</w:t>
      </w:r>
      <w:r>
        <w:t xml:space="preserve"> (Article 12(1))</w:t>
      </w:r>
      <w:r w:rsidRPr="00177030">
        <w:t xml:space="preserve">, or jointly, provided the </w:t>
      </w:r>
      <w:r w:rsidRPr="00177030">
        <w:lastRenderedPageBreak/>
        <w:t>conditions laid down in Article 12(3) of the Directive are met</w:t>
      </w:r>
      <w:r w:rsidRPr="00D2711B">
        <w:rPr>
          <w:vertAlign w:val="superscript"/>
        </w:rPr>
        <w:footnoteReference w:id="37"/>
      </w:r>
      <w:r w:rsidRPr="00177030">
        <w:t>.</w:t>
      </w:r>
    </w:p>
    <w:p w:rsidR="00FF1C09" w:rsidRDefault="00FF1C09" w:rsidP="00FF1C09">
      <w:pPr>
        <w:widowControl w:val="0"/>
      </w:pPr>
      <w:r w:rsidRPr="00177030">
        <w:t>Except in cases of joint control, direct award of public contracts is also possible where a controlled legal person which is a contracting authority awards a contract to its controlling contracting authority, or to another legal person controlled by the same contracting authority, provided that there is no direct private capital participation in the legal person being awarded the public contract with the exception of non-controlling and non-blocking forms of private capital participation required by national legislative provisions, in conformity with the Treaties,</w:t>
      </w:r>
      <w:r>
        <w:t xml:space="preserve"> </w:t>
      </w:r>
      <w:r w:rsidRPr="00177030">
        <w:t>which do not exert a decisive influence on the controlled legal person</w:t>
      </w:r>
      <w:r>
        <w:t xml:space="preserve"> (see Article 12(2))</w:t>
      </w:r>
      <w:r w:rsidRPr="00177030">
        <w:t>.</w:t>
      </w:r>
    </w:p>
    <w:p w:rsidR="00FF1C09" w:rsidRPr="00FF1C09" w:rsidRDefault="00FF1C09" w:rsidP="00FF1C09">
      <w:pPr>
        <w:pStyle w:val="Heading4"/>
      </w:pPr>
      <w:r w:rsidRPr="00FF1C09">
        <w:t>Condition of activity being carried out for the controlling public authorities</w:t>
      </w:r>
    </w:p>
    <w:p w:rsidR="00FF1C09" w:rsidRPr="00FF1C09" w:rsidRDefault="00FF1C09" w:rsidP="00FF1C09">
      <w:pPr>
        <w:widowControl w:val="0"/>
        <w:rPr>
          <w:lang w:val="en" w:eastAsia="en-GB"/>
        </w:rPr>
      </w:pPr>
      <w:r w:rsidRPr="00E7238B">
        <w:t>The controlled legal person must carry out more than 80% of its activities in the performance of tasks entrusted to it by the controlling contracting authority or by other legal persons controlled by that contracting authority, regardless of the beneficiary of the contract performance</w:t>
      </w:r>
      <w:r w:rsidRPr="00FF1C09">
        <w:t xml:space="preserve">. </w:t>
      </w:r>
      <w:r w:rsidRPr="00FF1C09">
        <w:rPr>
          <w:lang w:eastAsia="en-GB"/>
        </w:rPr>
        <w:t xml:space="preserve">According to Article 12(5) of Directive 2014/24/EU, </w:t>
      </w:r>
      <w:r w:rsidRPr="00FF1C09">
        <w:rPr>
          <w:lang w:val="en" w:eastAsia="en-GB"/>
        </w:rPr>
        <w:t xml:space="preserve">for the determination of the percentage of activities the average total </w:t>
      </w:r>
      <w:proofErr w:type="gramStart"/>
      <w:r w:rsidRPr="00FF1C09">
        <w:rPr>
          <w:lang w:val="en" w:eastAsia="en-GB"/>
        </w:rPr>
        <w:t>turnover,</w:t>
      </w:r>
      <w:proofErr w:type="gramEnd"/>
      <w:r w:rsidRPr="00FF1C09">
        <w:rPr>
          <w:lang w:val="en" w:eastAsia="en-GB"/>
        </w:rPr>
        <w:t xml:space="preserve"> or an appropriate alternative activity-based measure such as costs incurred by the relevant legal person or contracting authority with respect to services, supplies and works for the three years preceding the contract award shall be taken into consideration.</w:t>
      </w:r>
    </w:p>
    <w:p w:rsidR="00FF1C09" w:rsidRPr="00FF1C09" w:rsidRDefault="00FF1C09" w:rsidP="00FF1C09">
      <w:pPr>
        <w:widowControl w:val="0"/>
        <w:rPr>
          <w:lang w:val="en" w:eastAsia="en-GB"/>
        </w:rPr>
      </w:pPr>
      <w:r w:rsidRPr="00FF1C09">
        <w:rPr>
          <w:lang w:val="en" w:eastAsia="en-GB"/>
        </w:rPr>
        <w:t xml:space="preserve">Where, because of the date on which the relevant legal person or contracting authority was created or commenced activities or because of a </w:t>
      </w:r>
      <w:proofErr w:type="spellStart"/>
      <w:r w:rsidRPr="00FF1C09">
        <w:rPr>
          <w:lang w:val="en" w:eastAsia="en-GB"/>
        </w:rPr>
        <w:t>reorganisation</w:t>
      </w:r>
      <w:proofErr w:type="spellEnd"/>
      <w:r w:rsidRPr="00FF1C09">
        <w:rPr>
          <w:lang w:val="en" w:eastAsia="en-GB"/>
        </w:rPr>
        <w:t xml:space="preserve"> of its activities, the turnover, or alternative activity based measure such as costs, are either not available for the preceding three years or no longer relevant, it shall be sufficient to show that the measurement of activity is credible, particularly by means of business projections.</w:t>
      </w:r>
    </w:p>
    <w:p w:rsidR="00FF1C09" w:rsidRDefault="00FF1C09" w:rsidP="00FF1C09">
      <w:pPr>
        <w:widowControl w:val="0"/>
        <w:rPr>
          <w:lang w:eastAsia="en-GB"/>
        </w:rPr>
      </w:pPr>
      <w:r w:rsidRPr="00FF1C09">
        <w:rPr>
          <w:lang w:eastAsia="en-GB"/>
        </w:rPr>
        <w:t>Member States are allowed</w:t>
      </w:r>
      <w:r w:rsidRPr="008D28C7">
        <w:rPr>
          <w:lang w:eastAsia="en-GB"/>
        </w:rPr>
        <w:t xml:space="preserve"> to use either method</w:t>
      </w:r>
      <w:r w:rsidRPr="00E7238B">
        <w:rPr>
          <w:rStyle w:val="FootnoteReference"/>
        </w:rPr>
        <w:footnoteReference w:id="38"/>
      </w:r>
      <w:r w:rsidRPr="00E7238B">
        <w:t xml:space="preserve">. </w:t>
      </w:r>
      <w:r w:rsidRPr="00E7238B">
        <w:rPr>
          <w:lang w:eastAsia="en-GB"/>
        </w:rPr>
        <w:t xml:space="preserve"> </w:t>
      </w:r>
      <w:r>
        <w:rPr>
          <w:lang w:eastAsia="en-GB"/>
        </w:rPr>
        <w:t>When th</w:t>
      </w:r>
      <w:r w:rsidRPr="0022313D">
        <w:rPr>
          <w:lang w:eastAsia="en-GB"/>
        </w:rPr>
        <w:t xml:space="preserve">e average total turnover method </w:t>
      </w:r>
      <w:r>
        <w:rPr>
          <w:lang w:eastAsia="en-GB"/>
        </w:rPr>
        <w:t>is used</w:t>
      </w:r>
      <w:r w:rsidRPr="00E7238B">
        <w:rPr>
          <w:lang w:eastAsia="en-GB"/>
        </w:rPr>
        <w:t xml:space="preserve"> </w:t>
      </w:r>
      <w:r w:rsidRPr="00367BD8">
        <w:rPr>
          <w:lang w:eastAsia="en-GB"/>
        </w:rPr>
        <w:t>turnover should take account of all activities of the entity</w:t>
      </w:r>
      <w:r>
        <w:rPr>
          <w:lang w:eastAsia="en-GB"/>
        </w:rPr>
        <w:t xml:space="preserve"> </w:t>
      </w:r>
      <w:r w:rsidRPr="00E7238B">
        <w:rPr>
          <w:lang w:eastAsia="en-GB"/>
        </w:rPr>
        <w:t>(e.g. development/promotional bank),</w:t>
      </w:r>
      <w:r>
        <w:rPr>
          <w:lang w:eastAsia="en-GB"/>
        </w:rPr>
        <w:t xml:space="preserve"> and out of it </w:t>
      </w:r>
      <w:r w:rsidRPr="00E7238B">
        <w:rPr>
          <w:lang w:eastAsia="en-GB"/>
        </w:rPr>
        <w:t xml:space="preserve">more than 80%, must be generated by the tasks </w:t>
      </w:r>
      <w:r w:rsidRPr="00E7238B">
        <w:t xml:space="preserve">entrusted to it by the controlling contracting authority or by other legal persons controlled by that contracting authority. </w:t>
      </w:r>
    </w:p>
    <w:p w:rsidR="00FF1C09" w:rsidRPr="00177030" w:rsidRDefault="00FF1C09" w:rsidP="00FF1C09">
      <w:pPr>
        <w:widowControl w:val="0"/>
        <w:rPr>
          <w:lang w:val="en-US"/>
        </w:rPr>
      </w:pPr>
      <w:r w:rsidRPr="00177030">
        <w:t xml:space="preserve">Whenever a managing authority designates an in-house entity </w:t>
      </w:r>
      <w:r w:rsidRPr="003E36CC">
        <w:t>as the body implementing a fund of funds</w:t>
      </w:r>
      <w:r>
        <w:t xml:space="preserve"> and that entity is a contracting authority under the applicable Public Procurement Directive</w:t>
      </w:r>
      <w:r w:rsidRPr="00177030">
        <w:t xml:space="preserve">, </w:t>
      </w:r>
      <w:r>
        <w:t>it</w:t>
      </w:r>
      <w:r w:rsidRPr="00177030">
        <w:t xml:space="preserve"> must respect public procurement rules and principles when selecting financial intermediaries. In addition, </w:t>
      </w:r>
      <w:r>
        <w:rPr>
          <w:lang w:val="en-US"/>
        </w:rPr>
        <w:t>in accordance with</w:t>
      </w:r>
      <w:r w:rsidRPr="00177030">
        <w:rPr>
          <w:lang w:val="en-US"/>
        </w:rPr>
        <w:t xml:space="preserve"> Article 7(3) of the </w:t>
      </w:r>
      <w:r w:rsidRPr="00177030">
        <w:rPr>
          <w:lang w:val="en-US"/>
        </w:rPr>
        <w:lastRenderedPageBreak/>
        <w:t xml:space="preserve">CDR, </w:t>
      </w:r>
      <w:r w:rsidRPr="00177030">
        <w:rPr>
          <w:szCs w:val="24"/>
          <w:lang w:val="en-US"/>
        </w:rPr>
        <w:t xml:space="preserve">the selection must respect the </w:t>
      </w:r>
      <w:r w:rsidRPr="00177030">
        <w:rPr>
          <w:szCs w:val="24"/>
        </w:rPr>
        <w:t>specific requirements laid down in that provision</w:t>
      </w:r>
      <w:r w:rsidRPr="00177030">
        <w:rPr>
          <w:lang w:val="en-US"/>
        </w:rPr>
        <w:t xml:space="preserve"> (see section 3.8 below).</w:t>
      </w:r>
    </w:p>
    <w:p w:rsidR="00FF1C09" w:rsidRPr="00177030" w:rsidRDefault="00FF1C09" w:rsidP="00FF1C09">
      <w:pPr>
        <w:widowControl w:val="0"/>
      </w:pPr>
      <w:r w:rsidRPr="00177030">
        <w:t>Financial institutions in a Member State aiming at the achievement of public interest under the control of a public authority referred to under Article 38(4</w:t>
      </w:r>
      <w:proofErr w:type="gramStart"/>
      <w:r w:rsidRPr="00177030">
        <w:t>)(</w:t>
      </w:r>
      <w:proofErr w:type="gramEnd"/>
      <w:r w:rsidRPr="00177030">
        <w:t>b)(ii) of the CPR can be entrusted with tasks of implementation of financial instruments when the above mentioned conditions are met.</w:t>
      </w:r>
    </w:p>
    <w:p w:rsidR="00FF1C09" w:rsidRDefault="00FF1C09" w:rsidP="00FF1C09">
      <w:r w:rsidRPr="00177030">
        <w:rPr>
          <w:b/>
          <w:u w:val="single"/>
        </w:rPr>
        <w:t>Conclusion</w:t>
      </w:r>
      <w:r w:rsidRPr="00177030">
        <w:t xml:space="preserve">: </w:t>
      </w:r>
      <w:r>
        <w:t>M</w:t>
      </w:r>
      <w:r w:rsidRPr="00177030">
        <w:t xml:space="preserve">anaging </w:t>
      </w:r>
      <w:r>
        <w:t>a</w:t>
      </w:r>
      <w:r w:rsidRPr="00177030">
        <w:t>uthorities may conclude</w:t>
      </w:r>
      <w:r>
        <w:t xml:space="preserve"> contracts for the implementation of financial instruments</w:t>
      </w:r>
      <w:r w:rsidRPr="00177030">
        <w:t xml:space="preserve"> directly with in-house entities </w:t>
      </w:r>
      <w:r>
        <w:t>provided the requirements under</w:t>
      </w:r>
      <w:r w:rsidRPr="00177030">
        <w:t xml:space="preserve"> Article 12 of Directive 2014/24/EU </w:t>
      </w:r>
      <w:r>
        <w:t>are complied with</w:t>
      </w:r>
      <w:r w:rsidRPr="00177030">
        <w:t xml:space="preserve">.  Selection of financial intermediaries by in-house entities must respect public procurement rules and principles </w:t>
      </w:r>
      <w:r>
        <w:t>if</w:t>
      </w:r>
      <w:r w:rsidRPr="00177030">
        <w:t xml:space="preserve"> the in-house entities are themselves contracting authorities.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4"/>
      </w:tblGrid>
      <w:tr w:rsidR="00FF1C09" w:rsidRPr="00246836" w:rsidTr="00FF1C09">
        <w:trPr>
          <w:trHeight w:val="1028"/>
        </w:trPr>
        <w:tc>
          <w:tcPr>
            <w:tcW w:w="9212" w:type="dxa"/>
          </w:tcPr>
          <w:p w:rsidR="00FF1C09" w:rsidRDefault="00FF1C09" w:rsidP="00FF1C09">
            <w:pPr>
              <w:widowControl w:val="0"/>
              <w:autoSpaceDE w:val="0"/>
              <w:autoSpaceDN w:val="0"/>
              <w:adjustRightInd w:val="0"/>
            </w:pPr>
            <w:r w:rsidRPr="00246836">
              <w:t>Example</w:t>
            </w:r>
            <w:r w:rsidR="000246A6">
              <w:t xml:space="preserve"> 1</w:t>
            </w:r>
            <w:r w:rsidRPr="00246836">
              <w:t>:</w:t>
            </w:r>
          </w:p>
          <w:p w:rsidR="00FF1C09" w:rsidRDefault="00FF1C09" w:rsidP="00FF1C09">
            <w:pPr>
              <w:widowControl w:val="0"/>
              <w:autoSpaceDE w:val="0"/>
              <w:autoSpaceDN w:val="0"/>
              <w:adjustRightInd w:val="0"/>
            </w:pPr>
            <w:r>
              <w:t xml:space="preserve">Region X owns 100 % of a regional development bank whose task as defined by its Statutes is to support economic development in the region. </w:t>
            </w:r>
          </w:p>
          <w:p w:rsidR="00FF1C09" w:rsidRDefault="00FF1C09" w:rsidP="00FF1C09">
            <w:pPr>
              <w:widowControl w:val="0"/>
              <w:autoSpaceDE w:val="0"/>
              <w:autoSpaceDN w:val="0"/>
              <w:adjustRightInd w:val="0"/>
            </w:pPr>
            <w:r>
              <w:t xml:space="preserve">Region X chairs the supervisory board of the bank, whose task is to give the strategic orientations of the activities of the bank and to vote on the budget, staffing and nominations of the managers of the bank. </w:t>
            </w:r>
          </w:p>
          <w:p w:rsidR="00FF1C09" w:rsidRDefault="00FF1C09" w:rsidP="00FF1C09">
            <w:pPr>
              <w:widowControl w:val="0"/>
              <w:autoSpaceDE w:val="0"/>
              <w:autoSpaceDN w:val="0"/>
              <w:adjustRightInd w:val="0"/>
            </w:pPr>
            <w:r w:rsidRPr="000246A6">
              <w:t xml:space="preserve">The bank may freely take daily financing decisions, i.e. to disburse loans and guarantees to undertakings in the region which fall outside the scope of what is considered "significant". Significant decisions (such as decisions </w:t>
            </w:r>
            <w:proofErr w:type="gramStart"/>
            <w:r w:rsidRPr="000246A6">
              <w:t>on  )</w:t>
            </w:r>
            <w:proofErr w:type="gramEnd"/>
            <w:r w:rsidRPr="000246A6">
              <w:t xml:space="preserve"> are subject to the decisive influence of the controlling contracting authority.</w:t>
            </w:r>
          </w:p>
          <w:p w:rsidR="00FF1C09" w:rsidRPr="00AD25C2" w:rsidRDefault="00FF1C09" w:rsidP="00FF1C09">
            <w:pPr>
              <w:widowControl w:val="0"/>
              <w:autoSpaceDE w:val="0"/>
              <w:autoSpaceDN w:val="0"/>
              <w:adjustRightInd w:val="0"/>
            </w:pPr>
            <w:r w:rsidRPr="003E36CC">
              <w:t>It results from those arrangements that</w:t>
            </w:r>
            <w:r>
              <w:t xml:space="preserve"> Region X exercises on the bank a control which is similar to the one exercised on its own departments.</w:t>
            </w:r>
          </w:p>
          <w:p w:rsidR="00FF1C09" w:rsidRDefault="00FF1C09" w:rsidP="00FF1C09">
            <w:pPr>
              <w:widowControl w:val="0"/>
              <w:autoSpaceDE w:val="0"/>
              <w:autoSpaceDN w:val="0"/>
              <w:adjustRightInd w:val="0"/>
            </w:pPr>
            <w:r>
              <w:t>Region X wants to entrust the regional development bank with tasks of implementation of a financial instrument.</w:t>
            </w:r>
          </w:p>
          <w:p w:rsidR="00FF1C09" w:rsidRDefault="00FF1C09" w:rsidP="00FF1C09">
            <w:pPr>
              <w:widowControl w:val="0"/>
              <w:autoSpaceDE w:val="0"/>
              <w:autoSpaceDN w:val="0"/>
              <w:adjustRightInd w:val="0"/>
            </w:pPr>
            <w:r>
              <w:t>Since it effectively controls the bank which it fully owns and since the bank has no commercial activity other than the tasks carried out for Region X, there is an in-house relation between Region X and the bank which allows Region X to entrust tasks of implementation of the financial instrument to the bank provided the requirements of Article 7 of the CDR are fulfilled.</w:t>
            </w:r>
          </w:p>
          <w:p w:rsidR="00FF1C09" w:rsidRDefault="00FF1C09" w:rsidP="00FF1C09">
            <w:pPr>
              <w:widowControl w:val="0"/>
              <w:autoSpaceDE w:val="0"/>
              <w:autoSpaceDN w:val="0"/>
              <w:adjustRightInd w:val="0"/>
            </w:pPr>
          </w:p>
          <w:p w:rsidR="00FF1C09" w:rsidRDefault="00FF1C09" w:rsidP="00FF1C09">
            <w:pPr>
              <w:widowControl w:val="0"/>
              <w:autoSpaceDE w:val="0"/>
              <w:autoSpaceDN w:val="0"/>
              <w:adjustRightInd w:val="0"/>
            </w:pPr>
            <w:r>
              <w:t xml:space="preserve">Example 2: </w:t>
            </w:r>
          </w:p>
          <w:p w:rsidR="00FF1C09" w:rsidRDefault="00FF1C09" w:rsidP="00FF1C09">
            <w:pPr>
              <w:widowControl w:val="0"/>
              <w:autoSpaceDE w:val="0"/>
              <w:autoSpaceDN w:val="0"/>
              <w:adjustRightInd w:val="0"/>
            </w:pPr>
            <w:r>
              <w:t xml:space="preserve">Region X owns 1% of a national development bank whose task defined by law is to support economic development in the Member State. </w:t>
            </w:r>
          </w:p>
          <w:p w:rsidR="00FF1C09" w:rsidRPr="000246A6" w:rsidRDefault="00FF1C09" w:rsidP="00FF1C09">
            <w:pPr>
              <w:widowControl w:val="0"/>
              <w:autoSpaceDE w:val="0"/>
              <w:autoSpaceDN w:val="0"/>
              <w:adjustRightInd w:val="0"/>
            </w:pPr>
            <w:r>
              <w:t xml:space="preserve">Region X is Member of the supervisory board of the bank, whose task is to give the strategic orientations of the activities of the bank and to vote on the budget, staffing and nominations of the managers of the bank. </w:t>
            </w:r>
            <w:r w:rsidRPr="000246A6">
              <w:t>On the basis of the rights attached to its membership, Region X exercises on the bank a control which is similar to the one exercised on its own departments.</w:t>
            </w:r>
          </w:p>
          <w:p w:rsidR="00FF1C09" w:rsidRDefault="00FF1C09" w:rsidP="00FF1C09">
            <w:pPr>
              <w:widowControl w:val="0"/>
              <w:autoSpaceDE w:val="0"/>
              <w:autoSpaceDN w:val="0"/>
              <w:adjustRightInd w:val="0"/>
            </w:pPr>
            <w:r w:rsidRPr="000246A6">
              <w:t xml:space="preserve">The bank may freely take daily financing decisions, i.e. to disburse loans and guarantees </w:t>
            </w:r>
            <w:r w:rsidRPr="000246A6">
              <w:lastRenderedPageBreak/>
              <w:t xml:space="preserve">to undertakings in the region which fall outside the scope of what is considered "significant". Significant decisions (such as decisions </w:t>
            </w:r>
            <w:proofErr w:type="gramStart"/>
            <w:r w:rsidRPr="000246A6">
              <w:t>on  )</w:t>
            </w:r>
            <w:proofErr w:type="gramEnd"/>
            <w:r w:rsidRPr="000246A6">
              <w:t xml:space="preserve"> are subject to the decisive influence of the controlling contracting authority.</w:t>
            </w:r>
          </w:p>
          <w:p w:rsidR="00FF1C09" w:rsidRDefault="00FF1C09" w:rsidP="00FF1C09">
            <w:pPr>
              <w:widowControl w:val="0"/>
              <w:autoSpaceDE w:val="0"/>
              <w:autoSpaceDN w:val="0"/>
              <w:adjustRightInd w:val="0"/>
              <w:rPr>
                <w:lang w:eastAsia="en-GB"/>
              </w:rPr>
            </w:pPr>
            <w:r>
              <w:t xml:space="preserve">As well as the tasks carried out for Region X, the bank has commercial activities which represent 15% of its </w:t>
            </w:r>
            <w:r>
              <w:rPr>
                <w:lang w:eastAsia="en-GB"/>
              </w:rPr>
              <w:t>average total turnover.</w:t>
            </w:r>
          </w:p>
          <w:p w:rsidR="00FF1C09" w:rsidRPr="00246836" w:rsidRDefault="00FF1C09" w:rsidP="000246A6">
            <w:pPr>
              <w:widowControl w:val="0"/>
              <w:autoSpaceDE w:val="0"/>
              <w:autoSpaceDN w:val="0"/>
              <w:adjustRightInd w:val="0"/>
            </w:pPr>
            <w:r>
              <w:t>In June 2016 (under Directive 2014/24/EU) Region X wants to entrust the bank with tasks of implementation of a financial instrument. Since it does effectively control the bank (even if it owns only 1%) and since the bank carries</w:t>
            </w:r>
            <w:r w:rsidRPr="00177030">
              <w:t xml:space="preserve"> out more than 80% of its activities in the performance of tasks entrusted to it by </w:t>
            </w:r>
            <w:r>
              <w:t>its owners</w:t>
            </w:r>
            <w:r>
              <w:rPr>
                <w:rStyle w:val="FootnoteReference"/>
              </w:rPr>
              <w:footnoteReference w:id="39"/>
            </w:r>
            <w:r>
              <w:t xml:space="preserve"> (as calculated on the basis of the </w:t>
            </w:r>
            <w:r w:rsidRPr="00177030">
              <w:rPr>
                <w:lang w:eastAsia="en-GB"/>
              </w:rPr>
              <w:t xml:space="preserve">average total turnover of the </w:t>
            </w:r>
            <w:r>
              <w:rPr>
                <w:lang w:eastAsia="en-GB"/>
              </w:rPr>
              <w:t xml:space="preserve">bank </w:t>
            </w:r>
            <w:r w:rsidRPr="00177030">
              <w:rPr>
                <w:lang w:eastAsia="en-GB"/>
              </w:rPr>
              <w:t>for the three years preceding the contract award</w:t>
            </w:r>
            <w:r>
              <w:rPr>
                <w:lang w:eastAsia="en-GB"/>
              </w:rPr>
              <w:t>)</w:t>
            </w:r>
            <w:r>
              <w:t>, there is an in-house relation between Region X and the bank which allows Region X to entrust tasks of implementation of the financial instrument to the bank.</w:t>
            </w:r>
          </w:p>
        </w:tc>
      </w:tr>
    </w:tbl>
    <w:p w:rsidR="00FF1C09" w:rsidRPr="00177030" w:rsidRDefault="00FF1C09" w:rsidP="00FF1C09"/>
    <w:p w:rsidR="00FF1C09" w:rsidRPr="00177030" w:rsidRDefault="00FF1C09" w:rsidP="000246A6">
      <w:pPr>
        <w:pStyle w:val="Heading2"/>
        <w:rPr>
          <w:lang w:val="en-US"/>
        </w:rPr>
      </w:pPr>
      <w:bookmarkStart w:id="18" w:name="_Toc443553301"/>
      <w:r w:rsidRPr="00177030">
        <w:rPr>
          <w:lang w:val="en-US"/>
        </w:rPr>
        <w:t>Inter-administrative cooperation</w:t>
      </w:r>
      <w:r>
        <w:rPr>
          <w:rStyle w:val="FootnoteReference"/>
          <w:b w:val="0"/>
          <w:szCs w:val="24"/>
          <w:u w:val="single"/>
          <w:lang w:val="en-US"/>
        </w:rPr>
        <w:footnoteReference w:id="40"/>
      </w:r>
      <w:bookmarkEnd w:id="18"/>
    </w:p>
    <w:p w:rsidR="00FF1C09" w:rsidRPr="00177030" w:rsidRDefault="00FF1C09" w:rsidP="00FF1C09">
      <w:pPr>
        <w:widowControl w:val="0"/>
      </w:pPr>
      <w:r w:rsidRPr="00177030">
        <w:t xml:space="preserve">Again, the sole fact that both parties to an agreement are themselves </w:t>
      </w:r>
      <w:proofErr w:type="gramStart"/>
      <w:r w:rsidRPr="00177030">
        <w:t>public authorities does</w:t>
      </w:r>
      <w:proofErr w:type="gramEnd"/>
      <w:r w:rsidRPr="00177030">
        <w:t xml:space="preserve"> not rule out the application of procurement rules. </w:t>
      </w:r>
    </w:p>
    <w:p w:rsidR="00FF1C09" w:rsidRPr="00177030" w:rsidRDefault="00FF1C09" w:rsidP="00FF1C09">
      <w:pPr>
        <w:widowControl w:val="0"/>
      </w:pPr>
      <w:r w:rsidRPr="00177030">
        <w:t>However, the application of public procurement rules must not interfere with the freedom of public authorities to perform the public service tasks conferred on them by using their own resources, which includes the possibility of cooperation with other public authorities.</w:t>
      </w:r>
      <w:r>
        <w:t xml:space="preserve"> </w:t>
      </w:r>
      <w:r w:rsidRPr="00177030">
        <w:t>Having in mind the need to avoid distortion of competition in relation to private economic operators, further clarification on inter-administrative cooperation was brought by Directive 2014/24/EU.</w:t>
      </w:r>
    </w:p>
    <w:p w:rsidR="00FF1C09" w:rsidRDefault="00FF1C09" w:rsidP="00FF1C09">
      <w:pPr>
        <w:widowControl w:val="0"/>
      </w:pPr>
      <w:r>
        <w:t>In that context, a managing authority may consider using</w:t>
      </w:r>
      <w:r w:rsidRPr="003A3051">
        <w:t xml:space="preserve"> inter-administrative cooperation</w:t>
      </w:r>
      <w:r>
        <w:t xml:space="preserve"> to entrust tasks of implementation of a financial instrument provided the conditions for such </w:t>
      </w:r>
      <w:proofErr w:type="gramStart"/>
      <w:r>
        <w:t>a cooperation</w:t>
      </w:r>
      <w:proofErr w:type="gramEnd"/>
      <w:r>
        <w:t xml:space="preserve"> are fulfilled.</w:t>
      </w:r>
    </w:p>
    <w:p w:rsidR="00FF1C09" w:rsidRPr="000246A6" w:rsidRDefault="00FF1C09" w:rsidP="000246A6">
      <w:pPr>
        <w:widowControl w:val="0"/>
      </w:pPr>
      <w:r w:rsidRPr="000246A6">
        <w:t>Inter-administrative cooperation for the implementation of financial instruments may be implemented via a contract between the managing authority and another administrative entity controlling a 100% publicly owned body or entity able to implement financial instruments, or directly via the conclusion of a funding agreement between the managing authority and another public entity implementing the financial instrument. The contract/funding agreement should cover the modalities for the remuneration of the entity implementing the financial instrument</w:t>
      </w:r>
      <w:r w:rsidRPr="000246A6">
        <w:rPr>
          <w:rStyle w:val="FootnoteReference"/>
        </w:rPr>
        <w:footnoteReference w:id="41"/>
      </w:r>
      <w:r w:rsidRPr="000246A6">
        <w:t>.</w:t>
      </w:r>
    </w:p>
    <w:p w:rsidR="00FF1C09" w:rsidRPr="00177030" w:rsidRDefault="00FF1C09" w:rsidP="00FF1C09">
      <w:pPr>
        <w:widowControl w:val="0"/>
      </w:pPr>
      <w:r w:rsidRPr="00177030">
        <w:rPr>
          <w:lang w:val="en-US"/>
        </w:rPr>
        <w:lastRenderedPageBreak/>
        <w:t xml:space="preserve">When </w:t>
      </w:r>
      <w:r>
        <w:rPr>
          <w:lang w:val="en-US"/>
        </w:rPr>
        <w:t xml:space="preserve">using inter-administrative cooperation, </w:t>
      </w:r>
      <w:r w:rsidRPr="00177030">
        <w:rPr>
          <w:lang w:val="en-US"/>
        </w:rPr>
        <w:t xml:space="preserve">managing authorities must comply with </w:t>
      </w:r>
      <w:r>
        <w:rPr>
          <w:lang w:val="en-US"/>
        </w:rPr>
        <w:t xml:space="preserve">the </w:t>
      </w:r>
      <w:r w:rsidRPr="00177030">
        <w:rPr>
          <w:lang w:val="en-US"/>
        </w:rPr>
        <w:t>provisions of Article 7(1) and (2) of the CDR.</w:t>
      </w:r>
    </w:p>
    <w:p w:rsidR="00FF1C09" w:rsidRPr="00177030" w:rsidRDefault="00FF1C09" w:rsidP="000246A6">
      <w:pPr>
        <w:pStyle w:val="Heading3"/>
      </w:pPr>
      <w:bookmarkStart w:id="19" w:name="_Toc443553302"/>
      <w:r w:rsidRPr="00177030">
        <w:t>Conditions for inter-administrative cooperation until Directive 2014/24/EU is transposed or until 18 April 2016 whatever is earlier</w:t>
      </w:r>
      <w:bookmarkEnd w:id="19"/>
    </w:p>
    <w:p w:rsidR="00FF1C09" w:rsidRPr="00177030" w:rsidRDefault="00FF1C09" w:rsidP="00FF1C09">
      <w:pPr>
        <w:widowControl w:val="0"/>
      </w:pPr>
      <w:r w:rsidRPr="00177030">
        <w:t>Prior to the adoption of Directive 2014/24/EU, the conditions under which contracts</w:t>
      </w:r>
      <w:r>
        <w:t xml:space="preserve"> may be</w:t>
      </w:r>
      <w:r w:rsidRPr="00177030">
        <w:t xml:space="preserve"> concluded between entities in the public sector (inter-administrative cooperation) were outside the public procurement rules</w:t>
      </w:r>
      <w:r>
        <w:t xml:space="preserve"> and</w:t>
      </w:r>
      <w:r w:rsidRPr="00177030">
        <w:t xml:space="preserve"> were defined by case law.  </w:t>
      </w:r>
    </w:p>
    <w:p w:rsidR="00FF1C09" w:rsidRDefault="00FF1C09" w:rsidP="00FF1C09">
      <w:pPr>
        <w:widowControl w:val="0"/>
      </w:pPr>
      <w:r w:rsidRPr="00DE2291">
        <w:t>Inter-administrative cooperation between public entities to ensure that a public task that they all have to perform is carried out is allowed outside the scope of public procurement rules</w:t>
      </w:r>
      <w:r w:rsidRPr="00DE2291">
        <w:rPr>
          <w:rStyle w:val="FootnoteReference"/>
        </w:rPr>
        <w:footnoteReference w:id="42"/>
      </w:r>
      <w:r w:rsidRPr="00DE2291">
        <w:t xml:space="preserve">. Public procurement </w:t>
      </w:r>
      <w:r w:rsidRPr="00AC07DA">
        <w:t xml:space="preserve">rules </w:t>
      </w:r>
      <w:r w:rsidRPr="00CD6A56">
        <w:t>are not applicable in so far as</w:t>
      </w:r>
      <w:r>
        <w:t>:</w:t>
      </w:r>
    </w:p>
    <w:p w:rsidR="00FF1C09" w:rsidRDefault="00FF1C09" w:rsidP="00FF1C09">
      <w:pPr>
        <w:widowControl w:val="0"/>
      </w:pPr>
      <w:r>
        <w:t>-</w:t>
      </w:r>
      <w:r w:rsidRPr="00451F84">
        <w:t xml:space="preserve"> </w:t>
      </w:r>
      <w:proofErr w:type="gramStart"/>
      <w:r w:rsidRPr="00451F84">
        <w:t>inter-administrative</w:t>
      </w:r>
      <w:proofErr w:type="gramEnd"/>
      <w:r w:rsidRPr="00451F84">
        <w:t xml:space="preserve"> cooperation concerns excl</w:t>
      </w:r>
      <w:r w:rsidRPr="00DE2291">
        <w:t>usively public entities, without the participation of a private party;</w:t>
      </w:r>
    </w:p>
    <w:p w:rsidR="00FF1C09" w:rsidRDefault="00FF1C09" w:rsidP="00FF1C09">
      <w:pPr>
        <w:widowControl w:val="0"/>
      </w:pPr>
      <w:r>
        <w:t>-</w:t>
      </w:r>
      <w:r w:rsidRPr="00DE2291">
        <w:t xml:space="preserve"> </w:t>
      </w:r>
      <w:proofErr w:type="gramStart"/>
      <w:r w:rsidRPr="00DE2291">
        <w:t>the</w:t>
      </w:r>
      <w:proofErr w:type="gramEnd"/>
      <w:r w:rsidRPr="00DE2291">
        <w:t xml:space="preserve"> principle of equal treatment is respected, so that no private provider of services is placed in a position of advantage </w:t>
      </w:r>
      <w:r w:rsidRPr="00DE2291">
        <w:rPr>
          <w:i/>
        </w:rPr>
        <w:t>vis-à-vis</w:t>
      </w:r>
      <w:r w:rsidRPr="00DE2291">
        <w:t xml:space="preserve"> competitors</w:t>
      </w:r>
      <w:r w:rsidR="009F1E66">
        <w:rPr>
          <w:rStyle w:val="FootnoteReference"/>
        </w:rPr>
        <w:footnoteReference w:id="43"/>
      </w:r>
      <w:r>
        <w:t>,</w:t>
      </w:r>
      <w:r w:rsidRPr="00DE2291">
        <w:t xml:space="preserve"> and </w:t>
      </w:r>
    </w:p>
    <w:p w:rsidR="00FF1C09" w:rsidRPr="00177030" w:rsidRDefault="00FF1C09" w:rsidP="00FF1C09">
      <w:pPr>
        <w:widowControl w:val="0"/>
      </w:pPr>
      <w:r>
        <w:t xml:space="preserve">- </w:t>
      </w:r>
      <w:proofErr w:type="gramStart"/>
      <w:r w:rsidRPr="00DE2291">
        <w:t>implementation</w:t>
      </w:r>
      <w:proofErr w:type="gramEnd"/>
      <w:r w:rsidRPr="00DE2291">
        <w:t xml:space="preserve"> of that cooperation is governed solely by considerations and requirements relating to the pursuit of objectives in the public interest which the entities have to perform</w:t>
      </w:r>
      <w:r w:rsidRPr="00DE2291">
        <w:rPr>
          <w:rStyle w:val="FootnoteReference"/>
        </w:rPr>
        <w:footnoteReference w:id="44"/>
      </w:r>
      <w:r w:rsidRPr="00DE2291">
        <w:t>.</w:t>
      </w:r>
    </w:p>
    <w:p w:rsidR="00FF1C09" w:rsidRPr="000246A6" w:rsidRDefault="00FF1C09" w:rsidP="00FF1C09">
      <w:pPr>
        <w:pStyle w:val="c02alineaalta"/>
        <w:spacing w:line="276" w:lineRule="auto"/>
        <w:ind w:left="0"/>
        <w:rPr>
          <w:rFonts w:eastAsia="Calibri"/>
          <w:lang w:eastAsia="en-US"/>
        </w:rPr>
      </w:pPr>
      <w:r w:rsidRPr="000246A6">
        <w:rPr>
          <w:rFonts w:eastAsia="Calibri"/>
          <w:lang w:eastAsia="en-US"/>
        </w:rPr>
        <w:t>There is no case law on inter-administrative cooperation in relation to financial instruments. However examples in other fields can illustrate the position of the ECJ on whether cooperation is governed solely by considerations and requirements relating to the pursuit of objectives in the public interest.</w:t>
      </w:r>
    </w:p>
    <w:p w:rsidR="00FF1C09" w:rsidRPr="000246A6" w:rsidRDefault="00FF1C09" w:rsidP="00FF1C09">
      <w:pPr>
        <w:pStyle w:val="c02alineaalta"/>
        <w:spacing w:line="276" w:lineRule="auto"/>
        <w:ind w:left="0"/>
        <w:rPr>
          <w:rFonts w:eastAsia="Calibri"/>
          <w:lang w:eastAsia="en-US"/>
        </w:rPr>
      </w:pPr>
      <w:r w:rsidRPr="000246A6">
        <w:rPr>
          <w:rFonts w:eastAsia="Calibri"/>
          <w:lang w:eastAsia="en-US"/>
        </w:rPr>
        <w:t>The ECJ admitted that local authorities pursue the aim of ensuring that a public task is carried out if cooperating in the field of waste disposal for the implementation of the obligations laid down in the applicable EU legislation</w:t>
      </w:r>
      <w:r w:rsidRPr="000246A6">
        <w:rPr>
          <w:rFonts w:eastAsia="Calibri"/>
          <w:vertAlign w:val="superscript"/>
          <w:lang w:eastAsia="en-US"/>
        </w:rPr>
        <w:footnoteReference w:id="45"/>
      </w:r>
      <w:r w:rsidRPr="000246A6">
        <w:rPr>
          <w:rFonts w:eastAsia="Calibri"/>
          <w:lang w:eastAsia="en-US"/>
        </w:rPr>
        <w:t>.</w:t>
      </w:r>
    </w:p>
    <w:p w:rsidR="00FF1C09" w:rsidRPr="000246A6" w:rsidRDefault="00FF1C09" w:rsidP="00FF1C09">
      <w:pPr>
        <w:pStyle w:val="c02alineaalta"/>
        <w:spacing w:line="276" w:lineRule="auto"/>
        <w:ind w:left="0"/>
      </w:pPr>
      <w:r w:rsidRPr="000246A6">
        <w:t xml:space="preserve">The ECJ also analysed the cooperation between a University and a publicly owned company governed by private law for the purchase of an IT system for higher education management. The ECJ concluded that such cooperation is not aimed at carrying out a </w:t>
      </w:r>
      <w:r w:rsidRPr="000246A6">
        <w:lastRenderedPageBreak/>
        <w:t>public task which both the University and the company at stake have to perform, since the latter is not entrusted directly with the performance of a public service task</w:t>
      </w:r>
      <w:r w:rsidRPr="000246A6">
        <w:rPr>
          <w:rStyle w:val="FootnoteReference"/>
        </w:rPr>
        <w:footnoteReference w:id="46"/>
      </w:r>
      <w:r w:rsidRPr="000246A6">
        <w:rPr>
          <w:bCs/>
        </w:rPr>
        <w:t>.</w:t>
      </w:r>
    </w:p>
    <w:p w:rsidR="00FF1C09" w:rsidRPr="000246A6" w:rsidRDefault="00FF1C09" w:rsidP="00FF1C09">
      <w:pPr>
        <w:pStyle w:val="c02alineaalta"/>
        <w:spacing w:line="276" w:lineRule="auto"/>
        <w:ind w:left="0"/>
      </w:pPr>
      <w:r w:rsidRPr="000246A6">
        <w:t>Inter-administrative cooperation for the implementation of financial instruments requires that the cooperating authorities pursue their tasks in the public interest. This is the case if the implementation of the financial instrument aims at allowing the authorities to perform functions assigned to them by EU or national law, such as financing social measures or providing financing to specific types of SMEs or to promote economic development or research. The pursuit by a managing authority of the operational objectives and activities described in a programme (rather than support activities such as development of IT tools or renting of offices necessary to host the staff working on ESIF implementation) can be considered as tasks of public interest. If the same objective is pursued by other public authorities, they may give room for inter-administrative cooperation.</w:t>
      </w:r>
    </w:p>
    <w:p w:rsidR="00FF1C09" w:rsidRPr="000246A6" w:rsidRDefault="00FF1C09" w:rsidP="00FF1C09">
      <w:pPr>
        <w:pStyle w:val="c02alineaalta"/>
        <w:spacing w:line="276" w:lineRule="auto"/>
        <w:ind w:left="0"/>
      </w:pPr>
      <w:r w:rsidRPr="000246A6">
        <w:t>The cooperation between public authorities must be governed solely by considerations and requirements relating to the pursuit of objectives in the public interest, which requires a case by case analysis.</w:t>
      </w:r>
    </w:p>
    <w:p w:rsidR="00FF1C09" w:rsidRPr="000246A6" w:rsidRDefault="00FF1C09" w:rsidP="00FF1C09">
      <w:pPr>
        <w:pStyle w:val="c02alineaalta"/>
        <w:spacing w:line="276" w:lineRule="auto"/>
        <w:ind w:left="0"/>
      </w:pPr>
      <w:r w:rsidRPr="000246A6">
        <w:t>The remuneration paid by the managing authority for the implementation of the financial instrument to the entity implementing the financial instrument shall be equivalent to the one paid by the other public entities using the services of the entity implementing the financial instrument for the same types of financial products delivered to the same types of recipients, subject to the respect of the applicable regulatory provisions on management costs and fees (see in particular Articles 12 and 13 of the CDR).</w:t>
      </w:r>
    </w:p>
    <w:p w:rsidR="00FF1C09" w:rsidRPr="00177030" w:rsidRDefault="00FF1C09" w:rsidP="00FF1C09">
      <w:pPr>
        <w:widowControl w:val="0"/>
      </w:pPr>
      <w:r w:rsidRPr="00177030">
        <w:rPr>
          <w:b/>
          <w:u w:val="single"/>
        </w:rPr>
        <w:t>Conclusion</w:t>
      </w:r>
      <w:r w:rsidRPr="00177030">
        <w:t>: Until Directive 2014/24/EU is transposed or until 18 April 2016</w:t>
      </w:r>
      <w:r>
        <w:t>,</w:t>
      </w:r>
      <w:r w:rsidRPr="00177030">
        <w:t xml:space="preserve"> whatever is earlier, managing authorities may, subject to compliance with the conditions laid down in case law, enter into inter-administrative cooperation agreements with other </w:t>
      </w:r>
      <w:r>
        <w:t>public entities</w:t>
      </w:r>
      <w:r w:rsidRPr="00177030">
        <w:t xml:space="preserve"> that could be entrusted with the task of  implementing financial instruments. </w:t>
      </w:r>
    </w:p>
    <w:p w:rsidR="00FF1C09" w:rsidRPr="00177030" w:rsidRDefault="00FF1C09" w:rsidP="000246A6">
      <w:pPr>
        <w:pStyle w:val="Heading3"/>
      </w:pPr>
      <w:bookmarkStart w:id="20" w:name="_Toc443553303"/>
      <w:r w:rsidRPr="00177030">
        <w:t>Conditions for Inter-administrative cooperation after transposition of Directive 2014/24/EU or after 18 April 2016</w:t>
      </w:r>
      <w:bookmarkEnd w:id="20"/>
    </w:p>
    <w:p w:rsidR="00FF1C09" w:rsidRPr="00177030" w:rsidRDefault="00FF1C09" w:rsidP="00FF1C09">
      <w:pPr>
        <w:widowControl w:val="0"/>
      </w:pPr>
      <w:r>
        <w:t>Under</w:t>
      </w:r>
      <w:r w:rsidRPr="00177030">
        <w:t xml:space="preserve"> Article 12(4) of Directive 2014/24/EU, a contract concluded exclusively between two or more contracting </w:t>
      </w:r>
      <w:proofErr w:type="gramStart"/>
      <w:r w:rsidRPr="00177030">
        <w:t>authorities</w:t>
      </w:r>
      <w:proofErr w:type="gramEnd"/>
      <w:r w:rsidRPr="00177030">
        <w:t xml:space="preserve"> falls outside the scope of the Directive where three conditions are fulfilled:</w:t>
      </w:r>
    </w:p>
    <w:p w:rsidR="00FF1C09" w:rsidRPr="00177030" w:rsidRDefault="00FF1C09" w:rsidP="00FF1C09">
      <w:pPr>
        <w:widowControl w:val="0"/>
        <w:ind w:hanging="720"/>
      </w:pPr>
      <w:r w:rsidRPr="00177030">
        <w:t>(</w:t>
      </w:r>
      <w:proofErr w:type="spellStart"/>
      <w:r w:rsidRPr="00177030">
        <w:t>i</w:t>
      </w:r>
      <w:proofErr w:type="spellEnd"/>
      <w:r w:rsidRPr="00177030">
        <w:t xml:space="preserve">) </w:t>
      </w:r>
      <w:r w:rsidRPr="00177030">
        <w:tab/>
      </w:r>
      <w:proofErr w:type="gramStart"/>
      <w:r w:rsidRPr="00177030">
        <w:t>the</w:t>
      </w:r>
      <w:proofErr w:type="gramEnd"/>
      <w:r w:rsidRPr="00177030">
        <w:t xml:space="preserve"> contract establishes or implements a cooperation between the participating contracting authorities with the aim of ensuring that public services they have to perform are provided with a view to achieving objectives they have in common</w:t>
      </w:r>
      <w:r>
        <w:t xml:space="preserve">. </w:t>
      </w:r>
      <w:r w:rsidRPr="00451F84">
        <w:t>As indicated under Section 3.6.1, the pursuit by a managing authority of the operational objectives and activities described in a</w:t>
      </w:r>
      <w:r w:rsidRPr="00D51398">
        <w:t xml:space="preserve"> programme (rather than support activities such as development of IT tools, renting of offices necessary to host the staff working on ESIF implementa</w:t>
      </w:r>
      <w:r w:rsidRPr="00451F84">
        <w:t>tion) can be considered as tasks of public interest.</w:t>
      </w:r>
    </w:p>
    <w:p w:rsidR="00FF1C09" w:rsidRPr="00177030" w:rsidRDefault="00FF1C09" w:rsidP="00FF1C09">
      <w:pPr>
        <w:widowControl w:val="0"/>
        <w:ind w:hanging="720"/>
      </w:pPr>
      <w:r w:rsidRPr="00177030">
        <w:t>(ii)</w:t>
      </w:r>
      <w:r w:rsidRPr="00177030">
        <w:tab/>
      </w:r>
      <w:proofErr w:type="gramStart"/>
      <w:r w:rsidRPr="00177030">
        <w:t>the</w:t>
      </w:r>
      <w:proofErr w:type="gramEnd"/>
      <w:r w:rsidRPr="00177030">
        <w:t xml:space="preserve"> implementation of that cooperation is governed solely by considerations </w:t>
      </w:r>
      <w:r w:rsidR="00D127C5">
        <w:t>relating to the public interest (see</w:t>
      </w:r>
      <w:r>
        <w:t xml:space="preserve"> the implications explained above in section</w:t>
      </w:r>
      <w:r w:rsidR="00D127C5">
        <w:t xml:space="preserve"> 3.6.1 in terms of </w:t>
      </w:r>
      <w:r w:rsidR="00D127C5">
        <w:lastRenderedPageBreak/>
        <w:t>remuneration)</w:t>
      </w:r>
      <w:r>
        <w:t>.</w:t>
      </w:r>
    </w:p>
    <w:p w:rsidR="00FF1C09" w:rsidRPr="00177030" w:rsidRDefault="00FF1C09" w:rsidP="00FF1C09">
      <w:pPr>
        <w:widowControl w:val="0"/>
        <w:ind w:hanging="720"/>
      </w:pPr>
      <w:r w:rsidRPr="00177030">
        <w:t>(iii)</w:t>
      </w:r>
      <w:r w:rsidRPr="00177030">
        <w:tab/>
      </w:r>
      <w:proofErr w:type="gramStart"/>
      <w:r w:rsidRPr="00177030">
        <w:t>the</w:t>
      </w:r>
      <w:proofErr w:type="gramEnd"/>
      <w:r w:rsidRPr="00177030">
        <w:t xml:space="preserve"> participating contracting authorities perform on the open market less than 20% of the activities concerned by the cooperation</w:t>
      </w:r>
      <w:r>
        <w:rPr>
          <w:rStyle w:val="FootnoteReference"/>
        </w:rPr>
        <w:footnoteReference w:id="47"/>
      </w:r>
      <w:r w:rsidRPr="00177030">
        <w:t>.</w:t>
      </w:r>
    </w:p>
    <w:p w:rsidR="00FF1C09" w:rsidRPr="000246A6" w:rsidRDefault="00FF1C09" w:rsidP="00FF1C09">
      <w:pPr>
        <w:widowControl w:val="0"/>
        <w:rPr>
          <w:lang w:val="en" w:eastAsia="en-GB"/>
        </w:rPr>
      </w:pPr>
      <w:r w:rsidRPr="000246A6">
        <w:rPr>
          <w:lang w:eastAsia="en-GB"/>
        </w:rPr>
        <w:t xml:space="preserve">According to Article 12(5) of Directive 2014/24/EU, </w:t>
      </w:r>
      <w:r w:rsidRPr="000246A6">
        <w:rPr>
          <w:lang w:val="en" w:eastAsia="en-GB"/>
        </w:rPr>
        <w:t xml:space="preserve">for the determination of the percentage of activities the average total </w:t>
      </w:r>
      <w:proofErr w:type="gramStart"/>
      <w:r w:rsidRPr="000246A6">
        <w:rPr>
          <w:lang w:val="en" w:eastAsia="en-GB"/>
        </w:rPr>
        <w:t>turnover,</w:t>
      </w:r>
      <w:proofErr w:type="gramEnd"/>
      <w:r w:rsidRPr="000246A6">
        <w:rPr>
          <w:lang w:val="en" w:eastAsia="en-GB"/>
        </w:rPr>
        <w:t xml:space="preserve"> or an appropriate alternative activity-based measure such as costs incurred by the relevant legal person or contracting authority with respect to services, supplies and works for the three years preceding the contract award shall be taken into consideration.</w:t>
      </w:r>
    </w:p>
    <w:p w:rsidR="00FF1C09" w:rsidRPr="000246A6" w:rsidRDefault="00FF1C09" w:rsidP="00FF1C09">
      <w:pPr>
        <w:widowControl w:val="0"/>
        <w:rPr>
          <w:lang w:val="en" w:eastAsia="en-GB"/>
        </w:rPr>
      </w:pPr>
      <w:r w:rsidRPr="000246A6">
        <w:rPr>
          <w:lang w:val="en" w:eastAsia="en-GB"/>
        </w:rPr>
        <w:t xml:space="preserve">Where, because of the date on which the relevant legal person or contracting authority was created or commenced activities or because of a </w:t>
      </w:r>
      <w:proofErr w:type="spellStart"/>
      <w:r w:rsidRPr="000246A6">
        <w:rPr>
          <w:lang w:val="en" w:eastAsia="en-GB"/>
        </w:rPr>
        <w:t>reorganisation</w:t>
      </w:r>
      <w:proofErr w:type="spellEnd"/>
      <w:r w:rsidRPr="000246A6">
        <w:rPr>
          <w:lang w:val="en" w:eastAsia="en-GB"/>
        </w:rPr>
        <w:t xml:space="preserve"> of its activities, the turnover, or alternative activity based measure such as costs, are either not available for the preceding three years or no longer relevant, it shall be sufficient to show that the measurement of activity is credible, particularly by means of business projections.</w:t>
      </w:r>
    </w:p>
    <w:p w:rsidR="00FF1C09" w:rsidRPr="000246A6" w:rsidRDefault="00FF1C09" w:rsidP="00FF1C09">
      <w:pPr>
        <w:widowControl w:val="0"/>
        <w:autoSpaceDE w:val="0"/>
        <w:autoSpaceDN w:val="0"/>
        <w:adjustRightInd w:val="0"/>
      </w:pPr>
      <w:r w:rsidRPr="000246A6">
        <w:rPr>
          <w:b/>
          <w:u w:val="single"/>
        </w:rPr>
        <w:t>Conclusion</w:t>
      </w:r>
      <w:r w:rsidRPr="000246A6">
        <w:t xml:space="preserve">: After transposition of Directive 2014/24/EU or after 18 April 2016, managing authorities may be able to enter into inter-administrative cooperation agreements complying with the conditions laid down in the Directive with other contracting authorities that could be entrusted with the task of implementing financial instruments.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4"/>
      </w:tblGrid>
      <w:tr w:rsidR="00FF1C09" w:rsidRPr="00246836" w:rsidTr="00FF1C09">
        <w:trPr>
          <w:trHeight w:val="1028"/>
        </w:trPr>
        <w:tc>
          <w:tcPr>
            <w:tcW w:w="9212" w:type="dxa"/>
          </w:tcPr>
          <w:p w:rsidR="00FF1C09" w:rsidRPr="000246A6" w:rsidRDefault="00FF1C09" w:rsidP="00FF1C09">
            <w:pPr>
              <w:widowControl w:val="0"/>
              <w:autoSpaceDE w:val="0"/>
              <w:autoSpaceDN w:val="0"/>
              <w:adjustRightInd w:val="0"/>
            </w:pPr>
            <w:r w:rsidRPr="000246A6">
              <w:t xml:space="preserve">Example: </w:t>
            </w:r>
          </w:p>
          <w:p w:rsidR="00FF1C09" w:rsidRPr="000246A6" w:rsidRDefault="00FF1C09" w:rsidP="00FF1C09">
            <w:pPr>
              <w:widowControl w:val="0"/>
              <w:autoSpaceDE w:val="0"/>
              <w:autoSpaceDN w:val="0"/>
              <w:adjustRightInd w:val="0"/>
            </w:pPr>
            <w:r w:rsidRPr="000246A6">
              <w:t xml:space="preserve">The Ministry of Economy controls a 100 % publicly-owned development bank whose task as defined by law is the provision of loans and guarantees to SMEs to support innovation on the whole territory of the country. </w:t>
            </w:r>
          </w:p>
          <w:p w:rsidR="00FF1C09" w:rsidRPr="000246A6" w:rsidRDefault="00FF1C09" w:rsidP="00FF1C09">
            <w:pPr>
              <w:widowControl w:val="0"/>
              <w:autoSpaceDE w:val="0"/>
              <w:autoSpaceDN w:val="0"/>
              <w:adjustRightInd w:val="0"/>
            </w:pPr>
            <w:r w:rsidRPr="000246A6">
              <w:t xml:space="preserve">Region Y implements a programme aiming at supporting innovation in the region. It does </w:t>
            </w:r>
            <w:proofErr w:type="gramStart"/>
            <w:r w:rsidRPr="000246A6">
              <w:t>not control</w:t>
            </w:r>
            <w:proofErr w:type="gramEnd"/>
            <w:r w:rsidRPr="000246A6">
              <w:t xml:space="preserve"> neither individually, nor jointly the national development bank and therefore no in-house relation between the two. </w:t>
            </w:r>
          </w:p>
          <w:p w:rsidR="00D127C5" w:rsidRDefault="00FF1C09" w:rsidP="00FF1C09">
            <w:pPr>
              <w:widowControl w:val="0"/>
              <w:autoSpaceDE w:val="0"/>
              <w:autoSpaceDN w:val="0"/>
              <w:adjustRightInd w:val="0"/>
            </w:pPr>
            <w:r w:rsidRPr="000246A6">
              <w:t>Inter-administrative c</w:t>
            </w:r>
            <w:r w:rsidR="00D127C5">
              <w:t xml:space="preserve">ooperation might be possible if </w:t>
            </w:r>
            <w:r w:rsidR="00D127C5" w:rsidRPr="000246A6">
              <w:t>the conditions for inter-ad</w:t>
            </w:r>
            <w:r w:rsidR="00D127C5">
              <w:t xml:space="preserve">ministrative cooperation are met. </w:t>
            </w:r>
          </w:p>
          <w:p w:rsidR="00FF1C09" w:rsidRPr="000246A6" w:rsidRDefault="00D127C5" w:rsidP="00FF1C09">
            <w:pPr>
              <w:widowControl w:val="0"/>
              <w:autoSpaceDE w:val="0"/>
              <w:autoSpaceDN w:val="0"/>
              <w:adjustRightInd w:val="0"/>
            </w:pPr>
            <w:r>
              <w:t>As regards the remuneration</w:t>
            </w:r>
            <w:r w:rsidR="00FF1C09" w:rsidRPr="000246A6">
              <w:t xml:space="preserve"> the service </w:t>
            </w:r>
            <w:r>
              <w:t>must be</w:t>
            </w:r>
            <w:r w:rsidR="00FF1C09" w:rsidRPr="000246A6">
              <w:t xml:space="preserve"> provided to the Region on the same terms as to the Ministry. If the financial products that the Region asks the bank to implement are already provided by the bank for the Ministry, the bank is charging the same costs and fees to the Region for the </w:t>
            </w:r>
            <w:r>
              <w:t>implementation of a financial instrument providing</w:t>
            </w:r>
            <w:r w:rsidR="00FF1C09" w:rsidRPr="000246A6">
              <w:t xml:space="preserve"> these products. If the financial products that the Region asks the bank to implement are not provided by the bank, the national development bank accepts to charge the same costs and fees to the Region than those it would charge for the Ministry.  </w:t>
            </w:r>
          </w:p>
          <w:p w:rsidR="00D127C5" w:rsidRPr="000246A6" w:rsidRDefault="00D127C5" w:rsidP="00D127C5">
            <w:pPr>
              <w:widowControl w:val="0"/>
              <w:autoSpaceDE w:val="0"/>
              <w:autoSpaceDN w:val="0"/>
              <w:adjustRightInd w:val="0"/>
            </w:pPr>
            <w:r>
              <w:t>As regards the third condition for inter-administrative cooperation, t</w:t>
            </w:r>
            <w:r w:rsidRPr="000246A6">
              <w:t>he national development bank does not provide financing of the type concerned by the cooperation (i.e. type of product concerned for the sector concerned, for example equity for innovation) on the open market for more than 20% of its average total turnover for the three years preceding the contract award.</w:t>
            </w:r>
          </w:p>
          <w:p w:rsidR="00FF1C09" w:rsidRPr="00246836" w:rsidRDefault="00D127C5" w:rsidP="00D127C5">
            <w:pPr>
              <w:widowControl w:val="0"/>
              <w:autoSpaceDE w:val="0"/>
              <w:autoSpaceDN w:val="0"/>
              <w:adjustRightInd w:val="0"/>
            </w:pPr>
            <w:r>
              <w:t>P</w:t>
            </w:r>
            <w:r w:rsidR="00FF1C09" w:rsidRPr="000246A6">
              <w:t xml:space="preserve">rovided the requirements of Article 7 of the CDR are fulfilled, Region Y can award a </w:t>
            </w:r>
            <w:r w:rsidR="00FF1C09" w:rsidRPr="000246A6">
              <w:lastRenderedPageBreak/>
              <w:t>contract to the national development bank and sign the contract with the bank directly.</w:t>
            </w:r>
          </w:p>
        </w:tc>
      </w:tr>
    </w:tbl>
    <w:p w:rsidR="00FF1C09" w:rsidRPr="00246836" w:rsidRDefault="00FF1C09" w:rsidP="00FF1C09">
      <w:pPr>
        <w:widowControl w:val="0"/>
        <w:autoSpaceDE w:val="0"/>
        <w:autoSpaceDN w:val="0"/>
        <w:adjustRightInd w:val="0"/>
      </w:pPr>
    </w:p>
    <w:p w:rsidR="00FF1C09" w:rsidRPr="00177030" w:rsidRDefault="00FF1C09" w:rsidP="000246A6">
      <w:pPr>
        <w:pStyle w:val="Heading2"/>
        <w:rPr>
          <w:lang w:val="en-US"/>
        </w:rPr>
      </w:pPr>
      <w:bookmarkStart w:id="21" w:name="_Toc443553304"/>
      <w:r w:rsidRPr="00177030">
        <w:rPr>
          <w:lang w:val="en-US"/>
        </w:rPr>
        <w:t>Designation as intermediate body</w:t>
      </w:r>
      <w:bookmarkEnd w:id="21"/>
      <w:r w:rsidRPr="00177030">
        <w:rPr>
          <w:lang w:val="en-US"/>
        </w:rPr>
        <w:t xml:space="preserve"> </w:t>
      </w:r>
    </w:p>
    <w:p w:rsidR="00FF1C09" w:rsidRPr="00177030" w:rsidRDefault="00FF1C09" w:rsidP="00FF1C09">
      <w:pPr>
        <w:widowControl w:val="0"/>
        <w:autoSpaceDE w:val="0"/>
        <w:autoSpaceDN w:val="0"/>
        <w:adjustRightInd w:val="0"/>
        <w:rPr>
          <w:szCs w:val="24"/>
        </w:rPr>
      </w:pPr>
      <w:r w:rsidRPr="00177030">
        <w:t>Article</w:t>
      </w:r>
      <w:r w:rsidRPr="00177030">
        <w:rPr>
          <w:szCs w:val="24"/>
        </w:rPr>
        <w:t xml:space="preserve"> 123(6) of the CPR allows Member States to "</w:t>
      </w:r>
      <w:r w:rsidRPr="00177030">
        <w:rPr>
          <w:i/>
          <w:szCs w:val="24"/>
        </w:rPr>
        <w:t>designate one or more intermediate bodies to carry out certain tasks of the managing or the certifying authority under the responsibility of that authority</w:t>
      </w:r>
      <w:r w:rsidRPr="00177030">
        <w:rPr>
          <w:szCs w:val="24"/>
        </w:rPr>
        <w:t>"</w:t>
      </w:r>
      <w:r>
        <w:rPr>
          <w:szCs w:val="24"/>
        </w:rPr>
        <w:t>. This provision applies</w:t>
      </w:r>
      <w:r w:rsidRPr="00177030">
        <w:rPr>
          <w:szCs w:val="24"/>
        </w:rPr>
        <w:t xml:space="preserve"> to the Funds (the structural Funds (ERDF and ESF) and the Cohesion Fund) and the EMFF. Article 66(2) of Regulation (EU) No 1305/2013 provides for the same possibility for EAFRD</w:t>
      </w:r>
      <w:r>
        <w:rPr>
          <w:szCs w:val="24"/>
        </w:rPr>
        <w:t xml:space="preserve">, </w:t>
      </w:r>
      <w:proofErr w:type="gramStart"/>
      <w:r>
        <w:rPr>
          <w:szCs w:val="24"/>
        </w:rPr>
        <w:t>laying</w:t>
      </w:r>
      <w:proofErr w:type="gramEnd"/>
      <w:r>
        <w:rPr>
          <w:szCs w:val="24"/>
        </w:rPr>
        <w:t xml:space="preserve"> down that </w:t>
      </w:r>
      <w:r w:rsidRPr="00C40A90">
        <w:t>the Managing Authority retains full responsibility for the efficiency and correctness of management and implementation of those tasks ensuring at the same time that all necessary data and information is given to the intermediate body for execution of these tasks.</w:t>
      </w:r>
    </w:p>
    <w:p w:rsidR="00FF1C09" w:rsidRPr="00D05AED" w:rsidRDefault="00FF1C09" w:rsidP="000246A6">
      <w:pPr>
        <w:widowControl w:val="0"/>
        <w:autoSpaceDE w:val="0"/>
        <w:autoSpaceDN w:val="0"/>
        <w:adjustRightInd w:val="0"/>
      </w:pPr>
      <w:r w:rsidRPr="000246A6">
        <w:t>The intermediate body should be selected in compliance with applicable rules including those on public procurement</w:t>
      </w:r>
      <w:r w:rsidRPr="000246A6">
        <w:rPr>
          <w:rStyle w:val="FootnoteReference"/>
        </w:rPr>
        <w:footnoteReference w:id="48"/>
      </w:r>
      <w:r w:rsidRPr="000246A6">
        <w:t xml:space="preserve">. Once selected, Article 123(6) of the CPR requires the signature of written arrangements between the managing authority and the intermediate body, including reporting modalities ensuring that the managing authority is able to exert a proper control over the activities of the intermediate body. </w:t>
      </w:r>
    </w:p>
    <w:p w:rsidR="00FF1C09" w:rsidRDefault="00FF1C09" w:rsidP="00FF1C09">
      <w:pPr>
        <w:widowControl w:val="0"/>
        <w:autoSpaceDE w:val="0"/>
        <w:autoSpaceDN w:val="0"/>
        <w:adjustRightInd w:val="0"/>
      </w:pPr>
      <w:r>
        <w:t>A Member State may designate an</w:t>
      </w:r>
      <w:r w:rsidRPr="00177030">
        <w:t xml:space="preserve"> intermediate body </w:t>
      </w:r>
      <w:r>
        <w:t>and</w:t>
      </w:r>
      <w:r w:rsidRPr="00177030">
        <w:t xml:space="preserve"> entrust</w:t>
      </w:r>
      <w:r>
        <w:t xml:space="preserve"> it</w:t>
      </w:r>
      <w:r w:rsidRPr="00177030">
        <w:t xml:space="preserve"> with the task of selection of the body implementing the financial instrument. The intermediate body </w:t>
      </w:r>
      <w:r>
        <w:t xml:space="preserve">would then select the body on behalf and under the responsibility of the managing authority </w:t>
      </w:r>
      <w:r w:rsidRPr="00177030">
        <w:t xml:space="preserve">in compliance with </w:t>
      </w:r>
      <w:r>
        <w:t xml:space="preserve">all applicable rules, including </w:t>
      </w:r>
      <w:r w:rsidRPr="00177030">
        <w:t>the rules on public procurement.</w:t>
      </w:r>
    </w:p>
    <w:p w:rsidR="00FF1C09" w:rsidRDefault="00FF1C09" w:rsidP="00FF1C09">
      <w:pPr>
        <w:widowControl w:val="0"/>
        <w:autoSpaceDE w:val="0"/>
        <w:autoSpaceDN w:val="0"/>
        <w:adjustRightInd w:val="0"/>
      </w:pPr>
      <w:r>
        <w:t>A Member State may instead designate an intermediate body responsible for the implementation of the financial instrument.</w:t>
      </w:r>
    </w:p>
    <w:p w:rsidR="00FF1C09" w:rsidRDefault="00FF1C09" w:rsidP="00FF1C09">
      <w:pPr>
        <w:widowControl w:val="0"/>
        <w:autoSpaceDE w:val="0"/>
        <w:autoSpaceDN w:val="0"/>
        <w:adjustRightInd w:val="0"/>
      </w:pPr>
      <w:r>
        <w:t xml:space="preserve">The two options may be combined in case a Member State designates as intermediate body </w:t>
      </w:r>
      <w:r w:rsidRPr="00177030">
        <w:t xml:space="preserve">a public body owning and controlling an in-house </w:t>
      </w:r>
      <w:r>
        <w:t xml:space="preserve">entity </w:t>
      </w:r>
      <w:r w:rsidRPr="00177030">
        <w:t xml:space="preserve">for the entrustment of tasks of implementation of financial instruments to this in-house </w:t>
      </w:r>
      <w:r>
        <w:t xml:space="preserve">entity </w:t>
      </w:r>
      <w:r w:rsidRPr="00177030">
        <w:t xml:space="preserve">(a development bank for instance). </w:t>
      </w:r>
    </w:p>
    <w:p w:rsidR="00FF1C09" w:rsidRPr="00177030" w:rsidRDefault="00FF1C09" w:rsidP="00FF1C09">
      <w:pPr>
        <w:widowControl w:val="0"/>
        <w:autoSpaceDE w:val="0"/>
        <w:autoSpaceDN w:val="0"/>
        <w:adjustRightInd w:val="0"/>
      </w:pPr>
      <w:r>
        <w:t xml:space="preserve">In this case, a written arrangement would be signed between the managing authority and the intermediate body assigning to the intermediate body the task of designating a body responsible for the implementation of a financial instrument (which would lead to the selection of the in-house entity of the intermediate body provided the conditions referred to above under 3.5 are fulfilled) and for the implementation of the financial instrument (which would subsequently be carried out by the in-house entity of the intermediate body). </w:t>
      </w:r>
    </w:p>
    <w:p w:rsidR="00FF1C09" w:rsidRPr="00177030" w:rsidRDefault="00FF1C09" w:rsidP="00FF1C09">
      <w:pPr>
        <w:widowContro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4"/>
      </w:tblGrid>
      <w:tr w:rsidR="00FF1C09" w:rsidRPr="00C23AED" w:rsidTr="00727B7B">
        <w:trPr>
          <w:trHeight w:val="841"/>
        </w:trPr>
        <w:tc>
          <w:tcPr>
            <w:tcW w:w="9212" w:type="dxa"/>
          </w:tcPr>
          <w:p w:rsidR="00FF1C09" w:rsidRPr="00C23AED" w:rsidRDefault="00FF1C09" w:rsidP="00FF1C09">
            <w:pPr>
              <w:widowControl w:val="0"/>
              <w:autoSpaceDE w:val="0"/>
              <w:autoSpaceDN w:val="0"/>
              <w:adjustRightInd w:val="0"/>
            </w:pPr>
            <w:r w:rsidRPr="00C23AED">
              <w:lastRenderedPageBreak/>
              <w:t>Example:</w:t>
            </w:r>
          </w:p>
          <w:p w:rsidR="00FF1C09" w:rsidRPr="00C23AED" w:rsidRDefault="00FF1C09" w:rsidP="00FF1C09">
            <w:pPr>
              <w:widowControl w:val="0"/>
              <w:autoSpaceDE w:val="0"/>
              <w:autoSpaceDN w:val="0"/>
              <w:adjustRightInd w:val="0"/>
            </w:pPr>
            <w:r w:rsidRPr="00C23AED">
              <w:t xml:space="preserve">The Ministry of </w:t>
            </w:r>
            <w:r>
              <w:t xml:space="preserve">Finance has an in-house relation with </w:t>
            </w:r>
            <w:r w:rsidRPr="00C23AED">
              <w:t xml:space="preserve">a development bank. </w:t>
            </w:r>
            <w:r>
              <w:t xml:space="preserve">This means that this development bank is 100% publicly owned, that the Ministry of Finance exercises a control over the strategic objectives and significant decisions of the bank and that the essential part/ more than 80% of the </w:t>
            </w:r>
            <w:r w:rsidRPr="00177030">
              <w:t xml:space="preserve">activities </w:t>
            </w:r>
            <w:r>
              <w:t xml:space="preserve">of the bank are </w:t>
            </w:r>
            <w:r w:rsidRPr="00177030">
              <w:t xml:space="preserve">in the performance of tasks entrusted to it by the </w:t>
            </w:r>
            <w:r>
              <w:t>Ministry of Finance.</w:t>
            </w:r>
          </w:p>
          <w:p w:rsidR="00FF1C09" w:rsidRPr="00C23AED" w:rsidRDefault="00FF1C09" w:rsidP="00FF1C09">
            <w:pPr>
              <w:widowControl w:val="0"/>
              <w:autoSpaceDE w:val="0"/>
              <w:autoSpaceDN w:val="0"/>
              <w:adjustRightInd w:val="0"/>
            </w:pPr>
            <w:r>
              <w:t>The Ministry of Environment</w:t>
            </w:r>
            <w:r w:rsidRPr="00C23AED">
              <w:t xml:space="preserve"> implements a </w:t>
            </w:r>
            <w:r>
              <w:t>programme</w:t>
            </w:r>
            <w:r w:rsidRPr="00C23AED">
              <w:t xml:space="preserve"> aiming at supporting innovation in the region. </w:t>
            </w:r>
          </w:p>
          <w:p w:rsidR="00FF1C09" w:rsidRDefault="00FF1C09" w:rsidP="00FF1C09">
            <w:pPr>
              <w:widowControl w:val="0"/>
              <w:autoSpaceDE w:val="0"/>
              <w:autoSpaceDN w:val="0"/>
              <w:adjustRightInd w:val="0"/>
            </w:pPr>
            <w:r>
              <w:t>Provided the bank fulfils the requirements of Article 7 of the CDR, the Ministry of Environment designates the Ministry of Finance as intermediate body responsible for the designation of a body responsible for the implementation of the financial instrument.</w:t>
            </w:r>
          </w:p>
          <w:p w:rsidR="00FF1C09" w:rsidRPr="00C23AED" w:rsidRDefault="00FF1C09" w:rsidP="00FF1C09">
            <w:pPr>
              <w:widowControl w:val="0"/>
              <w:autoSpaceDE w:val="0"/>
              <w:autoSpaceDN w:val="0"/>
              <w:adjustRightInd w:val="0"/>
            </w:pPr>
            <w:r>
              <w:t xml:space="preserve">The Ministry of Finance designates the bank as in-house entity and signs the agreement with the bank on behalf of the Ministry of Environment. The Ministry of Finance is then responsible for reporting on the implementation of the tasks delegated by the Ministry of Environment in accordance with the written arrangements signed between them.  </w:t>
            </w:r>
          </w:p>
        </w:tc>
      </w:tr>
    </w:tbl>
    <w:p w:rsidR="00FF1C09" w:rsidRPr="00177030" w:rsidRDefault="00FF1C09" w:rsidP="00FF1C09">
      <w:pPr>
        <w:widowControl w:val="0"/>
        <w:autoSpaceDE w:val="0"/>
        <w:autoSpaceDN w:val="0"/>
        <w:adjustRightInd w:val="0"/>
        <w:spacing w:after="0"/>
        <w:rPr>
          <w:szCs w:val="24"/>
          <w:lang w:val="en-US"/>
        </w:rPr>
      </w:pPr>
    </w:p>
    <w:p w:rsidR="00FF1C09" w:rsidRPr="00177030" w:rsidRDefault="00FF1C09" w:rsidP="000246A6">
      <w:pPr>
        <w:pStyle w:val="Heading2"/>
        <w:rPr>
          <w:lang w:val="en-US"/>
        </w:rPr>
      </w:pPr>
      <w:bookmarkStart w:id="22" w:name="_Toc443553305"/>
      <w:r w:rsidRPr="00177030">
        <w:rPr>
          <w:lang w:val="en-US"/>
        </w:rPr>
        <w:t>Requirements of Article 7 of the CDR</w:t>
      </w:r>
      <w:bookmarkEnd w:id="22"/>
      <w:r w:rsidRPr="00177030">
        <w:rPr>
          <w:lang w:val="en-US"/>
        </w:rPr>
        <w:t xml:space="preserve"> </w:t>
      </w:r>
    </w:p>
    <w:p w:rsidR="00FF1C09" w:rsidRPr="00177030" w:rsidRDefault="00FF1C09" w:rsidP="00FF1C09">
      <w:pPr>
        <w:widowControl w:val="0"/>
      </w:pPr>
      <w:proofErr w:type="gramStart"/>
      <w:r w:rsidRPr="00177030">
        <w:t>Article 7 of the CDR sets out criteria to be applied by the managing authority when selecting the bodies implementing financial instruments.</w:t>
      </w:r>
      <w:proofErr w:type="gramEnd"/>
      <w:r w:rsidRPr="00177030">
        <w:t xml:space="preserve"> The rules of Article 7(1) and (2) apply to the selection of bodies implementing financial instruments (with the exception of the selection of EIB and the EIF) regardless of the amount of the contract</w:t>
      </w:r>
      <w:r>
        <w:t xml:space="preserve"> and regardless of the selection procedure of the bodies concerned (open call, negotiated procedure, competitive procedure, direct award)</w:t>
      </w:r>
      <w:r w:rsidRPr="00177030">
        <w:t>. The provisions of Article 7(3) of the CDR apply to the selection of financial intermediaries by the bodies implementing</w:t>
      </w:r>
      <w:r>
        <w:t xml:space="preserve"> a</w:t>
      </w:r>
      <w:r w:rsidRPr="00177030">
        <w:t xml:space="preserve"> fund of funds. </w:t>
      </w:r>
    </w:p>
    <w:p w:rsidR="00FF1C09" w:rsidRPr="00177030" w:rsidRDefault="00FF1C09" w:rsidP="00FF1C09">
      <w:r w:rsidRPr="00177030">
        <w:t xml:space="preserve">Reminding the principles of transparency and non-discrimination laid down in the Treaty, Article 7(2) CDR recalls that the selection process must be transparent and justified on objective grounds and not give rise to conflicts of interest. </w:t>
      </w:r>
      <w:r>
        <w:t> </w:t>
      </w:r>
    </w:p>
    <w:p w:rsidR="00FF1C09" w:rsidRPr="00177030" w:rsidRDefault="00FF1C09" w:rsidP="00FF1C09">
      <w:pPr>
        <w:widowControl w:val="0"/>
      </w:pPr>
      <w:r w:rsidRPr="00177030">
        <w:t>When an entity entrusts tasks of implementation of financial instruments to a third party</w:t>
      </w:r>
      <w:r>
        <w:t xml:space="preserve"> in accordance with one of the procurement procedures provided for in the public procurement directive</w:t>
      </w:r>
      <w:r w:rsidRPr="00177030">
        <w:t>, in view of Article 7 of the CDR it must introduce at least the selection and award criteria</w:t>
      </w:r>
      <w:r>
        <w:t xml:space="preserve"> listed below in </w:t>
      </w:r>
      <w:r w:rsidRPr="000246A6">
        <w:t xml:space="preserve">points 3.81 and 3.8.2. Outside this situation, </w:t>
      </w:r>
      <w:proofErr w:type="spellStart"/>
      <w:r w:rsidRPr="000246A6">
        <w:t>ie</w:t>
      </w:r>
      <w:proofErr w:type="spellEnd"/>
      <w:r w:rsidRPr="000246A6">
        <w:t xml:space="preserve"> in case of direct award of a contract the selection criteria referred to in Article 7 of the CDR need to be applied but do not need to be applied as selection criteria, award criteria and elements indicated in terms of reference.</w:t>
      </w:r>
    </w:p>
    <w:p w:rsidR="00FF1C09" w:rsidRPr="00177030" w:rsidRDefault="00FF1C09" w:rsidP="000246A6">
      <w:pPr>
        <w:pStyle w:val="Heading3"/>
      </w:pPr>
      <w:bookmarkStart w:id="23" w:name="_Toc443553306"/>
      <w:r w:rsidRPr="00177030">
        <w:t>Selection criteria</w:t>
      </w:r>
      <w:bookmarkEnd w:id="23"/>
    </w:p>
    <w:p w:rsidR="00FF1C09" w:rsidRPr="00177030" w:rsidRDefault="00FF1C09" w:rsidP="00FF1C09">
      <w:r w:rsidRPr="00177030">
        <w:t>The criteria defined in Article 7(1</w:t>
      </w:r>
      <w:proofErr w:type="gramStart"/>
      <w:r w:rsidRPr="00177030">
        <w:t>)(</w:t>
      </w:r>
      <w:proofErr w:type="gramEnd"/>
      <w:r w:rsidRPr="00177030">
        <w:t xml:space="preserve">a) to (f) and Article 7(2) first paragraph of the CDR are linked to the </w:t>
      </w:r>
      <w:r w:rsidRPr="00177030">
        <w:rPr>
          <w:b/>
        </w:rPr>
        <w:t>legal, financial, economic and organisational capacity of the body</w:t>
      </w:r>
      <w:r w:rsidRPr="00177030">
        <w:t xml:space="preserve"> to be entrusted with implementation tasks of the financial instrument. The following minimum set of selection criteria must therefore be applied. </w:t>
      </w:r>
    </w:p>
    <w:p w:rsidR="000246A6" w:rsidRDefault="000246A6" w:rsidP="000246A6">
      <w:pPr>
        <w:pStyle w:val="Heading4"/>
      </w:pPr>
      <w:r>
        <w:t>The legal capacity</w:t>
      </w:r>
    </w:p>
    <w:p w:rsidR="00FF1C09" w:rsidRPr="00177030" w:rsidRDefault="00FF1C09" w:rsidP="00FF1C09">
      <w:pPr>
        <w:widowControl w:val="0"/>
      </w:pPr>
      <w:r w:rsidRPr="00177030">
        <w:t xml:space="preserve">The </w:t>
      </w:r>
      <w:r w:rsidRPr="00177030">
        <w:rPr>
          <w:b/>
        </w:rPr>
        <w:t>legal capacity</w:t>
      </w:r>
      <w:r w:rsidRPr="00177030">
        <w:t xml:space="preserve"> of the body entrusted needs to be checked to ensure that the body </w:t>
      </w:r>
      <w:r w:rsidRPr="00177030">
        <w:lastRenderedPageBreak/>
        <w:t>selected is allowed to carry out the tasks of implementation of the financial instrument under national and EU law. The selection procedure must therefore check the entitlement of the body entrusted to carry out the relevant implementation tasks under Union and national law (Article 7(1</w:t>
      </w:r>
      <w:proofErr w:type="gramStart"/>
      <w:r w:rsidRPr="00177030">
        <w:t>)(</w:t>
      </w:r>
      <w:proofErr w:type="gramEnd"/>
      <w:r w:rsidRPr="00177030">
        <w:t>a) of the CDR).</w:t>
      </w:r>
    </w:p>
    <w:p w:rsidR="000246A6" w:rsidRDefault="000246A6" w:rsidP="000246A6">
      <w:pPr>
        <w:pStyle w:val="Heading4"/>
      </w:pPr>
      <w:r>
        <w:t>The economic and financial capacity</w:t>
      </w:r>
    </w:p>
    <w:p w:rsidR="00FF1C09" w:rsidRPr="00177030" w:rsidRDefault="00FF1C09" w:rsidP="00FF1C09">
      <w:pPr>
        <w:widowControl w:val="0"/>
      </w:pPr>
      <w:r w:rsidRPr="00177030">
        <w:t xml:space="preserve">The body entrusted with financial instruments implementation tasks must have the </w:t>
      </w:r>
      <w:r w:rsidRPr="00177030">
        <w:rPr>
          <w:b/>
        </w:rPr>
        <w:t>economic and financial capacity</w:t>
      </w:r>
      <w:r w:rsidRPr="00177030">
        <w:t xml:space="preserve"> to carry out the work. Therefore the selection procedure needs to ensure that the economic and financial viability of the body entrusted is adequate (Article 7(1</w:t>
      </w:r>
      <w:proofErr w:type="gramStart"/>
      <w:r w:rsidRPr="00177030">
        <w:t>)(</w:t>
      </w:r>
      <w:proofErr w:type="gramEnd"/>
      <w:r w:rsidRPr="00177030">
        <w:t>b) of the CDR). Adequacy should be checked by reference to the type of tasks that will be entrusted to the body and their implementing modalities including their duration.</w:t>
      </w:r>
    </w:p>
    <w:p w:rsidR="000246A6" w:rsidRDefault="000246A6" w:rsidP="000246A6">
      <w:pPr>
        <w:pStyle w:val="Heading4"/>
      </w:pPr>
      <w:r>
        <w:t>The organisational capacity</w:t>
      </w:r>
    </w:p>
    <w:p w:rsidR="00FF1C09" w:rsidRPr="00177030" w:rsidRDefault="00FF1C09" w:rsidP="00FF1C09">
      <w:pPr>
        <w:widowControl w:val="0"/>
      </w:pPr>
      <w:r w:rsidRPr="00177030">
        <w:t xml:space="preserve">The body entrusted with financial instruments implementation tasks must have the </w:t>
      </w:r>
      <w:r w:rsidRPr="00177030">
        <w:rPr>
          <w:b/>
        </w:rPr>
        <w:t>organisational capacity</w:t>
      </w:r>
      <w:r w:rsidRPr="00177030">
        <w:t xml:space="preserve"> to implement a financial instrument in the context of the implementation of a programme, </w:t>
      </w:r>
      <w:r w:rsidRPr="00177030">
        <w:rPr>
          <w:i/>
        </w:rPr>
        <w:t>i.e.</w:t>
      </w:r>
      <w:r w:rsidRPr="00177030">
        <w:t>:</w:t>
      </w:r>
    </w:p>
    <w:p w:rsidR="00FF1C09" w:rsidRPr="00177030" w:rsidRDefault="00FF1C09" w:rsidP="005545F9">
      <w:pPr>
        <w:numPr>
          <w:ilvl w:val="0"/>
          <w:numId w:val="21"/>
        </w:numPr>
        <w:spacing w:after="200" w:line="276" w:lineRule="auto"/>
      </w:pPr>
      <w:proofErr w:type="gramStart"/>
      <w:r w:rsidRPr="00177030">
        <w:t>an</w:t>
      </w:r>
      <w:proofErr w:type="gramEnd"/>
      <w:r w:rsidRPr="00177030">
        <w:t xml:space="preserve"> adequate capacity to implement the financial instrument, including organisational structure and governance framework providing the necessary assurance to the managing authority (Article 7(1)(c) of the CDR). The managing authority </w:t>
      </w:r>
      <w:r w:rsidRPr="000246A6">
        <w:t xml:space="preserve">must </w:t>
      </w:r>
      <w:r w:rsidRPr="00177030">
        <w:t xml:space="preserve">evaluate how well the system put in place in the body to which implementation tasks are to be entrusted, is directed and controlled. The system put in place should cover the aspects like: planning, setting-up, communication, monitoring of the progress against the objectives, risk management and business controls. </w:t>
      </w:r>
    </w:p>
    <w:p w:rsidR="00FF1C09" w:rsidRPr="00177030" w:rsidRDefault="00FF1C09" w:rsidP="005545F9">
      <w:pPr>
        <w:numPr>
          <w:ilvl w:val="0"/>
          <w:numId w:val="21"/>
        </w:numPr>
        <w:spacing w:after="200" w:line="276" w:lineRule="auto"/>
      </w:pPr>
      <w:proofErr w:type="gramStart"/>
      <w:r w:rsidRPr="00177030">
        <w:t>an</w:t>
      </w:r>
      <w:proofErr w:type="gramEnd"/>
      <w:r w:rsidRPr="00177030">
        <w:t xml:space="preserve"> effective and efficient internal control system (Article 7(1)(d) of the CDR). An effective and efficient internal control system should ensure that the body entrusted with implementation of financial instrument(s) has in place an adequate control environment and respects the procedures in place for the execution, measurement, follow up and mitigation of risks. </w:t>
      </w:r>
    </w:p>
    <w:p w:rsidR="00FF1C09" w:rsidRPr="00177030" w:rsidRDefault="00FF1C09" w:rsidP="005545F9">
      <w:pPr>
        <w:numPr>
          <w:ilvl w:val="0"/>
          <w:numId w:val="21"/>
        </w:numPr>
        <w:spacing w:after="200" w:line="276" w:lineRule="auto"/>
      </w:pPr>
      <w:proofErr w:type="gramStart"/>
      <w:r w:rsidRPr="00177030">
        <w:t>the</w:t>
      </w:r>
      <w:proofErr w:type="gramEnd"/>
      <w:r w:rsidRPr="00177030">
        <w:t xml:space="preserve"> use of an accounting system providing accurate, complete and reliable information in a timely manner (Article 7(1)(e) of the CDR).</w:t>
      </w:r>
    </w:p>
    <w:p w:rsidR="000246A6" w:rsidRDefault="00727B7B" w:rsidP="000246A6">
      <w:pPr>
        <w:pStyle w:val="Heading4"/>
      </w:pPr>
      <w:r>
        <w:t>The e</w:t>
      </w:r>
      <w:r w:rsidR="009F77EB">
        <w:t>xperience</w:t>
      </w:r>
    </w:p>
    <w:p w:rsidR="00FF1C09" w:rsidRPr="00177030" w:rsidRDefault="00FF1C09" w:rsidP="00FF1C09">
      <w:r w:rsidRPr="00AD25C2">
        <w:t>In order to ensure the selection of the most appropriate bodies for an efficient implementation of the financial instruments, the managing authority must take due account of t</w:t>
      </w:r>
      <w:r>
        <w:t>h</w:t>
      </w:r>
      <w:r w:rsidRPr="00AD25C2">
        <w:t>e experience of the body entrusted with the implementation of a financial instrument with the implementation of similar financial instruments (not necessarily with EU funds) in general, as well as the expertise and experience of the proposed team members in particular (Article 7(2) of the CDR)</w:t>
      </w:r>
      <w:r w:rsidRPr="00177030">
        <w:rPr>
          <w:rStyle w:val="FootnoteReference"/>
        </w:rPr>
        <w:footnoteReference w:id="49"/>
      </w:r>
      <w:r w:rsidRPr="00177030">
        <w:t xml:space="preserve">. </w:t>
      </w:r>
      <w:r>
        <w:t xml:space="preserve">This requirement should not prevent </w:t>
      </w:r>
      <w:r>
        <w:lastRenderedPageBreak/>
        <w:t>the designation of a newly created entity, upon evaluation of the experience of the team members.</w:t>
      </w:r>
    </w:p>
    <w:p w:rsidR="00FF1C09" w:rsidRPr="00177030" w:rsidRDefault="00FF1C09" w:rsidP="005545F9">
      <w:pPr>
        <w:pStyle w:val="Heading3"/>
      </w:pPr>
      <w:bookmarkStart w:id="24" w:name="_Toc443553307"/>
      <w:r w:rsidRPr="00177030">
        <w:t>Award criteria</w:t>
      </w:r>
      <w:bookmarkEnd w:id="24"/>
    </w:p>
    <w:p w:rsidR="00FF1C09" w:rsidRPr="00177030" w:rsidRDefault="00FF1C09" w:rsidP="00FF1C09">
      <w:r w:rsidRPr="00177030">
        <w:t>The second set of criteria defined in Article 7(2</w:t>
      </w:r>
      <w:proofErr w:type="gramStart"/>
      <w:r w:rsidRPr="00177030">
        <w:t>)(</w:t>
      </w:r>
      <w:proofErr w:type="gramEnd"/>
      <w:r w:rsidRPr="00177030">
        <w:t xml:space="preserve">a) to (f) of the CDR is linked to the </w:t>
      </w:r>
      <w:r w:rsidRPr="00177030">
        <w:rPr>
          <w:b/>
        </w:rPr>
        <w:t xml:space="preserve">subject-matter of the contract </w:t>
      </w:r>
      <w:r w:rsidRPr="00177030">
        <w:t>on the implementation of the</w:t>
      </w:r>
      <w:r w:rsidRPr="003A3051">
        <w:t xml:space="preserve"> </w:t>
      </w:r>
      <w:r w:rsidRPr="00177030">
        <w:t xml:space="preserve">financial instrument. The minimum set of award criteria listed below must therefore be applied.  The use of </w:t>
      </w:r>
      <w:r>
        <w:t xml:space="preserve">the lowest </w:t>
      </w:r>
      <w:r w:rsidRPr="00177030">
        <w:t xml:space="preserve">price only or cost only (i.e. in the context of financial instruments management fees or management costs only) methodology to evaluate the offers submitted by bodies implementing financial instruments would not allow managing authorities to apply the full minimum set of evaluation criteria. As a consequence managing authorities selecting bodies implementing financial instruments must apply the most economically advantageous methodology to evaluate the offers. </w:t>
      </w:r>
    </w:p>
    <w:p w:rsidR="00FF1C09" w:rsidRPr="00177030" w:rsidRDefault="00FF1C09" w:rsidP="005545F9">
      <w:pPr>
        <w:pStyle w:val="Heading4"/>
      </w:pPr>
      <w:r w:rsidRPr="00177030">
        <w:t xml:space="preserve">Investment methodology </w:t>
      </w:r>
    </w:p>
    <w:p w:rsidR="00FF1C09" w:rsidRPr="00177030" w:rsidRDefault="00FF1C09" w:rsidP="00FF1C09">
      <w:pPr>
        <w:rPr>
          <w:i/>
        </w:rPr>
      </w:pPr>
      <w:r w:rsidRPr="00177030">
        <w:t>The managing authority has to evaluate the offers on the basis of the  investment methodology proposed in the bidders' offers in respect of the selection of financial intermediaries or final recipients, as applicable, the terms and conditions applied in relation to support provided to final recipients, including pricing, and, where the body implementing the financial instrument allocates its own financial resources to the financial instrument or shares the risk, on the proposed measures to align interests and to mitigate possible conflicts of interests.</w:t>
      </w:r>
    </w:p>
    <w:p w:rsidR="00FF1C09" w:rsidRPr="00177030" w:rsidRDefault="00FF1C09" w:rsidP="005545F9">
      <w:pPr>
        <w:numPr>
          <w:ilvl w:val="0"/>
          <w:numId w:val="21"/>
        </w:numPr>
        <w:spacing w:after="200" w:line="276" w:lineRule="auto"/>
      </w:pPr>
      <w:proofErr w:type="gramStart"/>
      <w:r w:rsidRPr="00177030">
        <w:t>robustness</w:t>
      </w:r>
      <w:proofErr w:type="gramEnd"/>
      <w:r w:rsidRPr="00177030">
        <w:t xml:space="preserve"> and credibility of the methodology for identifying and appraising financial intermediaries or final recipients as applicable (Article 7(2)(a) of the CDR). The credibility of this methodology may be reinforced by the fact that it already exists and it is effectively functioning in the financial institutions participating in the tender. </w:t>
      </w:r>
    </w:p>
    <w:p w:rsidR="00FF1C09" w:rsidRPr="00177030" w:rsidRDefault="00FF1C09" w:rsidP="005545F9">
      <w:pPr>
        <w:numPr>
          <w:ilvl w:val="0"/>
          <w:numId w:val="21"/>
        </w:numPr>
        <w:spacing w:after="200" w:line="276" w:lineRule="auto"/>
      </w:pPr>
      <w:proofErr w:type="gramStart"/>
      <w:r w:rsidRPr="00177030">
        <w:t>terms</w:t>
      </w:r>
      <w:proofErr w:type="gramEnd"/>
      <w:r w:rsidRPr="00177030">
        <w:t xml:space="preserve"> and conditions applied in relation to support provided to final recipients, including pricing (Article 7(2)(c) of the CDR). Pricing should cover the range of prices for different types of services and additional advantages offered compared to a standard commercial transaction (e.g. reduction of collaterals, facilities in reimbursement in case of repayment difficulties, </w:t>
      </w:r>
      <w:proofErr w:type="gramStart"/>
      <w:r w:rsidRPr="00177030">
        <w:t>the</w:t>
      </w:r>
      <w:proofErr w:type="gramEnd"/>
      <w:r w:rsidRPr="00177030">
        <w:t xml:space="preserve"> possibility or not to provide technical and/or financial advice in specific fields for complex projects, etc.). Where the price is not pre-determined by the provider for a given type of service, the method for calculating the price, or a sufficiently detailed estimate, should be foreseen and communicated.    </w:t>
      </w:r>
    </w:p>
    <w:p w:rsidR="00FF1C09" w:rsidRPr="00177030" w:rsidRDefault="00FF1C09" w:rsidP="00FF1C09">
      <w:pPr>
        <w:ind w:left="1485"/>
      </w:pPr>
      <w:r w:rsidRPr="00177030">
        <w:t xml:space="preserve">The terms and conditions could take the form of a simple step-by-step guide helping the final recipients to understand how they should present their requests for investments </w:t>
      </w:r>
      <w:r w:rsidRPr="003E36CC">
        <w:t>what</w:t>
      </w:r>
      <w:r w:rsidRPr="00B32997">
        <w:t xml:space="preserve"> types of services a</w:t>
      </w:r>
      <w:r w:rsidRPr="003E36CC">
        <w:t>re to be rendered a</w:t>
      </w:r>
      <w:r w:rsidRPr="003C5F42">
        <w:t>nd</w:t>
      </w:r>
      <w:r w:rsidRPr="003E36CC">
        <w:t xml:space="preserve"> what type of remuneration </w:t>
      </w:r>
      <w:r w:rsidRPr="00D05AED">
        <w:t>will</w:t>
      </w:r>
      <w:r>
        <w:t xml:space="preserve"> be covered by the contract</w:t>
      </w:r>
      <w:r w:rsidRPr="00177030">
        <w:t xml:space="preserve">.     </w:t>
      </w:r>
    </w:p>
    <w:p w:rsidR="00FF1C09" w:rsidRPr="00177030" w:rsidRDefault="00FF1C09" w:rsidP="005545F9">
      <w:pPr>
        <w:numPr>
          <w:ilvl w:val="0"/>
          <w:numId w:val="21"/>
        </w:numPr>
        <w:spacing w:after="200" w:line="276" w:lineRule="auto"/>
        <w:rPr>
          <w:b/>
        </w:rPr>
      </w:pPr>
      <w:proofErr w:type="gramStart"/>
      <w:r w:rsidRPr="00177030">
        <w:t>in</w:t>
      </w:r>
      <w:proofErr w:type="gramEnd"/>
      <w:r w:rsidRPr="00177030">
        <w:t xml:space="preserve"> cases where the body implementing the financial instrument allocates its own financial resources to the financial instrument or shares the risk, proposed measures to align interests and to mitigate possible conflicts of interest (Article 7(2)(f) of the CDR). A measure to effectively align </w:t>
      </w:r>
      <w:r w:rsidRPr="00177030">
        <w:lastRenderedPageBreak/>
        <w:t>interests between the investors would be the establishment of an appropriate profit and risk sharing structure for the financial resources invested by the body</w:t>
      </w:r>
      <w:r w:rsidRPr="00177030">
        <w:rPr>
          <w:rStyle w:val="FootnoteReference"/>
        </w:rPr>
        <w:footnoteReference w:id="50"/>
      </w:r>
      <w:r w:rsidRPr="00177030">
        <w:t>.</w:t>
      </w:r>
    </w:p>
    <w:p w:rsidR="00FF1C09" w:rsidRPr="005545F9" w:rsidRDefault="00FF1C09" w:rsidP="005545F9">
      <w:pPr>
        <w:pStyle w:val="Heading4"/>
      </w:pPr>
      <w:r w:rsidRPr="005545F9">
        <w:t>Ability to raise additional resources</w:t>
      </w:r>
    </w:p>
    <w:p w:rsidR="00FF1C09" w:rsidRPr="00177030" w:rsidRDefault="00FF1C09" w:rsidP="00FF1C09">
      <w:r w:rsidRPr="00177030">
        <w:t>In order to ensure the highest possible leverage effect for a given financial instrument, one of the criteria to be applied when selecting the body entrusted with implementation of a financial instrument is</w:t>
      </w:r>
      <w:r w:rsidRPr="003A3051">
        <w:t xml:space="preserve"> </w:t>
      </w:r>
      <w:r w:rsidRPr="00177030">
        <w:t xml:space="preserve">its ability to raise resources for investments </w:t>
      </w:r>
      <w:r>
        <w:t>in</w:t>
      </w:r>
      <w:r w:rsidRPr="00177030">
        <w:t xml:space="preserve"> </w:t>
      </w:r>
      <w:r>
        <w:t xml:space="preserve"> </w:t>
      </w:r>
      <w:r w:rsidRPr="00177030">
        <w:t>final recipients additional to programme contributions (Article 7(2)(d) of the CDR). The offers must therefore be evaluated on the basis of the capacity of the body to carry out additional investments.</w:t>
      </w:r>
    </w:p>
    <w:p w:rsidR="00FF1C09" w:rsidRPr="005545F9" w:rsidRDefault="00FF1C09" w:rsidP="005545F9">
      <w:pPr>
        <w:pStyle w:val="Heading4"/>
      </w:pPr>
      <w:proofErr w:type="spellStart"/>
      <w:r w:rsidRPr="005545F9">
        <w:t>Additionality</w:t>
      </w:r>
      <w:proofErr w:type="spellEnd"/>
      <w:r w:rsidRPr="005545F9">
        <w:t xml:space="preserve"> of investment activity </w:t>
      </w:r>
    </w:p>
    <w:p w:rsidR="00FF1C09" w:rsidRPr="00177030" w:rsidRDefault="00FF1C09" w:rsidP="00FF1C09">
      <w:r w:rsidRPr="00177030">
        <w:t xml:space="preserve">In order to ensure the value added of the intervention of </w:t>
      </w:r>
      <w:r>
        <w:t xml:space="preserve">the </w:t>
      </w:r>
      <w:r w:rsidRPr="00177030">
        <w:t>ESI Funds, one of the criteria to be applied when selecting the body entrusted with implementation of a financial instrument is</w:t>
      </w:r>
      <w:r>
        <w:t xml:space="preserve"> </w:t>
      </w:r>
      <w:r w:rsidRPr="00177030">
        <w:t>its ability to demonstrate that implementation of the financial instrument will not substitute the current activity of the body (Article 7(2)(e) of the CDR).</w:t>
      </w:r>
    </w:p>
    <w:p w:rsidR="00FF1C09" w:rsidRPr="005545F9" w:rsidRDefault="00FF1C09" w:rsidP="005545F9">
      <w:pPr>
        <w:pStyle w:val="Heading4"/>
      </w:pPr>
      <w:r w:rsidRPr="005545F9">
        <w:t>Level of management costs and fees</w:t>
      </w:r>
    </w:p>
    <w:p w:rsidR="00FF1C09" w:rsidRPr="00177030" w:rsidRDefault="00FF1C09" w:rsidP="00FF1C09">
      <w:r w:rsidRPr="00177030">
        <w:t xml:space="preserve">One of the criteria to be applied when selecting the offer of the body implementing a financial instrument is the level of the management costs and fees which constitute the "price" of the services provided to the managing authority.  The methodology proposed for their calculation must be taken into consideration. </w:t>
      </w:r>
    </w:p>
    <w:p w:rsidR="00FF1C09" w:rsidRPr="00177030" w:rsidRDefault="00FF1C09" w:rsidP="005545F9">
      <w:pPr>
        <w:pStyle w:val="Heading3"/>
      </w:pPr>
      <w:bookmarkStart w:id="25" w:name="_Toc443553308"/>
      <w:r w:rsidRPr="00177030">
        <w:t>Element</w:t>
      </w:r>
      <w:r>
        <w:t xml:space="preserve">s for the </w:t>
      </w:r>
      <w:r w:rsidRPr="00177030">
        <w:t>terms of reference</w:t>
      </w:r>
      <w:bookmarkEnd w:id="25"/>
      <w:r>
        <w:t xml:space="preserve"> </w:t>
      </w:r>
    </w:p>
    <w:p w:rsidR="00FF1C09" w:rsidRPr="003A3051" w:rsidRDefault="00FF1C09" w:rsidP="00FF1C09">
      <w:r>
        <w:t>It is recommended</w:t>
      </w:r>
      <w:r w:rsidRPr="003A3051">
        <w:t xml:space="preserve"> to </w:t>
      </w:r>
      <w:r>
        <w:t>insert</w:t>
      </w:r>
      <w:r w:rsidRPr="003A3051">
        <w:t xml:space="preserve"> in the terms of reference</w:t>
      </w:r>
      <w:r>
        <w:t xml:space="preserve"> conditions the bidders must agree on. Insertion in the terms of reference is not the only way to guarantee their respect, but it ensures upstream that the potential tenderers are made aware of these conditions.</w:t>
      </w:r>
    </w:p>
    <w:p w:rsidR="00FF1C09" w:rsidRDefault="00FF1C09" w:rsidP="00FF1C09">
      <w:pPr>
        <w:autoSpaceDE w:val="0"/>
        <w:autoSpaceDN w:val="0"/>
        <w:adjustRightInd w:val="0"/>
      </w:pPr>
      <w:r w:rsidRPr="00177030">
        <w:t xml:space="preserve">In order to </w:t>
      </w:r>
      <w:r>
        <w:t xml:space="preserve">ensure that </w:t>
      </w:r>
      <w:r w:rsidRPr="00177030">
        <w:t xml:space="preserve">the </w:t>
      </w:r>
      <w:r>
        <w:t xml:space="preserve">compliance of the </w:t>
      </w:r>
      <w:r w:rsidRPr="00177030">
        <w:t>procedures set up and implemented by the body entrusted with implementation of financial instrument(s)</w:t>
      </w:r>
      <w:r>
        <w:t xml:space="preserve"> with applicable rules can be checked</w:t>
      </w:r>
      <w:r w:rsidRPr="00177030">
        <w:t xml:space="preserve">, the body should </w:t>
      </w:r>
      <w:r w:rsidRPr="00177030">
        <w:rPr>
          <w:b/>
        </w:rPr>
        <w:t>agree to be audited</w:t>
      </w:r>
      <w:r w:rsidRPr="00177030">
        <w:t xml:space="preserve"> by Member State audit bodies, the Commission and the European Court of Auditors (Article 7(1</w:t>
      </w:r>
      <w:proofErr w:type="gramStart"/>
      <w:r w:rsidRPr="00177030">
        <w:t>)(</w:t>
      </w:r>
      <w:proofErr w:type="gramEnd"/>
      <w:r w:rsidRPr="00177030">
        <w:t>f) of the CDR). In order to ensure that the body agrees to be audited</w:t>
      </w:r>
      <w:r>
        <w:t>,</w:t>
      </w:r>
      <w:r w:rsidRPr="00177030">
        <w:t xml:space="preserve"> it is recommended that this condition is indicated in the terms of reference of the call and in the relevant funding agreement</w:t>
      </w:r>
      <w:r w:rsidRPr="00177030">
        <w:rPr>
          <w:rStyle w:val="FootnoteReference"/>
        </w:rPr>
        <w:footnoteReference w:id="51"/>
      </w:r>
      <w:r w:rsidRPr="00177030">
        <w:t>.</w:t>
      </w:r>
      <w:r>
        <w:t xml:space="preserve"> In order to ensure the respect of Article 38(4) of the CPR, it is also recommended that the terms of reference indicate that the body implementing a financial instrument must</w:t>
      </w:r>
      <w:r w:rsidRPr="00F95ECD">
        <w:t xml:space="preserve"> not be established and </w:t>
      </w:r>
      <w:r>
        <w:t>must</w:t>
      </w:r>
      <w:r w:rsidRPr="00F95ECD">
        <w:t xml:space="preserve"> not maintain business relations with entit</w:t>
      </w:r>
      <w:r>
        <w:t xml:space="preserve">ies incorporated in </w:t>
      </w:r>
      <w:r>
        <w:lastRenderedPageBreak/>
        <w:t>territories</w:t>
      </w:r>
      <w:r w:rsidRPr="00F95ECD">
        <w:t xml:space="preserve"> whose jurisdictions do not cooperate with the Union in relation to the application of internationally agreed tax standards and </w:t>
      </w:r>
      <w:r>
        <w:t>must</w:t>
      </w:r>
      <w:r w:rsidRPr="00F95ECD">
        <w:t xml:space="preserve"> transpose such requirements in </w:t>
      </w:r>
      <w:r>
        <w:t>its</w:t>
      </w:r>
      <w:r w:rsidRPr="00F95ECD">
        <w:t xml:space="preserve"> contracts with the selected financial intermediaries.</w:t>
      </w:r>
    </w:p>
    <w:p w:rsidR="00FF1C09" w:rsidRPr="005545F9" w:rsidRDefault="00FF1C09" w:rsidP="00FF1C09">
      <w:pPr>
        <w:pStyle w:val="Heading1"/>
        <w:keepNext w:val="0"/>
        <w:widowControl w:val="0"/>
      </w:pPr>
      <w:bookmarkStart w:id="26" w:name="_Toc440018375"/>
      <w:bookmarkStart w:id="27" w:name="_Toc443553309"/>
      <w:r w:rsidRPr="005545F9">
        <w:t>Reference, links</w:t>
      </w:r>
      <w:bookmarkEnd w:id="26"/>
      <w:bookmarkEnd w:id="27"/>
    </w:p>
    <w:p w:rsidR="00FF1C09" w:rsidRPr="00177030" w:rsidRDefault="00FF1C09" w:rsidP="00FF1C09">
      <w:pPr>
        <w:widowControl w:val="0"/>
        <w:autoSpaceDE w:val="0"/>
        <w:autoSpaceDN w:val="0"/>
        <w:adjustRightInd w:val="0"/>
        <w:spacing w:after="0"/>
      </w:pPr>
      <w:proofErr w:type="gramStart"/>
      <w:r w:rsidRPr="00177030">
        <w:t>SEC(</w:t>
      </w:r>
      <w:proofErr w:type="gramEnd"/>
      <w:r w:rsidRPr="00177030">
        <w:t>2011) 1169 final COMMISSION STAFF WORKING PAPER concerning the application of EU public procurement law to relations between contracting authorities ('public-public cooperation')</w:t>
      </w:r>
    </w:p>
    <w:p w:rsidR="00FF1C09" w:rsidRPr="00177030" w:rsidRDefault="00016B31" w:rsidP="00FF1C09">
      <w:pPr>
        <w:widowControl w:val="0"/>
        <w:autoSpaceDE w:val="0"/>
        <w:autoSpaceDN w:val="0"/>
        <w:adjustRightInd w:val="0"/>
        <w:spacing w:after="0"/>
      </w:pPr>
      <w:hyperlink r:id="rId10" w:history="1">
        <w:r w:rsidR="00FF1C09" w:rsidRPr="00177030">
          <w:rPr>
            <w:rStyle w:val="Hyperlink"/>
          </w:rPr>
          <w:t>http://ec.europa.eu/internal_market/publicprocurement/docs/public_public_cooperation/sec2011_1169_en.pdf</w:t>
        </w:r>
      </w:hyperlink>
    </w:p>
    <w:p w:rsidR="00FF1C09" w:rsidRPr="00177030" w:rsidRDefault="00FF1C09" w:rsidP="00FF1C09">
      <w:pPr>
        <w:widowControl w:val="0"/>
        <w:autoSpaceDE w:val="0"/>
        <w:autoSpaceDN w:val="0"/>
        <w:adjustRightInd w:val="0"/>
        <w:spacing w:after="0"/>
      </w:pPr>
      <w:r w:rsidRPr="00177030">
        <w:t>Directive 2004/18/EC</w:t>
      </w:r>
    </w:p>
    <w:p w:rsidR="00FF1C09" w:rsidRPr="00177030" w:rsidRDefault="00FF1C09" w:rsidP="00FF1C09">
      <w:pPr>
        <w:widowControl w:val="0"/>
        <w:autoSpaceDE w:val="0"/>
        <w:autoSpaceDN w:val="0"/>
        <w:adjustRightInd w:val="0"/>
        <w:spacing w:after="0"/>
      </w:pPr>
      <w:r w:rsidRPr="00177030">
        <w:t>Directive 2014/24/EU</w:t>
      </w:r>
    </w:p>
    <w:p w:rsidR="00FF1C09" w:rsidRPr="00FF1C09" w:rsidRDefault="00FF1C09" w:rsidP="005545F9">
      <w:pPr>
        <w:widowControl w:val="0"/>
        <w:autoSpaceDE w:val="0"/>
        <w:autoSpaceDN w:val="0"/>
        <w:adjustRightInd w:val="0"/>
        <w:spacing w:after="0"/>
        <w:rPr>
          <w:lang w:val="de-DE"/>
        </w:rPr>
      </w:pPr>
      <w:r w:rsidRPr="00177030">
        <w:t>Guidance note on preferential remuneration</w:t>
      </w:r>
      <w:r w:rsidR="005545F9">
        <w:t xml:space="preserve"> </w:t>
      </w:r>
      <w:r w:rsidR="005545F9" w:rsidRPr="005545F9">
        <w:t>EGESIF_15-0030-00</w:t>
      </w:r>
    </w:p>
    <w:sectPr w:rsidR="00FF1C09" w:rsidRPr="00FF1C09" w:rsidSect="00FF1C09">
      <w:footerReference w:type="default" r:id="rId11"/>
      <w:headerReference w:type="first" r:id="rId12"/>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1B" w:rsidRDefault="00D4061B" w:rsidP="00FF1C09">
      <w:pPr>
        <w:spacing w:after="0"/>
      </w:pPr>
      <w:r>
        <w:separator/>
      </w:r>
    </w:p>
  </w:endnote>
  <w:endnote w:type="continuationSeparator" w:id="0">
    <w:p w:rsidR="00D4061B" w:rsidRDefault="00D4061B" w:rsidP="00FF1C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Bold">
    <w:altName w:val="Times New Roman"/>
    <w:charset w:val="00"/>
    <w:family w:val="auto"/>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1B" w:rsidRDefault="00D4061B">
    <w:pPr>
      <w:pStyle w:val="Footer"/>
      <w:jc w:val="center"/>
    </w:pPr>
    <w:r>
      <w:fldChar w:fldCharType="begin"/>
    </w:r>
    <w:r>
      <w:instrText>PAGE</w:instrText>
    </w:r>
    <w:r>
      <w:fldChar w:fldCharType="separate"/>
    </w:r>
    <w:r w:rsidR="00016B3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1B" w:rsidRDefault="00D4061B" w:rsidP="00FF1C09">
      <w:pPr>
        <w:spacing w:after="0"/>
      </w:pPr>
      <w:r>
        <w:separator/>
      </w:r>
    </w:p>
  </w:footnote>
  <w:footnote w:type="continuationSeparator" w:id="0">
    <w:p w:rsidR="00D4061B" w:rsidRDefault="00D4061B" w:rsidP="00FF1C09">
      <w:pPr>
        <w:spacing w:after="0"/>
      </w:pPr>
      <w:r>
        <w:continuationSeparator/>
      </w:r>
    </w:p>
  </w:footnote>
  <w:footnote w:id="1">
    <w:p w:rsidR="00D4061B" w:rsidRPr="003A3051" w:rsidRDefault="00D4061B" w:rsidP="00FF1C09">
      <w:pPr>
        <w:pStyle w:val="FootnoteText"/>
      </w:pPr>
      <w:r w:rsidRPr="009754E6">
        <w:rPr>
          <w:rStyle w:val="FootnoteReference"/>
          <w:sz w:val="16"/>
          <w:szCs w:val="16"/>
        </w:rPr>
        <w:footnoteRef/>
      </w:r>
      <w:r w:rsidRPr="003A3051">
        <w:t xml:space="preserve">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w:t>
      </w:r>
      <w:hyperlink r:id="rId1" w:history="1">
        <w:r w:rsidRPr="003A3051">
          <w:t>OJ L 347, 20.12.2013, p. 320</w:t>
        </w:r>
      </w:hyperlink>
      <w:r w:rsidRPr="003A3051">
        <w:t>.</w:t>
      </w:r>
    </w:p>
  </w:footnote>
  <w:footnote w:id="2">
    <w:p w:rsidR="00D4061B" w:rsidRPr="003A3051" w:rsidRDefault="00D4061B" w:rsidP="00FF1C09">
      <w:pPr>
        <w:pStyle w:val="FootnoteText"/>
      </w:pPr>
      <w:r w:rsidRPr="003A3051">
        <w:rPr>
          <w:sz w:val="16"/>
          <w:vertAlign w:val="superscript"/>
        </w:rPr>
        <w:footnoteRef/>
      </w:r>
      <w:r w:rsidRPr="003A3051">
        <w:t>Commission Delegated Regulation (EU) No 480/2014 of 3 March 2014 supplementing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 OJ L 138, 13.5.2014, p. 5.</w:t>
      </w:r>
    </w:p>
  </w:footnote>
  <w:footnote w:id="3">
    <w:p w:rsidR="00D4061B" w:rsidRPr="00241C2B" w:rsidRDefault="00D4061B" w:rsidP="00FF1C09">
      <w:pPr>
        <w:pStyle w:val="FootnoteText"/>
      </w:pPr>
      <w:r>
        <w:rPr>
          <w:rStyle w:val="FootnoteReference"/>
        </w:rPr>
        <w:footnoteRef/>
      </w:r>
      <w:r>
        <w:t xml:space="preserve"> Or an intermediate body in the meaning of Article 2(18) of the CPR designated by a managing authority according to Article 123 (6) of the CPR to carry out duties on behalf of such an authority in relation to beneficiaries implementing operations under the responsibility of the managing authority (</w:t>
      </w:r>
      <w:proofErr w:type="spellStart"/>
      <w:r>
        <w:t>cf</w:t>
      </w:r>
      <w:proofErr w:type="spellEnd"/>
      <w:r>
        <w:t xml:space="preserve"> Article 2(18) of the CPR).</w:t>
      </w:r>
    </w:p>
  </w:footnote>
  <w:footnote w:id="4">
    <w:p w:rsidR="00D4061B" w:rsidRPr="007F70A4" w:rsidRDefault="00D4061B" w:rsidP="00FF1C09">
      <w:pPr>
        <w:pStyle w:val="FootnoteText"/>
      </w:pPr>
      <w:r>
        <w:rPr>
          <w:rStyle w:val="FootnoteReference"/>
        </w:rPr>
        <w:footnoteRef/>
      </w:r>
      <w:r>
        <w:t xml:space="preserve"> See Article 38(4) (a), (b) and (c) of the CPR.</w:t>
      </w:r>
    </w:p>
  </w:footnote>
  <w:footnote w:id="5">
    <w:p w:rsidR="00D4061B" w:rsidRPr="00CF45C6" w:rsidRDefault="00D4061B" w:rsidP="00CF45C6">
      <w:pPr>
        <w:pStyle w:val="FootnoteText"/>
      </w:pPr>
      <w:r w:rsidRPr="00CF45C6">
        <w:rPr>
          <w:rStyle w:val="FootnoteReference"/>
        </w:rPr>
        <w:footnoteRef/>
      </w:r>
      <w:r>
        <w:t xml:space="preserve"> </w:t>
      </w:r>
      <w:r w:rsidRPr="00CF45C6">
        <w:t>Under Article 38(4</w:t>
      </w:r>
      <w:proofErr w:type="gramStart"/>
      <w:r w:rsidRPr="00CF45C6">
        <w:t>)(</w:t>
      </w:r>
      <w:proofErr w:type="gramEnd"/>
      <w:r w:rsidRPr="00CF45C6">
        <w:t>a) of the CPR, as far as the conclusion of a public service contract is required for the selection of a body implementing financial instruments, the rules on selection of such entities as clarified in this note apply.</w:t>
      </w:r>
    </w:p>
    <w:p w:rsidR="00D4061B" w:rsidRPr="00CF45C6" w:rsidRDefault="00D4061B" w:rsidP="00FF1C09">
      <w:pPr>
        <w:pStyle w:val="PlainText"/>
        <w:rPr>
          <w:rFonts w:ascii="Times New Roman" w:hAnsi="Times New Roman"/>
        </w:rPr>
      </w:pPr>
    </w:p>
  </w:footnote>
  <w:footnote w:id="6">
    <w:p w:rsidR="00D4061B" w:rsidRPr="000239A4" w:rsidRDefault="00D4061B" w:rsidP="00FF1C09">
      <w:pPr>
        <w:pStyle w:val="FootnoteText"/>
      </w:pPr>
      <w:r>
        <w:rPr>
          <w:rStyle w:val="FootnoteReference"/>
        </w:rPr>
        <w:footnoteRef/>
      </w:r>
      <w:r>
        <w:t xml:space="preserve"> This means that if financial intermediaries are selected by a contracting authority, they must be selected in accordance with public procurement rules and principles. If they are not selected by a contracting authority, the principles of the Treaty must still be respected in the selection process which must be </w:t>
      </w:r>
      <w:r w:rsidRPr="00177030">
        <w:rPr>
          <w:color w:val="000000"/>
        </w:rPr>
        <w:t>open, transparent, proportionate</w:t>
      </w:r>
      <w:r>
        <w:rPr>
          <w:color w:val="000000"/>
        </w:rPr>
        <w:t>,</w:t>
      </w:r>
      <w:r w:rsidRPr="00177030">
        <w:rPr>
          <w:color w:val="000000"/>
        </w:rPr>
        <w:t xml:space="preserve"> non-discriminatory</w:t>
      </w:r>
      <w:r>
        <w:rPr>
          <w:color w:val="000000"/>
        </w:rPr>
        <w:t xml:space="preserve"> and </w:t>
      </w:r>
      <w:r w:rsidRPr="00177030">
        <w:rPr>
          <w:color w:val="000000"/>
        </w:rPr>
        <w:t>avoiding conflicts of interest</w:t>
      </w:r>
      <w:r>
        <w:rPr>
          <w:color w:val="000000"/>
        </w:rPr>
        <w:t>.</w:t>
      </w:r>
    </w:p>
  </w:footnote>
  <w:footnote w:id="7">
    <w:p w:rsidR="00D4061B" w:rsidRPr="00FF77D3" w:rsidRDefault="00D4061B" w:rsidP="00FF1C09">
      <w:pPr>
        <w:pStyle w:val="FootnoteText"/>
      </w:pPr>
      <w:r>
        <w:rPr>
          <w:rStyle w:val="FootnoteReference"/>
        </w:rPr>
        <w:footnoteRef/>
      </w:r>
      <w:r w:rsidRPr="00D2711B">
        <w:t xml:space="preserve">Selection of the financial instrument operation </w:t>
      </w:r>
      <w:r w:rsidRPr="003E36CC">
        <w:t>for the ERDF/CF/ESF</w:t>
      </w:r>
      <w:r>
        <w:t xml:space="preserve"> </w:t>
      </w:r>
      <w:r w:rsidRPr="00D2711B">
        <w:t xml:space="preserve">must be done </w:t>
      </w:r>
      <w:r>
        <w:t>by the managing authority according to 125(3</w:t>
      </w:r>
      <w:proofErr w:type="gramStart"/>
      <w:r>
        <w:t>)(</w:t>
      </w:r>
      <w:proofErr w:type="gramEnd"/>
      <w:r>
        <w:t xml:space="preserve">a) of the CPR on the basis of the methodology and criteria used for the selection of operations examined and approved by the monitoring committee in accordance with Article 110 (2) of </w:t>
      </w:r>
      <w:r w:rsidRPr="00FF1C09">
        <w:t>the CPR. For the</w:t>
      </w:r>
      <w:r w:rsidRPr="003E36CC">
        <w:t xml:space="preserve"> EAFRD the selection of financial instrument operation shall be done in accordance with Article 65(4), 66 and 49 of Regulation (EU) No 1305/2013.</w:t>
      </w:r>
    </w:p>
  </w:footnote>
  <w:footnote w:id="8">
    <w:p w:rsidR="00D4061B" w:rsidRPr="00410F50" w:rsidRDefault="00D4061B" w:rsidP="00FF1C09">
      <w:pPr>
        <w:pStyle w:val="FootnoteText"/>
      </w:pPr>
      <w:r>
        <w:rPr>
          <w:rStyle w:val="FootnoteReference"/>
        </w:rPr>
        <w:footnoteRef/>
      </w:r>
      <w:r>
        <w:t xml:space="preserve"> A </w:t>
      </w:r>
      <w:r w:rsidRPr="00FD7E6A">
        <w:t xml:space="preserve">contracting authority is defined in Article 1(9) of Directive 200/18/EC and in </w:t>
      </w:r>
      <w:r>
        <w:t>Article 1 (1) of Directive 2014/24/EU.</w:t>
      </w:r>
    </w:p>
  </w:footnote>
  <w:footnote w:id="9">
    <w:p w:rsidR="00D4061B" w:rsidRPr="00D61A92" w:rsidRDefault="00D4061B" w:rsidP="00FF1C09">
      <w:pPr>
        <w:pStyle w:val="FootnoteText"/>
      </w:pPr>
      <w:r>
        <w:rPr>
          <w:rStyle w:val="FootnoteReference"/>
        </w:rPr>
        <w:footnoteRef/>
      </w:r>
      <w:r>
        <w:t xml:space="preserve"> These thresholds are subject to a review every two years in accordance with Article 6 of Directive 2014/24/EU. </w:t>
      </w:r>
    </w:p>
  </w:footnote>
  <w:footnote w:id="10">
    <w:p w:rsidR="00D4061B" w:rsidRDefault="00D4061B" w:rsidP="00FF1C09">
      <w:pPr>
        <w:pStyle w:val="FootnoteText"/>
        <w:rPr>
          <w:sz w:val="16"/>
          <w:szCs w:val="16"/>
        </w:rPr>
      </w:pPr>
      <w:r>
        <w:rPr>
          <w:rStyle w:val="FootnoteReference"/>
          <w:sz w:val="16"/>
          <w:szCs w:val="16"/>
        </w:rPr>
        <w:footnoteRef/>
      </w:r>
      <w:r w:rsidRPr="00D518D1">
        <w:t xml:space="preserve">Publication Office - </w:t>
      </w:r>
      <w:r w:rsidRPr="00D518D1">
        <w:rPr>
          <w:rFonts w:cs="TimesNewRomanPSMT"/>
        </w:rPr>
        <w:t>ISBN 978-92-79-50323-8 - not yet communicated to Member States in its final version.</w:t>
      </w:r>
    </w:p>
  </w:footnote>
  <w:footnote w:id="11">
    <w:p w:rsidR="00D4061B" w:rsidRPr="0068270A" w:rsidRDefault="00D4061B" w:rsidP="00FF1C09">
      <w:pPr>
        <w:rPr>
          <w:sz w:val="20"/>
        </w:rPr>
      </w:pPr>
      <w:r w:rsidRPr="00FD7E6A">
        <w:rPr>
          <w:rStyle w:val="FootnoteReference"/>
        </w:rPr>
        <w:footnoteRef/>
      </w:r>
      <w:r>
        <w:rPr>
          <w:sz w:val="20"/>
        </w:rPr>
        <w:t xml:space="preserve"> C.f. </w:t>
      </w:r>
      <w:r w:rsidRPr="0068270A">
        <w:rPr>
          <w:sz w:val="20"/>
        </w:rPr>
        <w:t>Article 1 (5) of Directive 2004/18/EC</w:t>
      </w:r>
      <w:r w:rsidRPr="004031DB">
        <w:rPr>
          <w:sz w:val="20"/>
        </w:rPr>
        <w:t xml:space="preserve"> and Article </w:t>
      </w:r>
      <w:r w:rsidRPr="0068270A">
        <w:rPr>
          <w:sz w:val="20"/>
        </w:rPr>
        <w:t>33 of Directive 2014/24/EU</w:t>
      </w:r>
    </w:p>
  </w:footnote>
  <w:footnote w:id="12">
    <w:p w:rsidR="00D4061B" w:rsidRPr="00D2711B" w:rsidRDefault="00D4061B" w:rsidP="00FF1C09">
      <w:pPr>
        <w:spacing w:before="120" w:after="0"/>
        <w:rPr>
          <w:sz w:val="20"/>
        </w:rPr>
      </w:pPr>
      <w:r>
        <w:rPr>
          <w:rStyle w:val="FootnoteReference"/>
        </w:rPr>
        <w:footnoteRef/>
      </w:r>
      <w:r>
        <w:rPr>
          <w:color w:val="000000"/>
          <w:sz w:val="20"/>
          <w:lang w:eastAsia="en-GB"/>
        </w:rPr>
        <w:t>Under Article 72(4), "</w:t>
      </w:r>
      <w:r w:rsidRPr="00D2711B">
        <w:rPr>
          <w:color w:val="000000"/>
          <w:sz w:val="20"/>
          <w:lang w:eastAsia="en-GB"/>
        </w:rPr>
        <w:t xml:space="preserve">A modification of a contract or a framework agreement during its term </w:t>
      </w:r>
      <w:r>
        <w:rPr>
          <w:color w:val="000000"/>
          <w:sz w:val="20"/>
          <w:lang w:eastAsia="en-GB"/>
        </w:rPr>
        <w:t>shall be considered to be</w:t>
      </w:r>
      <w:r w:rsidRPr="00D2711B">
        <w:rPr>
          <w:color w:val="000000"/>
          <w:sz w:val="20"/>
          <w:lang w:eastAsia="en-GB"/>
        </w:rPr>
        <w:t xml:space="preserve"> substantial </w:t>
      </w:r>
      <w:r>
        <w:rPr>
          <w:color w:val="000000"/>
          <w:sz w:val="20"/>
          <w:lang w:eastAsia="en-GB"/>
        </w:rPr>
        <w:t xml:space="preserve">(…) </w:t>
      </w:r>
      <w:r w:rsidRPr="00D2711B">
        <w:rPr>
          <w:color w:val="000000"/>
          <w:sz w:val="20"/>
          <w:lang w:eastAsia="en-GB"/>
        </w:rPr>
        <w:t>where it renders the contract or the framework agreement materially different in character from the one initially concluded. In any event, without prejudice to paragraphs 1 and 2, a modification shall be considered to be substantial where one or more of the following conditions is met:</w:t>
      </w:r>
    </w:p>
    <w:p w:rsidR="00D4061B" w:rsidRPr="00D2711B" w:rsidRDefault="00D4061B" w:rsidP="00FF1C09">
      <w:pPr>
        <w:spacing w:before="120" w:after="0"/>
        <w:rPr>
          <w:color w:val="000000"/>
          <w:sz w:val="20"/>
          <w:lang w:eastAsia="en-GB"/>
        </w:rPr>
      </w:pPr>
      <w:r w:rsidRPr="00D2711B">
        <w:rPr>
          <w:color w:val="000000"/>
          <w:sz w:val="20"/>
          <w:lang w:eastAsia="en-GB"/>
        </w:rPr>
        <w:t>(a)</w:t>
      </w:r>
      <w:r w:rsidRPr="00D2711B">
        <w:rPr>
          <w:color w:val="000000"/>
          <w:sz w:val="20"/>
          <w:lang w:eastAsia="en-GB"/>
        </w:rPr>
        <w:tab/>
        <w:t>the modification introduces conditions which, had they been part of the initial procurement procedure, would have allowed for the admission of other candidates than those initially selected or for the acceptance of a tender other than that originally accepted or would have attracted additional participants in the procurement procedure;</w:t>
      </w:r>
    </w:p>
    <w:p w:rsidR="00D4061B" w:rsidRPr="00D2711B" w:rsidRDefault="00D4061B" w:rsidP="00FF1C09">
      <w:pPr>
        <w:spacing w:before="120" w:after="0"/>
        <w:rPr>
          <w:color w:val="000000"/>
          <w:sz w:val="20"/>
          <w:lang w:eastAsia="en-GB"/>
        </w:rPr>
      </w:pPr>
      <w:r w:rsidRPr="00D2711B">
        <w:rPr>
          <w:color w:val="000000"/>
          <w:sz w:val="20"/>
          <w:lang w:eastAsia="en-GB"/>
        </w:rPr>
        <w:t>(b)</w:t>
      </w:r>
      <w:r w:rsidRPr="00D2711B">
        <w:rPr>
          <w:color w:val="000000"/>
          <w:sz w:val="20"/>
          <w:lang w:eastAsia="en-GB"/>
        </w:rPr>
        <w:tab/>
        <w:t>the modification changes the economic balance of the contract or the framework agreement in favour of the contractor in a manner which was not provided for in the initial contract or framework agreement;</w:t>
      </w:r>
    </w:p>
    <w:p w:rsidR="00D4061B" w:rsidRPr="00D2711B" w:rsidRDefault="00D4061B" w:rsidP="00FF1C09">
      <w:pPr>
        <w:spacing w:before="120" w:after="0"/>
        <w:rPr>
          <w:color w:val="000000"/>
          <w:sz w:val="20"/>
          <w:lang w:eastAsia="en-GB"/>
        </w:rPr>
      </w:pPr>
      <w:r w:rsidRPr="00D2711B">
        <w:rPr>
          <w:color w:val="000000"/>
          <w:sz w:val="20"/>
          <w:lang w:eastAsia="en-GB"/>
        </w:rPr>
        <w:t>(c)</w:t>
      </w:r>
      <w:r w:rsidRPr="00D2711B">
        <w:rPr>
          <w:color w:val="000000"/>
          <w:sz w:val="20"/>
          <w:lang w:eastAsia="en-GB"/>
        </w:rPr>
        <w:tab/>
        <w:t>the modification extends the scope of the contract or framework agreement considerably;</w:t>
      </w:r>
    </w:p>
    <w:p w:rsidR="00D4061B" w:rsidRPr="00D2711B" w:rsidRDefault="00D4061B" w:rsidP="00FF1C09">
      <w:pPr>
        <w:spacing w:before="120" w:after="0"/>
        <w:rPr>
          <w:color w:val="000000"/>
          <w:sz w:val="20"/>
          <w:lang w:eastAsia="en-GB"/>
        </w:rPr>
      </w:pPr>
      <w:r w:rsidRPr="00D2711B">
        <w:rPr>
          <w:color w:val="000000"/>
          <w:sz w:val="20"/>
          <w:lang w:eastAsia="en-GB"/>
        </w:rPr>
        <w:t>(d)</w:t>
      </w:r>
      <w:r w:rsidRPr="00D2711B">
        <w:rPr>
          <w:color w:val="000000"/>
          <w:sz w:val="20"/>
          <w:lang w:eastAsia="en-GB"/>
        </w:rPr>
        <w:tab/>
      </w:r>
      <w:proofErr w:type="gramStart"/>
      <w:r w:rsidRPr="00D2711B">
        <w:rPr>
          <w:color w:val="000000"/>
          <w:sz w:val="20"/>
          <w:lang w:eastAsia="en-GB"/>
        </w:rPr>
        <w:t>where</w:t>
      </w:r>
      <w:proofErr w:type="gramEnd"/>
      <w:r w:rsidRPr="00D2711B">
        <w:rPr>
          <w:color w:val="000000"/>
          <w:sz w:val="20"/>
          <w:lang w:eastAsia="en-GB"/>
        </w:rPr>
        <w:t xml:space="preserve"> a new contractor replaces the one to which the contracting authority had initially awarded the contract in other cases than those provided for under point (d) of paragraph 1</w:t>
      </w:r>
      <w:r>
        <w:rPr>
          <w:color w:val="000000"/>
          <w:sz w:val="20"/>
          <w:lang w:eastAsia="en-GB"/>
        </w:rPr>
        <w:t>"</w:t>
      </w:r>
      <w:r w:rsidRPr="00D2711B">
        <w:rPr>
          <w:color w:val="000000"/>
          <w:sz w:val="20"/>
          <w:lang w:eastAsia="en-GB"/>
        </w:rPr>
        <w:t>.</w:t>
      </w:r>
    </w:p>
    <w:p w:rsidR="00D4061B" w:rsidRPr="006B3146" w:rsidRDefault="00D4061B" w:rsidP="00FF1C09">
      <w:pPr>
        <w:pStyle w:val="FootnoteText"/>
      </w:pPr>
    </w:p>
  </w:footnote>
  <w:footnote w:id="13">
    <w:p w:rsidR="00D4061B" w:rsidRDefault="00D4061B" w:rsidP="00FF1C09">
      <w:pPr>
        <w:pStyle w:val="FootnoteText"/>
        <w:rPr>
          <w:lang w:val="en-US"/>
        </w:rPr>
      </w:pPr>
      <w:r>
        <w:rPr>
          <w:rStyle w:val="FootnoteReference"/>
          <w:sz w:val="16"/>
          <w:szCs w:val="16"/>
        </w:rPr>
        <w:footnoteRef/>
      </w:r>
      <w:r>
        <w:rPr>
          <w:rStyle w:val="FootnoteTextChar"/>
        </w:rPr>
        <w:t xml:space="preserve">The interpretation of the Commission has been confirmed by the General Court in a judgment of 20 May 2010 in Case T-258/06 </w:t>
      </w:r>
      <w:r w:rsidRPr="00F65030">
        <w:rPr>
          <w:rStyle w:val="FootnoteTextChar"/>
          <w:i/>
        </w:rPr>
        <w:t>Federal Republic of Germany v. European Commission</w:t>
      </w:r>
      <w:r>
        <w:rPr>
          <w:sz w:val="16"/>
          <w:szCs w:val="16"/>
          <w:lang w:val="en-US"/>
        </w:rPr>
        <w:t>.</w:t>
      </w:r>
    </w:p>
  </w:footnote>
  <w:footnote w:id="14">
    <w:p w:rsidR="00D4061B" w:rsidRDefault="00D4061B" w:rsidP="00FF1C09">
      <w:pPr>
        <w:rPr>
          <w:rStyle w:val="FootnoteTextChar"/>
          <w:sz w:val="20"/>
        </w:rPr>
      </w:pPr>
      <w:r>
        <w:rPr>
          <w:rStyle w:val="FootnoteReference"/>
          <w:sz w:val="20"/>
        </w:rPr>
        <w:footnoteRef/>
      </w:r>
      <w:r>
        <w:rPr>
          <w:sz w:val="20"/>
        </w:rPr>
        <w:t xml:space="preserve">Case </w:t>
      </w:r>
      <w:r>
        <w:rPr>
          <w:rStyle w:val="FootnoteTextChar"/>
          <w:sz w:val="20"/>
        </w:rPr>
        <w:t xml:space="preserve">C-278/14 </w:t>
      </w:r>
      <w:r w:rsidRPr="00F65030">
        <w:rPr>
          <w:rStyle w:val="FootnoteTextChar"/>
          <w:i/>
          <w:sz w:val="20"/>
        </w:rPr>
        <w:t xml:space="preserve">SC Enterprise Focused Solutions SRL v </w:t>
      </w:r>
      <w:proofErr w:type="spellStart"/>
      <w:r w:rsidRPr="00F65030">
        <w:rPr>
          <w:rStyle w:val="FootnoteTextChar"/>
          <w:i/>
          <w:sz w:val="20"/>
        </w:rPr>
        <w:t>Spitalul</w:t>
      </w:r>
      <w:proofErr w:type="spellEnd"/>
      <w:r w:rsidRPr="00F65030">
        <w:rPr>
          <w:rStyle w:val="FootnoteTextChar"/>
          <w:i/>
          <w:sz w:val="20"/>
        </w:rPr>
        <w:t xml:space="preserve"> </w:t>
      </w:r>
      <w:proofErr w:type="spellStart"/>
      <w:r w:rsidRPr="00F65030">
        <w:rPr>
          <w:rStyle w:val="FootnoteTextChar"/>
          <w:i/>
          <w:sz w:val="20"/>
        </w:rPr>
        <w:t>Județean</w:t>
      </w:r>
      <w:proofErr w:type="spellEnd"/>
      <w:r w:rsidRPr="00F65030">
        <w:rPr>
          <w:rStyle w:val="FootnoteTextChar"/>
          <w:i/>
          <w:sz w:val="20"/>
        </w:rPr>
        <w:t xml:space="preserve"> de </w:t>
      </w:r>
      <w:proofErr w:type="spellStart"/>
      <w:r w:rsidRPr="00F65030">
        <w:rPr>
          <w:rStyle w:val="FootnoteTextChar"/>
          <w:i/>
          <w:sz w:val="20"/>
        </w:rPr>
        <w:t>Urgență</w:t>
      </w:r>
      <w:proofErr w:type="spellEnd"/>
      <w:r w:rsidRPr="00F65030">
        <w:rPr>
          <w:rStyle w:val="FootnoteTextChar"/>
          <w:i/>
          <w:sz w:val="20"/>
        </w:rPr>
        <w:t xml:space="preserve"> Alba Iulia</w:t>
      </w:r>
      <w:r>
        <w:rPr>
          <w:rStyle w:val="FootnoteTextChar"/>
          <w:sz w:val="20"/>
        </w:rPr>
        <w:t>, paragraph 20. Proximity to the border may still lead to consider low value contracts as having a certain cross border interest (Joined Cases C</w:t>
      </w:r>
      <w:r>
        <w:rPr>
          <w:rStyle w:val="FootnoteTextChar"/>
          <w:sz w:val="20"/>
        </w:rPr>
        <w:noBreakHyphen/>
        <w:t>147/06 and C</w:t>
      </w:r>
      <w:r>
        <w:rPr>
          <w:rStyle w:val="FootnoteTextChar"/>
          <w:sz w:val="20"/>
        </w:rPr>
        <w:noBreakHyphen/>
        <w:t xml:space="preserve">148/06, </w:t>
      </w:r>
      <w:r w:rsidRPr="00F65030">
        <w:rPr>
          <w:rStyle w:val="FootnoteTextChar"/>
          <w:i/>
          <w:sz w:val="20"/>
        </w:rPr>
        <w:t xml:space="preserve">SECAP </w:t>
      </w:r>
      <w:proofErr w:type="spellStart"/>
      <w:r w:rsidRPr="00F65030">
        <w:rPr>
          <w:rStyle w:val="FootnoteTextChar"/>
          <w:i/>
          <w:sz w:val="20"/>
        </w:rPr>
        <w:t>SpA</w:t>
      </w:r>
      <w:proofErr w:type="spellEnd"/>
      <w:r>
        <w:rPr>
          <w:rStyle w:val="FootnoteTextChar"/>
          <w:sz w:val="20"/>
        </w:rPr>
        <w:t xml:space="preserve"> (C</w:t>
      </w:r>
      <w:r>
        <w:rPr>
          <w:rStyle w:val="FootnoteTextChar"/>
          <w:sz w:val="20"/>
        </w:rPr>
        <w:noBreakHyphen/>
        <w:t xml:space="preserve">147/06) </w:t>
      </w:r>
      <w:r w:rsidRPr="00BB34DC">
        <w:t xml:space="preserve">and </w:t>
      </w:r>
      <w:proofErr w:type="spellStart"/>
      <w:r w:rsidRPr="00BB34DC">
        <w:t>Santorso</w:t>
      </w:r>
      <w:proofErr w:type="spellEnd"/>
      <w:r w:rsidRPr="00BB34DC">
        <w:t xml:space="preserve"> Soc. coop. </w:t>
      </w:r>
      <w:proofErr w:type="spellStart"/>
      <w:r w:rsidRPr="00BB34DC">
        <w:t>arl</w:t>
      </w:r>
      <w:proofErr w:type="spellEnd"/>
      <w:r w:rsidRPr="00BB34DC">
        <w:t xml:space="preserve"> (C-148/06</w:t>
      </w:r>
      <w:r w:rsidRPr="003E36CC">
        <w:rPr>
          <w:sz w:val="22"/>
        </w:rPr>
        <w:t>)</w:t>
      </w:r>
      <w:r>
        <w:rPr>
          <w:rStyle w:val="FootnoteTextChar"/>
          <w:sz w:val="20"/>
        </w:rPr>
        <w:t xml:space="preserve">, </w:t>
      </w:r>
      <w:r w:rsidRPr="00F65030">
        <w:rPr>
          <w:rStyle w:val="FootnoteTextChar"/>
          <w:i/>
          <w:sz w:val="20"/>
        </w:rPr>
        <w:t xml:space="preserve">v </w:t>
      </w:r>
      <w:proofErr w:type="spellStart"/>
      <w:r w:rsidRPr="00F65030">
        <w:rPr>
          <w:rStyle w:val="FootnoteTextChar"/>
          <w:i/>
          <w:sz w:val="20"/>
        </w:rPr>
        <w:t>Comune</w:t>
      </w:r>
      <w:proofErr w:type="spellEnd"/>
      <w:r w:rsidRPr="00F65030">
        <w:rPr>
          <w:rStyle w:val="FootnoteTextChar"/>
          <w:i/>
          <w:sz w:val="20"/>
        </w:rPr>
        <w:t xml:space="preserve"> di Torino</w:t>
      </w:r>
      <w:r>
        <w:rPr>
          <w:rStyle w:val="FootnoteTextChar"/>
          <w:sz w:val="20"/>
        </w:rPr>
        <w:t>, paragraph 31).</w:t>
      </w:r>
    </w:p>
  </w:footnote>
  <w:footnote w:id="15">
    <w:p w:rsidR="00D4061B" w:rsidRPr="003D36D0" w:rsidRDefault="00D4061B" w:rsidP="00FF1C09">
      <w:pPr>
        <w:pStyle w:val="FootnoteText"/>
      </w:pPr>
      <w:r>
        <w:rPr>
          <w:rStyle w:val="FootnoteReference"/>
        </w:rPr>
        <w:footnoteRef/>
      </w:r>
      <w:r>
        <w:t xml:space="preserve"> See Article 175 TFEU.</w:t>
      </w:r>
    </w:p>
  </w:footnote>
  <w:footnote w:id="16">
    <w:p w:rsidR="00D4061B" w:rsidRPr="009754E6" w:rsidRDefault="00D4061B" w:rsidP="00FF1C09">
      <w:pPr>
        <w:pStyle w:val="FootnoteText"/>
        <w:rPr>
          <w:sz w:val="16"/>
          <w:szCs w:val="16"/>
        </w:rPr>
      </w:pPr>
      <w:r w:rsidRPr="009754E6">
        <w:rPr>
          <w:rStyle w:val="FootnoteReference"/>
          <w:sz w:val="16"/>
          <w:szCs w:val="16"/>
        </w:rPr>
        <w:footnoteRef/>
      </w:r>
      <w:r w:rsidRPr="00A416AA">
        <w:t>"</w:t>
      </w:r>
      <w:r w:rsidRPr="00A416AA">
        <w:rPr>
          <w:i/>
        </w:rPr>
        <w:t>Accordingly, in full respect of the tasks and activities assigned to it by the Treaty establishing the European Community, the Bank acts in principle in accordance with Community law on public procurement, in particular Directive 2004/18/EC of the European Parliament and of the Council of 31 March 2004 on the coordination of procedures for the award of public works contracts, public supply contracts and public service contracts [...]. Even though the Directive is not applicable as such to the Bank, it provides an appropriate reference of establishing the Bank’s procedures</w:t>
      </w:r>
      <w:r w:rsidRPr="00A416AA">
        <w:t>".</w:t>
      </w:r>
    </w:p>
    <w:p w:rsidR="00D4061B" w:rsidRPr="00A416AA" w:rsidRDefault="00016B31" w:rsidP="00FF1C09">
      <w:pPr>
        <w:pStyle w:val="FootnoteText"/>
      </w:pPr>
      <w:hyperlink r:id="rId2" w:history="1">
        <w:r w:rsidR="00D4061B" w:rsidRPr="00A416AA">
          <w:rPr>
            <w:rStyle w:val="Hyperlink"/>
          </w:rPr>
          <w:t>http://www.eib.org/attachments/strategies/eib_guide_for_procurement_services_en.pdf</w:t>
        </w:r>
      </w:hyperlink>
    </w:p>
  </w:footnote>
  <w:footnote w:id="17">
    <w:p w:rsidR="00D4061B" w:rsidRPr="00241C2B" w:rsidRDefault="00D4061B" w:rsidP="00FF1C09">
      <w:pPr>
        <w:pStyle w:val="FootnoteText"/>
      </w:pPr>
      <w:r>
        <w:rPr>
          <w:rStyle w:val="FootnoteReference"/>
        </w:rPr>
        <w:footnoteRef/>
      </w:r>
      <w:r>
        <w:t xml:space="preserve"> As provided for in Article 13(6) CDR, in the absence of a competitive process, the thresholds for management costs and fees provided in Article 13 apply.</w:t>
      </w:r>
    </w:p>
  </w:footnote>
  <w:footnote w:id="18">
    <w:p w:rsidR="00D4061B" w:rsidRPr="00A416AA" w:rsidRDefault="00D4061B" w:rsidP="00FF1C09">
      <w:pPr>
        <w:pStyle w:val="FootnoteText"/>
        <w:rPr>
          <w:lang w:val="en-US"/>
        </w:rPr>
      </w:pPr>
      <w:r w:rsidRPr="009754E6">
        <w:rPr>
          <w:sz w:val="16"/>
          <w:szCs w:val="16"/>
          <w:vertAlign w:val="superscript"/>
          <w:lang w:val="en-US"/>
        </w:rPr>
        <w:footnoteRef/>
      </w:r>
      <w:r w:rsidRPr="00A416AA">
        <w:rPr>
          <w:lang w:val="en-US"/>
        </w:rPr>
        <w:t>Act amending the Protocol on the Statute of the European Investment Bank empowering the Board of Governors to establish a European Investment Fund, OJ C L 173, 7.7.1994, p. 1.</w:t>
      </w:r>
    </w:p>
  </w:footnote>
  <w:footnote w:id="19">
    <w:p w:rsidR="00D4061B" w:rsidRPr="00A416AA" w:rsidRDefault="00D4061B" w:rsidP="00FF1C09">
      <w:pPr>
        <w:pStyle w:val="FootnoteText"/>
        <w:rPr>
          <w:i/>
        </w:rPr>
      </w:pPr>
      <w:r w:rsidRPr="009754E6">
        <w:rPr>
          <w:sz w:val="16"/>
          <w:szCs w:val="16"/>
        </w:rPr>
        <w:footnoteRef/>
      </w:r>
      <w:r w:rsidRPr="00A416AA">
        <w:rPr>
          <w:i/>
        </w:rPr>
        <w:t>"[...] the Fund acts in principle in accordance with Community law on public procurement, in particular Directive 2004/18/EC of the European Parliament and of the Council of 31 March 2004 on the coordination of procedures for the award of public works contracts, public supply contracts and public service contracts […]." which is also applicable "every time that the Fund is involved in the procurement irrespective of whether it pays or not for the value of the relevant services, supplies or works, unless the Fund has satisfied itself that in the procurement of the said services, supplies or works an acceptable level of fair competition is guaranteed."</w:t>
      </w:r>
    </w:p>
    <w:p w:rsidR="00D4061B" w:rsidRPr="00A416AA" w:rsidRDefault="00016B31" w:rsidP="00FF1C09">
      <w:pPr>
        <w:pStyle w:val="FootnoteText"/>
      </w:pPr>
      <w:hyperlink r:id="rId3" w:history="1">
        <w:r w:rsidR="00D4061B" w:rsidRPr="00A416AA">
          <w:rPr>
            <w:rStyle w:val="Hyperlink"/>
          </w:rPr>
          <w:t>http://www.eif.org/news_centre/publications/2009_EIF_Guide_for_Procurement.htm</w:t>
        </w:r>
      </w:hyperlink>
    </w:p>
  </w:footnote>
  <w:footnote w:id="20">
    <w:p w:rsidR="00D4061B" w:rsidRPr="00241C2B" w:rsidRDefault="00D4061B" w:rsidP="00FF1C09">
      <w:pPr>
        <w:pStyle w:val="FootnoteText"/>
      </w:pPr>
      <w:r>
        <w:rPr>
          <w:rStyle w:val="FootnoteReference"/>
        </w:rPr>
        <w:footnoteRef/>
      </w:r>
      <w:r>
        <w:t xml:space="preserve"> As provided for in Article 13(6) CDR, in the absence of a competitive process, the thresholds for management costs and fees provided in Article 13 apply.</w:t>
      </w:r>
    </w:p>
  </w:footnote>
  <w:footnote w:id="21">
    <w:p w:rsidR="00D4061B" w:rsidRPr="00241C2B" w:rsidRDefault="00D4061B" w:rsidP="00FF1C09">
      <w:pPr>
        <w:pStyle w:val="FootnoteText"/>
      </w:pPr>
      <w:r>
        <w:rPr>
          <w:rStyle w:val="FootnoteReference"/>
        </w:rPr>
        <w:footnoteRef/>
      </w:r>
      <w:r>
        <w:t xml:space="preserve"> As provided for in Article 13(6) CDR, in the absence of a competitive process, the thresholds for management costs and fees provided in Article 13 apply.</w:t>
      </w:r>
    </w:p>
  </w:footnote>
  <w:footnote w:id="22">
    <w:p w:rsidR="00D4061B" w:rsidRPr="004E5098" w:rsidRDefault="00D4061B" w:rsidP="00FF1C09">
      <w:pPr>
        <w:pStyle w:val="FootnoteText"/>
      </w:pPr>
      <w:r>
        <w:rPr>
          <w:rStyle w:val="FootnoteReference"/>
        </w:rPr>
        <w:footnoteRef/>
      </w:r>
      <w:r w:rsidRPr="00D2711B">
        <w:t xml:space="preserve">In-house </w:t>
      </w:r>
      <w:r>
        <w:t xml:space="preserve">award </w:t>
      </w:r>
      <w:r w:rsidRPr="00D2711B">
        <w:t xml:space="preserve">can concern </w:t>
      </w:r>
      <w:r>
        <w:t xml:space="preserve">financial institutions established in a Member State aiming at the achievement of public interest under the control of a public authority </w:t>
      </w:r>
      <w:r w:rsidRPr="00D2711B">
        <w:t xml:space="preserve">referred to in Article 38 (4)(b)(ii) </w:t>
      </w:r>
      <w:r>
        <w:t xml:space="preserve">of the CPR as well as bodies governed by public or private law referred to in Article </w:t>
      </w:r>
      <w:r w:rsidRPr="00D2711B">
        <w:t>38(4)(b)(iii)</w:t>
      </w:r>
      <w:r>
        <w:t xml:space="preserve"> of the CPR.</w:t>
      </w:r>
    </w:p>
  </w:footnote>
  <w:footnote w:id="23">
    <w:p w:rsidR="00D4061B" w:rsidRPr="00177228" w:rsidRDefault="00D4061B" w:rsidP="00FF1C09">
      <w:pPr>
        <w:pStyle w:val="FootnoteText"/>
      </w:pPr>
      <w:r>
        <w:rPr>
          <w:rStyle w:val="FootnoteReference"/>
        </w:rPr>
        <w:footnoteRef/>
      </w:r>
      <w:r>
        <w:t xml:space="preserve"> The ECJ had to assess only cases where there was ownership, even of one share in a company. </w:t>
      </w:r>
      <w:r w:rsidRPr="00FD7E6A">
        <w:t xml:space="preserve">See Case C-295/05, </w:t>
      </w:r>
      <w:r w:rsidRPr="00FD7E6A">
        <w:rPr>
          <w:i/>
        </w:rPr>
        <w:t>ASEMFO,</w:t>
      </w:r>
      <w:r w:rsidRPr="00FD7E6A">
        <w:t xml:space="preserve"> paragraph 61, and Case C182/11, </w:t>
      </w:r>
      <w:proofErr w:type="spellStart"/>
      <w:r w:rsidRPr="00FD7E6A">
        <w:rPr>
          <w:i/>
        </w:rPr>
        <w:t>Econord</w:t>
      </w:r>
      <w:proofErr w:type="spellEnd"/>
      <w:r w:rsidRPr="00FD7E6A">
        <w:rPr>
          <w:i/>
        </w:rPr>
        <w:t>, paragraph 29</w:t>
      </w:r>
    </w:p>
  </w:footnote>
  <w:footnote w:id="24">
    <w:p w:rsidR="00D4061B" w:rsidRPr="000A659E" w:rsidRDefault="00D4061B" w:rsidP="00FF1C09">
      <w:pPr>
        <w:pStyle w:val="FootnoteText"/>
        <w:rPr>
          <w:sz w:val="16"/>
          <w:szCs w:val="16"/>
        </w:rPr>
      </w:pPr>
      <w:r w:rsidRPr="009754E6">
        <w:rPr>
          <w:sz w:val="16"/>
          <w:szCs w:val="16"/>
          <w:lang w:val="en-US"/>
        </w:rPr>
        <w:footnoteRef/>
      </w:r>
      <w:proofErr w:type="gramStart"/>
      <w:r w:rsidRPr="00FD7E6A">
        <w:t xml:space="preserve">Case C-107/98 </w:t>
      </w:r>
      <w:proofErr w:type="spellStart"/>
      <w:r w:rsidRPr="00FD7E6A">
        <w:rPr>
          <w:i/>
        </w:rPr>
        <w:t>Teckal</w:t>
      </w:r>
      <w:proofErr w:type="spellEnd"/>
      <w:r w:rsidRPr="00FD7E6A">
        <w:rPr>
          <w:sz w:val="16"/>
          <w:szCs w:val="16"/>
        </w:rPr>
        <w:t>.</w:t>
      </w:r>
      <w:proofErr w:type="gramEnd"/>
    </w:p>
  </w:footnote>
  <w:footnote w:id="25">
    <w:p w:rsidR="00D4061B" w:rsidRPr="000A659E" w:rsidRDefault="00D4061B" w:rsidP="00FF1C09">
      <w:pPr>
        <w:pStyle w:val="FootnoteText"/>
      </w:pPr>
      <w:r w:rsidRPr="009754E6">
        <w:rPr>
          <w:sz w:val="16"/>
          <w:szCs w:val="16"/>
          <w:lang w:val="en-US"/>
        </w:rPr>
        <w:footnoteRef/>
      </w:r>
      <w:r w:rsidRPr="00FD7E6A">
        <w:t xml:space="preserve">Case C-458/03 </w:t>
      </w:r>
      <w:r w:rsidRPr="00FD7E6A">
        <w:rPr>
          <w:i/>
        </w:rPr>
        <w:t xml:space="preserve">Parking </w:t>
      </w:r>
      <w:proofErr w:type="spellStart"/>
      <w:r w:rsidRPr="00FD7E6A">
        <w:rPr>
          <w:i/>
        </w:rPr>
        <w:t>Brixen</w:t>
      </w:r>
      <w:proofErr w:type="spellEnd"/>
      <w:r w:rsidRPr="00FD7E6A">
        <w:t xml:space="preserve">, paragraphs 63-70, Case C-340/04 </w:t>
      </w:r>
      <w:proofErr w:type="spellStart"/>
      <w:r w:rsidRPr="00FD7E6A">
        <w:rPr>
          <w:i/>
        </w:rPr>
        <w:t>Carbotermo</w:t>
      </w:r>
      <w:proofErr w:type="spellEnd"/>
      <w:r w:rsidRPr="00FD7E6A">
        <w:t>, paragraph 38,</w:t>
      </w:r>
      <w:r w:rsidRPr="00FD7E6A">
        <w:rPr>
          <w:i/>
          <w:iCs/>
        </w:rPr>
        <w:t xml:space="preserve"> Case C-324/07 </w:t>
      </w:r>
      <w:proofErr w:type="spellStart"/>
      <w:r w:rsidRPr="00FD7E6A">
        <w:rPr>
          <w:i/>
          <w:iCs/>
        </w:rPr>
        <w:t>Coditel</w:t>
      </w:r>
      <w:proofErr w:type="spellEnd"/>
      <w:r w:rsidRPr="00FD7E6A">
        <w:rPr>
          <w:i/>
          <w:iCs/>
        </w:rPr>
        <w:t xml:space="preserve"> Brabant</w:t>
      </w:r>
      <w:r w:rsidRPr="00FD7E6A">
        <w:t>, paragraph 28; and Case C</w:t>
      </w:r>
      <w:r w:rsidRPr="00FD7E6A">
        <w:noBreakHyphen/>
        <w:t xml:space="preserve">573/07 </w:t>
      </w:r>
      <w:r w:rsidRPr="00FD7E6A">
        <w:rPr>
          <w:i/>
          <w:iCs/>
        </w:rPr>
        <w:t>Sea</w:t>
      </w:r>
      <w:r w:rsidRPr="00FD7E6A">
        <w:t>, paragraph 65.</w:t>
      </w:r>
    </w:p>
  </w:footnote>
  <w:footnote w:id="26">
    <w:p w:rsidR="00D4061B" w:rsidRPr="003A3051" w:rsidRDefault="00D4061B" w:rsidP="00FF1C09">
      <w:pPr>
        <w:pStyle w:val="FootnoteText"/>
        <w:rPr>
          <w:sz w:val="16"/>
          <w:lang w:val="it-IT"/>
        </w:rPr>
      </w:pPr>
      <w:r w:rsidRPr="00F65030">
        <w:rPr>
          <w:sz w:val="16"/>
          <w:szCs w:val="16"/>
          <w:lang w:val="en-US"/>
        </w:rPr>
        <w:footnoteRef/>
      </w:r>
      <w:r w:rsidRPr="003A3051">
        <w:rPr>
          <w:lang w:val="it-IT"/>
        </w:rPr>
        <w:t>Case C</w:t>
      </w:r>
      <w:r w:rsidRPr="003A3051">
        <w:rPr>
          <w:lang w:val="it-IT"/>
        </w:rPr>
        <w:noBreakHyphen/>
        <w:t xml:space="preserve">182/11 and C 183/11 </w:t>
      </w:r>
      <w:proofErr w:type="spellStart"/>
      <w:r w:rsidRPr="003A3051">
        <w:rPr>
          <w:i/>
          <w:lang w:val="it-IT"/>
        </w:rPr>
        <w:t>Econord</w:t>
      </w:r>
      <w:proofErr w:type="spellEnd"/>
      <w:r w:rsidRPr="003A3051">
        <w:rPr>
          <w:i/>
          <w:lang w:val="it-IT"/>
        </w:rPr>
        <w:t xml:space="preserve"> </w:t>
      </w:r>
      <w:proofErr w:type="spellStart"/>
      <w:r w:rsidRPr="003A3051">
        <w:rPr>
          <w:i/>
          <w:lang w:val="it-IT"/>
        </w:rPr>
        <w:t>SpA</w:t>
      </w:r>
      <w:proofErr w:type="spellEnd"/>
      <w:r w:rsidRPr="003A3051">
        <w:rPr>
          <w:i/>
          <w:lang w:val="it-IT"/>
        </w:rPr>
        <w:t xml:space="preserve"> v Comune di Cagno, Comune di Varese, Comune di Solbiate Comune di Varese</w:t>
      </w:r>
      <w:r w:rsidRPr="003A3051">
        <w:rPr>
          <w:lang w:val="it-IT"/>
        </w:rPr>
        <w:t xml:space="preserve">, </w:t>
      </w:r>
      <w:proofErr w:type="spellStart"/>
      <w:r w:rsidRPr="003A3051">
        <w:rPr>
          <w:lang w:val="it-IT"/>
        </w:rPr>
        <w:t>paragraph</w:t>
      </w:r>
      <w:proofErr w:type="spellEnd"/>
      <w:r w:rsidRPr="003A3051">
        <w:rPr>
          <w:lang w:val="it-IT"/>
        </w:rPr>
        <w:t xml:space="preserve"> </w:t>
      </w:r>
      <w:proofErr w:type="gramStart"/>
      <w:r w:rsidRPr="003A3051">
        <w:rPr>
          <w:lang w:val="it-IT"/>
        </w:rPr>
        <w:t>27</w:t>
      </w:r>
      <w:proofErr w:type="gramEnd"/>
    </w:p>
  </w:footnote>
  <w:footnote w:id="27">
    <w:p w:rsidR="00D4061B" w:rsidRPr="00016B31" w:rsidRDefault="00D4061B" w:rsidP="00FF1C09">
      <w:pPr>
        <w:pStyle w:val="c02alineaalta"/>
        <w:ind w:left="0"/>
        <w:rPr>
          <w:lang w:val="fr-BE" w:eastAsia="en-US"/>
        </w:rPr>
      </w:pPr>
      <w:r w:rsidRPr="00CF45C6">
        <w:rPr>
          <w:rStyle w:val="FootnoteReference"/>
          <w:rFonts w:eastAsia="Calibri"/>
          <w:sz w:val="20"/>
          <w:szCs w:val="20"/>
        </w:rPr>
        <w:footnoteRef/>
      </w:r>
      <w:r w:rsidRPr="00016B31">
        <w:rPr>
          <w:rStyle w:val="FootnoteReference"/>
          <w:sz w:val="20"/>
          <w:szCs w:val="20"/>
          <w:lang w:val="fr-BE"/>
        </w:rPr>
        <w:t xml:space="preserve"> </w:t>
      </w:r>
      <w:r w:rsidRPr="00016B31">
        <w:rPr>
          <w:sz w:val="20"/>
          <w:szCs w:val="20"/>
          <w:lang w:val="fr-BE" w:eastAsia="en-US"/>
        </w:rPr>
        <w:t xml:space="preserve">Case C-324/07, </w:t>
      </w:r>
      <w:r w:rsidRPr="00016B31">
        <w:rPr>
          <w:i/>
          <w:sz w:val="20"/>
          <w:szCs w:val="20"/>
          <w:lang w:val="fr-BE" w:eastAsia="en-US"/>
        </w:rPr>
        <w:t>Coditel Brabant SA v Commune d’Uccle,Région de Bruxelles-Capitale</w:t>
      </w:r>
      <w:r w:rsidRPr="00016B31">
        <w:rPr>
          <w:sz w:val="20"/>
          <w:szCs w:val="20"/>
          <w:lang w:val="fr-BE" w:eastAsia="en-US"/>
        </w:rPr>
        <w:t>, paragraph29</w:t>
      </w:r>
      <w:r w:rsidRPr="00016B31">
        <w:rPr>
          <w:lang w:val="fr-BE" w:eastAsia="en-US"/>
        </w:rPr>
        <w:t xml:space="preserve"> </w:t>
      </w:r>
    </w:p>
  </w:footnote>
  <w:footnote w:id="28">
    <w:p w:rsidR="00D4061B" w:rsidRPr="00016B31" w:rsidRDefault="00D4061B" w:rsidP="00FF1C09">
      <w:pPr>
        <w:pStyle w:val="FootnoteText"/>
        <w:rPr>
          <w:lang w:val="fr-BE"/>
        </w:rPr>
      </w:pPr>
      <w:r w:rsidRPr="005707A9">
        <w:rPr>
          <w:rStyle w:val="FootnoteReference"/>
        </w:rPr>
        <w:footnoteRef/>
      </w:r>
      <w:r w:rsidRPr="00016B31">
        <w:rPr>
          <w:lang w:val="fr-BE"/>
        </w:rPr>
        <w:t>Case C</w:t>
      </w:r>
      <w:r w:rsidRPr="00016B31">
        <w:rPr>
          <w:lang w:val="fr-BE"/>
        </w:rPr>
        <w:noBreakHyphen/>
        <w:t>26/03</w:t>
      </w:r>
      <w:r w:rsidRPr="00016B31">
        <w:rPr>
          <w:i/>
          <w:lang w:val="fr-BE"/>
        </w:rPr>
        <w:t xml:space="preserve"> Stadt Halle and RPL Lochau, </w:t>
      </w:r>
      <w:r w:rsidRPr="00016B31">
        <w:rPr>
          <w:lang w:val="fr-BE"/>
        </w:rPr>
        <w:t>paragraph 49</w:t>
      </w:r>
    </w:p>
  </w:footnote>
  <w:footnote w:id="29">
    <w:p w:rsidR="00D4061B" w:rsidRPr="00016B31" w:rsidRDefault="00D4061B" w:rsidP="00FF1C09">
      <w:pPr>
        <w:pStyle w:val="FootnoteText"/>
        <w:rPr>
          <w:rStyle w:val="FootnoteReference"/>
          <w:lang w:val="fr-BE"/>
        </w:rPr>
      </w:pPr>
      <w:r w:rsidRPr="005707A9">
        <w:rPr>
          <w:rStyle w:val="FootnoteReference"/>
        </w:rPr>
        <w:footnoteRef/>
      </w:r>
      <w:r w:rsidRPr="00016B31">
        <w:rPr>
          <w:lang w:val="fr-BE"/>
        </w:rPr>
        <w:t>Case C-340/04</w:t>
      </w:r>
      <w:r w:rsidRPr="00016B31">
        <w:rPr>
          <w:i/>
          <w:lang w:val="fr-BE"/>
        </w:rPr>
        <w:t xml:space="preserve"> Carbotermo and Consorzio Alisei, paragraph 37, and Case C-295/05 Asemfo </w:t>
      </w:r>
      <w:r w:rsidRPr="00016B31">
        <w:rPr>
          <w:lang w:val="fr-BE"/>
        </w:rPr>
        <w:t>[2007] ECR I-2999, paragraph 57</w:t>
      </w:r>
    </w:p>
  </w:footnote>
  <w:footnote w:id="30">
    <w:p w:rsidR="00D4061B" w:rsidRPr="00016B31" w:rsidRDefault="00D4061B" w:rsidP="00FF1C09">
      <w:pPr>
        <w:pStyle w:val="FootnoteText"/>
        <w:rPr>
          <w:lang w:val="fr-BE"/>
        </w:rPr>
      </w:pPr>
      <w:r w:rsidRPr="005707A9">
        <w:rPr>
          <w:lang w:val="en-US"/>
        </w:rPr>
        <w:footnoteRef/>
      </w:r>
      <w:r w:rsidRPr="00016B31">
        <w:rPr>
          <w:lang w:val="fr-BE"/>
        </w:rPr>
        <w:t>CaseC-324/07</w:t>
      </w:r>
      <w:r w:rsidRPr="00016B31">
        <w:rPr>
          <w:i/>
          <w:lang w:val="fr-BE"/>
        </w:rPr>
        <w:t xml:space="preserve"> Coditel Brabant SA v Commune d’Uccle, Région de Bruxelles-Capitale, </w:t>
      </w:r>
      <w:r w:rsidRPr="00016B31">
        <w:rPr>
          <w:lang w:val="fr-BE"/>
        </w:rPr>
        <w:t>paragraph 54</w:t>
      </w:r>
    </w:p>
  </w:footnote>
  <w:footnote w:id="31">
    <w:p w:rsidR="00D4061B" w:rsidRPr="000A2A9F" w:rsidRDefault="00D4061B" w:rsidP="00FF1C09">
      <w:pPr>
        <w:pStyle w:val="FootnoteText"/>
      </w:pPr>
      <w:r>
        <w:rPr>
          <w:rStyle w:val="FootnoteReference"/>
        </w:rPr>
        <w:footnoteRef/>
      </w:r>
      <w:proofErr w:type="gramStart"/>
      <w:r w:rsidRPr="00111079">
        <w:t xml:space="preserve">Case C-458/03 </w:t>
      </w:r>
      <w:r w:rsidRPr="00887960">
        <w:rPr>
          <w:i/>
        </w:rPr>
        <w:t xml:space="preserve">Parking </w:t>
      </w:r>
      <w:proofErr w:type="spellStart"/>
      <w:r w:rsidRPr="00887960">
        <w:rPr>
          <w:i/>
        </w:rPr>
        <w:t>Brixen</w:t>
      </w:r>
      <w:proofErr w:type="spellEnd"/>
      <w:r>
        <w:rPr>
          <w:i/>
        </w:rPr>
        <w:t xml:space="preserve">, </w:t>
      </w:r>
      <w:r w:rsidRPr="0014602F">
        <w:t>paragraph 69</w:t>
      </w:r>
      <w:r>
        <w:t xml:space="preserve"> and </w:t>
      </w:r>
      <w:r w:rsidRPr="00111079">
        <w:t xml:space="preserve">Case C-340/04 </w:t>
      </w:r>
      <w:proofErr w:type="spellStart"/>
      <w:r w:rsidRPr="00887960">
        <w:rPr>
          <w:i/>
        </w:rPr>
        <w:t>Carboterm</w:t>
      </w:r>
      <w:r>
        <w:rPr>
          <w:i/>
        </w:rPr>
        <w:t>o</w:t>
      </w:r>
      <w:proofErr w:type="spellEnd"/>
      <w:r>
        <w:rPr>
          <w:i/>
        </w:rPr>
        <w:t xml:space="preserve">, </w:t>
      </w:r>
      <w:r>
        <w:t>p</w:t>
      </w:r>
      <w:r w:rsidRPr="00111079">
        <w:t>aragraph 39</w:t>
      </w:r>
      <w:r>
        <w:t>.</w:t>
      </w:r>
      <w:proofErr w:type="gramEnd"/>
      <w:r>
        <w:t xml:space="preserve"> </w:t>
      </w:r>
      <w:r>
        <w:rPr>
          <w:i/>
        </w:rPr>
        <w:t xml:space="preserve"> </w:t>
      </w:r>
      <w:r>
        <w:t xml:space="preserve">In the context of the case under examination, the ECJ considered that </w:t>
      </w:r>
      <w:r w:rsidRPr="004C7570">
        <w:t xml:space="preserve">the control is not similar to the one exercised by a contracting authority over its own departments when the statutes of a company </w:t>
      </w:r>
      <w:r w:rsidRPr="005F4C74">
        <w:t>do not reserve</w:t>
      </w:r>
      <w:r w:rsidRPr="00111079">
        <w:t xml:space="preserve"> to the contracting authority</w:t>
      </w:r>
      <w:r w:rsidRPr="005F4C74">
        <w:t xml:space="preserve"> any control or specific voting powers for restricting the freedom of action conferred on a Board of Directors which is given the broadest possible powers for the ordinary and extraordinary management of the company</w:t>
      </w:r>
      <w:r>
        <w:t xml:space="preserve"> and </w:t>
      </w:r>
      <w:r w:rsidRPr="005F4C74">
        <w:t>when influence of the contracting authority over the in-house entity is</w:t>
      </w:r>
      <w:r>
        <w:t xml:space="preserve"> exercised</w:t>
      </w:r>
      <w:r w:rsidRPr="005F4C74">
        <w:t xml:space="preserve"> through a holding company since the intervention of such an intermediary may, depending on the circumstances of the case, weaken any control possibly exercised by the contracting authority over a joint stock company merely because it holds shares in that company</w:t>
      </w:r>
      <w:r w:rsidRPr="00111079">
        <w:t>.</w:t>
      </w:r>
    </w:p>
  </w:footnote>
  <w:footnote w:id="32">
    <w:p w:rsidR="00D4061B" w:rsidRPr="00177030" w:rsidRDefault="00D4061B" w:rsidP="00FF1C09">
      <w:pPr>
        <w:pStyle w:val="FootnoteText"/>
        <w:rPr>
          <w:lang w:val="fr-BE"/>
        </w:rPr>
      </w:pPr>
      <w:r>
        <w:rPr>
          <w:rStyle w:val="FootnoteReference"/>
        </w:rPr>
        <w:footnoteRef/>
      </w:r>
      <w:r w:rsidRPr="00177030">
        <w:rPr>
          <w:lang w:val="fr-BE"/>
        </w:rPr>
        <w:t xml:space="preserve">Case C-324/07 </w:t>
      </w:r>
      <w:proofErr w:type="spellStart"/>
      <w:r w:rsidRPr="00177030">
        <w:rPr>
          <w:bCs/>
          <w:i/>
          <w:lang w:val="fr-BE"/>
        </w:rPr>
        <w:t>Coditel</w:t>
      </w:r>
      <w:proofErr w:type="spellEnd"/>
      <w:r w:rsidRPr="00177030">
        <w:rPr>
          <w:bCs/>
          <w:i/>
          <w:lang w:val="fr-BE"/>
        </w:rPr>
        <w:t xml:space="preserve"> Brabant SA </w:t>
      </w:r>
      <w:r w:rsidRPr="00177030">
        <w:rPr>
          <w:i/>
          <w:lang w:val="fr-BE"/>
        </w:rPr>
        <w:t xml:space="preserve">v </w:t>
      </w:r>
      <w:r w:rsidRPr="00177030">
        <w:rPr>
          <w:bCs/>
          <w:i/>
          <w:lang w:val="fr-BE"/>
        </w:rPr>
        <w:t>Commune d’Uccle, Région de Bruxelles-Capitale,</w:t>
      </w:r>
      <w:r w:rsidRPr="00177030">
        <w:rPr>
          <w:bCs/>
          <w:lang w:val="fr-BE"/>
        </w:rPr>
        <w:t xml:space="preserve"> </w:t>
      </w:r>
      <w:proofErr w:type="spellStart"/>
      <w:r w:rsidRPr="00177030">
        <w:rPr>
          <w:bCs/>
          <w:lang w:val="fr-BE"/>
        </w:rPr>
        <w:t>paragraph</w:t>
      </w:r>
      <w:proofErr w:type="spellEnd"/>
      <w:r w:rsidRPr="00177030">
        <w:rPr>
          <w:bCs/>
          <w:lang w:val="fr-BE"/>
        </w:rPr>
        <w:t xml:space="preserve"> 54</w:t>
      </w:r>
      <w:r>
        <w:rPr>
          <w:bCs/>
          <w:lang w:val="fr-BE"/>
        </w:rPr>
        <w:t>.</w:t>
      </w:r>
    </w:p>
  </w:footnote>
  <w:footnote w:id="33">
    <w:p w:rsidR="00D4061B" w:rsidRPr="00177030" w:rsidRDefault="00D4061B" w:rsidP="00FF1C09">
      <w:pPr>
        <w:pStyle w:val="FootnoteText"/>
      </w:pPr>
      <w:r>
        <w:rPr>
          <w:rStyle w:val="FootnoteReference"/>
        </w:rPr>
        <w:footnoteRef/>
      </w:r>
      <w:r w:rsidRPr="00177030">
        <w:t>Case C</w:t>
      </w:r>
      <w:r w:rsidRPr="00177030">
        <w:noBreakHyphen/>
        <w:t xml:space="preserve">295/05 </w:t>
      </w:r>
      <w:proofErr w:type="spellStart"/>
      <w:r w:rsidRPr="00177030">
        <w:rPr>
          <w:i/>
        </w:rPr>
        <w:t>Asemfo</w:t>
      </w:r>
      <w:proofErr w:type="spellEnd"/>
      <w:r w:rsidRPr="00177030">
        <w:t>, paragraphs 56 to 61</w:t>
      </w:r>
    </w:p>
  </w:footnote>
  <w:footnote w:id="34">
    <w:p w:rsidR="00D4061B" w:rsidRPr="00F65030" w:rsidRDefault="00D4061B" w:rsidP="00FF1C09">
      <w:pPr>
        <w:pStyle w:val="FootnoteText"/>
        <w:rPr>
          <w:lang w:val="it-IT"/>
        </w:rPr>
      </w:pPr>
      <w:r>
        <w:rPr>
          <w:rStyle w:val="FootnoteReference"/>
        </w:rPr>
        <w:footnoteRef/>
      </w:r>
      <w:r w:rsidRPr="00F65030">
        <w:rPr>
          <w:lang w:val="it-IT"/>
        </w:rPr>
        <w:t xml:space="preserve"> Case C</w:t>
      </w:r>
      <w:r w:rsidRPr="00F65030">
        <w:rPr>
          <w:lang w:val="it-IT"/>
        </w:rPr>
        <w:noBreakHyphen/>
        <w:t>182/11</w:t>
      </w:r>
      <w:r w:rsidRPr="00F65030">
        <w:rPr>
          <w:i/>
          <w:lang w:val="it-IT"/>
        </w:rPr>
        <w:t xml:space="preserve"> </w:t>
      </w:r>
      <w:proofErr w:type="spellStart"/>
      <w:r w:rsidRPr="00F65030">
        <w:rPr>
          <w:i/>
          <w:lang w:val="it-IT"/>
        </w:rPr>
        <w:t>Econord</w:t>
      </w:r>
      <w:proofErr w:type="spellEnd"/>
      <w:r w:rsidRPr="00F65030">
        <w:rPr>
          <w:i/>
          <w:lang w:val="it-IT"/>
        </w:rPr>
        <w:t xml:space="preserve"> </w:t>
      </w:r>
      <w:proofErr w:type="spellStart"/>
      <w:r w:rsidRPr="00F65030">
        <w:rPr>
          <w:i/>
          <w:lang w:val="it-IT"/>
        </w:rPr>
        <w:t>SpA</w:t>
      </w:r>
      <w:proofErr w:type="spellEnd"/>
      <w:r w:rsidRPr="00F65030">
        <w:rPr>
          <w:i/>
          <w:lang w:val="it-IT"/>
        </w:rPr>
        <w:t xml:space="preserve"> v Comune di Cagno, </w:t>
      </w:r>
      <w:proofErr w:type="spellStart"/>
      <w:r w:rsidRPr="00F65030">
        <w:rPr>
          <w:lang w:val="it-IT"/>
        </w:rPr>
        <w:t>paragraph</w:t>
      </w:r>
      <w:proofErr w:type="spellEnd"/>
      <w:r w:rsidRPr="00F65030">
        <w:rPr>
          <w:lang w:val="it-IT"/>
        </w:rPr>
        <w:t xml:space="preserve"> </w:t>
      </w:r>
      <w:proofErr w:type="gramStart"/>
      <w:r w:rsidRPr="00F65030">
        <w:rPr>
          <w:lang w:val="it-IT"/>
        </w:rPr>
        <w:t>33</w:t>
      </w:r>
      <w:proofErr w:type="gramEnd"/>
      <w:r w:rsidRPr="00F65030">
        <w:rPr>
          <w:lang w:val="it-IT"/>
        </w:rPr>
        <w:t>.</w:t>
      </w:r>
    </w:p>
  </w:footnote>
  <w:footnote w:id="35">
    <w:p w:rsidR="00D4061B" w:rsidRPr="000A7D45" w:rsidRDefault="00D4061B" w:rsidP="00FF1C09">
      <w:pPr>
        <w:pStyle w:val="FootnoteText"/>
      </w:pPr>
      <w:r>
        <w:rPr>
          <w:rStyle w:val="FootnoteReference"/>
        </w:rPr>
        <w:footnoteRef/>
      </w:r>
      <w:r>
        <w:t xml:space="preserve"> It can be however noted that the ECJ accepted a percentage of 90% (see Case C-295/05, </w:t>
      </w:r>
      <w:proofErr w:type="spellStart"/>
      <w:r w:rsidRPr="00FA3FB6">
        <w:rPr>
          <w:i/>
        </w:rPr>
        <w:t>Asemfo</w:t>
      </w:r>
      <w:proofErr w:type="spellEnd"/>
      <w:r>
        <w:t>, paragraph 63).</w:t>
      </w:r>
    </w:p>
  </w:footnote>
  <w:footnote w:id="36">
    <w:p w:rsidR="00D4061B" w:rsidRPr="007A1A25" w:rsidRDefault="00D4061B" w:rsidP="00FF1C09">
      <w:pPr>
        <w:pStyle w:val="FootnoteText"/>
      </w:pPr>
      <w:r>
        <w:rPr>
          <w:rStyle w:val="FootnoteReference"/>
        </w:rPr>
        <w:footnoteRef/>
      </w:r>
      <w:r>
        <w:t xml:space="preserve"> See Case C</w:t>
      </w:r>
      <w:r>
        <w:noBreakHyphen/>
        <w:t xml:space="preserve">64/08, </w:t>
      </w:r>
      <w:r>
        <w:rPr>
          <w:i/>
          <w:iCs/>
        </w:rPr>
        <w:t>Engelmann</w:t>
      </w:r>
      <w:r>
        <w:t>, paragraph 50 and Case C-25/14, UNIS, paragraph 39, reminding that although the obligation of transparency does not necessarily require there to be a call for tenders, it does require there to be a degree of publicity sufficient to enable, on the one hand, competition to be opened up and, on the other, the impartiality of the award procedure to be reviewed.</w:t>
      </w:r>
    </w:p>
  </w:footnote>
  <w:footnote w:id="37">
    <w:p w:rsidR="00D4061B" w:rsidRPr="00F65030" w:rsidRDefault="00D4061B" w:rsidP="00FF1C09">
      <w:pPr>
        <w:pStyle w:val="FootnoteText"/>
        <w:rPr>
          <w:lang w:val="en-US"/>
        </w:rPr>
      </w:pPr>
      <w:r w:rsidRPr="009754E6">
        <w:rPr>
          <w:sz w:val="16"/>
          <w:szCs w:val="16"/>
          <w:vertAlign w:val="superscript"/>
          <w:lang w:val="en-US"/>
        </w:rPr>
        <w:footnoteRef/>
      </w:r>
      <w:r w:rsidRPr="00F65030">
        <w:rPr>
          <w:lang w:val="en-US"/>
        </w:rPr>
        <w:t>Under Article 12(3)</w:t>
      </w:r>
      <w:r>
        <w:rPr>
          <w:lang w:val="en-US"/>
        </w:rPr>
        <w:t xml:space="preserve"> of</w:t>
      </w:r>
      <w:r w:rsidRPr="00F65030">
        <w:rPr>
          <w:lang w:val="en-US"/>
        </w:rPr>
        <w:t xml:space="preserve"> Directive 2014/24/EU</w:t>
      </w:r>
      <w:r>
        <w:rPr>
          <w:lang w:val="en-US"/>
        </w:rPr>
        <w:t>,</w:t>
      </w:r>
      <w:r w:rsidRPr="00F65030">
        <w:rPr>
          <w:lang w:val="en-US"/>
        </w:rPr>
        <w:t xml:space="preserve"> joint control requires the following conditions to be fulfilled:</w:t>
      </w:r>
    </w:p>
    <w:p w:rsidR="00D4061B" w:rsidRPr="00F65030" w:rsidRDefault="00D4061B" w:rsidP="00FF1C09">
      <w:pPr>
        <w:pStyle w:val="FootnoteText"/>
        <w:rPr>
          <w:lang w:val="en-US"/>
        </w:rPr>
      </w:pPr>
      <w:r w:rsidRPr="00F65030">
        <w:rPr>
          <w:lang w:val="en-US"/>
        </w:rPr>
        <w:t>(</w:t>
      </w:r>
      <w:proofErr w:type="spellStart"/>
      <w:r w:rsidRPr="00F65030">
        <w:rPr>
          <w:lang w:val="en-US"/>
        </w:rPr>
        <w:t>i</w:t>
      </w:r>
      <w:proofErr w:type="spellEnd"/>
      <w:r w:rsidRPr="00F65030">
        <w:rPr>
          <w:lang w:val="en-US"/>
        </w:rPr>
        <w:t xml:space="preserve">) </w:t>
      </w:r>
      <w:proofErr w:type="gramStart"/>
      <w:r w:rsidRPr="00F65030">
        <w:rPr>
          <w:lang w:val="en-US"/>
        </w:rPr>
        <w:t>the</w:t>
      </w:r>
      <w:proofErr w:type="gramEnd"/>
      <w:r w:rsidRPr="00F65030">
        <w:rPr>
          <w:lang w:val="en-US"/>
        </w:rPr>
        <w:t xml:space="preserve"> decision-making bodies of the controlled legal person are composed of representatives of all participating contracting authorities. Individual representatives may represent several or all of the participating contracting authorities;</w:t>
      </w:r>
    </w:p>
    <w:p w:rsidR="00D4061B" w:rsidRPr="00F65030" w:rsidRDefault="00D4061B" w:rsidP="00FF1C09">
      <w:pPr>
        <w:pStyle w:val="FootnoteText"/>
        <w:rPr>
          <w:lang w:val="en-US"/>
        </w:rPr>
      </w:pPr>
      <w:r w:rsidRPr="00F65030">
        <w:rPr>
          <w:lang w:val="en-US"/>
        </w:rPr>
        <w:t>(ii) those contracting authorities are able to jointly exert decisive influence over the strategic objectives and significant decisions of the controlled legal person; and</w:t>
      </w:r>
    </w:p>
    <w:p w:rsidR="00D4061B" w:rsidRPr="002D00FD" w:rsidRDefault="00D4061B" w:rsidP="00FF1C09">
      <w:pPr>
        <w:pStyle w:val="FootnoteText"/>
      </w:pPr>
      <w:r w:rsidRPr="00F65030">
        <w:rPr>
          <w:lang w:val="en-US"/>
        </w:rPr>
        <w:t xml:space="preserve">(iii) </w:t>
      </w:r>
      <w:proofErr w:type="gramStart"/>
      <w:r w:rsidRPr="00F65030">
        <w:rPr>
          <w:lang w:val="en-US"/>
        </w:rPr>
        <w:t>the</w:t>
      </w:r>
      <w:proofErr w:type="gramEnd"/>
      <w:r w:rsidRPr="00F65030">
        <w:rPr>
          <w:lang w:val="en-US"/>
        </w:rPr>
        <w:t xml:space="preserve"> controlled legal person does not pursue any interests which are contrary to those of the controlling contracting authorities.</w:t>
      </w:r>
    </w:p>
  </w:footnote>
  <w:footnote w:id="38">
    <w:p w:rsidR="00D4061B" w:rsidRPr="00805CB2" w:rsidRDefault="00D4061B" w:rsidP="00FF1C09">
      <w:pPr>
        <w:pStyle w:val="FootnoteText"/>
      </w:pPr>
      <w:r>
        <w:rPr>
          <w:rStyle w:val="FootnoteReference"/>
        </w:rPr>
        <w:footnoteRef/>
      </w:r>
      <w:r>
        <w:t xml:space="preserve"> </w:t>
      </w:r>
      <w:r w:rsidRPr="00FA3FB6">
        <w:t>See Article 12(5) of Directive 2014/24/EU for details on the calculation of the percentage of activities.</w:t>
      </w:r>
    </w:p>
  </w:footnote>
  <w:footnote w:id="39">
    <w:p w:rsidR="00D4061B" w:rsidRPr="000246A6" w:rsidRDefault="00D4061B" w:rsidP="00FF1C09">
      <w:pPr>
        <w:pStyle w:val="FootnoteText"/>
      </w:pPr>
      <w:r w:rsidRPr="000246A6">
        <w:rPr>
          <w:rStyle w:val="FootnoteReference"/>
        </w:rPr>
        <w:footnoteRef/>
      </w:r>
      <w:r w:rsidRPr="000246A6">
        <w:t xml:space="preserve"> </w:t>
      </w:r>
      <w:proofErr w:type="gramStart"/>
      <w:r w:rsidRPr="000246A6">
        <w:t>Assuming for the purpose of the example that the conditions of ownership of an in-house entity laid down in Directive 2014/24/EU and reminded above are fulfilled.</w:t>
      </w:r>
      <w:proofErr w:type="gramEnd"/>
    </w:p>
  </w:footnote>
  <w:footnote w:id="40">
    <w:p w:rsidR="00D4061B" w:rsidRPr="000246A6" w:rsidRDefault="00D4061B" w:rsidP="00FF1C09">
      <w:pPr>
        <w:pStyle w:val="FootnoteText"/>
        <w:rPr>
          <w:i/>
        </w:rPr>
      </w:pPr>
      <w:r w:rsidRPr="000246A6">
        <w:rPr>
          <w:rStyle w:val="FootnoteReference"/>
        </w:rPr>
        <w:footnoteRef/>
      </w:r>
      <w:r w:rsidRPr="000246A6">
        <w:t xml:space="preserve"> Provided the conditions for inter-administrative cooperation are fulfilled, it can allow for a direct award of a contract to financial institutions established in a Member State aiming at the achievement of public interest under the control of a public authority referred to in Article 38 (4</w:t>
      </w:r>
      <w:proofErr w:type="gramStart"/>
      <w:r w:rsidRPr="000246A6">
        <w:t>)(</w:t>
      </w:r>
      <w:proofErr w:type="gramEnd"/>
      <w:r w:rsidRPr="000246A6">
        <w:t>b)(ii) of the CPR as well as to bodies governed by public law referred to in Article 38(4)(b)(iii) of the CPR.</w:t>
      </w:r>
      <w:r w:rsidRPr="000246A6">
        <w:rPr>
          <w:i/>
        </w:rPr>
        <w:t xml:space="preserve"> </w:t>
      </w:r>
      <w:r w:rsidRPr="000246A6">
        <w:t xml:space="preserve">    </w:t>
      </w:r>
    </w:p>
  </w:footnote>
  <w:footnote w:id="41">
    <w:p w:rsidR="00D4061B" w:rsidRPr="00CF6C75" w:rsidRDefault="00D4061B" w:rsidP="00FF1C09">
      <w:pPr>
        <w:pStyle w:val="FootnoteText"/>
      </w:pPr>
      <w:r w:rsidRPr="000246A6">
        <w:rPr>
          <w:rStyle w:val="FootnoteReference"/>
        </w:rPr>
        <w:footnoteRef/>
      </w:r>
      <w:r w:rsidRPr="000246A6">
        <w:t> In case a contract is concluded with the administrative entity, then the price could be paid to the body implementing the financial instrument either directly by the managing authority or indirectly via the administration cooperating with the managing authority. In Case C-480/06 (</w:t>
      </w:r>
      <w:r w:rsidRPr="000246A6">
        <w:rPr>
          <w:i/>
        </w:rPr>
        <w:t>Commission v Germany</w:t>
      </w:r>
      <w:r w:rsidRPr="000246A6">
        <w:rPr>
          <w:i/>
          <w:sz w:val="16"/>
          <w:szCs w:val="16"/>
        </w:rPr>
        <w:t xml:space="preserve">) </w:t>
      </w:r>
      <w:proofErr w:type="spellStart"/>
      <w:r w:rsidRPr="000246A6">
        <w:t>Stadtreinigung</w:t>
      </w:r>
      <w:proofErr w:type="spellEnd"/>
      <w:r w:rsidRPr="000246A6">
        <w:t xml:space="preserve"> Hamburg reserved a capacity of 120 000 tonnes per annum for four </w:t>
      </w:r>
      <w:proofErr w:type="spellStart"/>
      <w:r w:rsidRPr="000246A6">
        <w:rPr>
          <w:i/>
          <w:iCs/>
        </w:rPr>
        <w:t>Landkreise</w:t>
      </w:r>
      <w:proofErr w:type="spellEnd"/>
      <w:r w:rsidRPr="000246A6">
        <w:t xml:space="preserve"> for a price calculated using the same formula for each of the parties concerned. That price was paid to the facility’s operator, the other party to the contract with </w:t>
      </w:r>
      <w:proofErr w:type="spellStart"/>
      <w:r w:rsidRPr="000246A6">
        <w:t>Stadtreinigung</w:t>
      </w:r>
      <w:proofErr w:type="spellEnd"/>
      <w:r w:rsidRPr="000246A6">
        <w:t xml:space="preserve"> Hamburg, through the intermediary of the latter (See paragraph 5).See, for an example of the second situation, Case C-480/06, </w:t>
      </w:r>
      <w:r w:rsidRPr="000246A6">
        <w:rPr>
          <w:i/>
        </w:rPr>
        <w:t>Commission v Germany</w:t>
      </w:r>
      <w:r w:rsidRPr="000246A6">
        <w:t xml:space="preserve"> (paragraph 5).</w:t>
      </w:r>
    </w:p>
  </w:footnote>
  <w:footnote w:id="42">
    <w:p w:rsidR="00D4061B" w:rsidRPr="009754E6" w:rsidRDefault="00D4061B" w:rsidP="00FF1C09">
      <w:pPr>
        <w:pStyle w:val="FootnoteText"/>
        <w:rPr>
          <w:sz w:val="16"/>
          <w:szCs w:val="16"/>
        </w:rPr>
      </w:pPr>
      <w:r w:rsidRPr="009754E6">
        <w:rPr>
          <w:sz w:val="16"/>
          <w:szCs w:val="16"/>
          <w:vertAlign w:val="superscript"/>
          <w:lang w:val="en-US"/>
        </w:rPr>
        <w:footnoteRef/>
      </w:r>
      <w:r>
        <w:rPr>
          <w:lang w:val="en-US"/>
        </w:rPr>
        <w:t xml:space="preserve"> </w:t>
      </w:r>
      <w:r w:rsidRPr="00887960">
        <w:rPr>
          <w:lang w:val="en-US"/>
        </w:rPr>
        <w:t>Case C-480/06</w:t>
      </w:r>
      <w:r>
        <w:rPr>
          <w:lang w:val="en-US"/>
        </w:rPr>
        <w:t xml:space="preserve">, </w:t>
      </w:r>
      <w:r w:rsidRPr="00887960">
        <w:rPr>
          <w:i/>
          <w:lang w:val="en-US"/>
        </w:rPr>
        <w:t>Commission v Germany</w:t>
      </w:r>
      <w:r w:rsidRPr="00887960">
        <w:rPr>
          <w:lang w:val="en-US"/>
        </w:rPr>
        <w:t xml:space="preserve">, paragraphs 37 and 44 to 47 and Case C-159/11 </w:t>
      </w:r>
      <w:r w:rsidRPr="00887960">
        <w:rPr>
          <w:i/>
          <w:lang w:val="en-US"/>
        </w:rPr>
        <w:t>ASL Lecce</w:t>
      </w:r>
      <w:r w:rsidRPr="00887960">
        <w:rPr>
          <w:lang w:val="en-US"/>
        </w:rPr>
        <w:t>, paragraphs 35 to 37.</w:t>
      </w:r>
    </w:p>
  </w:footnote>
  <w:footnote w:id="43">
    <w:p w:rsidR="009F1E66" w:rsidRPr="009F1E66" w:rsidRDefault="009F1E66">
      <w:pPr>
        <w:pStyle w:val="FootnoteText"/>
      </w:pPr>
      <w:r>
        <w:rPr>
          <w:rStyle w:val="FootnoteReference"/>
        </w:rPr>
        <w:footnoteRef/>
      </w:r>
      <w:r>
        <w:t xml:space="preserve"> Where the public entities cannot fulfil 100% of the services by inter-administrative cooperation, and must award a contract to a private party for the remaining part, this must be done via public procurement procedure, where applicable, to ensure equal treatment.</w:t>
      </w:r>
    </w:p>
  </w:footnote>
  <w:footnote w:id="44">
    <w:p w:rsidR="00D4061B" w:rsidRPr="00887960" w:rsidRDefault="00D4061B" w:rsidP="00FF1C09">
      <w:pPr>
        <w:pStyle w:val="FootnoteText"/>
      </w:pPr>
      <w:r w:rsidRPr="005F3A14">
        <w:rPr>
          <w:rStyle w:val="FootnoteReference"/>
          <w:sz w:val="16"/>
          <w:szCs w:val="16"/>
        </w:rPr>
        <w:footnoteRef/>
      </w:r>
      <w:r>
        <w:t xml:space="preserve"> </w:t>
      </w:r>
      <w:r w:rsidRPr="00887960">
        <w:t>See Case C-480/06</w:t>
      </w:r>
      <w:r>
        <w:t xml:space="preserve">, </w:t>
      </w:r>
      <w:r w:rsidRPr="00887960">
        <w:rPr>
          <w:i/>
        </w:rPr>
        <w:t>Commission v Germany</w:t>
      </w:r>
      <w:r w:rsidRPr="00887960">
        <w:t>, paragraphs 44 to 47.</w:t>
      </w:r>
    </w:p>
  </w:footnote>
  <w:footnote w:id="45">
    <w:p w:rsidR="00D4061B" w:rsidRPr="00B16999" w:rsidRDefault="00D4061B" w:rsidP="00FF1C09">
      <w:pPr>
        <w:pStyle w:val="FootnoteText"/>
      </w:pPr>
      <w:r>
        <w:rPr>
          <w:rStyle w:val="FootnoteReference"/>
        </w:rPr>
        <w:footnoteRef/>
      </w:r>
      <w:r>
        <w:t xml:space="preserve"> </w:t>
      </w:r>
      <w:proofErr w:type="gramStart"/>
      <w:r>
        <w:t xml:space="preserve">Case C-480/06, </w:t>
      </w:r>
      <w:r w:rsidRPr="00887960">
        <w:rPr>
          <w:i/>
        </w:rPr>
        <w:t>Commission v Germany</w:t>
      </w:r>
      <w:r>
        <w:rPr>
          <w:i/>
        </w:rPr>
        <w:t>,</w:t>
      </w:r>
      <w:r>
        <w:t xml:space="preserve"> p</w:t>
      </w:r>
      <w:r w:rsidRPr="005F4C74">
        <w:t>aragraph 37</w:t>
      </w:r>
      <w:r>
        <w:t>.</w:t>
      </w:r>
      <w:proofErr w:type="gramEnd"/>
    </w:p>
  </w:footnote>
  <w:footnote w:id="46">
    <w:p w:rsidR="00D4061B" w:rsidRPr="00FA094C" w:rsidRDefault="00D4061B" w:rsidP="00FF1C09">
      <w:pPr>
        <w:pStyle w:val="FootnoteText"/>
      </w:pPr>
      <w:r>
        <w:rPr>
          <w:rStyle w:val="FootnoteReference"/>
        </w:rPr>
        <w:footnoteRef/>
      </w:r>
      <w:r>
        <w:t xml:space="preserve"> </w:t>
      </w:r>
      <w:r w:rsidRPr="00D518D1">
        <w:t xml:space="preserve">Case </w:t>
      </w:r>
      <w:r w:rsidRPr="00F655C0">
        <w:t>C-1</w:t>
      </w:r>
      <w:r>
        <w:t>5</w:t>
      </w:r>
      <w:r w:rsidRPr="00F655C0">
        <w:t xml:space="preserve">/13 </w:t>
      </w:r>
      <w:proofErr w:type="spellStart"/>
      <w:r w:rsidRPr="00887960">
        <w:rPr>
          <w:bCs/>
          <w:i/>
        </w:rPr>
        <w:t>Technische</w:t>
      </w:r>
      <w:proofErr w:type="spellEnd"/>
      <w:r w:rsidRPr="00887960">
        <w:rPr>
          <w:bCs/>
          <w:i/>
        </w:rPr>
        <w:t xml:space="preserve"> </w:t>
      </w:r>
      <w:proofErr w:type="spellStart"/>
      <w:r w:rsidRPr="00887960">
        <w:rPr>
          <w:bCs/>
          <w:i/>
        </w:rPr>
        <w:t>Universität</w:t>
      </w:r>
      <w:proofErr w:type="spellEnd"/>
      <w:r w:rsidRPr="00887960">
        <w:rPr>
          <w:bCs/>
          <w:i/>
        </w:rPr>
        <w:t xml:space="preserve"> Hamburg-</w:t>
      </w:r>
      <w:proofErr w:type="spellStart"/>
      <w:r w:rsidRPr="00887960">
        <w:rPr>
          <w:bCs/>
          <w:i/>
        </w:rPr>
        <w:t>Harburg</w:t>
      </w:r>
      <w:proofErr w:type="spellEnd"/>
      <w:r w:rsidRPr="00887960">
        <w:rPr>
          <w:bCs/>
          <w:i/>
        </w:rPr>
        <w:t xml:space="preserve">, </w:t>
      </w:r>
      <w:proofErr w:type="spellStart"/>
      <w:r w:rsidRPr="00887960">
        <w:rPr>
          <w:bCs/>
          <w:i/>
        </w:rPr>
        <w:t>Hochschul</w:t>
      </w:r>
      <w:proofErr w:type="spellEnd"/>
      <w:r w:rsidRPr="00887960">
        <w:rPr>
          <w:bCs/>
          <w:i/>
        </w:rPr>
        <w:t>-</w:t>
      </w:r>
      <w:proofErr w:type="spellStart"/>
      <w:r w:rsidRPr="00887960">
        <w:rPr>
          <w:bCs/>
          <w:i/>
        </w:rPr>
        <w:t>Informations</w:t>
      </w:r>
      <w:proofErr w:type="spellEnd"/>
      <w:r w:rsidRPr="00887960">
        <w:rPr>
          <w:bCs/>
          <w:i/>
        </w:rPr>
        <w:t xml:space="preserve">-System GmbH </w:t>
      </w:r>
      <w:r w:rsidRPr="00887960">
        <w:rPr>
          <w:i/>
        </w:rPr>
        <w:t xml:space="preserve">v </w:t>
      </w:r>
      <w:proofErr w:type="spellStart"/>
      <w:r w:rsidRPr="00887960">
        <w:rPr>
          <w:bCs/>
          <w:i/>
        </w:rPr>
        <w:t>Datenlotsen</w:t>
      </w:r>
      <w:proofErr w:type="spellEnd"/>
      <w:r w:rsidRPr="00887960">
        <w:rPr>
          <w:bCs/>
          <w:i/>
        </w:rPr>
        <w:t xml:space="preserve"> </w:t>
      </w:r>
      <w:proofErr w:type="spellStart"/>
      <w:r w:rsidRPr="00887960">
        <w:rPr>
          <w:bCs/>
          <w:i/>
        </w:rPr>
        <w:t>Informationssysteme</w:t>
      </w:r>
      <w:proofErr w:type="spellEnd"/>
      <w:r w:rsidRPr="00887960">
        <w:rPr>
          <w:bCs/>
          <w:i/>
        </w:rPr>
        <w:t xml:space="preserve"> GmbH</w:t>
      </w:r>
      <w:r w:rsidRPr="005F4C74">
        <w:rPr>
          <w:bCs/>
        </w:rPr>
        <w:t>, paragraph</w:t>
      </w:r>
      <w:r>
        <w:rPr>
          <w:bCs/>
        </w:rPr>
        <w:t>s 16 and</w:t>
      </w:r>
      <w:r w:rsidRPr="005F4C74">
        <w:rPr>
          <w:bCs/>
        </w:rPr>
        <w:t xml:space="preserve"> 35</w:t>
      </w:r>
      <w:r>
        <w:rPr>
          <w:bCs/>
        </w:rPr>
        <w:t>.</w:t>
      </w:r>
    </w:p>
  </w:footnote>
  <w:footnote w:id="47">
    <w:p w:rsidR="00D4061B" w:rsidRPr="00451F84" w:rsidRDefault="00D4061B" w:rsidP="00FF1C09">
      <w:pPr>
        <w:pStyle w:val="FootnoteText"/>
      </w:pPr>
      <w:r>
        <w:rPr>
          <w:rStyle w:val="FootnoteReference"/>
        </w:rPr>
        <w:footnoteRef/>
      </w:r>
      <w:r>
        <w:t xml:space="preserve"> See Article 12(5) of Directive 2014/24/EU for details on the calculation.</w:t>
      </w:r>
    </w:p>
  </w:footnote>
  <w:footnote w:id="48">
    <w:p w:rsidR="00D4061B" w:rsidRPr="00AB3778" w:rsidRDefault="00D4061B" w:rsidP="00FF1C09">
      <w:pPr>
        <w:pStyle w:val="FootnoteText"/>
      </w:pPr>
      <w:r>
        <w:rPr>
          <w:rStyle w:val="FootnoteReference"/>
        </w:rPr>
        <w:footnoteRef/>
      </w:r>
      <w:r>
        <w:t xml:space="preserve"> In case the contract concluded between the managing authority and the intermediate body does not have any pecuniary interest, it is not a public contract within the meaning of the Public Procurement Directives. It falls outside the scope of the Directives but remains subject to the respect of the Treaty principles. </w:t>
      </w:r>
    </w:p>
  </w:footnote>
  <w:footnote w:id="49">
    <w:p w:rsidR="00D4061B" w:rsidRPr="004B3519" w:rsidRDefault="00D4061B" w:rsidP="00FF1C09">
      <w:pPr>
        <w:pStyle w:val="FootnoteText"/>
      </w:pPr>
      <w:r>
        <w:rPr>
          <w:rStyle w:val="FootnoteReference"/>
        </w:rPr>
        <w:footnoteRef/>
      </w:r>
      <w:r>
        <w:t xml:space="preserve"> Alternatively criteria relating to experience could be divided between selection and award criteria, experience of the body with the implementation of similar financial instruments being a selection criteria, and the expertise and experience of the proposed team members being an award criteria.</w:t>
      </w:r>
    </w:p>
  </w:footnote>
  <w:footnote w:id="50">
    <w:p w:rsidR="00551633" w:rsidRPr="00016B31" w:rsidRDefault="00D4061B" w:rsidP="00551633">
      <w:pPr>
        <w:widowControl w:val="0"/>
        <w:autoSpaceDE w:val="0"/>
        <w:autoSpaceDN w:val="0"/>
        <w:adjustRightInd w:val="0"/>
        <w:spacing w:after="0"/>
      </w:pPr>
      <w:r w:rsidRPr="005545F9">
        <w:rPr>
          <w:rStyle w:val="FootnoteReference"/>
        </w:rPr>
        <w:footnoteRef/>
      </w:r>
      <w:r w:rsidRPr="005545F9">
        <w:t xml:space="preserve"> See guidance note on preferential remuneration </w:t>
      </w:r>
      <w:r w:rsidR="00551633" w:rsidRPr="005545F9">
        <w:t>EGESIF_15-0030-00</w:t>
      </w:r>
    </w:p>
    <w:p w:rsidR="00D4061B" w:rsidRDefault="00551633" w:rsidP="00551633">
      <w:pPr>
        <w:pStyle w:val="FootnoteText"/>
      </w:pPr>
      <w:r w:rsidRPr="005545F9" w:rsidDel="00551633">
        <w:t xml:space="preserve"> </w:t>
      </w:r>
    </w:p>
  </w:footnote>
  <w:footnote w:id="51">
    <w:p w:rsidR="00D4061B" w:rsidRPr="00D518D1" w:rsidRDefault="00D4061B" w:rsidP="00FF1C09">
      <w:pPr>
        <w:rPr>
          <w:sz w:val="20"/>
        </w:rPr>
      </w:pPr>
      <w:r>
        <w:rPr>
          <w:rStyle w:val="FootnoteReference"/>
        </w:rPr>
        <w:footnoteRef/>
      </w:r>
      <w:r w:rsidRPr="00D518D1">
        <w:rPr>
          <w:sz w:val="20"/>
        </w:rPr>
        <w:t>It should be noted that as regards the EIB (i.e. EIB and EIF according to Article 2(23) of the CPR), according to Article 9(3) of the CDR the managing authority must mandate a firm which must operate under a common framework established by the Commission to carry out audits.</w:t>
      </w:r>
      <w:r>
        <w:rPr>
          <w:sz w:val="20"/>
        </w:rPr>
        <w:t xml:space="preserve"> </w:t>
      </w:r>
      <w:r w:rsidRPr="00D518D1">
        <w:rPr>
          <w:sz w:val="20"/>
        </w:rPr>
        <w:t xml:space="preserve">As regards bodies implementing financial instruments other than the EIB, the audit authorities may either carry out the audits directly or mandate external firms. In the latter case they will need to select these firms following the application of public procurement rules and principles. </w:t>
      </w:r>
    </w:p>
    <w:p w:rsidR="00D4061B" w:rsidRPr="00851AF6" w:rsidRDefault="00D4061B" w:rsidP="00FF1C0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1B" w:rsidRDefault="00D4061B">
    <w:pPr>
      <w:pStyle w:val="Header"/>
      <w:spacing w:after="0"/>
    </w:pPr>
    <w:r w:rsidRPr="00FF1C09">
      <w:t>EGESIF_15-0033-01</w:t>
    </w:r>
    <w:r>
      <w:br/>
      <w:t>18/02/2016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4B71A6"/>
    <w:multiLevelType w:val="hybridMultilevel"/>
    <w:tmpl w:val="7D1C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21766FB4"/>
    <w:multiLevelType w:val="hybridMultilevel"/>
    <w:tmpl w:val="440C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F80B81"/>
    <w:multiLevelType w:val="hybridMultilevel"/>
    <w:tmpl w:val="FEDA74E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8">
    <w:nsid w:val="4A3221B3"/>
    <w:multiLevelType w:val="hybridMultilevel"/>
    <w:tmpl w:val="233A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9"/>
  </w:num>
  <w:num w:numId="4">
    <w:abstractNumId w:val="20"/>
  </w:num>
  <w:num w:numId="5">
    <w:abstractNumId w:val="12"/>
  </w:num>
  <w:num w:numId="6">
    <w:abstractNumId w:val="8"/>
  </w:num>
  <w:num w:numId="7">
    <w:abstractNumId w:val="5"/>
  </w:num>
  <w:num w:numId="8">
    <w:abstractNumId w:val="4"/>
  </w:num>
  <w:num w:numId="9">
    <w:abstractNumId w:val="21"/>
  </w:num>
  <w:num w:numId="10">
    <w:abstractNumId w:val="23"/>
  </w:num>
  <w:num w:numId="11">
    <w:abstractNumId w:val="22"/>
  </w:num>
  <w:num w:numId="12">
    <w:abstractNumId w:val="24"/>
  </w:num>
  <w:num w:numId="13">
    <w:abstractNumId w:val="7"/>
  </w:num>
  <w:num w:numId="14">
    <w:abstractNumId w:val="13"/>
  </w:num>
  <w:num w:numId="15">
    <w:abstractNumId w:val="15"/>
  </w:num>
  <w:num w:numId="16">
    <w:abstractNumId w:val="14"/>
  </w:num>
  <w:num w:numId="17">
    <w:abstractNumId w:val="2"/>
  </w:num>
  <w:num w:numId="18">
    <w:abstractNumId w:val="16"/>
  </w:num>
  <w:num w:numId="19">
    <w:abstractNumId w:val="9"/>
  </w:num>
  <w:num w:numId="20">
    <w:abstractNumId w:val="3"/>
  </w:num>
  <w:num w:numId="21">
    <w:abstractNumId w:val="11"/>
  </w:num>
  <w:num w:numId="22">
    <w:abstractNumId w:val="6"/>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FF1C09"/>
    <w:rsid w:val="00016B31"/>
    <w:rsid w:val="000246A6"/>
    <w:rsid w:val="00222F5E"/>
    <w:rsid w:val="00450CAD"/>
    <w:rsid w:val="00551633"/>
    <w:rsid w:val="005545F9"/>
    <w:rsid w:val="005707A9"/>
    <w:rsid w:val="006E6298"/>
    <w:rsid w:val="00707888"/>
    <w:rsid w:val="00727B7B"/>
    <w:rsid w:val="009F1E66"/>
    <w:rsid w:val="009F77EB"/>
    <w:rsid w:val="00B51F3A"/>
    <w:rsid w:val="00BA51C1"/>
    <w:rsid w:val="00CF45C6"/>
    <w:rsid w:val="00D127C5"/>
    <w:rsid w:val="00D4061B"/>
    <w:rsid w:val="00F747FA"/>
    <w:rsid w:val="00FF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1"/>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FF1C09"/>
    <w:rPr>
      <w:rFonts w:ascii="Arial" w:hAnsi="Arial"/>
      <w:sz w:val="16"/>
      <w:lang w:eastAsia="en-US"/>
    </w:rPr>
  </w:style>
  <w:style w:type="character" w:customStyle="1" w:styleId="DateChar">
    <w:name w:val="Date Char"/>
    <w:basedOn w:val="DefaultParagraphFont"/>
    <w:link w:val="Date"/>
    <w:uiPriority w:val="99"/>
    <w:locked/>
    <w:rsid w:val="00FF1C09"/>
    <w:rPr>
      <w:sz w:val="24"/>
      <w:lang w:eastAsia="en-US"/>
    </w:rPr>
  </w:style>
  <w:style w:type="character" w:customStyle="1" w:styleId="SignatureChar">
    <w:name w:val="Signature Char"/>
    <w:basedOn w:val="DefaultParagraphFont"/>
    <w:link w:val="Signature"/>
    <w:uiPriority w:val="99"/>
    <w:locked/>
    <w:rsid w:val="00FF1C09"/>
    <w:rPr>
      <w:sz w:val="24"/>
      <w:lang w:eastAsia="en-US"/>
    </w:rPr>
  </w:style>
  <w:style w:type="paragraph" w:customStyle="1" w:styleId="ZCom">
    <w:name w:val="Z_Com"/>
    <w:basedOn w:val="Normal"/>
    <w:next w:val="ZDGName"/>
    <w:uiPriority w:val="99"/>
    <w:rsid w:val="00FF1C0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FF1C0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FF1C09"/>
    <w:rPr>
      <w:sz w:val="24"/>
      <w:lang w:eastAsia="en-US"/>
    </w:rPr>
  </w:style>
  <w:style w:type="paragraph" w:styleId="BalloonText">
    <w:name w:val="Balloon Text"/>
    <w:basedOn w:val="Normal"/>
    <w:link w:val="BalloonTextChar"/>
    <w:uiPriority w:val="99"/>
    <w:semiHidden/>
    <w:unhideWhenUsed/>
    <w:rsid w:val="00FF1C09"/>
    <w:pPr>
      <w:spacing w:after="0"/>
      <w:jc w:val="left"/>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FF1C09"/>
    <w:rPr>
      <w:rFonts w:ascii="Tahoma" w:eastAsia="Calibri" w:hAnsi="Tahoma"/>
      <w:sz w:val="16"/>
      <w:szCs w:val="16"/>
      <w:lang w:eastAsia="en-US"/>
    </w:rPr>
  </w:style>
  <w:style w:type="character" w:customStyle="1" w:styleId="Heading1Char">
    <w:name w:val="Heading 1 Char"/>
    <w:link w:val="Heading1"/>
    <w:uiPriority w:val="9"/>
    <w:rsid w:val="00FF1C09"/>
    <w:rPr>
      <w:b/>
      <w:smallCaps/>
      <w:sz w:val="24"/>
      <w:lang w:eastAsia="en-US"/>
    </w:rPr>
  </w:style>
  <w:style w:type="character" w:customStyle="1" w:styleId="FootnoteTextChar">
    <w:name w:val="Footnote Text Char"/>
    <w:link w:val="FootnoteText"/>
    <w:uiPriority w:val="99"/>
    <w:rsid w:val="00FF1C09"/>
    <w:rPr>
      <w:lang w:eastAsia="en-US"/>
    </w:rPr>
  </w:style>
  <w:style w:type="character" w:styleId="FootnoteReference">
    <w:name w:val="footnote reference"/>
    <w:unhideWhenUsed/>
    <w:rsid w:val="00FF1C09"/>
    <w:rPr>
      <w:shd w:val="clear" w:color="auto" w:fill="auto"/>
      <w:vertAlign w:val="superscript"/>
    </w:rPr>
  </w:style>
  <w:style w:type="paragraph" w:customStyle="1" w:styleId="CM1">
    <w:name w:val="CM1"/>
    <w:basedOn w:val="Normal"/>
    <w:next w:val="Normal"/>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CM3">
    <w:name w:val="CM3"/>
    <w:basedOn w:val="Normal"/>
    <w:next w:val="Normal"/>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CM4">
    <w:name w:val="CM4"/>
    <w:basedOn w:val="Normal"/>
    <w:next w:val="Normal"/>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Default">
    <w:name w:val="Default"/>
    <w:rsid w:val="00FF1C09"/>
    <w:pPr>
      <w:autoSpaceDE w:val="0"/>
      <w:autoSpaceDN w:val="0"/>
      <w:adjustRightInd w:val="0"/>
    </w:pPr>
    <w:rPr>
      <w:rFonts w:ascii="EUAlbertina" w:eastAsia="Calibri" w:hAnsi="EUAlbertina" w:cs="EUAlbertina"/>
      <w:color w:val="000000"/>
      <w:sz w:val="24"/>
      <w:szCs w:val="24"/>
    </w:rPr>
  </w:style>
  <w:style w:type="character" w:styleId="Hyperlink">
    <w:name w:val="Hyperlink"/>
    <w:uiPriority w:val="99"/>
    <w:unhideWhenUsed/>
    <w:rsid w:val="00FF1C09"/>
    <w:rPr>
      <w:color w:val="0000FF"/>
      <w:u w:val="single"/>
    </w:rPr>
  </w:style>
  <w:style w:type="paragraph" w:customStyle="1" w:styleId="doc-ti">
    <w:name w:val="doc-ti"/>
    <w:basedOn w:val="Normal"/>
    <w:rsid w:val="00FF1C09"/>
    <w:pPr>
      <w:spacing w:before="240" w:after="120"/>
      <w:jc w:val="center"/>
    </w:pPr>
    <w:rPr>
      <w:b/>
      <w:bCs/>
      <w:szCs w:val="24"/>
      <w:lang w:eastAsia="en-GB"/>
    </w:rPr>
  </w:style>
  <w:style w:type="paragraph" w:customStyle="1" w:styleId="Normal1">
    <w:name w:val="Normal1"/>
    <w:basedOn w:val="Normal"/>
    <w:rsid w:val="00FF1C09"/>
    <w:pPr>
      <w:spacing w:before="120" w:after="0"/>
    </w:pPr>
    <w:rPr>
      <w:szCs w:val="24"/>
      <w:lang w:eastAsia="en-GB"/>
    </w:rPr>
  </w:style>
  <w:style w:type="paragraph" w:customStyle="1" w:styleId="sti-art">
    <w:name w:val="sti-art"/>
    <w:basedOn w:val="Normal"/>
    <w:rsid w:val="00FF1C09"/>
    <w:pPr>
      <w:spacing w:before="60" w:after="120"/>
      <w:jc w:val="center"/>
    </w:pPr>
    <w:rPr>
      <w:b/>
      <w:bCs/>
      <w:szCs w:val="24"/>
      <w:lang w:eastAsia="en-GB"/>
    </w:rPr>
  </w:style>
  <w:style w:type="paragraph" w:customStyle="1" w:styleId="ti-art">
    <w:name w:val="ti-art"/>
    <w:basedOn w:val="Normal"/>
    <w:rsid w:val="00FF1C09"/>
    <w:pPr>
      <w:spacing w:before="360" w:after="120"/>
      <w:jc w:val="center"/>
    </w:pPr>
    <w:rPr>
      <w:i/>
      <w:iCs/>
      <w:szCs w:val="24"/>
      <w:lang w:eastAsia="en-GB"/>
    </w:rPr>
  </w:style>
  <w:style w:type="paragraph" w:styleId="ListParagraph">
    <w:name w:val="List Paragraph"/>
    <w:basedOn w:val="Normal"/>
    <w:uiPriority w:val="34"/>
    <w:qFormat/>
    <w:rsid w:val="00FF1C09"/>
    <w:pPr>
      <w:spacing w:after="0"/>
      <w:ind w:left="720"/>
      <w:jc w:val="left"/>
    </w:pPr>
    <w:rPr>
      <w:rFonts w:ascii="Calibri" w:eastAsia="Calibri" w:hAnsi="Calibri"/>
      <w:sz w:val="22"/>
      <w:szCs w:val="22"/>
    </w:rPr>
  </w:style>
  <w:style w:type="character" w:customStyle="1" w:styleId="boldface">
    <w:name w:val="boldface"/>
    <w:rsid w:val="00FF1C09"/>
    <w:rPr>
      <w:b/>
      <w:bCs/>
    </w:rPr>
  </w:style>
  <w:style w:type="paragraph" w:customStyle="1" w:styleId="title-division-12">
    <w:name w:val="title-division-12"/>
    <w:basedOn w:val="Normal"/>
    <w:rsid w:val="00FF1C09"/>
    <w:pPr>
      <w:spacing w:after="120" w:line="312" w:lineRule="atLeast"/>
      <w:jc w:val="center"/>
    </w:pPr>
    <w:rPr>
      <w:szCs w:val="24"/>
      <w:lang w:eastAsia="en-GB"/>
    </w:rPr>
  </w:style>
  <w:style w:type="paragraph" w:customStyle="1" w:styleId="title-division-22">
    <w:name w:val="title-division-22"/>
    <w:basedOn w:val="Normal"/>
    <w:rsid w:val="00FF1C09"/>
    <w:pPr>
      <w:spacing w:after="120" w:line="312" w:lineRule="atLeast"/>
      <w:jc w:val="center"/>
    </w:pPr>
    <w:rPr>
      <w:b/>
      <w:bCs/>
      <w:szCs w:val="24"/>
      <w:lang w:eastAsia="en-GB"/>
    </w:rPr>
  </w:style>
  <w:style w:type="paragraph" w:customStyle="1" w:styleId="title-article-norm2">
    <w:name w:val="title-article-norm2"/>
    <w:basedOn w:val="Normal"/>
    <w:rsid w:val="00FF1C09"/>
    <w:pPr>
      <w:spacing w:before="240" w:after="120" w:line="312" w:lineRule="atLeast"/>
      <w:jc w:val="center"/>
    </w:pPr>
    <w:rPr>
      <w:i/>
      <w:iCs/>
      <w:szCs w:val="24"/>
      <w:lang w:eastAsia="en-GB"/>
    </w:rPr>
  </w:style>
  <w:style w:type="paragraph" w:customStyle="1" w:styleId="stitle-article-norm2">
    <w:name w:val="stitle-article-norm2"/>
    <w:basedOn w:val="Normal"/>
    <w:rsid w:val="00FF1C09"/>
    <w:pPr>
      <w:spacing w:before="240" w:after="120" w:line="312" w:lineRule="atLeast"/>
      <w:jc w:val="center"/>
    </w:pPr>
    <w:rPr>
      <w:b/>
      <w:bCs/>
      <w:szCs w:val="24"/>
      <w:lang w:eastAsia="en-GB"/>
    </w:rPr>
  </w:style>
  <w:style w:type="paragraph" w:customStyle="1" w:styleId="norm3">
    <w:name w:val="norm3"/>
    <w:basedOn w:val="Normal"/>
    <w:rsid w:val="00FF1C09"/>
    <w:pPr>
      <w:spacing w:before="120" w:after="0" w:line="312" w:lineRule="atLeast"/>
    </w:pPr>
    <w:rPr>
      <w:szCs w:val="24"/>
      <w:lang w:eastAsia="en-GB"/>
    </w:rPr>
  </w:style>
  <w:style w:type="paragraph" w:customStyle="1" w:styleId="c01pointnumerotealtn">
    <w:name w:val="c01pointnumerotealtn"/>
    <w:basedOn w:val="Normal"/>
    <w:rsid w:val="00FF1C09"/>
    <w:pPr>
      <w:spacing w:before="100" w:beforeAutospacing="1"/>
      <w:ind w:left="567" w:hanging="539"/>
    </w:pPr>
    <w:rPr>
      <w:szCs w:val="24"/>
      <w:lang w:eastAsia="en-GB"/>
    </w:rPr>
  </w:style>
  <w:style w:type="paragraph" w:customStyle="1" w:styleId="c02alineaalta">
    <w:name w:val="c02alineaalta"/>
    <w:basedOn w:val="Normal"/>
    <w:rsid w:val="00FF1C09"/>
    <w:pPr>
      <w:ind w:left="567"/>
    </w:pPr>
    <w:rPr>
      <w:szCs w:val="24"/>
      <w:lang w:eastAsia="en-GB"/>
    </w:rPr>
  </w:style>
  <w:style w:type="paragraph" w:customStyle="1" w:styleId="c03tiretlong">
    <w:name w:val="c03tiretlong"/>
    <w:basedOn w:val="Normal"/>
    <w:rsid w:val="00FF1C09"/>
    <w:pPr>
      <w:spacing w:before="100" w:beforeAutospacing="1"/>
      <w:ind w:left="1134" w:hanging="567"/>
    </w:pPr>
    <w:rPr>
      <w:szCs w:val="24"/>
      <w:lang w:eastAsia="en-GB"/>
    </w:rPr>
  </w:style>
  <w:style w:type="paragraph" w:customStyle="1" w:styleId="c34niveau7titre3">
    <w:name w:val="c34niveau7titre3"/>
    <w:basedOn w:val="Normal"/>
    <w:rsid w:val="00FF1C09"/>
    <w:pPr>
      <w:spacing w:before="100" w:beforeAutospacing="1"/>
      <w:ind w:left="567"/>
    </w:pPr>
    <w:rPr>
      <w:i/>
      <w:iCs/>
      <w:szCs w:val="24"/>
      <w:lang w:eastAsia="en-GB"/>
    </w:rPr>
  </w:style>
  <w:style w:type="paragraph" w:customStyle="1" w:styleId="c35niveau7titre4">
    <w:name w:val="c35niveau7titre4"/>
    <w:basedOn w:val="Normal"/>
    <w:rsid w:val="00FF1C09"/>
    <w:pPr>
      <w:spacing w:before="100" w:beforeAutospacing="1"/>
      <w:ind w:left="567"/>
    </w:pPr>
    <w:rPr>
      <w:szCs w:val="24"/>
      <w:lang w:eastAsia="en-GB"/>
    </w:rPr>
  </w:style>
  <w:style w:type="paragraph" w:customStyle="1" w:styleId="c36niveau7titre5">
    <w:name w:val="c36niveau7titre5"/>
    <w:basedOn w:val="Normal"/>
    <w:rsid w:val="00FF1C09"/>
    <w:pPr>
      <w:spacing w:before="100" w:beforeAutospacing="1"/>
      <w:ind w:left="567"/>
    </w:pPr>
    <w:rPr>
      <w:szCs w:val="24"/>
      <w:lang w:eastAsia="en-GB"/>
    </w:rPr>
  </w:style>
  <w:style w:type="character" w:styleId="CommentReference">
    <w:name w:val="annotation reference"/>
    <w:uiPriority w:val="99"/>
    <w:semiHidden/>
    <w:unhideWhenUsed/>
    <w:rsid w:val="00FF1C09"/>
    <w:rPr>
      <w:sz w:val="16"/>
      <w:szCs w:val="16"/>
    </w:rPr>
  </w:style>
  <w:style w:type="character" w:customStyle="1" w:styleId="CommentTextChar">
    <w:name w:val="Comment Text Char"/>
    <w:uiPriority w:val="99"/>
    <w:rsid w:val="00FF1C09"/>
    <w:rPr>
      <w:lang w:eastAsia="en-US"/>
    </w:rPr>
  </w:style>
  <w:style w:type="paragraph" w:styleId="CommentSubject">
    <w:name w:val="annotation subject"/>
    <w:basedOn w:val="CommentText"/>
    <w:next w:val="CommentText"/>
    <w:link w:val="CommentSubjectChar"/>
    <w:uiPriority w:val="99"/>
    <w:semiHidden/>
    <w:unhideWhenUsed/>
    <w:rsid w:val="00FF1C09"/>
    <w:pPr>
      <w:spacing w:after="200" w:line="276" w:lineRule="auto"/>
      <w:jc w:val="left"/>
    </w:pPr>
    <w:rPr>
      <w:rFonts w:ascii="Calibri" w:eastAsia="Calibri" w:hAnsi="Calibri"/>
      <w:b/>
      <w:bCs/>
    </w:rPr>
  </w:style>
  <w:style w:type="character" w:customStyle="1" w:styleId="CommentTextChar1">
    <w:name w:val="Comment Text Char1"/>
    <w:basedOn w:val="DefaultParagraphFont"/>
    <w:link w:val="CommentText"/>
    <w:uiPriority w:val="99"/>
    <w:rsid w:val="00FF1C09"/>
    <w:rPr>
      <w:lang w:eastAsia="en-US"/>
    </w:rPr>
  </w:style>
  <w:style w:type="character" w:customStyle="1" w:styleId="CommentSubjectChar">
    <w:name w:val="Comment Subject Char"/>
    <w:basedOn w:val="CommentTextChar1"/>
    <w:link w:val="CommentSubject"/>
    <w:uiPriority w:val="99"/>
    <w:semiHidden/>
    <w:rsid w:val="00FF1C09"/>
    <w:rPr>
      <w:rFonts w:ascii="Calibri" w:eastAsia="Calibri" w:hAnsi="Calibri"/>
      <w:b/>
      <w:bCs/>
      <w:lang w:eastAsia="en-US"/>
    </w:rPr>
  </w:style>
  <w:style w:type="paragraph" w:styleId="Revision">
    <w:name w:val="Revision"/>
    <w:hidden/>
    <w:uiPriority w:val="99"/>
    <w:semiHidden/>
    <w:rsid w:val="00FF1C09"/>
    <w:rPr>
      <w:rFonts w:ascii="Calibri" w:eastAsia="Calibri" w:hAnsi="Calibri"/>
      <w:sz w:val="22"/>
      <w:szCs w:val="22"/>
      <w:lang w:eastAsia="en-US"/>
    </w:rPr>
  </w:style>
  <w:style w:type="paragraph" w:customStyle="1" w:styleId="normal2">
    <w:name w:val="normal2"/>
    <w:basedOn w:val="Normal"/>
    <w:rsid w:val="00FF1C09"/>
    <w:pPr>
      <w:spacing w:before="120" w:after="0" w:line="312" w:lineRule="atLeast"/>
    </w:pPr>
    <w:rPr>
      <w:szCs w:val="24"/>
      <w:lang w:eastAsia="en-GB"/>
    </w:rPr>
  </w:style>
  <w:style w:type="paragraph" w:customStyle="1" w:styleId="c19centre">
    <w:name w:val="c19centre"/>
    <w:basedOn w:val="Normal"/>
    <w:rsid w:val="00FF1C09"/>
    <w:pPr>
      <w:ind w:left="567"/>
      <w:jc w:val="center"/>
    </w:pPr>
    <w:rPr>
      <w:szCs w:val="24"/>
      <w:lang w:eastAsia="en-GB"/>
    </w:rPr>
  </w:style>
  <w:style w:type="table" w:styleId="TableGrid">
    <w:name w:val="Table Grid"/>
    <w:basedOn w:val="TableNormal"/>
    <w:uiPriority w:val="59"/>
    <w:rsid w:val="00FF1C0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rsid w:val="00FF1C09"/>
    <w:rPr>
      <w:rFonts w:ascii="Courier New" w:hAnsi="Courier New"/>
      <w:lang w:eastAsia="en-US"/>
    </w:rPr>
  </w:style>
  <w:style w:type="paragraph" w:customStyle="1" w:styleId="Normal20">
    <w:name w:val="Normal2"/>
    <w:basedOn w:val="Normal"/>
    <w:rsid w:val="00FF1C09"/>
    <w:pPr>
      <w:spacing w:before="120" w:after="0"/>
    </w:pPr>
    <w:rPr>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1"/>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FF1C09"/>
    <w:rPr>
      <w:rFonts w:ascii="Arial" w:hAnsi="Arial"/>
      <w:sz w:val="16"/>
      <w:lang w:eastAsia="en-US"/>
    </w:rPr>
  </w:style>
  <w:style w:type="character" w:customStyle="1" w:styleId="DateChar">
    <w:name w:val="Date Char"/>
    <w:basedOn w:val="DefaultParagraphFont"/>
    <w:link w:val="Date"/>
    <w:uiPriority w:val="99"/>
    <w:locked/>
    <w:rsid w:val="00FF1C09"/>
    <w:rPr>
      <w:sz w:val="24"/>
      <w:lang w:eastAsia="en-US"/>
    </w:rPr>
  </w:style>
  <w:style w:type="character" w:customStyle="1" w:styleId="SignatureChar">
    <w:name w:val="Signature Char"/>
    <w:basedOn w:val="DefaultParagraphFont"/>
    <w:link w:val="Signature"/>
    <w:uiPriority w:val="99"/>
    <w:locked/>
    <w:rsid w:val="00FF1C09"/>
    <w:rPr>
      <w:sz w:val="24"/>
      <w:lang w:eastAsia="en-US"/>
    </w:rPr>
  </w:style>
  <w:style w:type="paragraph" w:customStyle="1" w:styleId="ZCom">
    <w:name w:val="Z_Com"/>
    <w:basedOn w:val="Normal"/>
    <w:next w:val="ZDGName"/>
    <w:uiPriority w:val="99"/>
    <w:rsid w:val="00FF1C0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FF1C0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FF1C09"/>
    <w:rPr>
      <w:sz w:val="24"/>
      <w:lang w:eastAsia="en-US"/>
    </w:rPr>
  </w:style>
  <w:style w:type="paragraph" w:styleId="BalloonText">
    <w:name w:val="Balloon Text"/>
    <w:basedOn w:val="Normal"/>
    <w:link w:val="BalloonTextChar"/>
    <w:uiPriority w:val="99"/>
    <w:semiHidden/>
    <w:unhideWhenUsed/>
    <w:rsid w:val="00FF1C09"/>
    <w:pPr>
      <w:spacing w:after="0"/>
      <w:jc w:val="left"/>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FF1C09"/>
    <w:rPr>
      <w:rFonts w:ascii="Tahoma" w:eastAsia="Calibri" w:hAnsi="Tahoma"/>
      <w:sz w:val="16"/>
      <w:szCs w:val="16"/>
      <w:lang w:eastAsia="en-US"/>
    </w:rPr>
  </w:style>
  <w:style w:type="character" w:customStyle="1" w:styleId="Heading1Char">
    <w:name w:val="Heading 1 Char"/>
    <w:link w:val="Heading1"/>
    <w:uiPriority w:val="9"/>
    <w:rsid w:val="00FF1C09"/>
    <w:rPr>
      <w:b/>
      <w:smallCaps/>
      <w:sz w:val="24"/>
      <w:lang w:eastAsia="en-US"/>
    </w:rPr>
  </w:style>
  <w:style w:type="character" w:customStyle="1" w:styleId="FootnoteTextChar">
    <w:name w:val="Footnote Text Char"/>
    <w:link w:val="FootnoteText"/>
    <w:uiPriority w:val="99"/>
    <w:rsid w:val="00FF1C09"/>
    <w:rPr>
      <w:lang w:eastAsia="en-US"/>
    </w:rPr>
  </w:style>
  <w:style w:type="character" w:styleId="FootnoteReference">
    <w:name w:val="footnote reference"/>
    <w:unhideWhenUsed/>
    <w:rsid w:val="00FF1C09"/>
    <w:rPr>
      <w:shd w:val="clear" w:color="auto" w:fill="auto"/>
      <w:vertAlign w:val="superscript"/>
    </w:rPr>
  </w:style>
  <w:style w:type="paragraph" w:customStyle="1" w:styleId="CM1">
    <w:name w:val="CM1"/>
    <w:basedOn w:val="Normal"/>
    <w:next w:val="Normal"/>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CM3">
    <w:name w:val="CM3"/>
    <w:basedOn w:val="Normal"/>
    <w:next w:val="Normal"/>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CM4">
    <w:name w:val="CM4"/>
    <w:basedOn w:val="Normal"/>
    <w:next w:val="Normal"/>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Default">
    <w:name w:val="Default"/>
    <w:rsid w:val="00FF1C09"/>
    <w:pPr>
      <w:autoSpaceDE w:val="0"/>
      <w:autoSpaceDN w:val="0"/>
      <w:adjustRightInd w:val="0"/>
    </w:pPr>
    <w:rPr>
      <w:rFonts w:ascii="EUAlbertina" w:eastAsia="Calibri" w:hAnsi="EUAlbertina" w:cs="EUAlbertina"/>
      <w:color w:val="000000"/>
      <w:sz w:val="24"/>
      <w:szCs w:val="24"/>
    </w:rPr>
  </w:style>
  <w:style w:type="character" w:styleId="Hyperlink">
    <w:name w:val="Hyperlink"/>
    <w:uiPriority w:val="99"/>
    <w:unhideWhenUsed/>
    <w:rsid w:val="00FF1C09"/>
    <w:rPr>
      <w:color w:val="0000FF"/>
      <w:u w:val="single"/>
    </w:rPr>
  </w:style>
  <w:style w:type="paragraph" w:customStyle="1" w:styleId="doc-ti">
    <w:name w:val="doc-ti"/>
    <w:basedOn w:val="Normal"/>
    <w:rsid w:val="00FF1C09"/>
    <w:pPr>
      <w:spacing w:before="240" w:after="120"/>
      <w:jc w:val="center"/>
    </w:pPr>
    <w:rPr>
      <w:b/>
      <w:bCs/>
      <w:szCs w:val="24"/>
      <w:lang w:eastAsia="en-GB"/>
    </w:rPr>
  </w:style>
  <w:style w:type="paragraph" w:customStyle="1" w:styleId="Normal1">
    <w:name w:val="Normal1"/>
    <w:basedOn w:val="Normal"/>
    <w:rsid w:val="00FF1C09"/>
    <w:pPr>
      <w:spacing w:before="120" w:after="0"/>
    </w:pPr>
    <w:rPr>
      <w:szCs w:val="24"/>
      <w:lang w:eastAsia="en-GB"/>
    </w:rPr>
  </w:style>
  <w:style w:type="paragraph" w:customStyle="1" w:styleId="sti-art">
    <w:name w:val="sti-art"/>
    <w:basedOn w:val="Normal"/>
    <w:rsid w:val="00FF1C09"/>
    <w:pPr>
      <w:spacing w:before="60" w:after="120"/>
      <w:jc w:val="center"/>
    </w:pPr>
    <w:rPr>
      <w:b/>
      <w:bCs/>
      <w:szCs w:val="24"/>
      <w:lang w:eastAsia="en-GB"/>
    </w:rPr>
  </w:style>
  <w:style w:type="paragraph" w:customStyle="1" w:styleId="ti-art">
    <w:name w:val="ti-art"/>
    <w:basedOn w:val="Normal"/>
    <w:rsid w:val="00FF1C09"/>
    <w:pPr>
      <w:spacing w:before="360" w:after="120"/>
      <w:jc w:val="center"/>
    </w:pPr>
    <w:rPr>
      <w:i/>
      <w:iCs/>
      <w:szCs w:val="24"/>
      <w:lang w:eastAsia="en-GB"/>
    </w:rPr>
  </w:style>
  <w:style w:type="paragraph" w:styleId="ListParagraph">
    <w:name w:val="List Paragraph"/>
    <w:basedOn w:val="Normal"/>
    <w:uiPriority w:val="34"/>
    <w:qFormat/>
    <w:rsid w:val="00FF1C09"/>
    <w:pPr>
      <w:spacing w:after="0"/>
      <w:ind w:left="720"/>
      <w:jc w:val="left"/>
    </w:pPr>
    <w:rPr>
      <w:rFonts w:ascii="Calibri" w:eastAsia="Calibri" w:hAnsi="Calibri"/>
      <w:sz w:val="22"/>
      <w:szCs w:val="22"/>
    </w:rPr>
  </w:style>
  <w:style w:type="character" w:customStyle="1" w:styleId="boldface">
    <w:name w:val="boldface"/>
    <w:rsid w:val="00FF1C09"/>
    <w:rPr>
      <w:b/>
      <w:bCs/>
    </w:rPr>
  </w:style>
  <w:style w:type="paragraph" w:customStyle="1" w:styleId="title-division-12">
    <w:name w:val="title-division-12"/>
    <w:basedOn w:val="Normal"/>
    <w:rsid w:val="00FF1C09"/>
    <w:pPr>
      <w:spacing w:after="120" w:line="312" w:lineRule="atLeast"/>
      <w:jc w:val="center"/>
    </w:pPr>
    <w:rPr>
      <w:szCs w:val="24"/>
      <w:lang w:eastAsia="en-GB"/>
    </w:rPr>
  </w:style>
  <w:style w:type="paragraph" w:customStyle="1" w:styleId="title-division-22">
    <w:name w:val="title-division-22"/>
    <w:basedOn w:val="Normal"/>
    <w:rsid w:val="00FF1C09"/>
    <w:pPr>
      <w:spacing w:after="120" w:line="312" w:lineRule="atLeast"/>
      <w:jc w:val="center"/>
    </w:pPr>
    <w:rPr>
      <w:b/>
      <w:bCs/>
      <w:szCs w:val="24"/>
      <w:lang w:eastAsia="en-GB"/>
    </w:rPr>
  </w:style>
  <w:style w:type="paragraph" w:customStyle="1" w:styleId="title-article-norm2">
    <w:name w:val="title-article-norm2"/>
    <w:basedOn w:val="Normal"/>
    <w:rsid w:val="00FF1C09"/>
    <w:pPr>
      <w:spacing w:before="240" w:after="120" w:line="312" w:lineRule="atLeast"/>
      <w:jc w:val="center"/>
    </w:pPr>
    <w:rPr>
      <w:i/>
      <w:iCs/>
      <w:szCs w:val="24"/>
      <w:lang w:eastAsia="en-GB"/>
    </w:rPr>
  </w:style>
  <w:style w:type="paragraph" w:customStyle="1" w:styleId="stitle-article-norm2">
    <w:name w:val="stitle-article-norm2"/>
    <w:basedOn w:val="Normal"/>
    <w:rsid w:val="00FF1C09"/>
    <w:pPr>
      <w:spacing w:before="240" w:after="120" w:line="312" w:lineRule="atLeast"/>
      <w:jc w:val="center"/>
    </w:pPr>
    <w:rPr>
      <w:b/>
      <w:bCs/>
      <w:szCs w:val="24"/>
      <w:lang w:eastAsia="en-GB"/>
    </w:rPr>
  </w:style>
  <w:style w:type="paragraph" w:customStyle="1" w:styleId="norm3">
    <w:name w:val="norm3"/>
    <w:basedOn w:val="Normal"/>
    <w:rsid w:val="00FF1C09"/>
    <w:pPr>
      <w:spacing w:before="120" w:after="0" w:line="312" w:lineRule="atLeast"/>
    </w:pPr>
    <w:rPr>
      <w:szCs w:val="24"/>
      <w:lang w:eastAsia="en-GB"/>
    </w:rPr>
  </w:style>
  <w:style w:type="paragraph" w:customStyle="1" w:styleId="c01pointnumerotealtn">
    <w:name w:val="c01pointnumerotealtn"/>
    <w:basedOn w:val="Normal"/>
    <w:rsid w:val="00FF1C09"/>
    <w:pPr>
      <w:spacing w:before="100" w:beforeAutospacing="1"/>
      <w:ind w:left="567" w:hanging="539"/>
    </w:pPr>
    <w:rPr>
      <w:szCs w:val="24"/>
      <w:lang w:eastAsia="en-GB"/>
    </w:rPr>
  </w:style>
  <w:style w:type="paragraph" w:customStyle="1" w:styleId="c02alineaalta">
    <w:name w:val="c02alineaalta"/>
    <w:basedOn w:val="Normal"/>
    <w:rsid w:val="00FF1C09"/>
    <w:pPr>
      <w:ind w:left="567"/>
    </w:pPr>
    <w:rPr>
      <w:szCs w:val="24"/>
      <w:lang w:eastAsia="en-GB"/>
    </w:rPr>
  </w:style>
  <w:style w:type="paragraph" w:customStyle="1" w:styleId="c03tiretlong">
    <w:name w:val="c03tiretlong"/>
    <w:basedOn w:val="Normal"/>
    <w:rsid w:val="00FF1C09"/>
    <w:pPr>
      <w:spacing w:before="100" w:beforeAutospacing="1"/>
      <w:ind w:left="1134" w:hanging="567"/>
    </w:pPr>
    <w:rPr>
      <w:szCs w:val="24"/>
      <w:lang w:eastAsia="en-GB"/>
    </w:rPr>
  </w:style>
  <w:style w:type="paragraph" w:customStyle="1" w:styleId="c34niveau7titre3">
    <w:name w:val="c34niveau7titre3"/>
    <w:basedOn w:val="Normal"/>
    <w:rsid w:val="00FF1C09"/>
    <w:pPr>
      <w:spacing w:before="100" w:beforeAutospacing="1"/>
      <w:ind w:left="567"/>
    </w:pPr>
    <w:rPr>
      <w:i/>
      <w:iCs/>
      <w:szCs w:val="24"/>
      <w:lang w:eastAsia="en-GB"/>
    </w:rPr>
  </w:style>
  <w:style w:type="paragraph" w:customStyle="1" w:styleId="c35niveau7titre4">
    <w:name w:val="c35niveau7titre4"/>
    <w:basedOn w:val="Normal"/>
    <w:rsid w:val="00FF1C09"/>
    <w:pPr>
      <w:spacing w:before="100" w:beforeAutospacing="1"/>
      <w:ind w:left="567"/>
    </w:pPr>
    <w:rPr>
      <w:szCs w:val="24"/>
      <w:lang w:eastAsia="en-GB"/>
    </w:rPr>
  </w:style>
  <w:style w:type="paragraph" w:customStyle="1" w:styleId="c36niveau7titre5">
    <w:name w:val="c36niveau7titre5"/>
    <w:basedOn w:val="Normal"/>
    <w:rsid w:val="00FF1C09"/>
    <w:pPr>
      <w:spacing w:before="100" w:beforeAutospacing="1"/>
      <w:ind w:left="567"/>
    </w:pPr>
    <w:rPr>
      <w:szCs w:val="24"/>
      <w:lang w:eastAsia="en-GB"/>
    </w:rPr>
  </w:style>
  <w:style w:type="character" w:styleId="CommentReference">
    <w:name w:val="annotation reference"/>
    <w:uiPriority w:val="99"/>
    <w:semiHidden/>
    <w:unhideWhenUsed/>
    <w:rsid w:val="00FF1C09"/>
    <w:rPr>
      <w:sz w:val="16"/>
      <w:szCs w:val="16"/>
    </w:rPr>
  </w:style>
  <w:style w:type="character" w:customStyle="1" w:styleId="CommentTextChar">
    <w:name w:val="Comment Text Char"/>
    <w:uiPriority w:val="99"/>
    <w:rsid w:val="00FF1C09"/>
    <w:rPr>
      <w:lang w:eastAsia="en-US"/>
    </w:rPr>
  </w:style>
  <w:style w:type="paragraph" w:styleId="CommentSubject">
    <w:name w:val="annotation subject"/>
    <w:basedOn w:val="CommentText"/>
    <w:next w:val="CommentText"/>
    <w:link w:val="CommentSubjectChar"/>
    <w:uiPriority w:val="99"/>
    <w:semiHidden/>
    <w:unhideWhenUsed/>
    <w:rsid w:val="00FF1C09"/>
    <w:pPr>
      <w:spacing w:after="200" w:line="276" w:lineRule="auto"/>
      <w:jc w:val="left"/>
    </w:pPr>
    <w:rPr>
      <w:rFonts w:ascii="Calibri" w:eastAsia="Calibri" w:hAnsi="Calibri"/>
      <w:b/>
      <w:bCs/>
    </w:rPr>
  </w:style>
  <w:style w:type="character" w:customStyle="1" w:styleId="CommentTextChar1">
    <w:name w:val="Comment Text Char1"/>
    <w:basedOn w:val="DefaultParagraphFont"/>
    <w:link w:val="CommentText"/>
    <w:uiPriority w:val="99"/>
    <w:rsid w:val="00FF1C09"/>
    <w:rPr>
      <w:lang w:eastAsia="en-US"/>
    </w:rPr>
  </w:style>
  <w:style w:type="character" w:customStyle="1" w:styleId="CommentSubjectChar">
    <w:name w:val="Comment Subject Char"/>
    <w:basedOn w:val="CommentTextChar1"/>
    <w:link w:val="CommentSubject"/>
    <w:uiPriority w:val="99"/>
    <w:semiHidden/>
    <w:rsid w:val="00FF1C09"/>
    <w:rPr>
      <w:rFonts w:ascii="Calibri" w:eastAsia="Calibri" w:hAnsi="Calibri"/>
      <w:b/>
      <w:bCs/>
      <w:lang w:eastAsia="en-US"/>
    </w:rPr>
  </w:style>
  <w:style w:type="paragraph" w:styleId="Revision">
    <w:name w:val="Revision"/>
    <w:hidden/>
    <w:uiPriority w:val="99"/>
    <w:semiHidden/>
    <w:rsid w:val="00FF1C09"/>
    <w:rPr>
      <w:rFonts w:ascii="Calibri" w:eastAsia="Calibri" w:hAnsi="Calibri"/>
      <w:sz w:val="22"/>
      <w:szCs w:val="22"/>
      <w:lang w:eastAsia="en-US"/>
    </w:rPr>
  </w:style>
  <w:style w:type="paragraph" w:customStyle="1" w:styleId="normal2">
    <w:name w:val="normal2"/>
    <w:basedOn w:val="Normal"/>
    <w:rsid w:val="00FF1C09"/>
    <w:pPr>
      <w:spacing w:before="120" w:after="0" w:line="312" w:lineRule="atLeast"/>
    </w:pPr>
    <w:rPr>
      <w:szCs w:val="24"/>
      <w:lang w:eastAsia="en-GB"/>
    </w:rPr>
  </w:style>
  <w:style w:type="paragraph" w:customStyle="1" w:styleId="c19centre">
    <w:name w:val="c19centre"/>
    <w:basedOn w:val="Normal"/>
    <w:rsid w:val="00FF1C09"/>
    <w:pPr>
      <w:ind w:left="567"/>
      <w:jc w:val="center"/>
    </w:pPr>
    <w:rPr>
      <w:szCs w:val="24"/>
      <w:lang w:eastAsia="en-GB"/>
    </w:rPr>
  </w:style>
  <w:style w:type="table" w:styleId="TableGrid">
    <w:name w:val="Table Grid"/>
    <w:basedOn w:val="TableNormal"/>
    <w:uiPriority w:val="59"/>
    <w:rsid w:val="00FF1C0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rsid w:val="00FF1C09"/>
    <w:rPr>
      <w:rFonts w:ascii="Courier New" w:hAnsi="Courier New"/>
      <w:lang w:eastAsia="en-US"/>
    </w:rPr>
  </w:style>
  <w:style w:type="paragraph" w:customStyle="1" w:styleId="Normal20">
    <w:name w:val="Normal2"/>
    <w:basedOn w:val="Normal"/>
    <w:rsid w:val="00FF1C09"/>
    <w:pPr>
      <w:spacing w:before="120" w:after="0"/>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c.europa.eu/internal_market/publicprocurement/docs/public_public_cooperation/sec2011_1169_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if.org/news_centre/publications/2009_EIF_Guide_for_Procurement.htm" TargetMode="External"/><Relationship Id="rId2" Type="http://schemas.openxmlformats.org/officeDocument/2006/relationships/hyperlink" Target="http://www.eib.org/attachments/strategies/eib_guide_for_procurement_services_en.pdf" TargetMode="External"/><Relationship Id="rId1" Type="http://schemas.openxmlformats.org/officeDocument/2006/relationships/hyperlink" Target="http://eur-lex.europa.eu/legal-content/EN/AUTO/?uri=OJ:L:2013:347: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4239-406F-41A4-ADC5-B24A49E8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TotalTime>
  <Pages>29</Pages>
  <Words>10834</Words>
  <Characters>61856</Characters>
  <Application>Microsoft Office Word</Application>
  <DocSecurity>4</DocSecurity>
  <PresentationFormat>Microsoft Word 14.0</PresentationFormat>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DEFFAA</dc:creator>
  <cp:keywords>EL4</cp:keywords>
  <cp:lastModifiedBy>Author</cp:lastModifiedBy>
  <cp:revision>2</cp:revision>
  <cp:lastPrinted>2016-02-18T12:53:00Z</cp:lastPrinted>
  <dcterms:created xsi:type="dcterms:W3CDTF">2016-02-19T15:48:00Z</dcterms:created>
  <dcterms:modified xsi:type="dcterms:W3CDTF">2016-02-19T15:48:00Z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Walter DEFFAA</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