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D54DD" w14:textId="77777777" w:rsidR="00797148" w:rsidRDefault="00797148" w:rsidP="00797148">
      <w:pPr>
        <w:tabs>
          <w:tab w:val="right" w:pos="8280"/>
        </w:tabs>
        <w:ind w:right="-22"/>
        <w:jc w:val="left"/>
        <w:rPr>
          <w:rFonts w:ascii="Verdana" w:hAnsi="Verdana"/>
          <w:caps/>
          <w:sz w:val="20"/>
        </w:rPr>
      </w:pPr>
    </w:p>
    <w:p w14:paraId="111D71A3" w14:textId="77777777" w:rsidR="00797148" w:rsidRDefault="00797148" w:rsidP="00797148">
      <w:pPr>
        <w:tabs>
          <w:tab w:val="right" w:pos="8280"/>
        </w:tabs>
        <w:ind w:right="-22"/>
        <w:jc w:val="left"/>
        <w:rPr>
          <w:rFonts w:ascii="Verdana" w:hAnsi="Verdana"/>
          <w:caps/>
          <w:sz w:val="20"/>
        </w:rPr>
      </w:pPr>
    </w:p>
    <w:p w14:paraId="319D3B67" w14:textId="77777777" w:rsidR="00797148" w:rsidRDefault="00797148" w:rsidP="00797148">
      <w:pPr>
        <w:tabs>
          <w:tab w:val="right" w:pos="8280"/>
        </w:tabs>
        <w:ind w:right="-22"/>
        <w:jc w:val="left"/>
        <w:rPr>
          <w:rFonts w:ascii="Verdana" w:hAnsi="Verdana"/>
          <w:caps/>
          <w:sz w:val="20"/>
        </w:rPr>
      </w:pPr>
    </w:p>
    <w:p w14:paraId="77FCB94E" w14:textId="77777777" w:rsidR="00797148" w:rsidRPr="009B6318" w:rsidRDefault="00797148" w:rsidP="00797148">
      <w:pPr>
        <w:tabs>
          <w:tab w:val="right" w:pos="8280"/>
        </w:tabs>
        <w:ind w:right="-22"/>
        <w:jc w:val="left"/>
        <w:rPr>
          <w:rFonts w:ascii="Verdana" w:hAnsi="Verdana"/>
          <w:caps/>
          <w:sz w:val="20"/>
        </w:rPr>
      </w:pPr>
    </w:p>
    <w:p w14:paraId="355DCBD7" w14:textId="77777777" w:rsidR="00797148" w:rsidRPr="0030325A" w:rsidRDefault="00797148" w:rsidP="00797148">
      <w:pPr>
        <w:pStyle w:val="Header"/>
        <w:tabs>
          <w:tab w:val="left" w:pos="3420"/>
          <w:tab w:val="right" w:pos="9000"/>
        </w:tabs>
        <w:jc w:val="left"/>
        <w:rPr>
          <w:rFonts w:ascii="Verdana" w:hAnsi="Verdana"/>
          <w:color w:val="333333"/>
          <w:sz w:val="20"/>
          <w:lang w:val="en-GB"/>
        </w:rPr>
      </w:pPr>
    </w:p>
    <w:p w14:paraId="6A61BD29" w14:textId="77777777" w:rsidR="00797148" w:rsidRPr="0030325A" w:rsidRDefault="00797148" w:rsidP="00797148">
      <w:pPr>
        <w:pStyle w:val="Header"/>
        <w:tabs>
          <w:tab w:val="left" w:pos="3420"/>
          <w:tab w:val="right" w:pos="9000"/>
        </w:tabs>
        <w:jc w:val="left"/>
        <w:rPr>
          <w:rFonts w:ascii="Verdana" w:hAnsi="Verdana"/>
          <w:color w:val="333333"/>
          <w:sz w:val="20"/>
          <w:lang w:val="en-GB"/>
        </w:rPr>
      </w:pPr>
    </w:p>
    <w:p w14:paraId="3E5D6D93" w14:textId="77777777" w:rsidR="00696241" w:rsidRPr="00022524" w:rsidRDefault="00C7467D" w:rsidP="00C7467D">
      <w:pPr>
        <w:pStyle w:val="DocumentSubtitle"/>
        <w:rPr>
          <w:b/>
          <w:sz w:val="52"/>
          <w:szCs w:val="52"/>
        </w:rPr>
      </w:pPr>
      <w:r w:rsidRPr="00022524">
        <w:rPr>
          <w:b/>
          <w:sz w:val="52"/>
          <w:szCs w:val="52"/>
        </w:rPr>
        <w:t>The implementation of the performance framework</w:t>
      </w:r>
      <w:r w:rsidR="00C34FB6" w:rsidRPr="00022524">
        <w:rPr>
          <w:b/>
          <w:sz w:val="52"/>
          <w:szCs w:val="52"/>
        </w:rPr>
        <w:t>s</w:t>
      </w:r>
      <w:r w:rsidRPr="00022524">
        <w:rPr>
          <w:b/>
          <w:sz w:val="52"/>
          <w:szCs w:val="52"/>
        </w:rPr>
        <w:t xml:space="preserve"> in 2014-2020</w:t>
      </w:r>
      <w:r w:rsidR="00DD1BED" w:rsidRPr="00022524">
        <w:rPr>
          <w:b/>
          <w:sz w:val="52"/>
          <w:szCs w:val="52"/>
        </w:rPr>
        <w:t xml:space="preserve"> </w:t>
      </w:r>
      <w:r w:rsidRPr="00022524">
        <w:rPr>
          <w:b/>
          <w:sz w:val="52"/>
          <w:szCs w:val="52"/>
        </w:rPr>
        <w:t>ESI Funds</w:t>
      </w:r>
    </w:p>
    <w:p w14:paraId="6834EB9B" w14:textId="77777777" w:rsidR="00DA42B4" w:rsidRPr="00022524" w:rsidRDefault="00DA42B4" w:rsidP="00C7467D">
      <w:pPr>
        <w:pStyle w:val="DocumentSubtitle"/>
        <w:rPr>
          <w:b/>
          <w:sz w:val="52"/>
          <w:szCs w:val="52"/>
        </w:rPr>
      </w:pPr>
    </w:p>
    <w:p w14:paraId="513F935E" w14:textId="5E83782B" w:rsidR="006B26AA" w:rsidRPr="00022524" w:rsidRDefault="00B5653B" w:rsidP="00096F14">
      <w:pPr>
        <w:pStyle w:val="DocumentSubtitle"/>
        <w:tabs>
          <w:tab w:val="left" w:pos="4536"/>
        </w:tabs>
        <w:outlineLvl w:val="0"/>
      </w:pPr>
      <w:bookmarkStart w:id="0" w:name="_Toc433973066"/>
      <w:r w:rsidRPr="00022524">
        <w:t>Draft Final</w:t>
      </w:r>
      <w:r w:rsidR="00C7467D" w:rsidRPr="00022524">
        <w:t xml:space="preserve"> Report – </w:t>
      </w:r>
      <w:r w:rsidR="00CE6365">
        <w:t>April</w:t>
      </w:r>
      <w:r w:rsidR="00CE6365" w:rsidRPr="00022524">
        <w:t xml:space="preserve"> </w:t>
      </w:r>
      <w:r w:rsidR="00C7467D" w:rsidRPr="00022524">
        <w:t>201</w:t>
      </w:r>
      <w:bookmarkEnd w:id="0"/>
      <w:r w:rsidR="00A85763" w:rsidRPr="00022524">
        <w:t>6</w:t>
      </w:r>
    </w:p>
    <w:p w14:paraId="0F0552DF" w14:textId="77777777" w:rsidR="00DA42B4" w:rsidRPr="00022524" w:rsidRDefault="00DA42B4" w:rsidP="00096F14">
      <w:pPr>
        <w:pStyle w:val="DocumentSubtitle"/>
        <w:tabs>
          <w:tab w:val="left" w:pos="4536"/>
        </w:tabs>
        <w:outlineLvl w:val="0"/>
      </w:pPr>
      <w:bookmarkStart w:id="1" w:name="_Toc433973067"/>
      <w:r w:rsidRPr="00022524">
        <w:t>Contract: 2014CE16BAT063</w:t>
      </w:r>
      <w:bookmarkEnd w:id="1"/>
    </w:p>
    <w:p w14:paraId="5A48E0B2" w14:textId="77777777" w:rsidR="00E15F27" w:rsidRPr="00022524" w:rsidRDefault="003B7DA6" w:rsidP="00E15F27">
      <w:pPr>
        <w:pStyle w:val="DocumentSubtitle"/>
        <w:tabs>
          <w:tab w:val="left" w:pos="4536"/>
        </w:tabs>
        <w:jc w:val="left"/>
      </w:pPr>
      <w:bookmarkStart w:id="2" w:name="zhLogo2"/>
      <w:r w:rsidRPr="00022524">
        <w:rPr>
          <w:noProof/>
          <w:lang w:eastAsia="en-GB"/>
        </w:rPr>
        <w:drawing>
          <wp:anchor distT="0" distB="0" distL="114300" distR="114300" simplePos="0" relativeHeight="251658241" behindDoc="0" locked="0" layoutInCell="1" allowOverlap="1" wp14:anchorId="53F07319" wp14:editId="4A7C72CD">
            <wp:simplePos x="0" y="0"/>
            <wp:positionH relativeFrom="column">
              <wp:posOffset>4751705</wp:posOffset>
            </wp:positionH>
            <wp:positionV relativeFrom="margin">
              <wp:posOffset>8703945</wp:posOffset>
            </wp:positionV>
            <wp:extent cx="1074844" cy="314114"/>
            <wp:effectExtent l="25400" t="0" r="0" b="0"/>
            <wp:wrapNone/>
            <wp:docPr id="3" name="Bild 1" descr="T:\XX\DATA\Anywhere\SWOK_SE\Koncern\Data\Swok\Workgrou\Gemensam\sweco_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T:\XX\DATA\Anywhere\SWOK_SE\Koncern\Data\Swok\Workgrou\Gemensam\sweco_plu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844" cy="314114"/>
                    </a:xfrm>
                    <a:prstGeom prst="rect">
                      <a:avLst/>
                    </a:prstGeom>
                    <a:noFill/>
                    <a:ln w="9525">
                      <a:noFill/>
                      <a:miter lim="800000"/>
                      <a:headEnd/>
                      <a:tailEnd/>
                    </a:ln>
                  </pic:spPr>
                </pic:pic>
              </a:graphicData>
            </a:graphic>
          </wp:anchor>
        </w:drawing>
      </w:r>
      <w:bookmarkEnd w:id="2"/>
    </w:p>
    <w:p w14:paraId="38E0E288" w14:textId="77777777" w:rsidR="00E15F27" w:rsidRPr="00022524" w:rsidRDefault="00E15F27" w:rsidP="00E15F27">
      <w:pPr>
        <w:pStyle w:val="DocumentSubtitle"/>
        <w:tabs>
          <w:tab w:val="left" w:pos="4536"/>
        </w:tabs>
        <w:jc w:val="left"/>
        <w:rPr>
          <w:bCs/>
          <w:iCs/>
          <w:sz w:val="24"/>
          <w:szCs w:val="24"/>
        </w:rPr>
        <w:sectPr w:rsidR="00E15F27" w:rsidRPr="00022524" w:rsidSect="00797148">
          <w:headerReference w:type="even" r:id="rId13"/>
          <w:headerReference w:type="default" r:id="rId14"/>
          <w:footerReference w:type="even" r:id="rId15"/>
          <w:footerReference w:type="default" r:id="rId16"/>
          <w:headerReference w:type="first" r:id="rId17"/>
          <w:footerReference w:type="first" r:id="rId18"/>
          <w:pgSz w:w="11907" w:h="16839" w:code="9"/>
          <w:pgMar w:top="851" w:right="1418" w:bottom="851" w:left="1418" w:header="567" w:footer="947" w:gutter="0"/>
          <w:cols w:space="720"/>
          <w:titlePg/>
          <w:docGrid w:linePitch="326"/>
        </w:sectPr>
      </w:pPr>
    </w:p>
    <w:p w14:paraId="265F5B64" w14:textId="77777777" w:rsidR="006B26AA" w:rsidRPr="00022524" w:rsidRDefault="006B26AA" w:rsidP="006B26AA">
      <w:pPr>
        <w:rPr>
          <w:rFonts w:ascii="Verdana" w:hAnsi="Verdana"/>
          <w:lang w:val="en-GB"/>
        </w:rPr>
      </w:pPr>
    </w:p>
    <w:p w14:paraId="3341D8F4" w14:textId="77777777" w:rsidR="0096722A" w:rsidRPr="00022524" w:rsidRDefault="0096722A" w:rsidP="006B26AA">
      <w:pPr>
        <w:rPr>
          <w:rFonts w:ascii="Verdana" w:hAnsi="Verdana"/>
          <w:lang w:val="en-GB"/>
        </w:rPr>
      </w:pPr>
    </w:p>
    <w:p w14:paraId="002CE961" w14:textId="77777777" w:rsidR="0096722A" w:rsidRPr="00022524" w:rsidRDefault="0096722A" w:rsidP="006B26AA">
      <w:pPr>
        <w:rPr>
          <w:rFonts w:ascii="Verdana" w:hAnsi="Verdana"/>
          <w:lang w:val="en-GB"/>
        </w:rPr>
      </w:pPr>
    </w:p>
    <w:p w14:paraId="5601CE75" w14:textId="77777777" w:rsidR="0096722A" w:rsidRPr="00022524" w:rsidRDefault="0096722A" w:rsidP="006B26AA">
      <w:pPr>
        <w:rPr>
          <w:rFonts w:ascii="Verdana" w:hAnsi="Verdana"/>
          <w:lang w:val="en-GB"/>
        </w:rPr>
      </w:pPr>
    </w:p>
    <w:p w14:paraId="1E5A3C65" w14:textId="77777777" w:rsidR="0096722A" w:rsidRPr="00022524" w:rsidRDefault="0096722A" w:rsidP="006B26AA">
      <w:pPr>
        <w:rPr>
          <w:rFonts w:ascii="Verdana" w:hAnsi="Verdana"/>
          <w:lang w:val="en-GB"/>
        </w:rPr>
      </w:pPr>
    </w:p>
    <w:p w14:paraId="06CBA10C" w14:textId="77777777" w:rsidR="006B26AA" w:rsidRPr="00022524" w:rsidRDefault="006B26AA" w:rsidP="006B26AA">
      <w:pPr>
        <w:rPr>
          <w:rFonts w:ascii="Verdana" w:hAnsi="Verdana"/>
          <w:lang w:val="en-GB"/>
        </w:rPr>
      </w:pPr>
    </w:p>
    <w:p w14:paraId="4CEDFF3B" w14:textId="77777777" w:rsidR="006B26AA" w:rsidRPr="00022524" w:rsidRDefault="006B26AA" w:rsidP="006B26AA">
      <w:pPr>
        <w:rPr>
          <w:rFonts w:ascii="Verdana" w:hAnsi="Verdana"/>
          <w:lang w:val="en-GB"/>
        </w:rPr>
      </w:pPr>
    </w:p>
    <w:p w14:paraId="61656B46" w14:textId="77777777" w:rsidR="006B26AA" w:rsidRPr="00022524" w:rsidRDefault="006B26AA" w:rsidP="006B26AA">
      <w:pPr>
        <w:rPr>
          <w:rFonts w:ascii="Verdana" w:hAnsi="Verdana"/>
          <w:lang w:val="en-GB"/>
        </w:rPr>
      </w:pPr>
    </w:p>
    <w:p w14:paraId="0AD14B67" w14:textId="77777777" w:rsidR="006B26AA" w:rsidRPr="00022524" w:rsidRDefault="006B26AA" w:rsidP="006B26AA">
      <w:pPr>
        <w:rPr>
          <w:rFonts w:ascii="Verdana" w:hAnsi="Verdana"/>
          <w:lang w:val="en-GB"/>
        </w:rPr>
      </w:pPr>
    </w:p>
    <w:p w14:paraId="1A466245" w14:textId="77777777" w:rsidR="006B26AA" w:rsidRPr="00022524" w:rsidRDefault="006B26AA" w:rsidP="006B26AA">
      <w:pPr>
        <w:rPr>
          <w:rFonts w:ascii="Verdana" w:hAnsi="Verdana"/>
          <w:lang w:val="en-GB"/>
        </w:rPr>
      </w:pPr>
    </w:p>
    <w:p w14:paraId="1934BF38" w14:textId="77777777" w:rsidR="006B26AA" w:rsidRPr="00022524" w:rsidRDefault="006B26AA" w:rsidP="006B26AA">
      <w:pPr>
        <w:rPr>
          <w:rFonts w:ascii="Verdana" w:hAnsi="Verdana"/>
          <w:lang w:val="en-GB"/>
        </w:rPr>
      </w:pPr>
    </w:p>
    <w:p w14:paraId="17988C21" w14:textId="77777777" w:rsidR="00EC5CAB" w:rsidRPr="00022524" w:rsidRDefault="00EC5CAB" w:rsidP="006B26AA">
      <w:pPr>
        <w:rPr>
          <w:rFonts w:ascii="Verdana" w:hAnsi="Verdana"/>
          <w:lang w:val="en-GB"/>
        </w:rPr>
      </w:pPr>
    </w:p>
    <w:p w14:paraId="52449E16" w14:textId="77777777" w:rsidR="00EC5CAB" w:rsidRPr="00022524" w:rsidRDefault="00EC5CAB" w:rsidP="006B26AA">
      <w:pPr>
        <w:rPr>
          <w:rFonts w:ascii="Verdana" w:hAnsi="Verdana"/>
          <w:lang w:val="en-GB"/>
        </w:rPr>
      </w:pPr>
    </w:p>
    <w:p w14:paraId="2D719280" w14:textId="77777777" w:rsidR="00EC5CAB" w:rsidRPr="00022524" w:rsidRDefault="00EC5CAB" w:rsidP="006B26AA">
      <w:pPr>
        <w:rPr>
          <w:rFonts w:ascii="Verdana" w:hAnsi="Verdana"/>
          <w:lang w:val="en-GB"/>
        </w:rPr>
      </w:pPr>
    </w:p>
    <w:p w14:paraId="790E108A" w14:textId="77777777" w:rsidR="00EC5CAB" w:rsidRPr="00022524" w:rsidRDefault="00EC5CAB" w:rsidP="006B26AA">
      <w:pPr>
        <w:rPr>
          <w:rFonts w:ascii="Verdana" w:hAnsi="Verdana"/>
          <w:lang w:val="en-GB"/>
        </w:rPr>
      </w:pPr>
    </w:p>
    <w:p w14:paraId="2B9D6862" w14:textId="77777777" w:rsidR="00EC5CAB" w:rsidRPr="00022524" w:rsidRDefault="00EC5CAB" w:rsidP="006B26AA">
      <w:pPr>
        <w:rPr>
          <w:rFonts w:ascii="Verdana" w:hAnsi="Verdana"/>
          <w:lang w:val="en-GB"/>
        </w:rPr>
      </w:pPr>
    </w:p>
    <w:p w14:paraId="50BA40F5" w14:textId="77777777" w:rsidR="006B26AA" w:rsidRPr="00022524" w:rsidRDefault="006B26AA" w:rsidP="006B26AA">
      <w:pPr>
        <w:rPr>
          <w:rFonts w:ascii="Verdana" w:hAnsi="Verdana"/>
          <w:lang w:val="en-GB"/>
        </w:rPr>
      </w:pPr>
    </w:p>
    <w:p w14:paraId="7A0AEBA6" w14:textId="77777777" w:rsidR="00892A92" w:rsidRDefault="00892A92" w:rsidP="00761AE4">
      <w:pPr>
        <w:pStyle w:val="Body"/>
      </w:pPr>
    </w:p>
    <w:p w14:paraId="0FD74E0B" w14:textId="191A65A1" w:rsidR="00797148" w:rsidRDefault="00797148" w:rsidP="00761AE4">
      <w:pPr>
        <w:pStyle w:val="Body"/>
      </w:pPr>
    </w:p>
    <w:p w14:paraId="00E62B5E" w14:textId="77777777" w:rsidR="00797148" w:rsidRDefault="00797148" w:rsidP="00761AE4">
      <w:pPr>
        <w:pStyle w:val="Body"/>
      </w:pPr>
    </w:p>
    <w:p w14:paraId="3912F0D1" w14:textId="77777777" w:rsidR="00797148" w:rsidRDefault="00797148" w:rsidP="00761AE4">
      <w:pPr>
        <w:pStyle w:val="Body"/>
      </w:pPr>
    </w:p>
    <w:p w14:paraId="00C3C903" w14:textId="77777777" w:rsidR="00797148" w:rsidRPr="00022524" w:rsidRDefault="00797148" w:rsidP="00761AE4">
      <w:pPr>
        <w:pStyle w:val="Body"/>
      </w:pPr>
    </w:p>
    <w:p w14:paraId="0FFF2E34" w14:textId="77777777" w:rsidR="00892A92" w:rsidRPr="00022524" w:rsidRDefault="00892A92" w:rsidP="00761AE4">
      <w:pPr>
        <w:pStyle w:val="Body"/>
      </w:pPr>
    </w:p>
    <w:p w14:paraId="4B9C2DC6" w14:textId="77777777" w:rsidR="006B26AA" w:rsidRPr="00797148" w:rsidRDefault="006B26AA" w:rsidP="00096F14">
      <w:pPr>
        <w:pStyle w:val="Body"/>
        <w:outlineLvl w:val="0"/>
        <w:rPr>
          <w:b/>
          <w:sz w:val="16"/>
          <w:szCs w:val="16"/>
        </w:rPr>
      </w:pPr>
      <w:bookmarkStart w:id="3" w:name="_Toc433973068"/>
      <w:r w:rsidRPr="00797148">
        <w:rPr>
          <w:b/>
          <w:sz w:val="16"/>
          <w:szCs w:val="16"/>
        </w:rPr>
        <w:t>EUROPEAN COMMISSION</w:t>
      </w:r>
      <w:bookmarkEnd w:id="3"/>
    </w:p>
    <w:p w14:paraId="4194D734" w14:textId="77777777" w:rsidR="006B26AA" w:rsidRPr="00797148" w:rsidRDefault="006B26AA" w:rsidP="00096F14">
      <w:pPr>
        <w:spacing w:after="0"/>
        <w:jc w:val="left"/>
        <w:outlineLvl w:val="0"/>
        <w:rPr>
          <w:rFonts w:ascii="Verdana" w:hAnsi="Verdana"/>
          <w:sz w:val="16"/>
          <w:szCs w:val="16"/>
          <w:lang w:val="en-GB"/>
        </w:rPr>
      </w:pPr>
      <w:bookmarkStart w:id="4" w:name="_Toc433973069"/>
      <w:r w:rsidRPr="00797148">
        <w:rPr>
          <w:rFonts w:ascii="Verdana" w:hAnsi="Verdana"/>
          <w:sz w:val="16"/>
          <w:szCs w:val="16"/>
          <w:lang w:val="en-GB"/>
        </w:rPr>
        <w:t xml:space="preserve">Directorate-General for </w:t>
      </w:r>
      <w:r w:rsidR="000146E6" w:rsidRPr="00797148">
        <w:rPr>
          <w:rFonts w:ascii="Verdana" w:hAnsi="Verdana"/>
          <w:sz w:val="16"/>
          <w:szCs w:val="16"/>
          <w:lang w:val="en-GB"/>
        </w:rPr>
        <w:t>Regional and Urban Policy</w:t>
      </w:r>
      <w:bookmarkEnd w:id="4"/>
    </w:p>
    <w:p w14:paraId="0610AA4E" w14:textId="5F907115" w:rsidR="006B26AA" w:rsidRPr="00022524" w:rsidRDefault="00724A97" w:rsidP="0001748A">
      <w:pPr>
        <w:spacing w:after="0"/>
        <w:jc w:val="left"/>
        <w:rPr>
          <w:rFonts w:ascii="Verdana" w:hAnsi="Verdana"/>
          <w:sz w:val="16"/>
          <w:lang w:val="en-GB"/>
        </w:rPr>
      </w:pPr>
      <w:r w:rsidRPr="00022524">
        <w:rPr>
          <w:rFonts w:ascii="Verdana" w:hAnsi="Verdana"/>
          <w:sz w:val="16"/>
          <w:szCs w:val="16"/>
          <w:lang w:val="en-GB"/>
        </w:rPr>
        <w:t xml:space="preserve">DGA1 </w:t>
      </w:r>
      <w:r w:rsidR="00797148">
        <w:rPr>
          <w:rFonts w:ascii="Verdana" w:hAnsi="Verdana"/>
          <w:sz w:val="16"/>
          <w:szCs w:val="16"/>
          <w:lang w:val="en-GB"/>
        </w:rPr>
        <w:t xml:space="preserve">- </w:t>
      </w:r>
      <w:r w:rsidRPr="00022524">
        <w:rPr>
          <w:rFonts w:ascii="Verdana" w:hAnsi="Verdana"/>
          <w:sz w:val="16"/>
          <w:szCs w:val="16"/>
          <w:lang w:val="en-GB"/>
        </w:rPr>
        <w:t>Policy Performance and Compliance</w:t>
      </w:r>
    </w:p>
    <w:p w14:paraId="48621F98" w14:textId="365FC626" w:rsidR="006B26AA" w:rsidRPr="00797148" w:rsidRDefault="006B26AA" w:rsidP="0001748A">
      <w:pPr>
        <w:spacing w:after="120"/>
        <w:jc w:val="left"/>
        <w:rPr>
          <w:rFonts w:ascii="Verdana" w:hAnsi="Verdana"/>
          <w:sz w:val="16"/>
          <w:szCs w:val="16"/>
          <w:lang w:val="en-GB"/>
        </w:rPr>
      </w:pPr>
      <w:r w:rsidRPr="00797148">
        <w:rPr>
          <w:rFonts w:ascii="Verdana" w:hAnsi="Verdana"/>
          <w:sz w:val="16"/>
          <w:szCs w:val="16"/>
          <w:lang w:val="en-GB"/>
        </w:rPr>
        <w:t xml:space="preserve">Unit </w:t>
      </w:r>
      <w:r w:rsidR="00797148" w:rsidRPr="00797148">
        <w:rPr>
          <w:rFonts w:ascii="Verdana" w:hAnsi="Verdana"/>
          <w:sz w:val="16"/>
          <w:szCs w:val="16"/>
          <w:lang w:val="en-GB"/>
        </w:rPr>
        <w:t>DG</w:t>
      </w:r>
      <w:r w:rsidRPr="00797148">
        <w:rPr>
          <w:rFonts w:ascii="Verdana" w:hAnsi="Verdana"/>
          <w:sz w:val="16"/>
          <w:szCs w:val="16"/>
          <w:lang w:val="en-GB"/>
        </w:rPr>
        <w:t>A</w:t>
      </w:r>
      <w:r w:rsidR="00C80FE3" w:rsidRPr="00797148">
        <w:rPr>
          <w:rFonts w:ascii="Verdana" w:hAnsi="Verdana"/>
          <w:sz w:val="16"/>
          <w:szCs w:val="16"/>
          <w:lang w:val="en-GB"/>
        </w:rPr>
        <w:t>1</w:t>
      </w:r>
      <w:r w:rsidRPr="00797148">
        <w:rPr>
          <w:rFonts w:ascii="Verdana" w:hAnsi="Verdana"/>
          <w:sz w:val="16"/>
          <w:szCs w:val="16"/>
          <w:lang w:val="en-GB"/>
        </w:rPr>
        <w:t>.</w:t>
      </w:r>
      <w:r w:rsidR="00C80FE3" w:rsidRPr="00797148">
        <w:rPr>
          <w:rFonts w:ascii="Verdana" w:hAnsi="Verdana"/>
          <w:sz w:val="16"/>
          <w:szCs w:val="16"/>
          <w:lang w:val="en-GB"/>
        </w:rPr>
        <w:t>0</w:t>
      </w:r>
      <w:r w:rsidRPr="00797148">
        <w:rPr>
          <w:rFonts w:ascii="Verdana" w:hAnsi="Verdana"/>
          <w:sz w:val="16"/>
          <w:szCs w:val="16"/>
          <w:lang w:val="en-GB"/>
        </w:rPr>
        <w:t>1</w:t>
      </w:r>
      <w:r w:rsidR="00C80FE3" w:rsidRPr="00797148">
        <w:rPr>
          <w:rFonts w:ascii="Verdana" w:hAnsi="Verdana"/>
          <w:sz w:val="16"/>
          <w:szCs w:val="16"/>
          <w:lang w:val="en-GB"/>
        </w:rPr>
        <w:t xml:space="preserve"> </w:t>
      </w:r>
      <w:r w:rsidRPr="00797148">
        <w:rPr>
          <w:rFonts w:ascii="Verdana" w:hAnsi="Verdana"/>
          <w:sz w:val="16"/>
          <w:szCs w:val="16"/>
          <w:lang w:val="en-GB"/>
        </w:rPr>
        <w:t xml:space="preserve">— </w:t>
      </w:r>
      <w:r w:rsidR="00C80FE3" w:rsidRPr="00797148">
        <w:rPr>
          <w:rFonts w:ascii="Verdana" w:hAnsi="Verdana"/>
          <w:sz w:val="16"/>
          <w:szCs w:val="16"/>
          <w:lang w:val="en-GB"/>
        </w:rPr>
        <w:t>Policy Development, Strateg</w:t>
      </w:r>
      <w:r w:rsidR="007763B3" w:rsidRPr="00797148">
        <w:rPr>
          <w:rFonts w:ascii="Verdana" w:hAnsi="Verdana"/>
          <w:sz w:val="16"/>
          <w:szCs w:val="16"/>
          <w:lang w:val="en-GB"/>
        </w:rPr>
        <w:t>ic</w:t>
      </w:r>
      <w:r w:rsidR="00C80FE3" w:rsidRPr="00797148">
        <w:rPr>
          <w:rFonts w:ascii="Verdana" w:hAnsi="Verdana"/>
          <w:sz w:val="16"/>
          <w:szCs w:val="16"/>
          <w:lang w:val="en-GB"/>
        </w:rPr>
        <w:t xml:space="preserve"> Management and </w:t>
      </w:r>
      <w:r w:rsidR="003D03D1" w:rsidRPr="00797148">
        <w:rPr>
          <w:rFonts w:ascii="Verdana" w:hAnsi="Verdana"/>
          <w:sz w:val="16"/>
          <w:szCs w:val="16"/>
          <w:lang w:val="en-GB"/>
        </w:rPr>
        <w:t>Relations with the Council</w:t>
      </w:r>
    </w:p>
    <w:p w14:paraId="7762D8F7" w14:textId="77777777" w:rsidR="00663DA8" w:rsidRPr="00022524" w:rsidRDefault="00663DA8" w:rsidP="00096F14">
      <w:pPr>
        <w:spacing w:after="120"/>
        <w:jc w:val="left"/>
        <w:outlineLvl w:val="0"/>
        <w:rPr>
          <w:rFonts w:ascii="Verdana" w:hAnsi="Verdana"/>
          <w:i/>
          <w:sz w:val="16"/>
          <w:szCs w:val="16"/>
          <w:lang w:val="en-GB"/>
        </w:rPr>
      </w:pPr>
      <w:bookmarkStart w:id="5" w:name="_Toc433973070"/>
      <w:r w:rsidRPr="00022524">
        <w:rPr>
          <w:rFonts w:ascii="Verdana" w:hAnsi="Verdana"/>
          <w:i/>
          <w:sz w:val="16"/>
          <w:szCs w:val="16"/>
          <w:lang w:val="en-GB"/>
        </w:rPr>
        <w:t xml:space="preserve">Contact: </w:t>
      </w:r>
      <w:r w:rsidR="00942C1E" w:rsidRPr="00022524">
        <w:rPr>
          <w:rFonts w:ascii="Verdana" w:hAnsi="Verdana"/>
          <w:i/>
          <w:sz w:val="16"/>
          <w:szCs w:val="16"/>
          <w:lang w:val="en-GB"/>
        </w:rPr>
        <w:t xml:space="preserve">Eveline </w:t>
      </w:r>
      <w:proofErr w:type="spellStart"/>
      <w:r w:rsidR="00942C1E" w:rsidRPr="00022524">
        <w:rPr>
          <w:rFonts w:ascii="Verdana" w:hAnsi="Verdana"/>
          <w:i/>
          <w:sz w:val="16"/>
          <w:szCs w:val="16"/>
          <w:lang w:val="en-GB"/>
        </w:rPr>
        <w:t>Petrat</w:t>
      </w:r>
      <w:bookmarkEnd w:id="5"/>
      <w:proofErr w:type="spellEnd"/>
    </w:p>
    <w:p w14:paraId="262A7843" w14:textId="77777777" w:rsidR="006B26AA" w:rsidRPr="00022524" w:rsidRDefault="006B26AA" w:rsidP="0001748A">
      <w:pPr>
        <w:tabs>
          <w:tab w:val="left" w:pos="709"/>
        </w:tabs>
        <w:spacing w:after="120"/>
        <w:ind w:left="709" w:hanging="709"/>
        <w:jc w:val="left"/>
        <w:rPr>
          <w:rFonts w:ascii="Verdana" w:hAnsi="Verdana"/>
          <w:i/>
          <w:sz w:val="16"/>
          <w:szCs w:val="16"/>
          <w:lang w:val="en-GB"/>
        </w:rPr>
      </w:pPr>
      <w:r w:rsidRPr="00022524">
        <w:rPr>
          <w:rFonts w:ascii="Verdana" w:hAnsi="Verdana"/>
          <w:i/>
          <w:sz w:val="16"/>
          <w:szCs w:val="16"/>
          <w:lang w:val="en-GB"/>
        </w:rPr>
        <w:t>E-mail:</w:t>
      </w:r>
      <w:r w:rsidRPr="00022524">
        <w:rPr>
          <w:rFonts w:ascii="Verdana" w:hAnsi="Verdana"/>
          <w:i/>
          <w:sz w:val="16"/>
          <w:szCs w:val="16"/>
          <w:lang w:val="en-GB"/>
        </w:rPr>
        <w:tab/>
      </w:r>
      <w:r w:rsidR="00D546C8" w:rsidRPr="00022524">
        <w:rPr>
          <w:rFonts w:ascii="Verdana" w:hAnsi="Verdana"/>
          <w:i/>
          <w:sz w:val="16"/>
          <w:szCs w:val="16"/>
          <w:lang w:val="en-GB"/>
        </w:rPr>
        <w:t xml:space="preserve">REGIO-DGA1.01-STUDIES@ec.europa.eu </w:t>
      </w:r>
      <w:r w:rsidR="00942C1E" w:rsidRPr="00022524">
        <w:rPr>
          <w:rFonts w:ascii="Verdana" w:hAnsi="Verdana"/>
          <w:i/>
          <w:sz w:val="16"/>
          <w:szCs w:val="16"/>
          <w:lang w:val="en-GB"/>
        </w:rPr>
        <w:t>or eveline.petrat</w:t>
      </w:r>
      <w:r w:rsidRPr="00022524">
        <w:rPr>
          <w:rFonts w:ascii="Verdana" w:hAnsi="Verdana"/>
          <w:i/>
          <w:sz w:val="16"/>
          <w:szCs w:val="16"/>
          <w:lang w:val="en-GB"/>
        </w:rPr>
        <w:t xml:space="preserve">@ec.europa.eu </w:t>
      </w:r>
      <w:r w:rsidRPr="00022524">
        <w:rPr>
          <w:rFonts w:ascii="Verdana" w:hAnsi="Verdana"/>
          <w:i/>
          <w:sz w:val="16"/>
          <w:szCs w:val="16"/>
          <w:lang w:val="en-GB"/>
        </w:rPr>
        <w:br/>
      </w:r>
    </w:p>
    <w:p w14:paraId="465477FC" w14:textId="77777777" w:rsidR="005931F7" w:rsidRPr="00022524" w:rsidRDefault="006B26AA" w:rsidP="0001748A">
      <w:pPr>
        <w:spacing w:after="0"/>
        <w:jc w:val="left"/>
        <w:rPr>
          <w:rStyle w:val="BodyChar"/>
        </w:rPr>
      </w:pPr>
      <w:r w:rsidRPr="00022524">
        <w:rPr>
          <w:rFonts w:ascii="Verdana" w:hAnsi="Verdana"/>
          <w:i/>
          <w:sz w:val="16"/>
          <w:szCs w:val="16"/>
          <w:lang w:val="en-GB"/>
        </w:rPr>
        <w:t>European Commission</w:t>
      </w:r>
      <w:r w:rsidR="0001748A" w:rsidRPr="00022524">
        <w:rPr>
          <w:rFonts w:ascii="Verdana" w:hAnsi="Verdana"/>
          <w:i/>
          <w:sz w:val="16"/>
          <w:szCs w:val="16"/>
          <w:lang w:val="en-GB"/>
        </w:rPr>
        <w:br/>
      </w:r>
      <w:r w:rsidRPr="00022524">
        <w:rPr>
          <w:rFonts w:ascii="Verdana" w:hAnsi="Verdana"/>
          <w:i/>
          <w:sz w:val="16"/>
          <w:szCs w:val="16"/>
          <w:lang w:val="en-GB"/>
        </w:rPr>
        <w:t>B-1049 Brussels</w:t>
      </w:r>
    </w:p>
    <w:p w14:paraId="318BC9A0" w14:textId="77777777" w:rsidR="006B26AA" w:rsidRPr="00022524" w:rsidRDefault="006B26AA" w:rsidP="00C24BEE">
      <w:pPr>
        <w:pStyle w:val="Heading"/>
        <w:sectPr w:rsidR="006B26AA" w:rsidRPr="00022524" w:rsidSect="00A74EB3">
          <w:headerReference w:type="even" r:id="rId19"/>
          <w:headerReference w:type="first" r:id="rId20"/>
          <w:footerReference w:type="first" r:id="rId21"/>
          <w:pgSz w:w="11907" w:h="16839" w:code="9"/>
          <w:pgMar w:top="851" w:right="1418" w:bottom="851" w:left="1418" w:header="567" w:footer="567" w:gutter="0"/>
          <w:cols w:space="720"/>
          <w:docGrid w:linePitch="326"/>
        </w:sectPr>
      </w:pPr>
    </w:p>
    <w:p w14:paraId="5AC2D91D" w14:textId="77777777" w:rsidR="00213AE8" w:rsidRPr="00022524" w:rsidRDefault="00213AE8" w:rsidP="00213AE8">
      <w:pPr>
        <w:jc w:val="center"/>
        <w:rPr>
          <w:rFonts w:ascii="Verdana" w:hAnsi="Verdana"/>
          <w:sz w:val="18"/>
          <w:lang w:val="en-GB"/>
        </w:rPr>
      </w:pPr>
    </w:p>
    <w:p w14:paraId="00100D26" w14:textId="77777777" w:rsidR="00BE55E6" w:rsidRPr="00022524" w:rsidRDefault="00BE55E6" w:rsidP="00213AE8">
      <w:pPr>
        <w:jc w:val="center"/>
        <w:rPr>
          <w:rFonts w:ascii="Verdana" w:hAnsi="Verdana"/>
          <w:sz w:val="18"/>
          <w:lang w:val="en-GB"/>
        </w:rPr>
      </w:pPr>
    </w:p>
    <w:p w14:paraId="02D51598" w14:textId="77777777" w:rsidR="00BE55E6" w:rsidRPr="00022524" w:rsidRDefault="00BE55E6" w:rsidP="00213AE8">
      <w:pPr>
        <w:jc w:val="center"/>
        <w:rPr>
          <w:rFonts w:ascii="Verdana" w:hAnsi="Verdana"/>
          <w:sz w:val="18"/>
          <w:lang w:val="en-GB"/>
        </w:rPr>
      </w:pPr>
    </w:p>
    <w:p w14:paraId="43AA10D5" w14:textId="77777777" w:rsidR="00BE55E6" w:rsidRDefault="00BE55E6" w:rsidP="00213AE8">
      <w:pPr>
        <w:jc w:val="center"/>
        <w:rPr>
          <w:rFonts w:ascii="Verdana" w:hAnsi="Verdana"/>
          <w:lang w:val="en-GB"/>
        </w:rPr>
      </w:pPr>
    </w:p>
    <w:p w14:paraId="13416ABC" w14:textId="08D296FA" w:rsidR="00797148" w:rsidRDefault="00797148" w:rsidP="00213AE8">
      <w:pPr>
        <w:jc w:val="center"/>
        <w:rPr>
          <w:rFonts w:ascii="Verdana" w:hAnsi="Verdana"/>
          <w:lang w:val="en-GB"/>
        </w:rPr>
      </w:pPr>
    </w:p>
    <w:p w14:paraId="4C2A2B79" w14:textId="77777777" w:rsidR="00797148" w:rsidRPr="00022524" w:rsidRDefault="00797148" w:rsidP="00213AE8">
      <w:pPr>
        <w:jc w:val="center"/>
        <w:rPr>
          <w:rFonts w:ascii="Verdana" w:hAnsi="Verdana"/>
          <w:lang w:val="en-GB"/>
        </w:rPr>
      </w:pPr>
    </w:p>
    <w:p w14:paraId="6E548DBE" w14:textId="77777777" w:rsidR="00213AE8" w:rsidRPr="00022524" w:rsidRDefault="00213AE8" w:rsidP="00213AE8">
      <w:pPr>
        <w:jc w:val="center"/>
        <w:rPr>
          <w:rFonts w:ascii="Verdana" w:hAnsi="Verdana"/>
          <w:lang w:val="en-GB"/>
        </w:rPr>
      </w:pPr>
    </w:p>
    <w:p w14:paraId="3CCE9BE6" w14:textId="77777777" w:rsidR="00213AE8" w:rsidRPr="00022524" w:rsidRDefault="00213AE8" w:rsidP="00213AE8">
      <w:pPr>
        <w:jc w:val="center"/>
        <w:rPr>
          <w:rFonts w:ascii="Verdana" w:hAnsi="Verdana"/>
          <w:lang w:val="en-GB"/>
        </w:rPr>
      </w:pPr>
    </w:p>
    <w:p w14:paraId="5D3F935B" w14:textId="77777777" w:rsidR="00DA42B4" w:rsidRPr="00022524" w:rsidRDefault="00DA42B4" w:rsidP="00DA42B4">
      <w:pPr>
        <w:pStyle w:val="DocumentSubtitle"/>
        <w:rPr>
          <w:b/>
          <w:sz w:val="52"/>
          <w:szCs w:val="52"/>
        </w:rPr>
      </w:pPr>
      <w:r w:rsidRPr="00022524">
        <w:rPr>
          <w:b/>
          <w:sz w:val="52"/>
          <w:szCs w:val="52"/>
        </w:rPr>
        <w:t>The implementation of the performance frameworks in 2014-2020</w:t>
      </w:r>
      <w:r w:rsidR="00DD1BED" w:rsidRPr="00022524">
        <w:rPr>
          <w:b/>
          <w:sz w:val="52"/>
          <w:szCs w:val="52"/>
        </w:rPr>
        <w:t xml:space="preserve"> </w:t>
      </w:r>
      <w:r w:rsidRPr="00022524">
        <w:rPr>
          <w:b/>
          <w:sz w:val="52"/>
          <w:szCs w:val="52"/>
        </w:rPr>
        <w:t>ESI Funds</w:t>
      </w:r>
    </w:p>
    <w:p w14:paraId="36B31433" w14:textId="77777777" w:rsidR="00DA42B4" w:rsidRPr="00022524" w:rsidRDefault="00DA42B4" w:rsidP="00DA42B4">
      <w:pPr>
        <w:pStyle w:val="DocumentSubtitle"/>
        <w:rPr>
          <w:b/>
          <w:sz w:val="52"/>
          <w:szCs w:val="52"/>
        </w:rPr>
      </w:pPr>
    </w:p>
    <w:p w14:paraId="0F1AC25F" w14:textId="08CEA798" w:rsidR="00DA42B4" w:rsidRPr="00022524" w:rsidRDefault="00B5653B" w:rsidP="00096F14">
      <w:pPr>
        <w:pStyle w:val="DocumentSubtitle"/>
        <w:tabs>
          <w:tab w:val="left" w:pos="4536"/>
        </w:tabs>
        <w:outlineLvl w:val="0"/>
      </w:pPr>
      <w:bookmarkStart w:id="6" w:name="_Toc433973071"/>
      <w:r w:rsidRPr="00022524">
        <w:t>Draft Final</w:t>
      </w:r>
      <w:r w:rsidR="001006F9" w:rsidRPr="00022524">
        <w:t xml:space="preserve"> </w:t>
      </w:r>
      <w:r w:rsidR="00DA42B4" w:rsidRPr="00022524">
        <w:t xml:space="preserve">Report – </w:t>
      </w:r>
      <w:r w:rsidR="00FA3C28">
        <w:t>April</w:t>
      </w:r>
      <w:r w:rsidR="00E107D1" w:rsidRPr="00022524">
        <w:t xml:space="preserve"> </w:t>
      </w:r>
      <w:r w:rsidR="00DA42B4" w:rsidRPr="00022524">
        <w:t>201</w:t>
      </w:r>
      <w:bookmarkEnd w:id="6"/>
      <w:r w:rsidR="00A85763" w:rsidRPr="00022524">
        <w:t>6</w:t>
      </w:r>
    </w:p>
    <w:p w14:paraId="109F61D3" w14:textId="77777777" w:rsidR="00DA42B4" w:rsidRPr="00022524" w:rsidRDefault="00DA42B4" w:rsidP="00DA42B4">
      <w:pPr>
        <w:pStyle w:val="DocumentSubtitle"/>
        <w:tabs>
          <w:tab w:val="left" w:pos="4536"/>
        </w:tabs>
      </w:pPr>
      <w:r w:rsidRPr="00022524">
        <w:t>Contract: 2014CE16BAT063</w:t>
      </w:r>
    </w:p>
    <w:p w14:paraId="4D788EAE" w14:textId="77777777" w:rsidR="00213AE8" w:rsidRPr="00022524" w:rsidRDefault="00213AE8" w:rsidP="00BE55E6">
      <w:pPr>
        <w:jc w:val="center"/>
        <w:rPr>
          <w:rFonts w:ascii="Verdana" w:hAnsi="Verdana"/>
          <w:lang w:val="en-GB"/>
        </w:rPr>
      </w:pPr>
    </w:p>
    <w:p w14:paraId="25067770" w14:textId="77777777" w:rsidR="00213AE8" w:rsidRPr="00022524" w:rsidRDefault="00213AE8" w:rsidP="00BE55E6">
      <w:pPr>
        <w:jc w:val="center"/>
        <w:rPr>
          <w:rFonts w:ascii="Verdana" w:hAnsi="Verdana"/>
          <w:lang w:val="en-GB"/>
        </w:rPr>
      </w:pPr>
    </w:p>
    <w:p w14:paraId="0420CF72" w14:textId="77777777" w:rsidR="00213AE8" w:rsidRPr="00022524" w:rsidRDefault="00213AE8" w:rsidP="00BE55E6">
      <w:pPr>
        <w:jc w:val="center"/>
        <w:rPr>
          <w:rFonts w:ascii="Verdana" w:hAnsi="Verdana"/>
          <w:lang w:val="en-GB"/>
        </w:rPr>
      </w:pPr>
    </w:p>
    <w:p w14:paraId="79C2EE06" w14:textId="77777777" w:rsidR="00213AE8" w:rsidRPr="00022524" w:rsidRDefault="00213AE8" w:rsidP="00BE55E6">
      <w:pPr>
        <w:jc w:val="center"/>
        <w:rPr>
          <w:rFonts w:ascii="Verdana" w:hAnsi="Verdana"/>
          <w:lang w:val="en-GB"/>
        </w:rPr>
      </w:pPr>
    </w:p>
    <w:p w14:paraId="4632636D" w14:textId="77777777" w:rsidR="00213AE8" w:rsidRPr="00022524" w:rsidRDefault="00213AE8" w:rsidP="00213AE8">
      <w:pPr>
        <w:jc w:val="center"/>
        <w:rPr>
          <w:rFonts w:ascii="Verdana" w:hAnsi="Verdana"/>
          <w:lang w:val="en-GB"/>
        </w:rPr>
      </w:pPr>
    </w:p>
    <w:p w14:paraId="161D2132" w14:textId="77777777" w:rsidR="003F02EE" w:rsidRPr="00022524" w:rsidRDefault="003F02EE" w:rsidP="00213AE8">
      <w:pPr>
        <w:jc w:val="center"/>
        <w:rPr>
          <w:rFonts w:ascii="Verdana" w:hAnsi="Verdana"/>
          <w:lang w:val="en-GB"/>
        </w:rPr>
      </w:pPr>
    </w:p>
    <w:p w14:paraId="768F3169" w14:textId="77777777" w:rsidR="003F02EE" w:rsidRPr="00022524" w:rsidRDefault="003F02EE" w:rsidP="00213AE8">
      <w:pPr>
        <w:jc w:val="center"/>
        <w:rPr>
          <w:rFonts w:ascii="Verdana" w:hAnsi="Verdana"/>
          <w:lang w:val="en-GB"/>
        </w:rPr>
      </w:pPr>
    </w:p>
    <w:p w14:paraId="6E677676" w14:textId="77777777" w:rsidR="00A50808" w:rsidRPr="00022524" w:rsidRDefault="00A50808" w:rsidP="00213AE8">
      <w:pPr>
        <w:jc w:val="center"/>
        <w:rPr>
          <w:rFonts w:ascii="Verdana" w:hAnsi="Verdana"/>
          <w:lang w:val="en-GB"/>
        </w:rPr>
      </w:pPr>
    </w:p>
    <w:p w14:paraId="12388DAC" w14:textId="77777777" w:rsidR="00213AE8" w:rsidRPr="00022524" w:rsidRDefault="00213AE8" w:rsidP="00213AE8">
      <w:pPr>
        <w:jc w:val="center"/>
        <w:rPr>
          <w:rFonts w:ascii="Verdana" w:hAnsi="Verdana"/>
          <w:lang w:val="en-GB"/>
        </w:rPr>
      </w:pPr>
    </w:p>
    <w:p w14:paraId="1E9FBC41" w14:textId="77777777" w:rsidR="00213AE8" w:rsidRPr="00022524" w:rsidRDefault="00213AE8" w:rsidP="00213AE8">
      <w:pPr>
        <w:jc w:val="center"/>
        <w:rPr>
          <w:rFonts w:ascii="Verdana" w:hAnsi="Verdana"/>
          <w:lang w:val="en-GB"/>
        </w:rPr>
      </w:pPr>
    </w:p>
    <w:p w14:paraId="7105C900" w14:textId="77777777" w:rsidR="00794453" w:rsidRPr="00022524" w:rsidRDefault="00794453">
      <w:pPr>
        <w:spacing w:after="0"/>
        <w:jc w:val="left"/>
        <w:rPr>
          <w:rFonts w:ascii="Verdana" w:hAnsi="Verdana"/>
          <w:lang w:val="en-GB"/>
        </w:rPr>
      </w:pPr>
      <w:r w:rsidRPr="00022524">
        <w:rPr>
          <w:rFonts w:ascii="Verdana" w:hAnsi="Verdana"/>
          <w:lang w:val="en-GB"/>
        </w:rPr>
        <w:br w:type="page"/>
      </w:r>
    </w:p>
    <w:p w14:paraId="05FCF878" w14:textId="77777777" w:rsidR="00EF5D52" w:rsidRPr="00022524" w:rsidRDefault="00EF5D52" w:rsidP="00BD06EE">
      <w:pPr>
        <w:rPr>
          <w:rFonts w:ascii="Verdana" w:hAnsi="Verdana"/>
          <w:lang w:val="en-GB"/>
        </w:rPr>
      </w:pPr>
    </w:p>
    <w:p w14:paraId="54D4C39F" w14:textId="77777777" w:rsidR="00141116" w:rsidRPr="00022524" w:rsidRDefault="00141116" w:rsidP="00213AE8">
      <w:pPr>
        <w:rPr>
          <w:rFonts w:ascii="Verdana" w:hAnsi="Verdana"/>
          <w:sz w:val="18"/>
          <w:lang w:val="en-GB"/>
        </w:rPr>
      </w:pPr>
    </w:p>
    <w:p w14:paraId="0161952A" w14:textId="77777777" w:rsidR="00724A97" w:rsidRPr="00022524" w:rsidRDefault="00724A97" w:rsidP="00213AE8">
      <w:pPr>
        <w:rPr>
          <w:rFonts w:ascii="Verdana" w:hAnsi="Verdana"/>
          <w:sz w:val="18"/>
          <w:lang w:val="en-GB"/>
        </w:rPr>
      </w:pPr>
    </w:p>
    <w:p w14:paraId="17A41D0A" w14:textId="77777777" w:rsidR="00724A97" w:rsidRPr="00022524" w:rsidRDefault="00724A97" w:rsidP="00213AE8">
      <w:pPr>
        <w:rPr>
          <w:rFonts w:ascii="Verdana" w:hAnsi="Verdana"/>
          <w:sz w:val="18"/>
          <w:lang w:val="en-GB"/>
        </w:rPr>
      </w:pPr>
    </w:p>
    <w:p w14:paraId="0DFAC5A1" w14:textId="77777777" w:rsidR="00724A97" w:rsidRPr="00022524" w:rsidRDefault="00724A97" w:rsidP="00213AE8">
      <w:pPr>
        <w:rPr>
          <w:rFonts w:ascii="Verdana" w:hAnsi="Verdana"/>
          <w:sz w:val="18"/>
          <w:lang w:val="en-GB"/>
        </w:rPr>
      </w:pPr>
    </w:p>
    <w:p w14:paraId="687C6AEB" w14:textId="77777777" w:rsidR="00724A97" w:rsidRPr="00022524" w:rsidRDefault="00724A97" w:rsidP="00213AE8">
      <w:pPr>
        <w:rPr>
          <w:rFonts w:ascii="Verdana" w:hAnsi="Verdana"/>
          <w:sz w:val="18"/>
          <w:lang w:val="en-GB"/>
        </w:rPr>
      </w:pPr>
    </w:p>
    <w:p w14:paraId="081EAF20" w14:textId="77777777" w:rsidR="00724A97" w:rsidRPr="00022524" w:rsidRDefault="00724A97" w:rsidP="00724A97">
      <w:pPr>
        <w:rPr>
          <w:rFonts w:ascii="Verdana" w:hAnsi="Verdana"/>
          <w:sz w:val="16"/>
          <w:szCs w:val="16"/>
          <w:lang w:val="en-GB"/>
        </w:rPr>
      </w:pPr>
    </w:p>
    <w:p w14:paraId="1C311015" w14:textId="77777777" w:rsidR="00724A97" w:rsidRPr="00022524" w:rsidRDefault="00724A97" w:rsidP="00724A97">
      <w:pPr>
        <w:rPr>
          <w:rFonts w:ascii="Verdana" w:hAnsi="Verdana"/>
          <w:sz w:val="16"/>
          <w:szCs w:val="16"/>
          <w:lang w:val="en-GB"/>
        </w:rPr>
      </w:pPr>
    </w:p>
    <w:p w14:paraId="2142A49C" w14:textId="77777777" w:rsidR="00724A97" w:rsidRPr="00022524" w:rsidRDefault="00724A97" w:rsidP="00724A97">
      <w:pPr>
        <w:rPr>
          <w:rFonts w:ascii="Verdana" w:hAnsi="Verdana"/>
          <w:sz w:val="16"/>
          <w:szCs w:val="16"/>
          <w:lang w:val="en-GB"/>
        </w:rPr>
      </w:pPr>
    </w:p>
    <w:p w14:paraId="14B1CA3E" w14:textId="77777777" w:rsidR="00724A97" w:rsidRPr="00022524" w:rsidRDefault="00724A97" w:rsidP="00724A97">
      <w:pPr>
        <w:rPr>
          <w:rFonts w:ascii="Verdana" w:hAnsi="Verdana"/>
          <w:sz w:val="16"/>
          <w:szCs w:val="16"/>
          <w:lang w:val="en-GB"/>
        </w:rPr>
      </w:pPr>
    </w:p>
    <w:p w14:paraId="03A870A3" w14:textId="77777777" w:rsidR="00724A97" w:rsidRPr="00022524" w:rsidRDefault="00724A97" w:rsidP="00724A97">
      <w:pPr>
        <w:rPr>
          <w:rFonts w:ascii="Verdana" w:hAnsi="Verdana"/>
          <w:sz w:val="16"/>
          <w:szCs w:val="16"/>
          <w:lang w:val="en-GB"/>
        </w:rPr>
      </w:pPr>
    </w:p>
    <w:p w14:paraId="6FF5D4F5" w14:textId="77777777" w:rsidR="00724A97" w:rsidRPr="00022524" w:rsidRDefault="00724A97" w:rsidP="00724A97">
      <w:pPr>
        <w:rPr>
          <w:rFonts w:ascii="Verdana" w:hAnsi="Verdana"/>
          <w:sz w:val="16"/>
          <w:szCs w:val="16"/>
          <w:lang w:val="en-GB"/>
        </w:rPr>
      </w:pPr>
    </w:p>
    <w:p w14:paraId="44F7C09A" w14:textId="77777777" w:rsidR="00724A97" w:rsidRPr="00022524" w:rsidRDefault="00724A97" w:rsidP="00724A97">
      <w:pPr>
        <w:rPr>
          <w:rFonts w:ascii="Verdana" w:hAnsi="Verdana"/>
          <w:sz w:val="16"/>
          <w:szCs w:val="16"/>
          <w:lang w:val="en-GB"/>
        </w:rPr>
      </w:pPr>
    </w:p>
    <w:p w14:paraId="6FA4A8B0" w14:textId="77777777" w:rsidR="00724A97" w:rsidRPr="00022524" w:rsidRDefault="00724A97" w:rsidP="00724A97">
      <w:pPr>
        <w:rPr>
          <w:rFonts w:ascii="Verdana" w:hAnsi="Verdana"/>
          <w:sz w:val="16"/>
          <w:szCs w:val="16"/>
          <w:lang w:val="en-GB"/>
        </w:rPr>
      </w:pPr>
    </w:p>
    <w:p w14:paraId="1AE8527D" w14:textId="77777777" w:rsidR="00724A97" w:rsidRPr="00022524" w:rsidRDefault="00724A97" w:rsidP="00724A97">
      <w:pPr>
        <w:rPr>
          <w:rFonts w:ascii="Verdana" w:hAnsi="Verdana"/>
          <w:sz w:val="16"/>
          <w:szCs w:val="16"/>
          <w:lang w:val="en-GB"/>
        </w:rPr>
      </w:pP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6"/>
      </w:tblGrid>
      <w:tr w:rsidR="00724A97" w:rsidRPr="00767075" w14:paraId="3149D4FB" w14:textId="77777777" w:rsidTr="00724A97">
        <w:trPr>
          <w:trHeight w:val="2263"/>
        </w:trPr>
        <w:tc>
          <w:tcPr>
            <w:tcW w:w="7376" w:type="dxa"/>
            <w:tcMar>
              <w:left w:w="0" w:type="dxa"/>
              <w:right w:w="0" w:type="dxa"/>
            </w:tcMar>
          </w:tcPr>
          <w:p w14:paraId="5DB14446" w14:textId="77777777" w:rsidR="00724A97" w:rsidRPr="00022524" w:rsidRDefault="00724A97" w:rsidP="00724A97">
            <w:pPr>
              <w:spacing w:before="80"/>
              <w:jc w:val="center"/>
              <w:rPr>
                <w:rFonts w:ascii="Verdana" w:hAnsi="Verdana"/>
                <w:noProof/>
                <w:sz w:val="20"/>
                <w:lang w:val="en-GB"/>
              </w:rPr>
            </w:pPr>
            <w:r w:rsidRPr="00022524">
              <w:rPr>
                <w:rFonts w:ascii="Verdana" w:hAnsi="Verdana"/>
                <w:b/>
                <w:i/>
                <w:noProof/>
                <w:sz w:val="20"/>
                <w:lang w:val="en-GB"/>
              </w:rPr>
              <w:t xml:space="preserve">Europe Direct is a service to help you find answers </w:t>
            </w:r>
            <w:r w:rsidRPr="00022524">
              <w:rPr>
                <w:rFonts w:ascii="Verdana" w:hAnsi="Verdana"/>
                <w:noProof/>
                <w:sz w:val="20"/>
                <w:lang w:val="en-GB"/>
              </w:rPr>
              <w:br/>
            </w:r>
            <w:r w:rsidRPr="00022524">
              <w:rPr>
                <w:rFonts w:ascii="Verdana" w:hAnsi="Verdana"/>
                <w:b/>
                <w:i/>
                <w:noProof/>
                <w:sz w:val="20"/>
                <w:lang w:val="en-GB"/>
              </w:rPr>
              <w:t>to your questions about the European Union.</w:t>
            </w:r>
          </w:p>
          <w:p w14:paraId="74951A7A" w14:textId="77777777" w:rsidR="00724A97" w:rsidRPr="00022524" w:rsidRDefault="00724A97" w:rsidP="00724A97">
            <w:pPr>
              <w:jc w:val="center"/>
              <w:rPr>
                <w:rFonts w:ascii="Verdana" w:hAnsi="Verdana"/>
                <w:noProof/>
                <w:sz w:val="20"/>
                <w:lang w:val="en-GB"/>
              </w:rPr>
            </w:pPr>
            <w:r w:rsidRPr="00022524">
              <w:rPr>
                <w:rFonts w:ascii="Verdana" w:hAnsi="Verdana"/>
                <w:b/>
                <w:noProof/>
                <w:sz w:val="20"/>
                <w:lang w:val="en-GB"/>
              </w:rPr>
              <w:t>Freephone number</w:t>
            </w:r>
            <w:r w:rsidRPr="00022524">
              <w:rPr>
                <w:rFonts w:ascii="Verdana" w:hAnsi="Verdana"/>
                <w:noProof/>
                <w:sz w:val="20"/>
                <w:lang w:val="en-GB"/>
              </w:rPr>
              <w:t xml:space="preserve"> (*)</w:t>
            </w:r>
            <w:r w:rsidRPr="00022524">
              <w:rPr>
                <w:rFonts w:ascii="Verdana" w:hAnsi="Verdana"/>
                <w:b/>
                <w:noProof/>
                <w:sz w:val="20"/>
                <w:lang w:val="en-GB"/>
              </w:rPr>
              <w:t>:</w:t>
            </w:r>
          </w:p>
          <w:p w14:paraId="1725AD7D" w14:textId="77777777" w:rsidR="00724A97" w:rsidRPr="00022524" w:rsidRDefault="00724A97" w:rsidP="00724A97">
            <w:pPr>
              <w:jc w:val="center"/>
              <w:rPr>
                <w:rFonts w:ascii="Verdana" w:hAnsi="Verdana"/>
                <w:noProof/>
                <w:sz w:val="20"/>
                <w:lang w:val="en-GB"/>
              </w:rPr>
            </w:pPr>
            <w:r w:rsidRPr="00022524">
              <w:rPr>
                <w:rFonts w:ascii="Verdana" w:hAnsi="Verdana"/>
                <w:b/>
                <w:noProof/>
                <w:sz w:val="28"/>
                <w:lang w:val="en-GB"/>
              </w:rPr>
              <w:t>00 800 6 7 8 9 10 11</w:t>
            </w:r>
          </w:p>
          <w:p w14:paraId="1B7D4EEF" w14:textId="77777777" w:rsidR="00724A97" w:rsidRPr="00022524" w:rsidRDefault="00767075" w:rsidP="00724A97">
            <w:pPr>
              <w:spacing w:before="120" w:after="60"/>
              <w:ind w:left="397" w:right="170" w:hanging="227"/>
              <w:rPr>
                <w:rFonts w:ascii="Verdana" w:hAnsi="Verdana"/>
                <w:noProof/>
                <w:lang w:val="en-GB"/>
              </w:rPr>
            </w:pPr>
            <w:hyperlink r:id="rId22" w:anchor="note1#note1" w:tooltip="Back to the text" w:history="1">
              <w:r w:rsidR="00724A97" w:rsidRPr="00022524">
                <w:rPr>
                  <w:rFonts w:ascii="Verdana" w:hAnsi="Verdana" w:cs="Arial"/>
                  <w:sz w:val="16"/>
                  <w:szCs w:val="16"/>
                  <w:lang w:val="en-GB"/>
                </w:rPr>
                <w:t>(*)</w:t>
              </w:r>
            </w:hyperlink>
            <w:r w:rsidR="00724A97" w:rsidRPr="00022524">
              <w:rPr>
                <w:rFonts w:ascii="Verdana" w:hAnsi="Verdana" w:cs="Arial"/>
                <w:sz w:val="16"/>
                <w:szCs w:val="16"/>
                <w:lang w:val="en-GB"/>
              </w:rPr>
              <w:tab/>
              <w:t>The information given is free, as are most calls (though some operators, phone boxes or hotels may charge you).</w:t>
            </w:r>
          </w:p>
        </w:tc>
      </w:tr>
    </w:tbl>
    <w:p w14:paraId="787C76D3" w14:textId="77777777" w:rsidR="00724A97" w:rsidRPr="00022524" w:rsidRDefault="00724A97" w:rsidP="00724A97">
      <w:pPr>
        <w:rPr>
          <w:rFonts w:ascii="Verdana" w:hAnsi="Verdana"/>
          <w:sz w:val="16"/>
          <w:szCs w:val="16"/>
          <w:lang w:val="en-GB"/>
        </w:rPr>
      </w:pPr>
    </w:p>
    <w:p w14:paraId="59E76E18" w14:textId="77777777" w:rsidR="00724A97" w:rsidRPr="00022524" w:rsidRDefault="00724A97" w:rsidP="00724A97">
      <w:pPr>
        <w:rPr>
          <w:rFonts w:ascii="Verdana" w:hAnsi="Verdana"/>
          <w:sz w:val="16"/>
          <w:szCs w:val="16"/>
          <w:lang w:val="en-GB"/>
        </w:rPr>
      </w:pPr>
    </w:p>
    <w:p w14:paraId="1E7768DC" w14:textId="77777777" w:rsidR="00724A97" w:rsidRPr="00022524" w:rsidRDefault="00724A97" w:rsidP="00724A97">
      <w:pPr>
        <w:rPr>
          <w:rFonts w:ascii="Verdana" w:hAnsi="Verdana"/>
          <w:sz w:val="16"/>
          <w:szCs w:val="16"/>
          <w:lang w:val="en-GB"/>
        </w:rPr>
      </w:pPr>
    </w:p>
    <w:p w14:paraId="65FE871A" w14:textId="77777777" w:rsidR="00724A97" w:rsidRPr="00022524" w:rsidRDefault="00724A97" w:rsidP="00724A97">
      <w:pPr>
        <w:rPr>
          <w:rFonts w:ascii="Verdana" w:hAnsi="Verdana"/>
          <w:sz w:val="16"/>
          <w:szCs w:val="16"/>
          <w:lang w:val="en-GB"/>
        </w:rPr>
      </w:pPr>
    </w:p>
    <w:p w14:paraId="7091DFB6" w14:textId="77777777" w:rsidR="00724A97" w:rsidRPr="00022524" w:rsidRDefault="00724A97" w:rsidP="00724A97">
      <w:pPr>
        <w:rPr>
          <w:rFonts w:ascii="Verdana" w:hAnsi="Verdana"/>
          <w:sz w:val="16"/>
          <w:szCs w:val="16"/>
          <w:lang w:val="en-GB"/>
        </w:rPr>
      </w:pPr>
    </w:p>
    <w:p w14:paraId="27403F35" w14:textId="77777777" w:rsidR="00724A97" w:rsidRPr="00022524" w:rsidRDefault="00724A97" w:rsidP="00724A97">
      <w:pPr>
        <w:rPr>
          <w:rFonts w:ascii="Verdana" w:hAnsi="Verdana"/>
          <w:sz w:val="16"/>
          <w:szCs w:val="16"/>
          <w:lang w:val="en-GB"/>
        </w:rPr>
      </w:pPr>
    </w:p>
    <w:p w14:paraId="66C591EB" w14:textId="77777777" w:rsidR="00724A97" w:rsidRPr="00022524" w:rsidRDefault="00724A97" w:rsidP="00724A97">
      <w:pPr>
        <w:spacing w:after="0"/>
        <w:rPr>
          <w:rFonts w:ascii="Verdana" w:hAnsi="Verdana"/>
          <w:sz w:val="16"/>
          <w:szCs w:val="16"/>
          <w:lang w:val="en-GB"/>
        </w:rPr>
      </w:pPr>
    </w:p>
    <w:p w14:paraId="447BD104" w14:textId="77777777" w:rsidR="00724A97" w:rsidRPr="00022524" w:rsidRDefault="00724A97" w:rsidP="00724A97">
      <w:pPr>
        <w:spacing w:after="120"/>
        <w:rPr>
          <w:rFonts w:ascii="Verdana" w:hAnsi="Verdana"/>
          <w:b/>
          <w:sz w:val="18"/>
          <w:szCs w:val="18"/>
          <w:lang w:val="en-GB"/>
        </w:rPr>
      </w:pPr>
    </w:p>
    <w:p w14:paraId="5D0E6ED4" w14:textId="77777777" w:rsidR="00724A97" w:rsidRPr="00022524" w:rsidRDefault="00724A97" w:rsidP="00724A97">
      <w:pPr>
        <w:spacing w:after="120"/>
        <w:rPr>
          <w:rFonts w:ascii="Verdana" w:hAnsi="Verdana"/>
          <w:b/>
          <w:sz w:val="18"/>
          <w:szCs w:val="18"/>
          <w:lang w:val="en-GB"/>
        </w:rPr>
      </w:pPr>
      <w:r w:rsidRPr="00022524">
        <w:rPr>
          <w:rFonts w:ascii="Verdana" w:hAnsi="Verdana"/>
          <w:b/>
          <w:sz w:val="18"/>
          <w:szCs w:val="18"/>
          <w:lang w:val="en-GB"/>
        </w:rPr>
        <w:t>LEGAL NOTICE</w:t>
      </w:r>
    </w:p>
    <w:p w14:paraId="053B11A7" w14:textId="746CC217" w:rsidR="00BD06EE" w:rsidRPr="00BD06EE" w:rsidRDefault="00724A97" w:rsidP="00BD06EE">
      <w:pPr>
        <w:pStyle w:val="Body"/>
        <w:rPr>
          <w:sz w:val="16"/>
          <w:szCs w:val="16"/>
        </w:rPr>
      </w:pPr>
      <w:r w:rsidRPr="00022524">
        <w:rPr>
          <w:sz w:val="16"/>
          <w:szCs w:val="16"/>
        </w:rPr>
        <w:t>This document has been prepared for the European Commission however it reflects the views only of the authors, and the Commission cannot be held responsible for any use which may be made of the information contained therein.</w:t>
      </w:r>
      <w:r w:rsidR="00BD06EE" w:rsidRPr="00BD06EE">
        <w:rPr>
          <w:sz w:val="16"/>
          <w:szCs w:val="16"/>
        </w:rPr>
        <w:t xml:space="preserve"> The Commission does not guarantee the accuracy of the data included in this study. </w:t>
      </w:r>
    </w:p>
    <w:p w14:paraId="6386C58C" w14:textId="77777777" w:rsidR="00724A97" w:rsidRPr="00022524" w:rsidRDefault="00724A97" w:rsidP="00724A97">
      <w:pPr>
        <w:jc w:val="left"/>
        <w:rPr>
          <w:rFonts w:ascii="Verdana" w:hAnsi="Verdana"/>
          <w:sz w:val="16"/>
          <w:szCs w:val="16"/>
          <w:lang w:val="en-GB"/>
        </w:rPr>
      </w:pPr>
      <w:r w:rsidRPr="00022524">
        <w:rPr>
          <w:rFonts w:ascii="Verdana" w:hAnsi="Verdana"/>
          <w:sz w:val="16"/>
          <w:szCs w:val="16"/>
          <w:lang w:val="en-GB"/>
        </w:rPr>
        <w:t>More information on the European Union is available on the Internet (http://www.europa.eu).</w:t>
      </w:r>
    </w:p>
    <w:p w14:paraId="44557C67" w14:textId="77777777" w:rsidR="00724A97" w:rsidRPr="00022524" w:rsidRDefault="00724A97" w:rsidP="00724A97">
      <w:pPr>
        <w:jc w:val="left"/>
        <w:rPr>
          <w:rFonts w:ascii="Verdana" w:hAnsi="Verdana"/>
          <w:sz w:val="16"/>
          <w:szCs w:val="16"/>
          <w:lang w:val="en-GB"/>
        </w:rPr>
      </w:pPr>
      <w:r w:rsidRPr="00022524">
        <w:rPr>
          <w:rFonts w:ascii="Verdana" w:hAnsi="Verdana"/>
          <w:sz w:val="16"/>
          <w:szCs w:val="16"/>
          <w:lang w:val="en-GB"/>
        </w:rPr>
        <w:t>Luxembourg: Publications Office of the European Union, 2016</w:t>
      </w:r>
    </w:p>
    <w:p w14:paraId="1E924E84" w14:textId="77777777" w:rsidR="00724A97" w:rsidRPr="00022524" w:rsidRDefault="00724A97" w:rsidP="00724A97">
      <w:pPr>
        <w:tabs>
          <w:tab w:val="left" w:pos="567"/>
        </w:tabs>
        <w:spacing w:after="0"/>
        <w:jc w:val="left"/>
        <w:rPr>
          <w:rFonts w:ascii="Verdana" w:hAnsi="Verdana"/>
          <w:color w:val="FF0000"/>
          <w:sz w:val="16"/>
          <w:szCs w:val="16"/>
          <w:lang w:val="en-GB"/>
        </w:rPr>
      </w:pPr>
      <w:r w:rsidRPr="00022524">
        <w:rPr>
          <w:rFonts w:ascii="Verdana" w:hAnsi="Verdana"/>
          <w:sz w:val="16"/>
          <w:szCs w:val="16"/>
          <w:lang w:val="en-GB"/>
        </w:rPr>
        <w:t>ISBN</w:t>
      </w:r>
      <w:bookmarkStart w:id="7" w:name="ISBN"/>
      <w:bookmarkEnd w:id="7"/>
      <w:r w:rsidRPr="00022524">
        <w:rPr>
          <w:rFonts w:ascii="Verdana" w:hAnsi="Verdana"/>
          <w:sz w:val="16"/>
          <w:szCs w:val="16"/>
          <w:lang w:val="en-GB"/>
        </w:rPr>
        <w:t xml:space="preserve"> </w:t>
      </w:r>
      <w:r w:rsidRPr="00022524">
        <w:rPr>
          <w:rFonts w:ascii="Verdana" w:hAnsi="Verdana"/>
          <w:color w:val="FF0000"/>
          <w:sz w:val="16"/>
          <w:szCs w:val="16"/>
          <w:lang w:val="en-GB"/>
        </w:rPr>
        <w:t>[number]</w:t>
      </w:r>
    </w:p>
    <w:p w14:paraId="6DDAE249" w14:textId="77777777" w:rsidR="00724A97" w:rsidRPr="00022524" w:rsidRDefault="00724A97" w:rsidP="00724A97">
      <w:pPr>
        <w:tabs>
          <w:tab w:val="left" w:pos="567"/>
        </w:tabs>
        <w:jc w:val="left"/>
        <w:rPr>
          <w:rFonts w:ascii="Verdana" w:hAnsi="Verdana"/>
          <w:sz w:val="16"/>
          <w:szCs w:val="16"/>
          <w:lang w:val="en-GB"/>
        </w:rPr>
      </w:pPr>
      <w:proofErr w:type="spellStart"/>
      <w:proofErr w:type="gramStart"/>
      <w:r w:rsidRPr="00022524">
        <w:rPr>
          <w:rFonts w:ascii="Verdana" w:hAnsi="Verdana"/>
          <w:sz w:val="16"/>
          <w:szCs w:val="16"/>
          <w:lang w:val="en-GB"/>
        </w:rPr>
        <w:t>doi</w:t>
      </w:r>
      <w:proofErr w:type="spellEnd"/>
      <w:proofErr w:type="gramEnd"/>
      <w:r w:rsidRPr="00022524">
        <w:rPr>
          <w:rFonts w:ascii="Verdana" w:hAnsi="Verdana"/>
          <w:sz w:val="16"/>
          <w:szCs w:val="16"/>
          <w:lang w:val="en-GB"/>
        </w:rPr>
        <w:t>:</w:t>
      </w:r>
      <w:r w:rsidRPr="00022524">
        <w:rPr>
          <w:rFonts w:ascii="Verdana" w:hAnsi="Verdana"/>
          <w:color w:val="FF0000"/>
          <w:sz w:val="16"/>
          <w:szCs w:val="16"/>
          <w:lang w:val="en-GB"/>
        </w:rPr>
        <w:t>[number]</w:t>
      </w:r>
    </w:p>
    <w:p w14:paraId="0127FD8A" w14:textId="77777777" w:rsidR="00724A97" w:rsidRPr="00022524" w:rsidRDefault="00724A97" w:rsidP="00724A97">
      <w:pPr>
        <w:spacing w:after="0"/>
        <w:jc w:val="left"/>
        <w:rPr>
          <w:rFonts w:ascii="Verdana" w:hAnsi="Verdana"/>
          <w:sz w:val="16"/>
          <w:szCs w:val="16"/>
          <w:lang w:val="en-GB"/>
        </w:rPr>
      </w:pPr>
      <w:r w:rsidRPr="00022524">
        <w:rPr>
          <w:rFonts w:ascii="Verdana" w:hAnsi="Verdana"/>
          <w:sz w:val="16"/>
          <w:szCs w:val="16"/>
          <w:lang w:val="en-GB"/>
        </w:rPr>
        <w:t>© European Union, 2016</w:t>
      </w:r>
    </w:p>
    <w:p w14:paraId="1AD0A03F" w14:textId="77777777" w:rsidR="00724A97" w:rsidRPr="00022524" w:rsidRDefault="00724A97" w:rsidP="00213AE8">
      <w:pPr>
        <w:rPr>
          <w:rFonts w:ascii="Verdana" w:hAnsi="Verdana"/>
          <w:sz w:val="18"/>
          <w:lang w:val="en-GB"/>
        </w:rPr>
      </w:pPr>
    </w:p>
    <w:p w14:paraId="50A04AF5" w14:textId="77777777" w:rsidR="00AA4227" w:rsidRPr="00022524" w:rsidRDefault="00AA4227" w:rsidP="00213AE8">
      <w:pPr>
        <w:rPr>
          <w:rFonts w:ascii="Verdana" w:hAnsi="Verdana"/>
          <w:sz w:val="18"/>
          <w:lang w:val="en-GB"/>
        </w:rPr>
        <w:sectPr w:rsidR="00AA4227" w:rsidRPr="00022524" w:rsidSect="00794453">
          <w:headerReference w:type="even" r:id="rId23"/>
          <w:headerReference w:type="default" r:id="rId24"/>
          <w:footerReference w:type="even" r:id="rId25"/>
          <w:pgSz w:w="11907" w:h="16839" w:code="9"/>
          <w:pgMar w:top="851" w:right="1418" w:bottom="851" w:left="1418" w:header="567" w:footer="567" w:gutter="0"/>
          <w:cols w:space="720"/>
          <w:docGrid w:linePitch="326"/>
        </w:sectPr>
      </w:pPr>
    </w:p>
    <w:p w14:paraId="30686A14" w14:textId="77777777" w:rsidR="00B351A0" w:rsidRPr="00022524" w:rsidRDefault="00E8593C" w:rsidP="00096F14">
      <w:pPr>
        <w:outlineLvl w:val="0"/>
        <w:rPr>
          <w:rFonts w:ascii="Verdana" w:hAnsi="Verdana"/>
          <w:b/>
          <w:sz w:val="22"/>
          <w:szCs w:val="22"/>
          <w:lang w:val="en-GB"/>
        </w:rPr>
      </w:pPr>
      <w:bookmarkStart w:id="8" w:name="_Toc433973072"/>
      <w:r w:rsidRPr="00022524">
        <w:rPr>
          <w:rFonts w:ascii="Verdana" w:hAnsi="Verdana"/>
          <w:b/>
          <w:sz w:val="22"/>
          <w:szCs w:val="22"/>
          <w:lang w:val="en-GB"/>
        </w:rPr>
        <w:lastRenderedPageBreak/>
        <w:t xml:space="preserve">Table of </w:t>
      </w:r>
      <w:r w:rsidR="00FD148E" w:rsidRPr="00022524">
        <w:rPr>
          <w:rFonts w:ascii="Verdana" w:hAnsi="Verdana"/>
          <w:b/>
          <w:sz w:val="22"/>
          <w:szCs w:val="22"/>
          <w:lang w:val="en-GB"/>
        </w:rPr>
        <w:t>contents</w:t>
      </w:r>
      <w:bookmarkEnd w:id="8"/>
    </w:p>
    <w:p w14:paraId="17CFFCC2" w14:textId="42E30A8A" w:rsidR="00701053" w:rsidRDefault="00D307E2" w:rsidP="00AD7CFD">
      <w:pPr>
        <w:pStyle w:val="TOC1"/>
        <w:rPr>
          <w:rFonts w:asciiTheme="minorHAnsi" w:eastAsiaTheme="minorEastAsia" w:hAnsiTheme="minorHAnsi" w:cstheme="minorBidi"/>
          <w:b w:val="0"/>
          <w:sz w:val="22"/>
          <w:szCs w:val="22"/>
          <w:lang w:val="en-AU" w:eastAsia="en-AU"/>
        </w:rPr>
      </w:pPr>
      <w:r w:rsidRPr="00022524">
        <w:rPr>
          <w:b w:val="0"/>
          <w:lang w:val="en-GB"/>
        </w:rPr>
        <w:fldChar w:fldCharType="begin"/>
      </w:r>
      <w:r w:rsidRPr="00022524">
        <w:rPr>
          <w:b w:val="0"/>
          <w:lang w:val="en-GB"/>
        </w:rPr>
        <w:instrText xml:space="preserve"> TOC \o "1-3" </w:instrText>
      </w:r>
      <w:r w:rsidRPr="00022524">
        <w:rPr>
          <w:b w:val="0"/>
          <w:lang w:val="en-GB"/>
        </w:rPr>
        <w:fldChar w:fldCharType="separate"/>
      </w:r>
    </w:p>
    <w:p w14:paraId="21206762" w14:textId="77777777" w:rsidR="00701053" w:rsidRDefault="00701053">
      <w:pPr>
        <w:pStyle w:val="TOC1"/>
        <w:rPr>
          <w:rFonts w:asciiTheme="minorHAnsi" w:eastAsiaTheme="minorEastAsia" w:hAnsiTheme="minorHAnsi" w:cstheme="minorBidi"/>
          <w:b w:val="0"/>
          <w:sz w:val="22"/>
          <w:szCs w:val="22"/>
          <w:lang w:val="en-AU" w:eastAsia="en-AU"/>
        </w:rPr>
      </w:pPr>
      <w:r w:rsidRPr="00797148">
        <w:rPr>
          <w:lang w:val="en-GB"/>
        </w:rPr>
        <w:t>1.</w:t>
      </w:r>
      <w:r>
        <w:rPr>
          <w:rFonts w:asciiTheme="minorHAnsi" w:eastAsiaTheme="minorEastAsia" w:hAnsiTheme="minorHAnsi" w:cstheme="minorBidi"/>
          <w:b w:val="0"/>
          <w:sz w:val="22"/>
          <w:szCs w:val="22"/>
          <w:lang w:val="en-AU" w:eastAsia="en-AU"/>
        </w:rPr>
        <w:tab/>
      </w:r>
      <w:r w:rsidRPr="00797148">
        <w:rPr>
          <w:lang w:val="en-GB"/>
        </w:rPr>
        <w:t>Introduction</w:t>
      </w:r>
      <w:r w:rsidRPr="00797148">
        <w:rPr>
          <w:lang w:val="en-GB"/>
        </w:rPr>
        <w:tab/>
      </w:r>
      <w:r>
        <w:fldChar w:fldCharType="begin"/>
      </w:r>
      <w:r w:rsidRPr="00797148">
        <w:rPr>
          <w:lang w:val="en-GB"/>
        </w:rPr>
        <w:instrText xml:space="preserve"> PAGEREF _Toc448144101 \h </w:instrText>
      </w:r>
      <w:r>
        <w:fldChar w:fldCharType="separate"/>
      </w:r>
      <w:r w:rsidRPr="00797148">
        <w:rPr>
          <w:lang w:val="en-GB"/>
        </w:rPr>
        <w:t>1</w:t>
      </w:r>
      <w:r>
        <w:fldChar w:fldCharType="end"/>
      </w:r>
    </w:p>
    <w:p w14:paraId="732AEA53"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1.1.</w:t>
      </w:r>
      <w:r>
        <w:rPr>
          <w:rFonts w:asciiTheme="minorHAnsi" w:eastAsiaTheme="minorEastAsia" w:hAnsiTheme="minorHAnsi" w:cstheme="minorBidi"/>
          <w:bCs w:val="0"/>
          <w:sz w:val="22"/>
          <w:szCs w:val="22"/>
          <w:lang w:val="en-AU" w:eastAsia="en-AU"/>
        </w:rPr>
        <w:tab/>
      </w:r>
      <w:r w:rsidRPr="00797148">
        <w:rPr>
          <w:lang w:val="en-GB"/>
        </w:rPr>
        <w:t>Study tasks and content</w:t>
      </w:r>
      <w:r w:rsidRPr="00797148">
        <w:rPr>
          <w:lang w:val="en-GB"/>
        </w:rPr>
        <w:tab/>
      </w:r>
      <w:r>
        <w:fldChar w:fldCharType="begin"/>
      </w:r>
      <w:r w:rsidRPr="00797148">
        <w:rPr>
          <w:lang w:val="en-GB"/>
        </w:rPr>
        <w:instrText xml:space="preserve"> PAGEREF _Toc448144102 \h </w:instrText>
      </w:r>
      <w:r>
        <w:fldChar w:fldCharType="separate"/>
      </w:r>
      <w:r w:rsidRPr="00797148">
        <w:rPr>
          <w:lang w:val="en-GB"/>
        </w:rPr>
        <w:t>1</w:t>
      </w:r>
      <w:r>
        <w:fldChar w:fldCharType="end"/>
      </w:r>
    </w:p>
    <w:p w14:paraId="506C562E"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1.2.</w:t>
      </w:r>
      <w:r>
        <w:rPr>
          <w:rFonts w:asciiTheme="minorHAnsi" w:eastAsiaTheme="minorEastAsia" w:hAnsiTheme="minorHAnsi" w:cstheme="minorBidi"/>
          <w:bCs w:val="0"/>
          <w:sz w:val="22"/>
          <w:szCs w:val="22"/>
          <w:lang w:val="en-AU" w:eastAsia="en-AU"/>
        </w:rPr>
        <w:tab/>
      </w:r>
      <w:r w:rsidRPr="00797148">
        <w:rPr>
          <w:lang w:val="en-GB"/>
        </w:rPr>
        <w:t>The context of this study – the performance framework &amp; the performance reserve</w:t>
      </w:r>
      <w:r w:rsidRPr="00797148">
        <w:rPr>
          <w:lang w:val="en-GB"/>
        </w:rPr>
        <w:tab/>
      </w:r>
      <w:r>
        <w:fldChar w:fldCharType="begin"/>
      </w:r>
      <w:r w:rsidRPr="00797148">
        <w:rPr>
          <w:lang w:val="en-GB"/>
        </w:rPr>
        <w:instrText xml:space="preserve"> PAGEREF _Toc448144103 \h </w:instrText>
      </w:r>
      <w:r>
        <w:fldChar w:fldCharType="separate"/>
      </w:r>
      <w:r w:rsidRPr="00797148">
        <w:rPr>
          <w:lang w:val="en-GB"/>
        </w:rPr>
        <w:t>2</w:t>
      </w:r>
      <w:r>
        <w:fldChar w:fldCharType="end"/>
      </w:r>
    </w:p>
    <w:p w14:paraId="67330F6E" w14:textId="77777777" w:rsidR="00701053" w:rsidRDefault="00701053">
      <w:pPr>
        <w:pStyle w:val="TOC1"/>
        <w:rPr>
          <w:rFonts w:asciiTheme="minorHAnsi" w:eastAsiaTheme="minorEastAsia" w:hAnsiTheme="minorHAnsi" w:cstheme="minorBidi"/>
          <w:b w:val="0"/>
          <w:sz w:val="22"/>
          <w:szCs w:val="22"/>
          <w:lang w:val="en-AU" w:eastAsia="en-AU"/>
        </w:rPr>
      </w:pPr>
      <w:r w:rsidRPr="00797148">
        <w:rPr>
          <w:lang w:val="en-GB"/>
        </w:rPr>
        <w:t>2.</w:t>
      </w:r>
      <w:r>
        <w:rPr>
          <w:rFonts w:asciiTheme="minorHAnsi" w:eastAsiaTheme="minorEastAsia" w:hAnsiTheme="minorHAnsi" w:cstheme="minorBidi"/>
          <w:b w:val="0"/>
          <w:sz w:val="22"/>
          <w:szCs w:val="22"/>
          <w:lang w:val="en-AU" w:eastAsia="en-AU"/>
        </w:rPr>
        <w:tab/>
      </w:r>
      <w:r w:rsidRPr="00797148">
        <w:rPr>
          <w:lang w:val="en-GB"/>
        </w:rPr>
        <w:t>Processes for the establishment of performance frameworks</w:t>
      </w:r>
      <w:r w:rsidRPr="00797148">
        <w:rPr>
          <w:lang w:val="en-GB"/>
        </w:rPr>
        <w:tab/>
      </w:r>
      <w:r>
        <w:fldChar w:fldCharType="begin"/>
      </w:r>
      <w:r w:rsidRPr="00797148">
        <w:rPr>
          <w:lang w:val="en-GB"/>
        </w:rPr>
        <w:instrText xml:space="preserve"> PAGEREF _Toc448144104 \h </w:instrText>
      </w:r>
      <w:r>
        <w:fldChar w:fldCharType="separate"/>
      </w:r>
      <w:r w:rsidRPr="00797148">
        <w:rPr>
          <w:lang w:val="en-GB"/>
        </w:rPr>
        <w:t>3</w:t>
      </w:r>
      <w:r>
        <w:fldChar w:fldCharType="end"/>
      </w:r>
    </w:p>
    <w:p w14:paraId="2CE3DE4E"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2.1.</w:t>
      </w:r>
      <w:r>
        <w:rPr>
          <w:rFonts w:asciiTheme="minorHAnsi" w:eastAsiaTheme="minorEastAsia" w:hAnsiTheme="minorHAnsi" w:cstheme="minorBidi"/>
          <w:bCs w:val="0"/>
          <w:sz w:val="22"/>
          <w:szCs w:val="22"/>
          <w:lang w:val="en-AU" w:eastAsia="en-AU"/>
        </w:rPr>
        <w:tab/>
      </w:r>
      <w:r w:rsidRPr="00797148">
        <w:rPr>
          <w:lang w:val="en-GB"/>
        </w:rPr>
        <w:t>Main actors and documents influencing the performance framework by Member State and type of programmes</w:t>
      </w:r>
      <w:r w:rsidRPr="00797148">
        <w:rPr>
          <w:lang w:val="en-GB"/>
        </w:rPr>
        <w:tab/>
      </w:r>
      <w:r>
        <w:fldChar w:fldCharType="begin"/>
      </w:r>
      <w:r w:rsidRPr="00797148">
        <w:rPr>
          <w:lang w:val="en-GB"/>
        </w:rPr>
        <w:instrText xml:space="preserve"> PAGEREF _Toc448144105 \h </w:instrText>
      </w:r>
      <w:r>
        <w:fldChar w:fldCharType="separate"/>
      </w:r>
      <w:r w:rsidRPr="00797148">
        <w:rPr>
          <w:lang w:val="en-GB"/>
        </w:rPr>
        <w:t>3</w:t>
      </w:r>
      <w:r>
        <w:fldChar w:fldCharType="end"/>
      </w:r>
    </w:p>
    <w:p w14:paraId="3CD42D07"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2.2.</w:t>
      </w:r>
      <w:r>
        <w:rPr>
          <w:rFonts w:asciiTheme="minorHAnsi" w:eastAsiaTheme="minorEastAsia" w:hAnsiTheme="minorHAnsi" w:cstheme="minorBidi"/>
          <w:bCs w:val="0"/>
          <w:sz w:val="22"/>
          <w:szCs w:val="22"/>
          <w:lang w:val="en-AU" w:eastAsia="en-AU"/>
        </w:rPr>
        <w:tab/>
      </w:r>
      <w:r w:rsidRPr="00797148">
        <w:rPr>
          <w:lang w:val="en-GB"/>
        </w:rPr>
        <w:t>Role and influence of dialogue with ex-ante evaluators, the Commission and other programmes</w:t>
      </w:r>
      <w:r w:rsidRPr="00797148">
        <w:rPr>
          <w:lang w:val="en-GB"/>
        </w:rPr>
        <w:tab/>
      </w:r>
      <w:r>
        <w:fldChar w:fldCharType="begin"/>
      </w:r>
      <w:r w:rsidRPr="00797148">
        <w:rPr>
          <w:lang w:val="en-GB"/>
        </w:rPr>
        <w:instrText xml:space="preserve"> PAGEREF _Toc448144106 \h </w:instrText>
      </w:r>
      <w:r>
        <w:fldChar w:fldCharType="separate"/>
      </w:r>
      <w:r w:rsidRPr="00797148">
        <w:rPr>
          <w:lang w:val="en-GB"/>
        </w:rPr>
        <w:t>6</w:t>
      </w:r>
      <w:r>
        <w:fldChar w:fldCharType="end"/>
      </w:r>
    </w:p>
    <w:p w14:paraId="32D04574"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2.3.</w:t>
      </w:r>
      <w:r>
        <w:rPr>
          <w:rFonts w:asciiTheme="minorHAnsi" w:eastAsiaTheme="minorEastAsia" w:hAnsiTheme="minorHAnsi" w:cstheme="minorBidi"/>
          <w:bCs w:val="0"/>
          <w:sz w:val="22"/>
          <w:szCs w:val="22"/>
          <w:lang w:val="en-AU" w:eastAsia="en-AU"/>
        </w:rPr>
        <w:tab/>
      </w:r>
      <w:r w:rsidRPr="00797148">
        <w:rPr>
          <w:lang w:val="en-GB"/>
        </w:rPr>
        <w:t>Specific challenges and role of guiding documents for complex priorities and specific delivery modes</w:t>
      </w:r>
      <w:r w:rsidRPr="00797148">
        <w:rPr>
          <w:lang w:val="en-GB"/>
        </w:rPr>
        <w:tab/>
      </w:r>
      <w:r>
        <w:fldChar w:fldCharType="begin"/>
      </w:r>
      <w:r w:rsidRPr="00797148">
        <w:rPr>
          <w:lang w:val="en-GB"/>
        </w:rPr>
        <w:instrText xml:space="preserve"> PAGEREF _Toc448144107 \h </w:instrText>
      </w:r>
      <w:r>
        <w:fldChar w:fldCharType="separate"/>
      </w:r>
      <w:r w:rsidRPr="00797148">
        <w:rPr>
          <w:lang w:val="en-GB"/>
        </w:rPr>
        <w:t>9</w:t>
      </w:r>
      <w:r>
        <w:fldChar w:fldCharType="end"/>
      </w:r>
    </w:p>
    <w:p w14:paraId="7B0539CB"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2.4.</w:t>
      </w:r>
      <w:r>
        <w:rPr>
          <w:rFonts w:asciiTheme="minorHAnsi" w:eastAsiaTheme="minorEastAsia" w:hAnsiTheme="minorHAnsi" w:cstheme="minorBidi"/>
          <w:bCs w:val="0"/>
          <w:sz w:val="22"/>
          <w:szCs w:val="22"/>
          <w:lang w:val="en-AU" w:eastAsia="en-AU"/>
        </w:rPr>
        <w:tab/>
      </w:r>
      <w:r w:rsidRPr="00797148">
        <w:rPr>
          <w:lang w:val="en-GB"/>
        </w:rPr>
        <w:t>Processes to ensure consistency in the functioning of the performance framework</w:t>
      </w:r>
      <w:r w:rsidRPr="00797148">
        <w:rPr>
          <w:lang w:val="en-GB"/>
        </w:rPr>
        <w:tab/>
      </w:r>
      <w:r>
        <w:fldChar w:fldCharType="begin"/>
      </w:r>
      <w:r w:rsidRPr="00797148">
        <w:rPr>
          <w:lang w:val="en-GB"/>
        </w:rPr>
        <w:instrText xml:space="preserve"> PAGEREF _Toc448144108 \h </w:instrText>
      </w:r>
      <w:r>
        <w:fldChar w:fldCharType="separate"/>
      </w:r>
      <w:r w:rsidRPr="00797148">
        <w:rPr>
          <w:lang w:val="en-GB"/>
        </w:rPr>
        <w:t>11</w:t>
      </w:r>
      <w:r>
        <w:fldChar w:fldCharType="end"/>
      </w:r>
    </w:p>
    <w:p w14:paraId="12872BF7"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2.5.</w:t>
      </w:r>
      <w:r>
        <w:rPr>
          <w:rFonts w:asciiTheme="minorHAnsi" w:eastAsiaTheme="minorEastAsia" w:hAnsiTheme="minorHAnsi" w:cstheme="minorBidi"/>
          <w:bCs w:val="0"/>
          <w:sz w:val="22"/>
          <w:szCs w:val="22"/>
          <w:lang w:val="en-AU" w:eastAsia="en-AU"/>
        </w:rPr>
        <w:tab/>
      </w:r>
      <w:r w:rsidRPr="00797148">
        <w:rPr>
          <w:lang w:val="en-GB"/>
        </w:rPr>
        <w:t>Conclusions</w:t>
      </w:r>
      <w:r w:rsidRPr="00797148">
        <w:rPr>
          <w:lang w:val="en-GB"/>
        </w:rPr>
        <w:tab/>
      </w:r>
      <w:r>
        <w:fldChar w:fldCharType="begin"/>
      </w:r>
      <w:r w:rsidRPr="00797148">
        <w:rPr>
          <w:lang w:val="en-GB"/>
        </w:rPr>
        <w:instrText xml:space="preserve"> PAGEREF _Toc448144109 \h </w:instrText>
      </w:r>
      <w:r>
        <w:fldChar w:fldCharType="separate"/>
      </w:r>
      <w:r w:rsidRPr="00797148">
        <w:rPr>
          <w:lang w:val="en-GB"/>
        </w:rPr>
        <w:t>15</w:t>
      </w:r>
      <w:r>
        <w:fldChar w:fldCharType="end"/>
      </w:r>
    </w:p>
    <w:p w14:paraId="66AE68F0" w14:textId="77777777" w:rsidR="00701053" w:rsidRDefault="00701053">
      <w:pPr>
        <w:pStyle w:val="TOC1"/>
        <w:rPr>
          <w:rFonts w:asciiTheme="minorHAnsi" w:eastAsiaTheme="minorEastAsia" w:hAnsiTheme="minorHAnsi" w:cstheme="minorBidi"/>
          <w:b w:val="0"/>
          <w:sz w:val="22"/>
          <w:szCs w:val="22"/>
          <w:lang w:val="en-AU" w:eastAsia="en-AU"/>
        </w:rPr>
      </w:pPr>
      <w:r w:rsidRPr="00797148">
        <w:rPr>
          <w:lang w:val="en-GB"/>
        </w:rPr>
        <w:t>3.</w:t>
      </w:r>
      <w:r>
        <w:rPr>
          <w:rFonts w:asciiTheme="minorHAnsi" w:eastAsiaTheme="minorEastAsia" w:hAnsiTheme="minorHAnsi" w:cstheme="minorBidi"/>
          <w:b w:val="0"/>
          <w:sz w:val="22"/>
          <w:szCs w:val="22"/>
          <w:lang w:val="en-AU" w:eastAsia="en-AU"/>
        </w:rPr>
        <w:tab/>
      </w:r>
      <w:r w:rsidRPr="00797148">
        <w:rPr>
          <w:lang w:val="en-GB"/>
        </w:rPr>
        <w:t>Design of the performance frameworks and underlying rationale</w:t>
      </w:r>
      <w:r w:rsidRPr="00797148">
        <w:rPr>
          <w:lang w:val="en-GB"/>
        </w:rPr>
        <w:tab/>
      </w:r>
      <w:r>
        <w:fldChar w:fldCharType="begin"/>
      </w:r>
      <w:r w:rsidRPr="00797148">
        <w:rPr>
          <w:lang w:val="en-GB"/>
        </w:rPr>
        <w:instrText xml:space="preserve"> PAGEREF _Toc448144110 \h </w:instrText>
      </w:r>
      <w:r>
        <w:fldChar w:fldCharType="separate"/>
      </w:r>
      <w:r w:rsidRPr="00797148">
        <w:rPr>
          <w:lang w:val="en-GB"/>
        </w:rPr>
        <w:t>17</w:t>
      </w:r>
      <w:r>
        <w:fldChar w:fldCharType="end"/>
      </w:r>
    </w:p>
    <w:p w14:paraId="4BFCA098"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3.1.</w:t>
      </w:r>
      <w:r>
        <w:rPr>
          <w:rFonts w:asciiTheme="minorHAnsi" w:eastAsiaTheme="minorEastAsia" w:hAnsiTheme="minorHAnsi" w:cstheme="minorBidi"/>
          <w:bCs w:val="0"/>
          <w:sz w:val="22"/>
          <w:szCs w:val="22"/>
          <w:lang w:val="en-AU" w:eastAsia="en-AU"/>
        </w:rPr>
        <w:tab/>
      </w:r>
      <w:r w:rsidRPr="00797148">
        <w:rPr>
          <w:lang w:val="en-GB"/>
        </w:rPr>
        <w:t>The use of the four categories of indicators</w:t>
      </w:r>
      <w:r w:rsidRPr="00797148">
        <w:rPr>
          <w:lang w:val="en-GB"/>
        </w:rPr>
        <w:tab/>
      </w:r>
      <w:r>
        <w:fldChar w:fldCharType="begin"/>
      </w:r>
      <w:r w:rsidRPr="00797148">
        <w:rPr>
          <w:lang w:val="en-GB"/>
        </w:rPr>
        <w:instrText xml:space="preserve"> PAGEREF _Toc448144111 \h </w:instrText>
      </w:r>
      <w:r>
        <w:fldChar w:fldCharType="separate"/>
      </w:r>
      <w:r w:rsidRPr="00797148">
        <w:rPr>
          <w:lang w:val="en-GB"/>
        </w:rPr>
        <w:t>18</w:t>
      </w:r>
      <w:r>
        <w:fldChar w:fldCharType="end"/>
      </w:r>
    </w:p>
    <w:p w14:paraId="35A9C627"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3.2.</w:t>
      </w:r>
      <w:r>
        <w:rPr>
          <w:rFonts w:asciiTheme="minorHAnsi" w:eastAsiaTheme="minorEastAsia" w:hAnsiTheme="minorHAnsi" w:cstheme="minorBidi"/>
          <w:bCs w:val="0"/>
          <w:sz w:val="22"/>
          <w:szCs w:val="22"/>
          <w:lang w:val="en-AU" w:eastAsia="en-AU"/>
        </w:rPr>
        <w:tab/>
      </w:r>
      <w:r w:rsidRPr="00797148">
        <w:rPr>
          <w:lang w:val="en-GB"/>
        </w:rPr>
        <w:t>Appropriateness of milestones and targets (according to Annex II of Regulation (EU) No 1303/2013)</w:t>
      </w:r>
      <w:r w:rsidRPr="00797148">
        <w:rPr>
          <w:lang w:val="en-GB"/>
        </w:rPr>
        <w:tab/>
      </w:r>
      <w:r>
        <w:fldChar w:fldCharType="begin"/>
      </w:r>
      <w:r w:rsidRPr="00797148">
        <w:rPr>
          <w:lang w:val="en-GB"/>
        </w:rPr>
        <w:instrText xml:space="preserve"> PAGEREF _Toc448144112 \h </w:instrText>
      </w:r>
      <w:r>
        <w:fldChar w:fldCharType="separate"/>
      </w:r>
      <w:r w:rsidRPr="00797148">
        <w:rPr>
          <w:lang w:val="en-GB"/>
        </w:rPr>
        <w:t>34</w:t>
      </w:r>
      <w:r>
        <w:fldChar w:fldCharType="end"/>
      </w:r>
    </w:p>
    <w:p w14:paraId="4D23A554" w14:textId="77777777" w:rsidR="00701053" w:rsidRDefault="00701053">
      <w:pPr>
        <w:pStyle w:val="TOC3"/>
        <w:tabs>
          <w:tab w:val="left" w:pos="1440"/>
        </w:tabs>
        <w:rPr>
          <w:rFonts w:asciiTheme="minorHAnsi" w:eastAsiaTheme="minorEastAsia" w:hAnsiTheme="minorHAnsi" w:cstheme="minorBidi"/>
          <w:sz w:val="22"/>
          <w:szCs w:val="22"/>
          <w:lang w:val="en-AU" w:eastAsia="en-AU"/>
        </w:rPr>
      </w:pPr>
      <w:r w:rsidRPr="008E0B2A">
        <w:rPr>
          <w:lang w:val="en-GB"/>
        </w:rPr>
        <w:t>3.2.1.</w:t>
      </w:r>
      <w:r>
        <w:rPr>
          <w:rFonts w:asciiTheme="minorHAnsi" w:eastAsiaTheme="minorEastAsia" w:hAnsiTheme="minorHAnsi" w:cstheme="minorBidi"/>
          <w:sz w:val="22"/>
          <w:szCs w:val="22"/>
          <w:lang w:val="en-AU" w:eastAsia="en-AU"/>
        </w:rPr>
        <w:tab/>
      </w:r>
      <w:r w:rsidRPr="008E0B2A">
        <w:rPr>
          <w:lang w:val="en-GB"/>
        </w:rPr>
        <w:t>General findings on milestones and targets</w:t>
      </w:r>
      <w:r w:rsidRPr="00797148">
        <w:rPr>
          <w:lang w:val="en-GB"/>
        </w:rPr>
        <w:tab/>
      </w:r>
      <w:r>
        <w:fldChar w:fldCharType="begin"/>
      </w:r>
      <w:r w:rsidRPr="00797148">
        <w:rPr>
          <w:lang w:val="en-GB"/>
        </w:rPr>
        <w:instrText xml:space="preserve"> PAGEREF _Toc448144113 \h </w:instrText>
      </w:r>
      <w:r>
        <w:fldChar w:fldCharType="separate"/>
      </w:r>
      <w:r w:rsidRPr="00797148">
        <w:rPr>
          <w:lang w:val="en-GB"/>
        </w:rPr>
        <w:t>34</w:t>
      </w:r>
      <w:r>
        <w:fldChar w:fldCharType="end"/>
      </w:r>
    </w:p>
    <w:p w14:paraId="6B8A5537" w14:textId="77777777" w:rsidR="00701053" w:rsidRDefault="00701053">
      <w:pPr>
        <w:pStyle w:val="TOC3"/>
        <w:tabs>
          <w:tab w:val="left" w:pos="1440"/>
        </w:tabs>
        <w:rPr>
          <w:rFonts w:asciiTheme="minorHAnsi" w:eastAsiaTheme="minorEastAsia" w:hAnsiTheme="minorHAnsi" w:cstheme="minorBidi"/>
          <w:sz w:val="22"/>
          <w:szCs w:val="22"/>
          <w:lang w:val="en-AU" w:eastAsia="en-AU"/>
        </w:rPr>
      </w:pPr>
      <w:r w:rsidRPr="008E0B2A">
        <w:rPr>
          <w:lang w:val="en-GB"/>
        </w:rPr>
        <w:t>3.2.2.</w:t>
      </w:r>
      <w:r>
        <w:rPr>
          <w:rFonts w:asciiTheme="minorHAnsi" w:eastAsiaTheme="minorEastAsia" w:hAnsiTheme="minorHAnsi" w:cstheme="minorBidi"/>
          <w:sz w:val="22"/>
          <w:szCs w:val="22"/>
          <w:lang w:val="en-AU" w:eastAsia="en-AU"/>
        </w:rPr>
        <w:tab/>
      </w:r>
      <w:r w:rsidRPr="008E0B2A">
        <w:rPr>
          <w:lang w:val="en-GB"/>
        </w:rPr>
        <w:t>Findings on common output indicators [IGJ programmes only]</w:t>
      </w:r>
      <w:r w:rsidRPr="00797148">
        <w:rPr>
          <w:lang w:val="en-GB"/>
        </w:rPr>
        <w:tab/>
      </w:r>
      <w:r>
        <w:fldChar w:fldCharType="begin"/>
      </w:r>
      <w:r w:rsidRPr="00797148">
        <w:rPr>
          <w:lang w:val="en-GB"/>
        </w:rPr>
        <w:instrText xml:space="preserve"> PAGEREF _Toc448144114 \h </w:instrText>
      </w:r>
      <w:r>
        <w:fldChar w:fldCharType="separate"/>
      </w:r>
      <w:r w:rsidRPr="00797148">
        <w:rPr>
          <w:lang w:val="en-GB"/>
        </w:rPr>
        <w:t>37</w:t>
      </w:r>
      <w:r>
        <w:fldChar w:fldCharType="end"/>
      </w:r>
    </w:p>
    <w:p w14:paraId="34F406AF" w14:textId="77777777" w:rsidR="00701053" w:rsidRDefault="00701053">
      <w:pPr>
        <w:pStyle w:val="TOC3"/>
        <w:tabs>
          <w:tab w:val="left" w:pos="1440"/>
        </w:tabs>
        <w:rPr>
          <w:rFonts w:asciiTheme="minorHAnsi" w:eastAsiaTheme="minorEastAsia" w:hAnsiTheme="minorHAnsi" w:cstheme="minorBidi"/>
          <w:sz w:val="22"/>
          <w:szCs w:val="22"/>
          <w:lang w:val="en-AU" w:eastAsia="en-AU"/>
        </w:rPr>
      </w:pPr>
      <w:r w:rsidRPr="008E0B2A">
        <w:rPr>
          <w:lang w:val="en-GB"/>
        </w:rPr>
        <w:t>3.2.3.</w:t>
      </w:r>
      <w:r>
        <w:rPr>
          <w:rFonts w:asciiTheme="minorHAnsi" w:eastAsiaTheme="minorEastAsia" w:hAnsiTheme="minorHAnsi" w:cstheme="minorBidi"/>
          <w:sz w:val="22"/>
          <w:szCs w:val="22"/>
          <w:lang w:val="en-AU" w:eastAsia="en-AU"/>
        </w:rPr>
        <w:tab/>
      </w:r>
      <w:r w:rsidRPr="008E0B2A">
        <w:rPr>
          <w:lang w:val="en-GB"/>
        </w:rPr>
        <w:t>Findings on financial indicators – level for milestones and rhythm of delivery</w:t>
      </w:r>
      <w:r w:rsidRPr="00797148">
        <w:rPr>
          <w:lang w:val="en-GB"/>
        </w:rPr>
        <w:tab/>
      </w:r>
      <w:r>
        <w:fldChar w:fldCharType="begin"/>
      </w:r>
      <w:r w:rsidRPr="00797148">
        <w:rPr>
          <w:lang w:val="en-GB"/>
        </w:rPr>
        <w:instrText xml:space="preserve"> PAGEREF _Toc448144115 \h </w:instrText>
      </w:r>
      <w:r>
        <w:fldChar w:fldCharType="separate"/>
      </w:r>
      <w:r w:rsidRPr="00797148">
        <w:rPr>
          <w:lang w:val="en-GB"/>
        </w:rPr>
        <w:t>43</w:t>
      </w:r>
      <w:r>
        <w:fldChar w:fldCharType="end"/>
      </w:r>
    </w:p>
    <w:p w14:paraId="10B12A0A"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3.3.</w:t>
      </w:r>
      <w:r>
        <w:rPr>
          <w:rFonts w:asciiTheme="minorHAnsi" w:eastAsiaTheme="minorEastAsia" w:hAnsiTheme="minorHAnsi" w:cstheme="minorBidi"/>
          <w:bCs w:val="0"/>
          <w:sz w:val="22"/>
          <w:szCs w:val="22"/>
          <w:lang w:val="en-AU" w:eastAsia="en-AU"/>
        </w:rPr>
        <w:tab/>
      </w:r>
      <w:r w:rsidRPr="00797148">
        <w:rPr>
          <w:lang w:val="en-GB"/>
        </w:rPr>
        <w:t>Conclusions</w:t>
      </w:r>
      <w:r w:rsidRPr="00797148">
        <w:rPr>
          <w:lang w:val="en-GB"/>
        </w:rPr>
        <w:tab/>
      </w:r>
      <w:r>
        <w:fldChar w:fldCharType="begin"/>
      </w:r>
      <w:r w:rsidRPr="00797148">
        <w:rPr>
          <w:lang w:val="en-GB"/>
        </w:rPr>
        <w:instrText xml:space="preserve"> PAGEREF _Toc448144116 \h </w:instrText>
      </w:r>
      <w:r>
        <w:fldChar w:fldCharType="separate"/>
      </w:r>
      <w:r w:rsidRPr="00797148">
        <w:rPr>
          <w:lang w:val="en-GB"/>
        </w:rPr>
        <w:t>45</w:t>
      </w:r>
      <w:r>
        <w:fldChar w:fldCharType="end"/>
      </w:r>
    </w:p>
    <w:p w14:paraId="77A67987" w14:textId="77777777" w:rsidR="00701053" w:rsidRDefault="00701053">
      <w:pPr>
        <w:pStyle w:val="TOC1"/>
        <w:rPr>
          <w:rFonts w:asciiTheme="minorHAnsi" w:eastAsiaTheme="minorEastAsia" w:hAnsiTheme="minorHAnsi" w:cstheme="minorBidi"/>
          <w:b w:val="0"/>
          <w:sz w:val="22"/>
          <w:szCs w:val="22"/>
          <w:lang w:val="en-AU" w:eastAsia="en-AU"/>
        </w:rPr>
      </w:pPr>
      <w:r w:rsidRPr="00797148">
        <w:rPr>
          <w:lang w:val="en-GB"/>
        </w:rPr>
        <w:t>4.</w:t>
      </w:r>
      <w:r>
        <w:rPr>
          <w:rFonts w:asciiTheme="minorHAnsi" w:eastAsiaTheme="minorEastAsia" w:hAnsiTheme="minorHAnsi" w:cstheme="minorBidi"/>
          <w:b w:val="0"/>
          <w:sz w:val="22"/>
          <w:szCs w:val="22"/>
          <w:lang w:val="en-AU" w:eastAsia="en-AU"/>
        </w:rPr>
        <w:tab/>
      </w:r>
      <w:r w:rsidRPr="00797148">
        <w:rPr>
          <w:lang w:val="en-GB"/>
        </w:rPr>
        <w:t>Establishment of performance reserve</w:t>
      </w:r>
      <w:r w:rsidRPr="00797148">
        <w:rPr>
          <w:lang w:val="en-GB"/>
        </w:rPr>
        <w:tab/>
      </w:r>
      <w:r>
        <w:fldChar w:fldCharType="begin"/>
      </w:r>
      <w:r w:rsidRPr="00797148">
        <w:rPr>
          <w:lang w:val="en-GB"/>
        </w:rPr>
        <w:instrText xml:space="preserve"> PAGEREF _Toc448144117 \h </w:instrText>
      </w:r>
      <w:r>
        <w:fldChar w:fldCharType="separate"/>
      </w:r>
      <w:r w:rsidRPr="00797148">
        <w:rPr>
          <w:lang w:val="en-GB"/>
        </w:rPr>
        <w:t>48</w:t>
      </w:r>
      <w:r>
        <w:fldChar w:fldCharType="end"/>
      </w:r>
    </w:p>
    <w:p w14:paraId="48911D37"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4.1.</w:t>
      </w:r>
      <w:r>
        <w:rPr>
          <w:rFonts w:asciiTheme="minorHAnsi" w:eastAsiaTheme="minorEastAsia" w:hAnsiTheme="minorHAnsi" w:cstheme="minorBidi"/>
          <w:bCs w:val="0"/>
          <w:sz w:val="22"/>
          <w:szCs w:val="22"/>
          <w:lang w:val="en-AU" w:eastAsia="en-AU"/>
        </w:rPr>
        <w:tab/>
      </w:r>
      <w:r w:rsidRPr="00797148">
        <w:rPr>
          <w:lang w:val="en-GB"/>
        </w:rPr>
        <w:t>Allocations by Member State and types of programmes</w:t>
      </w:r>
      <w:r w:rsidRPr="00797148">
        <w:rPr>
          <w:lang w:val="en-GB"/>
        </w:rPr>
        <w:tab/>
      </w:r>
      <w:r>
        <w:fldChar w:fldCharType="begin"/>
      </w:r>
      <w:r w:rsidRPr="00797148">
        <w:rPr>
          <w:lang w:val="en-GB"/>
        </w:rPr>
        <w:instrText xml:space="preserve"> PAGEREF _Toc448144118 \h </w:instrText>
      </w:r>
      <w:r>
        <w:fldChar w:fldCharType="separate"/>
      </w:r>
      <w:r w:rsidRPr="00797148">
        <w:rPr>
          <w:lang w:val="en-GB"/>
        </w:rPr>
        <w:t>48</w:t>
      </w:r>
      <w:r>
        <w:fldChar w:fldCharType="end"/>
      </w:r>
    </w:p>
    <w:p w14:paraId="021A937D"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4.2.</w:t>
      </w:r>
      <w:r>
        <w:rPr>
          <w:rFonts w:asciiTheme="minorHAnsi" w:eastAsiaTheme="minorEastAsia" w:hAnsiTheme="minorHAnsi" w:cstheme="minorBidi"/>
          <w:bCs w:val="0"/>
          <w:sz w:val="22"/>
          <w:szCs w:val="22"/>
          <w:lang w:val="en-AU" w:eastAsia="en-AU"/>
        </w:rPr>
        <w:tab/>
      </w:r>
      <w:r w:rsidRPr="00797148">
        <w:rPr>
          <w:lang w:val="en-GB"/>
        </w:rPr>
        <w:t>Conclusions</w:t>
      </w:r>
      <w:r w:rsidRPr="00797148">
        <w:rPr>
          <w:lang w:val="en-GB"/>
        </w:rPr>
        <w:tab/>
      </w:r>
      <w:r>
        <w:fldChar w:fldCharType="begin"/>
      </w:r>
      <w:r w:rsidRPr="00797148">
        <w:rPr>
          <w:lang w:val="en-GB"/>
        </w:rPr>
        <w:instrText xml:space="preserve"> PAGEREF _Toc448144119 \h </w:instrText>
      </w:r>
      <w:r>
        <w:fldChar w:fldCharType="separate"/>
      </w:r>
      <w:r w:rsidRPr="00797148">
        <w:rPr>
          <w:lang w:val="en-GB"/>
        </w:rPr>
        <w:t>49</w:t>
      </w:r>
      <w:r>
        <w:fldChar w:fldCharType="end"/>
      </w:r>
    </w:p>
    <w:p w14:paraId="5098C0FB" w14:textId="77777777" w:rsidR="00701053" w:rsidRDefault="00701053">
      <w:pPr>
        <w:pStyle w:val="TOC1"/>
        <w:rPr>
          <w:rFonts w:asciiTheme="minorHAnsi" w:eastAsiaTheme="minorEastAsia" w:hAnsiTheme="minorHAnsi" w:cstheme="minorBidi"/>
          <w:b w:val="0"/>
          <w:sz w:val="22"/>
          <w:szCs w:val="22"/>
          <w:lang w:val="en-AU" w:eastAsia="en-AU"/>
        </w:rPr>
      </w:pPr>
      <w:r w:rsidRPr="00797148">
        <w:rPr>
          <w:lang w:val="en-GB"/>
        </w:rPr>
        <w:t>5.</w:t>
      </w:r>
      <w:r>
        <w:rPr>
          <w:rFonts w:asciiTheme="minorHAnsi" w:eastAsiaTheme="minorEastAsia" w:hAnsiTheme="minorHAnsi" w:cstheme="minorBidi"/>
          <w:b w:val="0"/>
          <w:sz w:val="22"/>
          <w:szCs w:val="22"/>
          <w:lang w:val="en-AU" w:eastAsia="en-AU"/>
        </w:rPr>
        <w:tab/>
      </w:r>
      <w:r w:rsidRPr="00797148">
        <w:rPr>
          <w:lang w:val="en-GB"/>
        </w:rPr>
        <w:t>Conclusions: main benefits and challenges</w:t>
      </w:r>
      <w:r w:rsidRPr="00797148">
        <w:rPr>
          <w:lang w:val="en-GB"/>
        </w:rPr>
        <w:tab/>
      </w:r>
      <w:r>
        <w:fldChar w:fldCharType="begin"/>
      </w:r>
      <w:r w:rsidRPr="00797148">
        <w:rPr>
          <w:lang w:val="en-GB"/>
        </w:rPr>
        <w:instrText xml:space="preserve"> PAGEREF _Toc448144120 \h </w:instrText>
      </w:r>
      <w:r>
        <w:fldChar w:fldCharType="separate"/>
      </w:r>
      <w:r w:rsidRPr="00797148">
        <w:rPr>
          <w:lang w:val="en-GB"/>
        </w:rPr>
        <w:t>50</w:t>
      </w:r>
      <w:r>
        <w:fldChar w:fldCharType="end"/>
      </w:r>
    </w:p>
    <w:p w14:paraId="0F303B39"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5.1.</w:t>
      </w:r>
      <w:r>
        <w:rPr>
          <w:rFonts w:asciiTheme="minorHAnsi" w:eastAsiaTheme="minorEastAsia" w:hAnsiTheme="minorHAnsi" w:cstheme="minorBidi"/>
          <w:bCs w:val="0"/>
          <w:sz w:val="22"/>
          <w:szCs w:val="22"/>
          <w:lang w:val="en-AU" w:eastAsia="en-AU"/>
        </w:rPr>
        <w:tab/>
      </w:r>
      <w:r w:rsidRPr="00797148">
        <w:rPr>
          <w:lang w:val="en-GB"/>
        </w:rPr>
        <w:t>General findings</w:t>
      </w:r>
      <w:r w:rsidRPr="00797148">
        <w:rPr>
          <w:lang w:val="en-GB"/>
        </w:rPr>
        <w:tab/>
      </w:r>
      <w:r>
        <w:fldChar w:fldCharType="begin"/>
      </w:r>
      <w:r w:rsidRPr="00797148">
        <w:rPr>
          <w:lang w:val="en-GB"/>
        </w:rPr>
        <w:instrText xml:space="preserve"> PAGEREF _Toc448144121 \h </w:instrText>
      </w:r>
      <w:r>
        <w:fldChar w:fldCharType="separate"/>
      </w:r>
      <w:r w:rsidRPr="00797148">
        <w:rPr>
          <w:lang w:val="en-GB"/>
        </w:rPr>
        <w:t>50</w:t>
      </w:r>
      <w:r>
        <w:fldChar w:fldCharType="end"/>
      </w:r>
    </w:p>
    <w:p w14:paraId="485CC29D"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5.2.</w:t>
      </w:r>
      <w:r>
        <w:rPr>
          <w:rFonts w:asciiTheme="minorHAnsi" w:eastAsiaTheme="minorEastAsia" w:hAnsiTheme="minorHAnsi" w:cstheme="minorBidi"/>
          <w:bCs w:val="0"/>
          <w:sz w:val="22"/>
          <w:szCs w:val="22"/>
          <w:lang w:val="en-AU" w:eastAsia="en-AU"/>
        </w:rPr>
        <w:tab/>
      </w:r>
      <w:r w:rsidRPr="00797148">
        <w:rPr>
          <w:lang w:val="en-GB"/>
        </w:rPr>
        <w:t>Strengths: Expected benefits for a better result orientation &amp; value added of the performance framework</w:t>
      </w:r>
      <w:r w:rsidRPr="00797148">
        <w:rPr>
          <w:lang w:val="en-GB"/>
        </w:rPr>
        <w:tab/>
      </w:r>
      <w:r>
        <w:fldChar w:fldCharType="begin"/>
      </w:r>
      <w:r w:rsidRPr="00797148">
        <w:rPr>
          <w:lang w:val="en-GB"/>
        </w:rPr>
        <w:instrText xml:space="preserve"> PAGEREF _Toc448144122 \h </w:instrText>
      </w:r>
      <w:r>
        <w:fldChar w:fldCharType="separate"/>
      </w:r>
      <w:r w:rsidRPr="00797148">
        <w:rPr>
          <w:lang w:val="en-GB"/>
        </w:rPr>
        <w:t>52</w:t>
      </w:r>
      <w:r>
        <w:fldChar w:fldCharType="end"/>
      </w:r>
    </w:p>
    <w:p w14:paraId="29A2D0C3"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5.3.</w:t>
      </w:r>
      <w:r>
        <w:rPr>
          <w:rFonts w:asciiTheme="minorHAnsi" w:eastAsiaTheme="minorEastAsia" w:hAnsiTheme="minorHAnsi" w:cstheme="minorBidi"/>
          <w:bCs w:val="0"/>
          <w:sz w:val="22"/>
          <w:szCs w:val="22"/>
          <w:lang w:val="en-AU" w:eastAsia="en-AU"/>
        </w:rPr>
        <w:tab/>
      </w:r>
      <w:r w:rsidRPr="00797148">
        <w:rPr>
          <w:lang w:val="en-GB"/>
        </w:rPr>
        <w:t>Weaknesses: Main challenges</w:t>
      </w:r>
      <w:r w:rsidRPr="00797148">
        <w:rPr>
          <w:lang w:val="en-GB"/>
        </w:rPr>
        <w:tab/>
      </w:r>
      <w:r>
        <w:fldChar w:fldCharType="begin"/>
      </w:r>
      <w:r w:rsidRPr="00797148">
        <w:rPr>
          <w:lang w:val="en-GB"/>
        </w:rPr>
        <w:instrText xml:space="preserve"> PAGEREF _Toc448144123 \h </w:instrText>
      </w:r>
      <w:r>
        <w:fldChar w:fldCharType="separate"/>
      </w:r>
      <w:r w:rsidRPr="00797148">
        <w:rPr>
          <w:lang w:val="en-GB"/>
        </w:rPr>
        <w:t>53</w:t>
      </w:r>
      <w:r>
        <w:fldChar w:fldCharType="end"/>
      </w:r>
    </w:p>
    <w:p w14:paraId="662F8681" w14:textId="77777777" w:rsidR="00701053" w:rsidRDefault="00701053">
      <w:pPr>
        <w:pStyle w:val="TOC2"/>
        <w:rPr>
          <w:rFonts w:asciiTheme="minorHAnsi" w:eastAsiaTheme="minorEastAsia" w:hAnsiTheme="minorHAnsi" w:cstheme="minorBidi"/>
          <w:bCs w:val="0"/>
          <w:sz w:val="22"/>
          <w:szCs w:val="22"/>
          <w:lang w:val="en-AU" w:eastAsia="en-AU"/>
        </w:rPr>
      </w:pPr>
      <w:r w:rsidRPr="00797148">
        <w:rPr>
          <w:lang w:val="en-GB"/>
        </w:rPr>
        <w:t>5.4.</w:t>
      </w:r>
      <w:r>
        <w:rPr>
          <w:rFonts w:asciiTheme="minorHAnsi" w:eastAsiaTheme="minorEastAsia" w:hAnsiTheme="minorHAnsi" w:cstheme="minorBidi"/>
          <w:bCs w:val="0"/>
          <w:sz w:val="22"/>
          <w:szCs w:val="22"/>
          <w:lang w:val="en-AU" w:eastAsia="en-AU"/>
        </w:rPr>
        <w:tab/>
      </w:r>
      <w:r w:rsidRPr="00797148">
        <w:rPr>
          <w:lang w:val="en-GB"/>
        </w:rPr>
        <w:t>Particularities: Complex priorities and specific delivery modes</w:t>
      </w:r>
      <w:r w:rsidRPr="00797148">
        <w:rPr>
          <w:lang w:val="en-GB"/>
        </w:rPr>
        <w:tab/>
      </w:r>
      <w:r>
        <w:fldChar w:fldCharType="begin"/>
      </w:r>
      <w:r w:rsidRPr="00797148">
        <w:rPr>
          <w:lang w:val="en-GB"/>
        </w:rPr>
        <w:instrText xml:space="preserve"> PAGEREF _Toc448144124 \h </w:instrText>
      </w:r>
      <w:r>
        <w:fldChar w:fldCharType="separate"/>
      </w:r>
      <w:r w:rsidRPr="00797148">
        <w:rPr>
          <w:lang w:val="en-GB"/>
        </w:rPr>
        <w:t>54</w:t>
      </w:r>
      <w:r>
        <w:fldChar w:fldCharType="end"/>
      </w:r>
    </w:p>
    <w:p w14:paraId="4847EF82" w14:textId="77777777" w:rsidR="00701053" w:rsidRDefault="00701053">
      <w:pPr>
        <w:pStyle w:val="TOC1"/>
        <w:rPr>
          <w:rFonts w:asciiTheme="minorHAnsi" w:eastAsiaTheme="minorEastAsia" w:hAnsiTheme="minorHAnsi" w:cstheme="minorBidi"/>
          <w:b w:val="0"/>
          <w:sz w:val="22"/>
          <w:szCs w:val="22"/>
          <w:lang w:val="en-AU" w:eastAsia="en-AU"/>
        </w:rPr>
      </w:pPr>
      <w:r>
        <w:t>Bibliography</w:t>
      </w:r>
      <w:r>
        <w:tab/>
      </w:r>
      <w:r>
        <w:fldChar w:fldCharType="begin"/>
      </w:r>
      <w:r>
        <w:instrText xml:space="preserve"> PAGEREF _Toc448144125 \h </w:instrText>
      </w:r>
      <w:r>
        <w:fldChar w:fldCharType="separate"/>
      </w:r>
      <w:r>
        <w:t>55</w:t>
      </w:r>
      <w:r>
        <w:fldChar w:fldCharType="end"/>
      </w:r>
    </w:p>
    <w:p w14:paraId="0F3B8348" w14:textId="5F6FD2D6" w:rsidR="000260E4" w:rsidRPr="00246A1B" w:rsidRDefault="00D307E2" w:rsidP="00246A1B">
      <w:pPr>
        <w:rPr>
          <w:lang w:val="en-GB"/>
        </w:rPr>
      </w:pPr>
      <w:r w:rsidRPr="00022524">
        <w:rPr>
          <w:rFonts w:ascii="Verdana" w:hAnsi="Verdana"/>
          <w:b/>
          <w:noProof/>
          <w:sz w:val="18"/>
          <w:szCs w:val="18"/>
          <w:lang w:val="en-GB"/>
        </w:rPr>
        <w:fldChar w:fldCharType="end"/>
      </w:r>
      <w:bookmarkStart w:id="9" w:name="_Toc433973074"/>
    </w:p>
    <w:p w14:paraId="7928147B" w14:textId="77777777" w:rsidR="00890039" w:rsidRPr="00022524" w:rsidRDefault="00890039" w:rsidP="00096F14">
      <w:pPr>
        <w:pStyle w:val="Body"/>
        <w:outlineLvl w:val="0"/>
        <w:rPr>
          <w:b/>
          <w:szCs w:val="18"/>
        </w:rPr>
      </w:pPr>
      <w:r w:rsidRPr="00022524">
        <w:rPr>
          <w:b/>
          <w:szCs w:val="18"/>
        </w:rPr>
        <w:t>List of figures</w:t>
      </w:r>
      <w:bookmarkEnd w:id="9"/>
    </w:p>
    <w:p w14:paraId="6B2A7EA9" w14:textId="77777777" w:rsidR="00FE0380" w:rsidRDefault="00845832">
      <w:pPr>
        <w:pStyle w:val="TableofFigures"/>
        <w:rPr>
          <w:rFonts w:asciiTheme="minorHAnsi" w:eastAsiaTheme="minorEastAsia" w:hAnsiTheme="minorHAnsi" w:cstheme="minorBidi"/>
          <w:sz w:val="22"/>
          <w:szCs w:val="22"/>
          <w:lang w:val="en-AU" w:eastAsia="en-AU"/>
        </w:rPr>
      </w:pPr>
      <w:r w:rsidRPr="00022524">
        <w:rPr>
          <w:lang w:val="en-GB"/>
        </w:rPr>
        <w:fldChar w:fldCharType="begin"/>
      </w:r>
      <w:r w:rsidR="00890039" w:rsidRPr="00022524">
        <w:rPr>
          <w:lang w:val="en-GB"/>
        </w:rPr>
        <w:instrText xml:space="preserve"> TOC \h \z \t "Figure" \c </w:instrText>
      </w:r>
      <w:r w:rsidRPr="00022524">
        <w:rPr>
          <w:lang w:val="en-GB"/>
        </w:rPr>
        <w:fldChar w:fldCharType="separate"/>
      </w:r>
      <w:hyperlink w:anchor="_Toc448146043" w:history="1">
        <w:r w:rsidR="00FE0380" w:rsidRPr="00AC15CB">
          <w:rPr>
            <w:rStyle w:val="Hyperlink"/>
          </w:rPr>
          <w:t>Figure 1.</w:t>
        </w:r>
        <w:r w:rsidR="00FE0380">
          <w:rPr>
            <w:rFonts w:asciiTheme="minorHAnsi" w:eastAsiaTheme="minorEastAsia" w:hAnsiTheme="minorHAnsi" w:cstheme="minorBidi"/>
            <w:sz w:val="22"/>
            <w:szCs w:val="22"/>
            <w:lang w:val="en-AU" w:eastAsia="en-AU"/>
          </w:rPr>
          <w:tab/>
        </w:r>
        <w:r w:rsidR="00FE0380" w:rsidRPr="00AC15CB">
          <w:rPr>
            <w:rStyle w:val="Hyperlink"/>
          </w:rPr>
          <w:t>Who developed the performance framework? By type of programme</w:t>
        </w:r>
        <w:r w:rsidR="00FE0380">
          <w:rPr>
            <w:webHidden/>
          </w:rPr>
          <w:tab/>
        </w:r>
        <w:r w:rsidR="00FE0380">
          <w:rPr>
            <w:webHidden/>
          </w:rPr>
          <w:fldChar w:fldCharType="begin"/>
        </w:r>
        <w:r w:rsidR="00FE0380">
          <w:rPr>
            <w:webHidden/>
          </w:rPr>
          <w:instrText xml:space="preserve"> PAGEREF _Toc448146043 \h </w:instrText>
        </w:r>
        <w:r w:rsidR="00FE0380">
          <w:rPr>
            <w:webHidden/>
          </w:rPr>
        </w:r>
        <w:r w:rsidR="00FE0380">
          <w:rPr>
            <w:webHidden/>
          </w:rPr>
          <w:fldChar w:fldCharType="separate"/>
        </w:r>
        <w:r w:rsidR="00FE0380">
          <w:rPr>
            <w:webHidden/>
          </w:rPr>
          <w:t>3</w:t>
        </w:r>
        <w:r w:rsidR="00FE0380">
          <w:rPr>
            <w:webHidden/>
          </w:rPr>
          <w:fldChar w:fldCharType="end"/>
        </w:r>
      </w:hyperlink>
    </w:p>
    <w:p w14:paraId="584A0165"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4" w:history="1">
        <w:r w:rsidR="00FE0380" w:rsidRPr="00AC15CB">
          <w:rPr>
            <w:rStyle w:val="Hyperlink"/>
          </w:rPr>
          <w:t>Figure 2.</w:t>
        </w:r>
        <w:r w:rsidR="00FE0380">
          <w:rPr>
            <w:rFonts w:asciiTheme="minorHAnsi" w:eastAsiaTheme="minorEastAsia" w:hAnsiTheme="minorHAnsi" w:cstheme="minorBidi"/>
            <w:sz w:val="22"/>
            <w:szCs w:val="22"/>
            <w:lang w:val="en-AU" w:eastAsia="en-AU"/>
          </w:rPr>
          <w:tab/>
        </w:r>
        <w:r w:rsidR="00FE0380" w:rsidRPr="00AC15CB">
          <w:rPr>
            <w:rStyle w:val="Hyperlink"/>
          </w:rPr>
          <w:t>PAx with 2 or more PF indicators per Member State – share &amp; absolute figures</w:t>
        </w:r>
        <w:r w:rsidR="00FE0380">
          <w:rPr>
            <w:webHidden/>
          </w:rPr>
          <w:tab/>
        </w:r>
        <w:r w:rsidR="00FE0380">
          <w:rPr>
            <w:webHidden/>
          </w:rPr>
          <w:fldChar w:fldCharType="begin"/>
        </w:r>
        <w:r w:rsidR="00FE0380">
          <w:rPr>
            <w:webHidden/>
          </w:rPr>
          <w:instrText xml:space="preserve"> PAGEREF _Toc448146044 \h </w:instrText>
        </w:r>
        <w:r w:rsidR="00FE0380">
          <w:rPr>
            <w:webHidden/>
          </w:rPr>
        </w:r>
        <w:r w:rsidR="00FE0380">
          <w:rPr>
            <w:webHidden/>
          </w:rPr>
          <w:fldChar w:fldCharType="separate"/>
        </w:r>
        <w:r w:rsidR="00FE0380">
          <w:rPr>
            <w:webHidden/>
          </w:rPr>
          <w:t>20</w:t>
        </w:r>
        <w:r w:rsidR="00FE0380">
          <w:rPr>
            <w:webHidden/>
          </w:rPr>
          <w:fldChar w:fldCharType="end"/>
        </w:r>
      </w:hyperlink>
    </w:p>
    <w:p w14:paraId="2A245E07"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5" w:history="1">
        <w:r w:rsidR="00FE0380" w:rsidRPr="00AC15CB">
          <w:rPr>
            <w:rStyle w:val="Hyperlink"/>
          </w:rPr>
          <w:t>Figure 3.</w:t>
        </w:r>
        <w:r w:rsidR="00FE0380">
          <w:rPr>
            <w:rFonts w:asciiTheme="minorHAnsi" w:eastAsiaTheme="minorEastAsia" w:hAnsiTheme="minorHAnsi" w:cstheme="minorBidi"/>
            <w:sz w:val="22"/>
            <w:szCs w:val="22"/>
            <w:lang w:val="en-AU" w:eastAsia="en-AU"/>
          </w:rPr>
          <w:tab/>
        </w:r>
        <w:r w:rsidR="00FE0380" w:rsidRPr="00AC15CB">
          <w:rPr>
            <w:rStyle w:val="Hyperlink"/>
          </w:rPr>
          <w:t>PAx with number of output indicators – share &amp; absolute figures</w:t>
        </w:r>
        <w:r w:rsidR="00FE0380">
          <w:rPr>
            <w:webHidden/>
          </w:rPr>
          <w:tab/>
        </w:r>
        <w:r w:rsidR="00FE0380">
          <w:rPr>
            <w:webHidden/>
          </w:rPr>
          <w:fldChar w:fldCharType="begin"/>
        </w:r>
        <w:r w:rsidR="00FE0380">
          <w:rPr>
            <w:webHidden/>
          </w:rPr>
          <w:instrText xml:space="preserve"> PAGEREF _Toc448146045 \h </w:instrText>
        </w:r>
        <w:r w:rsidR="00FE0380">
          <w:rPr>
            <w:webHidden/>
          </w:rPr>
        </w:r>
        <w:r w:rsidR="00FE0380">
          <w:rPr>
            <w:webHidden/>
          </w:rPr>
          <w:fldChar w:fldCharType="separate"/>
        </w:r>
        <w:r w:rsidR="00FE0380">
          <w:rPr>
            <w:webHidden/>
          </w:rPr>
          <w:t>21</w:t>
        </w:r>
        <w:r w:rsidR="00FE0380">
          <w:rPr>
            <w:webHidden/>
          </w:rPr>
          <w:fldChar w:fldCharType="end"/>
        </w:r>
      </w:hyperlink>
    </w:p>
    <w:p w14:paraId="50380051"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6" w:history="1">
        <w:r w:rsidR="00FE0380" w:rsidRPr="00AC15CB">
          <w:rPr>
            <w:rStyle w:val="Hyperlink"/>
          </w:rPr>
          <w:t>Figure 4.</w:t>
        </w:r>
        <w:r w:rsidR="00FE0380">
          <w:rPr>
            <w:rFonts w:asciiTheme="minorHAnsi" w:eastAsiaTheme="minorEastAsia" w:hAnsiTheme="minorHAnsi" w:cstheme="minorBidi"/>
            <w:sz w:val="22"/>
            <w:szCs w:val="22"/>
            <w:lang w:val="en-AU" w:eastAsia="en-AU"/>
          </w:rPr>
          <w:tab/>
        </w:r>
        <w:r w:rsidR="00FE0380" w:rsidRPr="00AC15CB">
          <w:rPr>
            <w:rStyle w:val="Hyperlink"/>
          </w:rPr>
          <w:t>Fund-specific IPs and the use of programme-specific vs. common output indicators (IGJ programmes) – share &amp; absolute figures</w:t>
        </w:r>
        <w:r w:rsidR="00FE0380">
          <w:rPr>
            <w:webHidden/>
          </w:rPr>
          <w:tab/>
        </w:r>
        <w:r w:rsidR="00FE0380">
          <w:rPr>
            <w:webHidden/>
          </w:rPr>
          <w:fldChar w:fldCharType="begin"/>
        </w:r>
        <w:r w:rsidR="00FE0380">
          <w:rPr>
            <w:webHidden/>
          </w:rPr>
          <w:instrText xml:space="preserve"> PAGEREF _Toc448146046 \h </w:instrText>
        </w:r>
        <w:r w:rsidR="00FE0380">
          <w:rPr>
            <w:webHidden/>
          </w:rPr>
        </w:r>
        <w:r w:rsidR="00FE0380">
          <w:rPr>
            <w:webHidden/>
          </w:rPr>
          <w:fldChar w:fldCharType="separate"/>
        </w:r>
        <w:r w:rsidR="00FE0380">
          <w:rPr>
            <w:webHidden/>
          </w:rPr>
          <w:t>22</w:t>
        </w:r>
        <w:r w:rsidR="00FE0380">
          <w:rPr>
            <w:webHidden/>
          </w:rPr>
          <w:fldChar w:fldCharType="end"/>
        </w:r>
      </w:hyperlink>
    </w:p>
    <w:p w14:paraId="0F711219"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7" w:history="1">
        <w:r w:rsidR="00FE0380" w:rsidRPr="00AC15CB">
          <w:rPr>
            <w:rStyle w:val="Hyperlink"/>
          </w:rPr>
          <w:t>Figure 5.</w:t>
        </w:r>
        <w:r w:rsidR="00FE0380">
          <w:rPr>
            <w:rFonts w:asciiTheme="minorHAnsi" w:eastAsiaTheme="minorEastAsia" w:hAnsiTheme="minorHAnsi" w:cstheme="minorBidi"/>
            <w:sz w:val="22"/>
            <w:szCs w:val="22"/>
            <w:lang w:val="en-AU" w:eastAsia="en-AU"/>
          </w:rPr>
          <w:tab/>
        </w:r>
        <w:r w:rsidR="00FE0380" w:rsidRPr="00AC15CB">
          <w:rPr>
            <w:rStyle w:val="Hyperlink"/>
          </w:rPr>
          <w:t>Common output indicators and programme-specific output indicators per Member State – share &amp; absolute figures</w:t>
        </w:r>
        <w:r w:rsidR="00FE0380">
          <w:rPr>
            <w:webHidden/>
          </w:rPr>
          <w:tab/>
        </w:r>
        <w:r w:rsidR="00FE0380">
          <w:rPr>
            <w:webHidden/>
          </w:rPr>
          <w:fldChar w:fldCharType="begin"/>
        </w:r>
        <w:r w:rsidR="00FE0380">
          <w:rPr>
            <w:webHidden/>
          </w:rPr>
          <w:instrText xml:space="preserve"> PAGEREF _Toc448146047 \h </w:instrText>
        </w:r>
        <w:r w:rsidR="00FE0380">
          <w:rPr>
            <w:webHidden/>
          </w:rPr>
        </w:r>
        <w:r w:rsidR="00FE0380">
          <w:rPr>
            <w:webHidden/>
          </w:rPr>
          <w:fldChar w:fldCharType="separate"/>
        </w:r>
        <w:r w:rsidR="00FE0380">
          <w:rPr>
            <w:webHidden/>
          </w:rPr>
          <w:t>23</w:t>
        </w:r>
        <w:r w:rsidR="00FE0380">
          <w:rPr>
            <w:webHidden/>
          </w:rPr>
          <w:fldChar w:fldCharType="end"/>
        </w:r>
      </w:hyperlink>
    </w:p>
    <w:p w14:paraId="7FD0076B"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8" w:history="1">
        <w:r w:rsidR="00FE0380" w:rsidRPr="00AC15CB">
          <w:rPr>
            <w:rStyle w:val="Hyperlink"/>
          </w:rPr>
          <w:t>Figure 6.</w:t>
        </w:r>
        <w:r w:rsidR="00FE0380">
          <w:rPr>
            <w:rFonts w:asciiTheme="minorHAnsi" w:eastAsiaTheme="minorEastAsia" w:hAnsiTheme="minorHAnsi" w:cstheme="minorBidi"/>
            <w:sz w:val="22"/>
            <w:szCs w:val="22"/>
            <w:lang w:val="en-AU" w:eastAsia="en-AU"/>
          </w:rPr>
          <w:tab/>
        </w:r>
        <w:r w:rsidR="00FE0380" w:rsidRPr="00AC15CB">
          <w:rPr>
            <w:rStyle w:val="Hyperlink"/>
          </w:rPr>
          <w:t>Share of PAx with number of financial indicators</w:t>
        </w:r>
        <w:r w:rsidR="00FE0380">
          <w:rPr>
            <w:webHidden/>
          </w:rPr>
          <w:tab/>
        </w:r>
        <w:r w:rsidR="00FE0380">
          <w:rPr>
            <w:webHidden/>
          </w:rPr>
          <w:fldChar w:fldCharType="begin"/>
        </w:r>
        <w:r w:rsidR="00FE0380">
          <w:rPr>
            <w:webHidden/>
          </w:rPr>
          <w:instrText xml:space="preserve"> PAGEREF _Toc448146048 \h </w:instrText>
        </w:r>
        <w:r w:rsidR="00FE0380">
          <w:rPr>
            <w:webHidden/>
          </w:rPr>
        </w:r>
        <w:r w:rsidR="00FE0380">
          <w:rPr>
            <w:webHidden/>
          </w:rPr>
          <w:fldChar w:fldCharType="separate"/>
        </w:r>
        <w:r w:rsidR="00FE0380">
          <w:rPr>
            <w:webHidden/>
          </w:rPr>
          <w:t>25</w:t>
        </w:r>
        <w:r w:rsidR="00FE0380">
          <w:rPr>
            <w:webHidden/>
          </w:rPr>
          <w:fldChar w:fldCharType="end"/>
        </w:r>
      </w:hyperlink>
    </w:p>
    <w:p w14:paraId="6AB998DE"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49" w:history="1">
        <w:r w:rsidR="00FE0380" w:rsidRPr="00AC15CB">
          <w:rPr>
            <w:rStyle w:val="Hyperlink"/>
          </w:rPr>
          <w:t>Figure 7.</w:t>
        </w:r>
        <w:r w:rsidR="00FE0380">
          <w:rPr>
            <w:rFonts w:asciiTheme="minorHAnsi" w:eastAsiaTheme="minorEastAsia" w:hAnsiTheme="minorHAnsi" w:cstheme="minorBidi"/>
            <w:sz w:val="22"/>
            <w:szCs w:val="22"/>
            <w:lang w:val="en-AU" w:eastAsia="en-AU"/>
          </w:rPr>
          <w:tab/>
        </w:r>
        <w:r w:rsidR="00FE0380" w:rsidRPr="00AC15CB">
          <w:rPr>
            <w:rStyle w:val="Hyperlink"/>
          </w:rPr>
          <w:t>PAx with number of key implementation steps – share &amp; absolute figures</w:t>
        </w:r>
        <w:r w:rsidR="00FE0380">
          <w:rPr>
            <w:webHidden/>
          </w:rPr>
          <w:tab/>
        </w:r>
        <w:r w:rsidR="00FE0380">
          <w:rPr>
            <w:webHidden/>
          </w:rPr>
          <w:fldChar w:fldCharType="begin"/>
        </w:r>
        <w:r w:rsidR="00FE0380">
          <w:rPr>
            <w:webHidden/>
          </w:rPr>
          <w:instrText xml:space="preserve"> PAGEREF _Toc448146049 \h </w:instrText>
        </w:r>
        <w:r w:rsidR="00FE0380">
          <w:rPr>
            <w:webHidden/>
          </w:rPr>
        </w:r>
        <w:r w:rsidR="00FE0380">
          <w:rPr>
            <w:webHidden/>
          </w:rPr>
          <w:fldChar w:fldCharType="separate"/>
        </w:r>
        <w:r w:rsidR="00FE0380">
          <w:rPr>
            <w:webHidden/>
          </w:rPr>
          <w:t>27</w:t>
        </w:r>
        <w:r w:rsidR="00FE0380">
          <w:rPr>
            <w:webHidden/>
          </w:rPr>
          <w:fldChar w:fldCharType="end"/>
        </w:r>
      </w:hyperlink>
    </w:p>
    <w:p w14:paraId="6D2A665F"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0" w:history="1">
        <w:r w:rsidR="00FE0380" w:rsidRPr="00AC15CB">
          <w:rPr>
            <w:rStyle w:val="Hyperlink"/>
          </w:rPr>
          <w:t>Figure 8.</w:t>
        </w:r>
        <w:r w:rsidR="00FE0380">
          <w:rPr>
            <w:rFonts w:asciiTheme="minorHAnsi" w:eastAsiaTheme="minorEastAsia" w:hAnsiTheme="minorHAnsi" w:cstheme="minorBidi"/>
            <w:sz w:val="22"/>
            <w:szCs w:val="22"/>
            <w:lang w:val="en-AU" w:eastAsia="en-AU"/>
          </w:rPr>
          <w:tab/>
        </w:r>
        <w:r w:rsidR="00FE0380" w:rsidRPr="00AC15CB">
          <w:rPr>
            <w:rStyle w:val="Hyperlink"/>
          </w:rPr>
          <w:t>Share of key implementation steps per thematic objective</w:t>
        </w:r>
        <w:r w:rsidR="00FE0380">
          <w:rPr>
            <w:webHidden/>
          </w:rPr>
          <w:tab/>
        </w:r>
        <w:r w:rsidR="00FE0380">
          <w:rPr>
            <w:webHidden/>
          </w:rPr>
          <w:fldChar w:fldCharType="begin"/>
        </w:r>
        <w:r w:rsidR="00FE0380">
          <w:rPr>
            <w:webHidden/>
          </w:rPr>
          <w:instrText xml:space="preserve"> PAGEREF _Toc448146050 \h </w:instrText>
        </w:r>
        <w:r w:rsidR="00FE0380">
          <w:rPr>
            <w:webHidden/>
          </w:rPr>
        </w:r>
        <w:r w:rsidR="00FE0380">
          <w:rPr>
            <w:webHidden/>
          </w:rPr>
          <w:fldChar w:fldCharType="separate"/>
        </w:r>
        <w:r w:rsidR="00FE0380">
          <w:rPr>
            <w:webHidden/>
          </w:rPr>
          <w:t>28</w:t>
        </w:r>
        <w:r w:rsidR="00FE0380">
          <w:rPr>
            <w:webHidden/>
          </w:rPr>
          <w:fldChar w:fldCharType="end"/>
        </w:r>
      </w:hyperlink>
    </w:p>
    <w:p w14:paraId="0EA62FAB"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1" w:history="1">
        <w:r w:rsidR="00FE0380" w:rsidRPr="00AC15CB">
          <w:rPr>
            <w:rStyle w:val="Hyperlink"/>
          </w:rPr>
          <w:t>Figure 9.</w:t>
        </w:r>
        <w:r w:rsidR="00FE0380">
          <w:rPr>
            <w:rFonts w:asciiTheme="minorHAnsi" w:eastAsiaTheme="minorEastAsia" w:hAnsiTheme="minorHAnsi" w:cstheme="minorBidi"/>
            <w:sz w:val="22"/>
            <w:szCs w:val="22"/>
            <w:lang w:val="en-AU" w:eastAsia="en-AU"/>
          </w:rPr>
          <w:tab/>
        </w:r>
        <w:r w:rsidR="00FE0380" w:rsidRPr="00AC15CB">
          <w:rPr>
            <w:rStyle w:val="Hyperlink"/>
          </w:rPr>
          <w:t>Did you have particular difficulty with establishing a methodology and criteria to select indicators for the performance framework?</w:t>
        </w:r>
        <w:r w:rsidR="00FE0380">
          <w:rPr>
            <w:webHidden/>
          </w:rPr>
          <w:tab/>
        </w:r>
        <w:r w:rsidR="00FE0380">
          <w:rPr>
            <w:webHidden/>
          </w:rPr>
          <w:fldChar w:fldCharType="begin"/>
        </w:r>
        <w:r w:rsidR="00FE0380">
          <w:rPr>
            <w:webHidden/>
          </w:rPr>
          <w:instrText xml:space="preserve"> PAGEREF _Toc448146051 \h </w:instrText>
        </w:r>
        <w:r w:rsidR="00FE0380">
          <w:rPr>
            <w:webHidden/>
          </w:rPr>
        </w:r>
        <w:r w:rsidR="00FE0380">
          <w:rPr>
            <w:webHidden/>
          </w:rPr>
          <w:fldChar w:fldCharType="separate"/>
        </w:r>
        <w:r w:rsidR="00FE0380">
          <w:rPr>
            <w:webHidden/>
          </w:rPr>
          <w:t>30</w:t>
        </w:r>
        <w:r w:rsidR="00FE0380">
          <w:rPr>
            <w:webHidden/>
          </w:rPr>
          <w:fldChar w:fldCharType="end"/>
        </w:r>
      </w:hyperlink>
    </w:p>
    <w:p w14:paraId="187F6ED7"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2" w:history="1">
        <w:r w:rsidR="00FE0380" w:rsidRPr="00AC15CB">
          <w:rPr>
            <w:rStyle w:val="Hyperlink"/>
          </w:rPr>
          <w:t>Figure 10.</w:t>
        </w:r>
        <w:r w:rsidR="00FE0380">
          <w:rPr>
            <w:rFonts w:asciiTheme="minorHAnsi" w:eastAsiaTheme="minorEastAsia" w:hAnsiTheme="minorHAnsi" w:cstheme="minorBidi"/>
            <w:sz w:val="22"/>
            <w:szCs w:val="22"/>
            <w:lang w:val="en-AU" w:eastAsia="en-AU"/>
          </w:rPr>
          <w:tab/>
        </w:r>
        <w:r w:rsidR="00FE0380" w:rsidRPr="00AC15CB">
          <w:rPr>
            <w:rStyle w:val="Hyperlink"/>
          </w:rPr>
          <w:t>How have the milestones and targets been set?</w:t>
        </w:r>
        <w:r w:rsidR="00FE0380">
          <w:rPr>
            <w:webHidden/>
          </w:rPr>
          <w:tab/>
        </w:r>
        <w:r w:rsidR="00FE0380">
          <w:rPr>
            <w:webHidden/>
          </w:rPr>
          <w:fldChar w:fldCharType="begin"/>
        </w:r>
        <w:r w:rsidR="00FE0380">
          <w:rPr>
            <w:webHidden/>
          </w:rPr>
          <w:instrText xml:space="preserve"> PAGEREF _Toc448146052 \h </w:instrText>
        </w:r>
        <w:r w:rsidR="00FE0380">
          <w:rPr>
            <w:webHidden/>
          </w:rPr>
        </w:r>
        <w:r w:rsidR="00FE0380">
          <w:rPr>
            <w:webHidden/>
          </w:rPr>
          <w:fldChar w:fldCharType="separate"/>
        </w:r>
        <w:r w:rsidR="00FE0380">
          <w:rPr>
            <w:webHidden/>
          </w:rPr>
          <w:t>31</w:t>
        </w:r>
        <w:r w:rsidR="00FE0380">
          <w:rPr>
            <w:webHidden/>
          </w:rPr>
          <w:fldChar w:fldCharType="end"/>
        </w:r>
      </w:hyperlink>
    </w:p>
    <w:p w14:paraId="6BCBFF07"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3" w:history="1">
        <w:r w:rsidR="00FE0380" w:rsidRPr="00AC15CB">
          <w:rPr>
            <w:rStyle w:val="Hyperlink"/>
          </w:rPr>
          <w:t>Figure 11.</w:t>
        </w:r>
        <w:r w:rsidR="00FE0380">
          <w:rPr>
            <w:rFonts w:asciiTheme="minorHAnsi" w:eastAsiaTheme="minorEastAsia" w:hAnsiTheme="minorHAnsi" w:cstheme="minorBidi"/>
            <w:sz w:val="22"/>
            <w:szCs w:val="22"/>
            <w:lang w:val="en-AU" w:eastAsia="en-AU"/>
          </w:rPr>
          <w:tab/>
        </w:r>
        <w:r w:rsidR="00FE0380" w:rsidRPr="00AC15CB">
          <w:rPr>
            <w:rStyle w:val="Hyperlink"/>
          </w:rPr>
          <w:t>PF indicator types per MS &amp; ETC – share &amp; absolute figures</w:t>
        </w:r>
        <w:r w:rsidR="00FE0380">
          <w:rPr>
            <w:webHidden/>
          </w:rPr>
          <w:tab/>
        </w:r>
        <w:r w:rsidR="00FE0380">
          <w:rPr>
            <w:webHidden/>
          </w:rPr>
          <w:fldChar w:fldCharType="begin"/>
        </w:r>
        <w:r w:rsidR="00FE0380">
          <w:rPr>
            <w:webHidden/>
          </w:rPr>
          <w:instrText xml:space="preserve"> PAGEREF _Toc448146053 \h </w:instrText>
        </w:r>
        <w:r w:rsidR="00FE0380">
          <w:rPr>
            <w:webHidden/>
          </w:rPr>
        </w:r>
        <w:r w:rsidR="00FE0380">
          <w:rPr>
            <w:webHidden/>
          </w:rPr>
          <w:fldChar w:fldCharType="separate"/>
        </w:r>
        <w:r w:rsidR="00FE0380">
          <w:rPr>
            <w:webHidden/>
          </w:rPr>
          <w:t>32</w:t>
        </w:r>
        <w:r w:rsidR="00FE0380">
          <w:rPr>
            <w:webHidden/>
          </w:rPr>
          <w:fldChar w:fldCharType="end"/>
        </w:r>
      </w:hyperlink>
    </w:p>
    <w:p w14:paraId="0C038FFB"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4" w:history="1">
        <w:r w:rsidR="00FE0380" w:rsidRPr="00AC15CB">
          <w:rPr>
            <w:rStyle w:val="Hyperlink"/>
          </w:rPr>
          <w:t>Figure 12.</w:t>
        </w:r>
        <w:r w:rsidR="00FE0380">
          <w:rPr>
            <w:rFonts w:asciiTheme="minorHAnsi" w:eastAsiaTheme="minorEastAsia" w:hAnsiTheme="minorHAnsi" w:cstheme="minorBidi"/>
            <w:sz w:val="22"/>
            <w:szCs w:val="22"/>
            <w:lang w:val="en-AU" w:eastAsia="en-AU"/>
          </w:rPr>
          <w:tab/>
        </w:r>
        <w:r w:rsidR="00FE0380" w:rsidRPr="00AC15CB">
          <w:rPr>
            <w:rStyle w:val="Hyperlink"/>
          </w:rPr>
          <w:t>Rhythm of delivery – ERDF Common indicators, level of PAx</w:t>
        </w:r>
        <w:r w:rsidR="00FE0380">
          <w:rPr>
            <w:webHidden/>
          </w:rPr>
          <w:tab/>
        </w:r>
        <w:r w:rsidR="00FE0380">
          <w:rPr>
            <w:webHidden/>
          </w:rPr>
          <w:fldChar w:fldCharType="begin"/>
        </w:r>
        <w:r w:rsidR="00FE0380">
          <w:rPr>
            <w:webHidden/>
          </w:rPr>
          <w:instrText xml:space="preserve"> PAGEREF _Toc448146054 \h </w:instrText>
        </w:r>
        <w:r w:rsidR="00FE0380">
          <w:rPr>
            <w:webHidden/>
          </w:rPr>
        </w:r>
        <w:r w:rsidR="00FE0380">
          <w:rPr>
            <w:webHidden/>
          </w:rPr>
          <w:fldChar w:fldCharType="separate"/>
        </w:r>
        <w:r w:rsidR="00FE0380">
          <w:rPr>
            <w:webHidden/>
          </w:rPr>
          <w:t>41</w:t>
        </w:r>
        <w:r w:rsidR="00FE0380">
          <w:rPr>
            <w:webHidden/>
          </w:rPr>
          <w:fldChar w:fldCharType="end"/>
        </w:r>
      </w:hyperlink>
    </w:p>
    <w:p w14:paraId="7FB73AF7"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5" w:history="1">
        <w:r w:rsidR="00FE0380" w:rsidRPr="00AC15CB">
          <w:rPr>
            <w:rStyle w:val="Hyperlink"/>
          </w:rPr>
          <w:t>Figure 13.</w:t>
        </w:r>
        <w:r w:rsidR="00FE0380">
          <w:rPr>
            <w:rFonts w:asciiTheme="minorHAnsi" w:eastAsiaTheme="minorEastAsia" w:hAnsiTheme="minorHAnsi" w:cstheme="minorBidi"/>
            <w:sz w:val="22"/>
            <w:szCs w:val="22"/>
            <w:lang w:val="en-AU" w:eastAsia="en-AU"/>
          </w:rPr>
          <w:tab/>
        </w:r>
        <w:r w:rsidR="00FE0380" w:rsidRPr="00AC15CB">
          <w:rPr>
            <w:rStyle w:val="Hyperlink"/>
          </w:rPr>
          <w:t>Rhythm of delivery – ESF Common indicators, level of PAx</w:t>
        </w:r>
        <w:r w:rsidR="00FE0380">
          <w:rPr>
            <w:webHidden/>
          </w:rPr>
          <w:tab/>
        </w:r>
        <w:r w:rsidR="00FE0380">
          <w:rPr>
            <w:webHidden/>
          </w:rPr>
          <w:fldChar w:fldCharType="begin"/>
        </w:r>
        <w:r w:rsidR="00FE0380">
          <w:rPr>
            <w:webHidden/>
          </w:rPr>
          <w:instrText xml:space="preserve"> PAGEREF _Toc448146055 \h </w:instrText>
        </w:r>
        <w:r w:rsidR="00FE0380">
          <w:rPr>
            <w:webHidden/>
          </w:rPr>
        </w:r>
        <w:r w:rsidR="00FE0380">
          <w:rPr>
            <w:webHidden/>
          </w:rPr>
          <w:fldChar w:fldCharType="separate"/>
        </w:r>
        <w:r w:rsidR="00FE0380">
          <w:rPr>
            <w:webHidden/>
          </w:rPr>
          <w:t>42</w:t>
        </w:r>
        <w:r w:rsidR="00FE0380">
          <w:rPr>
            <w:webHidden/>
          </w:rPr>
          <w:fldChar w:fldCharType="end"/>
        </w:r>
      </w:hyperlink>
    </w:p>
    <w:p w14:paraId="335E0B12" w14:textId="77777777" w:rsidR="00FE0380" w:rsidRDefault="00767075">
      <w:pPr>
        <w:pStyle w:val="TableofFigures"/>
        <w:rPr>
          <w:rFonts w:asciiTheme="minorHAnsi" w:eastAsiaTheme="minorEastAsia" w:hAnsiTheme="minorHAnsi" w:cstheme="minorBidi"/>
          <w:sz w:val="22"/>
          <w:szCs w:val="22"/>
          <w:lang w:val="en-AU" w:eastAsia="en-AU"/>
        </w:rPr>
      </w:pPr>
      <w:hyperlink w:anchor="_Toc448146056" w:history="1">
        <w:r w:rsidR="00FE0380" w:rsidRPr="00AC15CB">
          <w:rPr>
            <w:rStyle w:val="Hyperlink"/>
          </w:rPr>
          <w:t>Figure 14.</w:t>
        </w:r>
        <w:r w:rsidR="00FE0380">
          <w:rPr>
            <w:rFonts w:asciiTheme="minorHAnsi" w:eastAsiaTheme="minorEastAsia" w:hAnsiTheme="minorHAnsi" w:cstheme="minorBidi"/>
            <w:sz w:val="22"/>
            <w:szCs w:val="22"/>
            <w:lang w:val="en-AU" w:eastAsia="en-AU"/>
          </w:rPr>
          <w:tab/>
        </w:r>
        <w:r w:rsidR="00FE0380" w:rsidRPr="00AC15CB">
          <w:rPr>
            <w:rStyle w:val="Hyperlink"/>
          </w:rPr>
          <w:t>Share of target to be reached in 2018 at the level of PAx, across thematic objectives (IGJ programmes)</w:t>
        </w:r>
        <w:r w:rsidR="00FE0380">
          <w:rPr>
            <w:webHidden/>
          </w:rPr>
          <w:tab/>
        </w:r>
        <w:r w:rsidR="00FE0380">
          <w:rPr>
            <w:webHidden/>
          </w:rPr>
          <w:fldChar w:fldCharType="begin"/>
        </w:r>
        <w:r w:rsidR="00FE0380">
          <w:rPr>
            <w:webHidden/>
          </w:rPr>
          <w:instrText xml:space="preserve"> PAGEREF _Toc448146056 \h </w:instrText>
        </w:r>
        <w:r w:rsidR="00FE0380">
          <w:rPr>
            <w:webHidden/>
          </w:rPr>
        </w:r>
        <w:r w:rsidR="00FE0380">
          <w:rPr>
            <w:webHidden/>
          </w:rPr>
          <w:fldChar w:fldCharType="separate"/>
        </w:r>
        <w:r w:rsidR="00FE0380">
          <w:rPr>
            <w:webHidden/>
          </w:rPr>
          <w:t>44</w:t>
        </w:r>
        <w:r w:rsidR="00FE0380">
          <w:rPr>
            <w:webHidden/>
          </w:rPr>
          <w:fldChar w:fldCharType="end"/>
        </w:r>
      </w:hyperlink>
    </w:p>
    <w:p w14:paraId="6B812BC1" w14:textId="77777777" w:rsidR="004A02FC" w:rsidRPr="00022524" w:rsidRDefault="00845832" w:rsidP="00890039">
      <w:pPr>
        <w:pStyle w:val="Body"/>
      </w:pPr>
      <w:r w:rsidRPr="00022524">
        <w:fldChar w:fldCharType="end"/>
      </w:r>
    </w:p>
    <w:p w14:paraId="557882D9" w14:textId="77777777" w:rsidR="00CB318D" w:rsidRPr="00022524" w:rsidRDefault="00CB318D">
      <w:pPr>
        <w:spacing w:after="0"/>
        <w:jc w:val="left"/>
        <w:rPr>
          <w:rFonts w:ascii="Verdana" w:hAnsi="Verdana"/>
          <w:b/>
          <w:sz w:val="22"/>
          <w:szCs w:val="22"/>
          <w:lang w:val="en-GB"/>
        </w:rPr>
      </w:pPr>
      <w:r w:rsidRPr="00022524">
        <w:rPr>
          <w:rFonts w:ascii="Verdana" w:hAnsi="Verdana"/>
          <w:b/>
          <w:sz w:val="22"/>
          <w:szCs w:val="22"/>
          <w:lang w:val="en-GB"/>
        </w:rPr>
        <w:br w:type="page"/>
      </w:r>
    </w:p>
    <w:p w14:paraId="0B40A2DD" w14:textId="77777777" w:rsidR="00B624F3" w:rsidRPr="00022524" w:rsidRDefault="00B624F3" w:rsidP="00096F14">
      <w:pPr>
        <w:spacing w:after="480"/>
        <w:outlineLvl w:val="0"/>
        <w:rPr>
          <w:rFonts w:ascii="Verdana" w:hAnsi="Verdana"/>
          <w:b/>
          <w:sz w:val="22"/>
          <w:szCs w:val="22"/>
          <w:lang w:val="en-GB"/>
        </w:rPr>
      </w:pPr>
      <w:bookmarkStart w:id="10" w:name="_Toc433973075"/>
      <w:r w:rsidRPr="00022524">
        <w:rPr>
          <w:rFonts w:ascii="Verdana" w:hAnsi="Verdana"/>
          <w:b/>
          <w:sz w:val="22"/>
          <w:szCs w:val="22"/>
          <w:lang w:val="en-GB"/>
        </w:rPr>
        <w:lastRenderedPageBreak/>
        <w:t>Abbreviations</w:t>
      </w:r>
      <w:bookmarkEnd w:id="10"/>
    </w:p>
    <w:p w14:paraId="49B4BE91" w14:textId="77777777" w:rsidR="00B352E1" w:rsidRPr="00022524" w:rsidRDefault="00B352E1" w:rsidP="0051399F">
      <w:pPr>
        <w:pStyle w:val="Body"/>
        <w:spacing w:after="60"/>
        <w:ind w:left="1985" w:hanging="1985"/>
      </w:pPr>
      <w:r w:rsidRPr="00022524">
        <w:t>AIR</w:t>
      </w:r>
      <w:r w:rsidRPr="00022524">
        <w:tab/>
        <w:t>Annual Implementation Report</w:t>
      </w:r>
    </w:p>
    <w:p w14:paraId="35FFA90D" w14:textId="77777777" w:rsidR="00B624F3" w:rsidRPr="00022524" w:rsidRDefault="00B624F3" w:rsidP="0051399F">
      <w:pPr>
        <w:pStyle w:val="Body"/>
        <w:spacing w:after="60"/>
        <w:ind w:left="1985" w:hanging="1985"/>
      </w:pPr>
      <w:r w:rsidRPr="00022524">
        <w:t>CA</w:t>
      </w:r>
      <w:r w:rsidR="0051399F" w:rsidRPr="00022524">
        <w:tab/>
      </w:r>
      <w:r w:rsidRPr="00022524">
        <w:t>Certifying Authority</w:t>
      </w:r>
    </w:p>
    <w:p w14:paraId="2C05328A" w14:textId="77777777" w:rsidR="003E74DB" w:rsidRPr="00022524" w:rsidRDefault="003E74DB" w:rsidP="0051399F">
      <w:pPr>
        <w:pStyle w:val="Body"/>
        <w:spacing w:after="60"/>
        <w:ind w:left="1985" w:hanging="1985"/>
      </w:pPr>
      <w:r w:rsidRPr="00022524">
        <w:t>CBC</w:t>
      </w:r>
      <w:r w:rsidRPr="00022524">
        <w:tab/>
      </w:r>
      <w:proofErr w:type="spellStart"/>
      <w:r w:rsidRPr="00022524">
        <w:t>Cross-border</w:t>
      </w:r>
      <w:proofErr w:type="spellEnd"/>
      <w:r w:rsidRPr="00022524">
        <w:t xml:space="preserve"> programmes</w:t>
      </w:r>
    </w:p>
    <w:p w14:paraId="5E70914D" w14:textId="77777777" w:rsidR="00B624F3" w:rsidRPr="00022524" w:rsidRDefault="00B624F3" w:rsidP="0051399F">
      <w:pPr>
        <w:pStyle w:val="Body"/>
        <w:spacing w:after="60"/>
        <w:ind w:left="1985" w:hanging="1985"/>
      </w:pPr>
      <w:r w:rsidRPr="00022524">
        <w:t>CF</w:t>
      </w:r>
      <w:r w:rsidR="0051399F" w:rsidRPr="00022524">
        <w:tab/>
      </w:r>
      <w:r w:rsidRPr="00022524">
        <w:t xml:space="preserve">Cohesion Fund </w:t>
      </w:r>
    </w:p>
    <w:p w14:paraId="1F832784" w14:textId="77777777" w:rsidR="00B624F3" w:rsidRPr="00022524" w:rsidRDefault="00B624F3" w:rsidP="0051399F">
      <w:pPr>
        <w:pStyle w:val="Body"/>
        <w:spacing w:after="60"/>
        <w:ind w:left="1985" w:hanging="1985"/>
      </w:pPr>
      <w:r w:rsidRPr="00022524">
        <w:t>CLLD</w:t>
      </w:r>
      <w:r w:rsidR="0051399F" w:rsidRPr="00022524">
        <w:tab/>
      </w:r>
      <w:r w:rsidRPr="00022524">
        <w:t xml:space="preserve">Community Led Local Development </w:t>
      </w:r>
    </w:p>
    <w:p w14:paraId="058FC60D" w14:textId="77777777" w:rsidR="00B624F3" w:rsidRPr="00022524" w:rsidRDefault="00B624F3" w:rsidP="0051399F">
      <w:pPr>
        <w:pStyle w:val="Body"/>
        <w:spacing w:after="60"/>
        <w:ind w:left="1985" w:hanging="1985"/>
      </w:pPr>
      <w:r w:rsidRPr="00022524">
        <w:t>CPR</w:t>
      </w:r>
      <w:r w:rsidR="0051399F" w:rsidRPr="00022524">
        <w:tab/>
      </w:r>
      <w:r w:rsidRPr="00022524">
        <w:t>Common Provisions Regulation (Regulation (EU) No 1303/2013)</w:t>
      </w:r>
    </w:p>
    <w:p w14:paraId="77ADA50E" w14:textId="77777777" w:rsidR="00441AA7" w:rsidRPr="00022524" w:rsidRDefault="00441AA7" w:rsidP="0051399F">
      <w:pPr>
        <w:pStyle w:val="Body"/>
        <w:spacing w:after="60"/>
        <w:ind w:left="1985" w:hanging="1985"/>
      </w:pPr>
      <w:r w:rsidRPr="00022524">
        <w:t>DCLG</w:t>
      </w:r>
      <w:r w:rsidR="0051399F" w:rsidRPr="00022524">
        <w:tab/>
      </w:r>
      <w:r w:rsidRPr="00022524">
        <w:t>Department for Communities and Local Government</w:t>
      </w:r>
    </w:p>
    <w:p w14:paraId="5BA1FD19" w14:textId="77777777" w:rsidR="00056CC8" w:rsidRPr="00022524" w:rsidRDefault="00056CC8" w:rsidP="0051399F">
      <w:pPr>
        <w:pStyle w:val="Body"/>
        <w:spacing w:after="60"/>
        <w:ind w:left="1985" w:hanging="1985"/>
      </w:pPr>
      <w:r w:rsidRPr="00022524">
        <w:t>DPS</w:t>
      </w:r>
      <w:r w:rsidRPr="00022524">
        <w:tab/>
        <w:t>Department of Development and Economic Cohesion</w:t>
      </w:r>
    </w:p>
    <w:p w14:paraId="7077A163" w14:textId="77777777" w:rsidR="00B624F3" w:rsidRPr="00022524" w:rsidRDefault="00B624F3" w:rsidP="0051399F">
      <w:pPr>
        <w:pStyle w:val="Body"/>
        <w:spacing w:after="60"/>
        <w:ind w:left="1985" w:hanging="1985"/>
      </w:pPr>
      <w:r w:rsidRPr="00022524">
        <w:t>EC</w:t>
      </w:r>
      <w:r w:rsidR="0051399F" w:rsidRPr="00022524">
        <w:tab/>
      </w:r>
      <w:r w:rsidRPr="00022524">
        <w:t>European Commission</w:t>
      </w:r>
    </w:p>
    <w:p w14:paraId="38775617" w14:textId="77777777" w:rsidR="00B624F3" w:rsidRPr="00022524" w:rsidRDefault="00B624F3" w:rsidP="0051399F">
      <w:pPr>
        <w:pStyle w:val="Body"/>
        <w:spacing w:after="60"/>
        <w:ind w:left="1985" w:hanging="1985"/>
      </w:pPr>
      <w:r w:rsidRPr="00022524">
        <w:t>ENI</w:t>
      </w:r>
      <w:r w:rsidR="0051399F" w:rsidRPr="00022524">
        <w:tab/>
      </w:r>
      <w:r w:rsidRPr="00022524">
        <w:t>European Neighbourhood Instrument</w:t>
      </w:r>
    </w:p>
    <w:p w14:paraId="552E8566" w14:textId="77777777" w:rsidR="00B624F3" w:rsidRPr="00022524" w:rsidRDefault="00B624F3" w:rsidP="0051399F">
      <w:pPr>
        <w:pStyle w:val="Body"/>
        <w:spacing w:after="60"/>
        <w:ind w:left="1985" w:hanging="1985"/>
      </w:pPr>
      <w:r w:rsidRPr="00022524">
        <w:t>ERDF</w:t>
      </w:r>
      <w:r w:rsidR="0051399F" w:rsidRPr="00022524">
        <w:tab/>
      </w:r>
      <w:r w:rsidRPr="00022524">
        <w:t>European Regional Development Fund</w:t>
      </w:r>
    </w:p>
    <w:p w14:paraId="74C07A1C" w14:textId="77777777" w:rsidR="00B624F3" w:rsidRPr="00022524" w:rsidRDefault="00B624F3" w:rsidP="0051399F">
      <w:pPr>
        <w:pStyle w:val="Body"/>
        <w:spacing w:after="60"/>
        <w:ind w:left="1985" w:hanging="1985"/>
      </w:pPr>
      <w:r w:rsidRPr="00022524">
        <w:t>ESF</w:t>
      </w:r>
      <w:r w:rsidR="0051399F" w:rsidRPr="00022524">
        <w:tab/>
      </w:r>
      <w:r w:rsidRPr="00022524">
        <w:t>European Social Fund</w:t>
      </w:r>
    </w:p>
    <w:p w14:paraId="17197F22" w14:textId="77777777" w:rsidR="00B624F3" w:rsidRPr="00022524" w:rsidRDefault="00B624F3" w:rsidP="0051399F">
      <w:pPr>
        <w:pStyle w:val="Body"/>
        <w:spacing w:after="60"/>
        <w:ind w:left="1985" w:hanging="1985"/>
      </w:pPr>
      <w:r w:rsidRPr="00022524">
        <w:t>ESIF</w:t>
      </w:r>
      <w:r w:rsidR="0051399F" w:rsidRPr="00022524">
        <w:tab/>
      </w:r>
      <w:r w:rsidRPr="00022524">
        <w:t>European Structural and Investment Funds</w:t>
      </w:r>
    </w:p>
    <w:p w14:paraId="482EF1AD" w14:textId="77777777" w:rsidR="00B624F3" w:rsidRPr="00022524" w:rsidRDefault="00B624F3" w:rsidP="0051399F">
      <w:pPr>
        <w:pStyle w:val="Body"/>
        <w:spacing w:after="60"/>
        <w:ind w:left="1985" w:hanging="1985"/>
      </w:pPr>
      <w:r w:rsidRPr="00022524">
        <w:t>ETC</w:t>
      </w:r>
      <w:r w:rsidR="0051399F" w:rsidRPr="00022524">
        <w:tab/>
      </w:r>
      <w:r w:rsidRPr="00022524">
        <w:t>European Territorial Cooperation</w:t>
      </w:r>
    </w:p>
    <w:p w14:paraId="4BFA47C6" w14:textId="77777777" w:rsidR="00B624F3" w:rsidRPr="00022524" w:rsidRDefault="00B624F3" w:rsidP="0051399F">
      <w:pPr>
        <w:pStyle w:val="Body"/>
        <w:spacing w:after="60"/>
        <w:ind w:left="1985" w:hanging="1985"/>
      </w:pPr>
      <w:r w:rsidRPr="00022524">
        <w:t>EU</w:t>
      </w:r>
      <w:r w:rsidR="0051399F" w:rsidRPr="00022524">
        <w:tab/>
      </w:r>
      <w:r w:rsidRPr="00022524">
        <w:t>European Union</w:t>
      </w:r>
    </w:p>
    <w:p w14:paraId="5BA04D2C" w14:textId="77777777" w:rsidR="00B624F3" w:rsidRPr="00022524" w:rsidRDefault="00B624F3" w:rsidP="0051399F">
      <w:pPr>
        <w:pStyle w:val="Body"/>
        <w:spacing w:after="60"/>
        <w:ind w:left="1985" w:hanging="1985"/>
      </w:pPr>
      <w:r w:rsidRPr="00022524">
        <w:t>GHG</w:t>
      </w:r>
      <w:r w:rsidR="0051399F" w:rsidRPr="00022524">
        <w:tab/>
      </w:r>
      <w:r w:rsidRPr="00022524">
        <w:t>Greenhouse gas</w:t>
      </w:r>
    </w:p>
    <w:p w14:paraId="2FBD6D72" w14:textId="77777777" w:rsidR="00B624F3" w:rsidRPr="00022524" w:rsidRDefault="00B624F3" w:rsidP="0051399F">
      <w:pPr>
        <w:pStyle w:val="Body"/>
        <w:spacing w:after="60"/>
        <w:ind w:left="1985" w:hanging="1985"/>
      </w:pPr>
      <w:r w:rsidRPr="00022524">
        <w:t>IGJ</w:t>
      </w:r>
      <w:r w:rsidR="0051399F" w:rsidRPr="00022524">
        <w:tab/>
      </w:r>
      <w:r w:rsidRPr="00022524">
        <w:t>Investments in Growth and Jobs</w:t>
      </w:r>
    </w:p>
    <w:p w14:paraId="111C8DCD" w14:textId="77777777" w:rsidR="00B624F3" w:rsidRPr="00022524" w:rsidRDefault="00B624F3" w:rsidP="0051399F">
      <w:pPr>
        <w:pStyle w:val="Body"/>
        <w:spacing w:after="60"/>
        <w:ind w:left="1985" w:hanging="1985"/>
      </w:pPr>
      <w:r w:rsidRPr="00022524">
        <w:t>IP</w:t>
      </w:r>
      <w:r w:rsidR="0051399F" w:rsidRPr="00022524">
        <w:tab/>
      </w:r>
      <w:r w:rsidRPr="00022524">
        <w:t>Investment Priority</w:t>
      </w:r>
    </w:p>
    <w:p w14:paraId="0F78ADB8" w14:textId="77777777" w:rsidR="00B624F3" w:rsidRPr="00022524" w:rsidRDefault="00B624F3" w:rsidP="0051399F">
      <w:pPr>
        <w:pStyle w:val="Body"/>
        <w:spacing w:after="60"/>
        <w:ind w:left="1985" w:hanging="1985"/>
      </w:pPr>
      <w:r w:rsidRPr="00022524">
        <w:t>IPA</w:t>
      </w:r>
      <w:r w:rsidR="0051399F" w:rsidRPr="00022524">
        <w:tab/>
      </w:r>
      <w:r w:rsidRPr="00022524">
        <w:t>Instrument for Pre-Accession</w:t>
      </w:r>
    </w:p>
    <w:p w14:paraId="23AD20D2" w14:textId="77777777" w:rsidR="00B624F3" w:rsidRPr="00022524" w:rsidRDefault="00B624F3" w:rsidP="0051399F">
      <w:pPr>
        <w:pStyle w:val="Body"/>
        <w:spacing w:after="60"/>
        <w:ind w:left="1985" w:hanging="1985"/>
      </w:pPr>
      <w:r w:rsidRPr="00022524">
        <w:t>ISCED</w:t>
      </w:r>
      <w:r w:rsidR="0051399F" w:rsidRPr="00022524">
        <w:tab/>
      </w:r>
      <w:r w:rsidRPr="00022524">
        <w:t xml:space="preserve">International Standard Classification of Education </w:t>
      </w:r>
    </w:p>
    <w:p w14:paraId="43D0DBE0" w14:textId="77777777" w:rsidR="00B624F3" w:rsidRPr="00022524" w:rsidRDefault="00B624F3" w:rsidP="0051399F">
      <w:pPr>
        <w:pStyle w:val="Body"/>
        <w:spacing w:after="60"/>
        <w:ind w:left="1985" w:hanging="1985"/>
      </w:pPr>
      <w:r w:rsidRPr="00022524">
        <w:t xml:space="preserve">ITI </w:t>
      </w:r>
      <w:r w:rsidR="0051399F" w:rsidRPr="00022524">
        <w:tab/>
      </w:r>
      <w:r w:rsidRPr="00022524">
        <w:t xml:space="preserve">Integrated Territorial Investment </w:t>
      </w:r>
    </w:p>
    <w:p w14:paraId="3E8FF412" w14:textId="77777777" w:rsidR="008130CE" w:rsidRPr="00022524" w:rsidRDefault="008130CE" w:rsidP="0051399F">
      <w:pPr>
        <w:pStyle w:val="Body"/>
        <w:spacing w:after="60"/>
        <w:ind w:left="1985" w:hanging="1985"/>
      </w:pPr>
      <w:r w:rsidRPr="00022524">
        <w:t>LEP</w:t>
      </w:r>
      <w:r w:rsidRPr="00022524">
        <w:tab/>
        <w:t>Local Enterprise Partnership</w:t>
      </w:r>
    </w:p>
    <w:p w14:paraId="33932C42" w14:textId="77777777" w:rsidR="00B624F3" w:rsidRPr="00022524" w:rsidRDefault="00B624F3" w:rsidP="0051399F">
      <w:pPr>
        <w:pStyle w:val="Body"/>
        <w:spacing w:after="60"/>
        <w:ind w:left="1985" w:hanging="1985"/>
      </w:pPr>
      <w:r w:rsidRPr="00022524">
        <w:t>MA</w:t>
      </w:r>
      <w:r w:rsidR="0051399F" w:rsidRPr="00022524">
        <w:tab/>
      </w:r>
      <w:r w:rsidRPr="00022524">
        <w:t>Managing Authority</w:t>
      </w:r>
    </w:p>
    <w:p w14:paraId="3015B206" w14:textId="77777777" w:rsidR="00B624F3" w:rsidRPr="00022524" w:rsidRDefault="00B624F3" w:rsidP="0051399F">
      <w:pPr>
        <w:pStyle w:val="Body"/>
        <w:spacing w:after="60"/>
        <w:ind w:left="1985" w:hanging="1985"/>
      </w:pPr>
      <w:r w:rsidRPr="00022524">
        <w:t>MC</w:t>
      </w:r>
      <w:r w:rsidR="0051399F" w:rsidRPr="00022524">
        <w:tab/>
      </w:r>
      <w:r w:rsidRPr="00022524">
        <w:t>Monitoring Committee</w:t>
      </w:r>
    </w:p>
    <w:p w14:paraId="4B5B660C" w14:textId="77777777" w:rsidR="00B624F3" w:rsidRPr="00022524" w:rsidRDefault="00B624F3" w:rsidP="0051399F">
      <w:pPr>
        <w:pStyle w:val="Body"/>
        <w:spacing w:after="60"/>
        <w:ind w:left="1985" w:hanging="1985"/>
      </w:pPr>
      <w:r w:rsidRPr="00022524">
        <w:t>MS</w:t>
      </w:r>
      <w:r w:rsidR="0051399F" w:rsidRPr="00022524">
        <w:tab/>
      </w:r>
      <w:r w:rsidRPr="00022524">
        <w:t>Member State</w:t>
      </w:r>
    </w:p>
    <w:p w14:paraId="0C66BA59" w14:textId="77777777" w:rsidR="008853ED" w:rsidRPr="00022524" w:rsidRDefault="008853ED" w:rsidP="0051399F">
      <w:pPr>
        <w:pStyle w:val="Body"/>
        <w:spacing w:after="60"/>
        <w:ind w:left="1985" w:hanging="1985"/>
      </w:pPr>
      <w:r w:rsidRPr="00022524">
        <w:t>NUTS</w:t>
      </w:r>
      <w:r w:rsidRPr="00022524">
        <w:tab/>
        <w:t>Nomenclature of Territorial Units for Statistics</w:t>
      </w:r>
    </w:p>
    <w:p w14:paraId="5C078F98" w14:textId="77777777" w:rsidR="00B624F3" w:rsidRPr="00022524" w:rsidRDefault="00B624F3" w:rsidP="0051399F">
      <w:pPr>
        <w:pStyle w:val="Body"/>
        <w:spacing w:after="60"/>
        <w:ind w:left="1985" w:hanging="1985"/>
      </w:pPr>
      <w:r w:rsidRPr="00022524">
        <w:t>OP</w:t>
      </w:r>
      <w:r w:rsidR="0051399F" w:rsidRPr="00022524">
        <w:tab/>
      </w:r>
      <w:r w:rsidRPr="00022524">
        <w:t xml:space="preserve">Operational </w:t>
      </w:r>
      <w:r w:rsidR="00EA73DF" w:rsidRPr="00022524">
        <w:t>p</w:t>
      </w:r>
      <w:r w:rsidRPr="00022524">
        <w:t>rogramme</w:t>
      </w:r>
    </w:p>
    <w:p w14:paraId="291C9AF4" w14:textId="77777777" w:rsidR="00B624F3" w:rsidRPr="00022524" w:rsidRDefault="00B624F3" w:rsidP="0051399F">
      <w:pPr>
        <w:pStyle w:val="Body"/>
        <w:spacing w:after="60"/>
        <w:ind w:left="1985" w:hanging="1985"/>
      </w:pPr>
      <w:r w:rsidRPr="00022524">
        <w:t>PA</w:t>
      </w:r>
      <w:r w:rsidR="0051399F" w:rsidRPr="00022524">
        <w:tab/>
      </w:r>
      <w:r w:rsidRPr="00022524">
        <w:t>Partnership Agreement</w:t>
      </w:r>
    </w:p>
    <w:p w14:paraId="49714939" w14:textId="77777777" w:rsidR="00B943AA" w:rsidRPr="00022524" w:rsidRDefault="00B943AA" w:rsidP="00B943AA">
      <w:pPr>
        <w:pStyle w:val="Body"/>
        <w:spacing w:after="60"/>
        <w:ind w:left="1985" w:hanging="1985"/>
      </w:pPr>
      <w:r w:rsidRPr="00022524">
        <w:t>PAFWG</w:t>
      </w:r>
      <w:r w:rsidRPr="00022524">
        <w:tab/>
        <w:t>Performance Assessment Functional Working Group</w:t>
      </w:r>
    </w:p>
    <w:p w14:paraId="1A12ED98" w14:textId="617966CF" w:rsidR="00B624F3" w:rsidRPr="00022524" w:rsidRDefault="00DA7557" w:rsidP="0051399F">
      <w:pPr>
        <w:pStyle w:val="Body"/>
        <w:spacing w:after="60"/>
        <w:ind w:left="1985" w:hanging="1985"/>
      </w:pPr>
      <w:proofErr w:type="spellStart"/>
      <w:r>
        <w:t>PAx</w:t>
      </w:r>
      <w:proofErr w:type="spellEnd"/>
      <w:r w:rsidR="0051399F" w:rsidRPr="00022524">
        <w:tab/>
      </w:r>
      <w:r w:rsidR="00B624F3" w:rsidRPr="00022524">
        <w:t>Priority Axis</w:t>
      </w:r>
    </w:p>
    <w:p w14:paraId="6331AA8C" w14:textId="77777777" w:rsidR="00B624F3" w:rsidRPr="00022524" w:rsidRDefault="00B624F3" w:rsidP="0051399F">
      <w:pPr>
        <w:pStyle w:val="Body"/>
        <w:spacing w:after="60"/>
        <w:ind w:left="1985" w:hanging="1985"/>
      </w:pPr>
      <w:r w:rsidRPr="00022524">
        <w:t>PF</w:t>
      </w:r>
      <w:r w:rsidR="0051399F" w:rsidRPr="00022524">
        <w:tab/>
      </w:r>
      <w:r w:rsidRPr="00022524">
        <w:t>Performance Framework</w:t>
      </w:r>
    </w:p>
    <w:p w14:paraId="03689DE5" w14:textId="77777777" w:rsidR="00B624F3" w:rsidRPr="00022524" w:rsidRDefault="00B624F3" w:rsidP="0051399F">
      <w:pPr>
        <w:pStyle w:val="Body"/>
        <w:spacing w:after="60"/>
        <w:ind w:left="1985" w:hanging="1985"/>
      </w:pPr>
      <w:r w:rsidRPr="00022524">
        <w:t>SME</w:t>
      </w:r>
      <w:r w:rsidR="0051399F" w:rsidRPr="00022524">
        <w:tab/>
      </w:r>
      <w:r w:rsidRPr="00022524">
        <w:t>Small and medium-sized enterprise</w:t>
      </w:r>
    </w:p>
    <w:p w14:paraId="5F7E1648" w14:textId="77777777" w:rsidR="00B624F3" w:rsidRPr="00C70861" w:rsidRDefault="00B624F3" w:rsidP="0051399F">
      <w:pPr>
        <w:pStyle w:val="Body"/>
        <w:spacing w:after="60"/>
        <w:ind w:left="1985" w:hanging="1985"/>
        <w:rPr>
          <w:lang w:val="fr-BE"/>
        </w:rPr>
      </w:pPr>
      <w:r w:rsidRPr="00C70861">
        <w:rPr>
          <w:lang w:val="fr-BE"/>
        </w:rPr>
        <w:t>TEN-T</w:t>
      </w:r>
      <w:r w:rsidR="0051399F" w:rsidRPr="00C70861">
        <w:rPr>
          <w:lang w:val="fr-BE"/>
        </w:rPr>
        <w:tab/>
      </w:r>
      <w:r w:rsidRPr="00C70861">
        <w:rPr>
          <w:lang w:val="fr-BE"/>
        </w:rPr>
        <w:t>Trans-European Transport Networks</w:t>
      </w:r>
    </w:p>
    <w:p w14:paraId="0329BBED" w14:textId="77777777" w:rsidR="003E74DB" w:rsidRPr="00C70861" w:rsidRDefault="003E74DB" w:rsidP="0051399F">
      <w:pPr>
        <w:pStyle w:val="Body"/>
        <w:spacing w:after="60"/>
        <w:ind w:left="1985" w:hanging="1985"/>
        <w:rPr>
          <w:lang w:val="fr-BE"/>
        </w:rPr>
      </w:pPr>
      <w:r w:rsidRPr="00C70861">
        <w:rPr>
          <w:lang w:val="fr-BE"/>
        </w:rPr>
        <w:t>TNC</w:t>
      </w:r>
      <w:r w:rsidRPr="00C70861">
        <w:rPr>
          <w:lang w:val="fr-BE"/>
        </w:rPr>
        <w:tab/>
        <w:t xml:space="preserve">Transnational </w:t>
      </w:r>
      <w:proofErr w:type="spellStart"/>
      <w:r w:rsidRPr="00C70861">
        <w:rPr>
          <w:lang w:val="fr-BE"/>
        </w:rPr>
        <w:t>cooperation</w:t>
      </w:r>
      <w:proofErr w:type="spellEnd"/>
      <w:r w:rsidRPr="00C70861">
        <w:rPr>
          <w:lang w:val="fr-BE"/>
        </w:rPr>
        <w:t xml:space="preserve"> programmes</w:t>
      </w:r>
    </w:p>
    <w:p w14:paraId="731B188F" w14:textId="77777777" w:rsidR="00B624F3" w:rsidRPr="00022524" w:rsidRDefault="00B624F3" w:rsidP="0051399F">
      <w:pPr>
        <w:pStyle w:val="Body"/>
        <w:spacing w:after="60"/>
        <w:ind w:left="1985" w:hanging="1985"/>
      </w:pPr>
      <w:r w:rsidRPr="00022524">
        <w:t>TO</w:t>
      </w:r>
      <w:r w:rsidR="0051399F" w:rsidRPr="00022524">
        <w:tab/>
      </w:r>
      <w:r w:rsidRPr="00022524">
        <w:t>Thematic Objective</w:t>
      </w:r>
    </w:p>
    <w:p w14:paraId="718A1F42" w14:textId="77777777" w:rsidR="0079545D" w:rsidRPr="00022524" w:rsidRDefault="0079545D" w:rsidP="0051399F">
      <w:pPr>
        <w:pStyle w:val="Body"/>
        <w:spacing w:after="60"/>
        <w:ind w:left="1985" w:hanging="1985"/>
      </w:pPr>
      <w:proofErr w:type="spellStart"/>
      <w:r w:rsidRPr="00022524">
        <w:t>ToR</w:t>
      </w:r>
      <w:proofErr w:type="spellEnd"/>
      <w:r w:rsidR="0051399F" w:rsidRPr="00022524">
        <w:tab/>
      </w:r>
      <w:r w:rsidRPr="00022524">
        <w:t>Terms of Reference</w:t>
      </w:r>
    </w:p>
    <w:p w14:paraId="5ADE1ABD" w14:textId="77777777" w:rsidR="00B624F3" w:rsidRPr="00022524" w:rsidRDefault="00B624F3" w:rsidP="0051399F">
      <w:pPr>
        <w:pStyle w:val="Body"/>
        <w:ind w:left="1985" w:hanging="1985"/>
      </w:pPr>
      <w:r w:rsidRPr="00022524">
        <w:t>YEI</w:t>
      </w:r>
      <w:r w:rsidR="0051399F" w:rsidRPr="00022524">
        <w:tab/>
      </w:r>
      <w:r w:rsidRPr="00022524">
        <w:t>Youth Employment Initiative</w:t>
      </w:r>
    </w:p>
    <w:p w14:paraId="15B4B6EE" w14:textId="77777777" w:rsidR="00B624F3" w:rsidRPr="00022524" w:rsidRDefault="0051399F" w:rsidP="0051399F">
      <w:pPr>
        <w:pStyle w:val="Body"/>
        <w:spacing w:after="120"/>
        <w:rPr>
          <w:i/>
          <w:iCs/>
        </w:rPr>
      </w:pPr>
      <w:r w:rsidRPr="00022524">
        <w:rPr>
          <w:i/>
          <w:iCs/>
        </w:rPr>
        <w:t>Fund combinations</w:t>
      </w:r>
    </w:p>
    <w:p w14:paraId="50DA7C03" w14:textId="77777777" w:rsidR="00B624F3" w:rsidRPr="00022524" w:rsidRDefault="00B624F3" w:rsidP="0051399F">
      <w:pPr>
        <w:pStyle w:val="Body"/>
        <w:spacing w:after="60"/>
        <w:ind w:left="1985" w:hanging="1985"/>
      </w:pPr>
      <w:r w:rsidRPr="00022524">
        <w:t>CF</w:t>
      </w:r>
      <w:r w:rsidR="0051399F" w:rsidRPr="00022524">
        <w:tab/>
      </w:r>
      <w:r w:rsidRPr="00022524">
        <w:t>Cohesion Fund</w:t>
      </w:r>
    </w:p>
    <w:p w14:paraId="68D457BA" w14:textId="77777777" w:rsidR="00B624F3" w:rsidRPr="00022524" w:rsidRDefault="00315B74" w:rsidP="0051399F">
      <w:pPr>
        <w:pStyle w:val="Body"/>
        <w:spacing w:after="60"/>
        <w:ind w:left="1985" w:hanging="1985"/>
      </w:pPr>
      <w:r w:rsidRPr="00022524">
        <w:t>M0</w:t>
      </w:r>
      <w:r w:rsidR="0051399F" w:rsidRPr="00022524">
        <w:tab/>
      </w:r>
      <w:r w:rsidR="00B624F3" w:rsidRPr="00022524">
        <w:t>Combination of: ERDF, ESF, YEI</w:t>
      </w:r>
    </w:p>
    <w:p w14:paraId="35367634" w14:textId="77777777" w:rsidR="00B624F3" w:rsidRPr="00022524" w:rsidRDefault="00B624F3" w:rsidP="0051399F">
      <w:pPr>
        <w:pStyle w:val="Body"/>
        <w:spacing w:after="60"/>
        <w:ind w:left="1985" w:hanging="1985"/>
      </w:pPr>
      <w:r w:rsidRPr="00022524">
        <w:t>M1</w:t>
      </w:r>
      <w:r w:rsidR="0051399F" w:rsidRPr="00022524">
        <w:tab/>
      </w:r>
      <w:r w:rsidRPr="00022524">
        <w:t>Combination of: ERDF, CF</w:t>
      </w:r>
    </w:p>
    <w:p w14:paraId="0561777F" w14:textId="77777777" w:rsidR="00B624F3" w:rsidRPr="00022524" w:rsidRDefault="00B624F3" w:rsidP="0051399F">
      <w:pPr>
        <w:pStyle w:val="Body"/>
        <w:spacing w:after="60"/>
        <w:ind w:left="1985" w:hanging="1985"/>
      </w:pPr>
      <w:r w:rsidRPr="00022524">
        <w:t>M2</w:t>
      </w:r>
      <w:r w:rsidR="0051399F" w:rsidRPr="00022524">
        <w:tab/>
      </w:r>
      <w:r w:rsidRPr="00022524">
        <w:t>Combination of: ERDF, ESF</w:t>
      </w:r>
    </w:p>
    <w:p w14:paraId="0731E502" w14:textId="77777777" w:rsidR="00B624F3" w:rsidRPr="00022524" w:rsidRDefault="00B624F3" w:rsidP="0051399F">
      <w:pPr>
        <w:pStyle w:val="Body"/>
        <w:spacing w:after="60"/>
        <w:ind w:left="1985" w:hanging="1985"/>
      </w:pPr>
      <w:r w:rsidRPr="00022524">
        <w:t>M3</w:t>
      </w:r>
      <w:r w:rsidR="0051399F" w:rsidRPr="00022524">
        <w:tab/>
      </w:r>
      <w:r w:rsidRPr="00022524">
        <w:t>Combination of: ERDF, CF, ESF</w:t>
      </w:r>
    </w:p>
    <w:p w14:paraId="202B351A" w14:textId="77777777" w:rsidR="00B624F3" w:rsidRPr="00022524" w:rsidRDefault="00B624F3" w:rsidP="0051399F">
      <w:pPr>
        <w:pStyle w:val="Body"/>
        <w:spacing w:after="60"/>
        <w:ind w:left="1985" w:hanging="1985"/>
      </w:pPr>
      <w:r w:rsidRPr="00022524">
        <w:t>MA</w:t>
      </w:r>
      <w:r w:rsidR="0051399F" w:rsidRPr="00022524">
        <w:tab/>
      </w:r>
      <w:r w:rsidRPr="00022524">
        <w:t>Combination of: ERDF, CF, ESF, YEI</w:t>
      </w:r>
    </w:p>
    <w:p w14:paraId="34A0E2D7" w14:textId="77777777" w:rsidR="00B624F3" w:rsidRPr="00022524" w:rsidRDefault="00B624F3" w:rsidP="0051399F">
      <w:pPr>
        <w:pStyle w:val="Body"/>
        <w:spacing w:after="60"/>
        <w:ind w:left="1985" w:hanging="1985"/>
      </w:pPr>
      <w:r w:rsidRPr="00022524">
        <w:t>ERDF+</w:t>
      </w:r>
      <w:proofErr w:type="gramStart"/>
      <w:r w:rsidRPr="00022524">
        <w:t>IPA(</w:t>
      </w:r>
      <w:proofErr w:type="gramEnd"/>
      <w:r w:rsidRPr="00022524">
        <w:t>e)</w:t>
      </w:r>
      <w:r w:rsidR="0051399F" w:rsidRPr="00022524">
        <w:tab/>
      </w:r>
      <w:r w:rsidRPr="00022524">
        <w:t>Combination of: ERDF, IPA</w:t>
      </w:r>
    </w:p>
    <w:p w14:paraId="1B2B1505" w14:textId="77777777" w:rsidR="00B624F3" w:rsidRPr="00022524" w:rsidRDefault="00B624F3" w:rsidP="0051399F">
      <w:pPr>
        <w:pStyle w:val="Body"/>
        <w:spacing w:after="60"/>
        <w:ind w:left="1985" w:hanging="1985"/>
      </w:pPr>
      <w:r w:rsidRPr="00022524">
        <w:t>ERDF+ENI</w:t>
      </w:r>
      <w:r w:rsidR="0051399F" w:rsidRPr="00022524">
        <w:tab/>
      </w:r>
      <w:r w:rsidRPr="00022524">
        <w:t>Combination of: ERDF, ENI</w:t>
      </w:r>
    </w:p>
    <w:p w14:paraId="5ED21C28" w14:textId="77777777" w:rsidR="00B624F3" w:rsidRPr="00022524" w:rsidRDefault="00B624F3" w:rsidP="0051399F">
      <w:pPr>
        <w:pStyle w:val="Body"/>
        <w:ind w:left="1985" w:hanging="1985"/>
      </w:pPr>
      <w:r w:rsidRPr="00022524">
        <w:t>ERDF+</w:t>
      </w:r>
      <w:proofErr w:type="gramStart"/>
      <w:r w:rsidRPr="00022524">
        <w:t>IPA(</w:t>
      </w:r>
      <w:proofErr w:type="gramEnd"/>
      <w:r w:rsidRPr="00022524">
        <w:t>e)+ENI</w:t>
      </w:r>
      <w:r w:rsidRPr="00022524">
        <w:tab/>
        <w:t>Combination of: ERDF, IPA, ENI</w:t>
      </w:r>
    </w:p>
    <w:p w14:paraId="3D8F2557" w14:textId="77777777" w:rsidR="00592685" w:rsidRPr="00022524" w:rsidRDefault="00592685" w:rsidP="004A424B">
      <w:pPr>
        <w:spacing w:after="0" w:line="276" w:lineRule="auto"/>
        <w:rPr>
          <w:rFonts w:ascii="Verdana" w:hAnsi="Verdana"/>
          <w:sz w:val="18"/>
          <w:lang w:val="en-GB"/>
        </w:rPr>
      </w:pPr>
    </w:p>
    <w:p w14:paraId="37984948" w14:textId="77777777" w:rsidR="004A424B" w:rsidRPr="00022524" w:rsidRDefault="004A424B" w:rsidP="004A424B">
      <w:pPr>
        <w:spacing w:after="0" w:line="276" w:lineRule="auto"/>
        <w:rPr>
          <w:rFonts w:ascii="Verdana" w:hAnsi="Verdana"/>
          <w:sz w:val="18"/>
          <w:lang w:val="en-GB"/>
        </w:rPr>
        <w:sectPr w:rsidR="004A424B" w:rsidRPr="00022524" w:rsidSect="00854EA4">
          <w:headerReference w:type="even" r:id="rId26"/>
          <w:headerReference w:type="default" r:id="rId27"/>
          <w:footerReference w:type="even" r:id="rId28"/>
          <w:footerReference w:type="default" r:id="rId29"/>
          <w:pgSz w:w="11907" w:h="16839" w:code="9"/>
          <w:pgMar w:top="851" w:right="1418" w:bottom="851" w:left="1418" w:header="567" w:footer="567" w:gutter="0"/>
          <w:pgNumType w:fmt="upperRoman" w:start="1"/>
          <w:cols w:space="720"/>
          <w:docGrid w:linePitch="326"/>
        </w:sectPr>
      </w:pPr>
    </w:p>
    <w:p w14:paraId="4D0E6585" w14:textId="1B1838A9" w:rsidR="008266FA" w:rsidRPr="00022524" w:rsidRDefault="008266FA" w:rsidP="00DA4621">
      <w:pPr>
        <w:pStyle w:val="Body"/>
        <w:spacing w:after="120"/>
      </w:pPr>
    </w:p>
    <w:p w14:paraId="3C598033" w14:textId="77777777" w:rsidR="008E6313" w:rsidRPr="00022524" w:rsidRDefault="008E6313" w:rsidP="00EC5CAB">
      <w:pPr>
        <w:pStyle w:val="Body"/>
      </w:pPr>
    </w:p>
    <w:p w14:paraId="713A1700" w14:textId="77777777" w:rsidR="00EC5CAB" w:rsidRPr="00022524" w:rsidRDefault="00B5653B" w:rsidP="00E65E27">
      <w:pPr>
        <w:pStyle w:val="Headingone"/>
        <w:spacing w:after="240"/>
        <w:ind w:left="482" w:hanging="482"/>
      </w:pPr>
      <w:bookmarkStart w:id="11" w:name="_Toc433973086"/>
      <w:bookmarkStart w:id="12" w:name="_Toc448144101"/>
      <w:bookmarkStart w:id="13" w:name="_Toc433017926"/>
      <w:r w:rsidRPr="00022524">
        <w:lastRenderedPageBreak/>
        <w:t>I</w:t>
      </w:r>
      <w:bookmarkEnd w:id="13"/>
      <w:r w:rsidR="004C13C1" w:rsidRPr="00022524">
        <w:t>ntroduction</w:t>
      </w:r>
      <w:bookmarkEnd w:id="11"/>
      <w:bookmarkEnd w:id="12"/>
    </w:p>
    <w:p w14:paraId="5C914C71" w14:textId="77777777" w:rsidR="00ED74BD" w:rsidRPr="00022524" w:rsidRDefault="00ED74BD" w:rsidP="00ED74BD">
      <w:pPr>
        <w:pStyle w:val="Body"/>
      </w:pPr>
      <w:r w:rsidRPr="00022524">
        <w:t>The objective of the study is to provide evidence on the development of the performance framework (PF) established during the programming phase of the European Structural and Investment (ESI) Funds</w:t>
      </w:r>
      <w:r w:rsidR="00B63729" w:rsidRPr="00022524">
        <w:t>, assessing the use of the provisions related to the performance framewo</w:t>
      </w:r>
      <w:r w:rsidR="0099703C" w:rsidRPr="00022524">
        <w:t>r</w:t>
      </w:r>
      <w:r w:rsidR="00B63729" w:rsidRPr="00022524">
        <w:t>k in the programming for the ERDF, CF and the ESF (where combined with the ERDF/CF)</w:t>
      </w:r>
      <w:r w:rsidRPr="00022524">
        <w:t xml:space="preserve">. Additionally, the study will provide an analytical basis </w:t>
      </w:r>
      <w:r w:rsidR="00A20009" w:rsidRPr="00022524">
        <w:t xml:space="preserve">for </w:t>
      </w:r>
      <w:r w:rsidRPr="00022524">
        <w:t xml:space="preserve">informing the debate on the design of </w:t>
      </w:r>
      <w:r w:rsidR="0056298A" w:rsidRPr="00022524">
        <w:t>c</w:t>
      </w:r>
      <w:r w:rsidRPr="00022524">
        <w:t>ohesion policy and related impact assessments post 2020.</w:t>
      </w:r>
    </w:p>
    <w:p w14:paraId="4D2E6530" w14:textId="77777777" w:rsidR="00336E04" w:rsidRPr="00022524" w:rsidRDefault="00336E04" w:rsidP="00A0452B">
      <w:pPr>
        <w:pStyle w:val="Heading2"/>
      </w:pPr>
      <w:bookmarkStart w:id="14" w:name="_Toc433973087"/>
      <w:bookmarkStart w:id="15" w:name="_Toc433973188"/>
      <w:bookmarkStart w:id="16" w:name="_Toc448144102"/>
      <w:r w:rsidRPr="00022524">
        <w:t>Study tasks and content</w:t>
      </w:r>
      <w:bookmarkEnd w:id="14"/>
      <w:bookmarkEnd w:id="15"/>
      <w:bookmarkEnd w:id="16"/>
    </w:p>
    <w:p w14:paraId="07ECCFFD" w14:textId="77777777" w:rsidR="00B113E2" w:rsidRPr="00022524" w:rsidRDefault="00B113E2" w:rsidP="00ED74BD">
      <w:pPr>
        <w:pStyle w:val="Body"/>
      </w:pPr>
      <w:r w:rsidRPr="00022524">
        <w:t>The study covers the following five tasks, as presented in the Terms of Reference (</w:t>
      </w:r>
      <w:proofErr w:type="spellStart"/>
      <w:r w:rsidRPr="00022524">
        <w:t>ToR</w:t>
      </w:r>
      <w:proofErr w:type="spellEnd"/>
      <w:r w:rsidRPr="00022524">
        <w:t>):</w:t>
      </w:r>
    </w:p>
    <w:p w14:paraId="22F3BF74" w14:textId="77777777" w:rsidR="00B113E2" w:rsidRPr="00022524" w:rsidRDefault="00B113E2" w:rsidP="00B113E2">
      <w:pPr>
        <w:pStyle w:val="BulletPoint1"/>
      </w:pPr>
      <w:r w:rsidRPr="00022524">
        <w:t xml:space="preserve">Task 1: </w:t>
      </w:r>
      <w:r w:rsidR="00882D68" w:rsidRPr="00022524">
        <w:t xml:space="preserve">Prepare a </w:t>
      </w:r>
      <w:r w:rsidR="008657DD" w:rsidRPr="00022524">
        <w:t>m</w:t>
      </w:r>
      <w:r w:rsidRPr="00022524">
        <w:t xml:space="preserve">ethodological </w:t>
      </w:r>
      <w:r w:rsidR="00BE74C1" w:rsidRPr="00022524">
        <w:t>r</w:t>
      </w:r>
      <w:r w:rsidRPr="00022524">
        <w:t>eport</w:t>
      </w:r>
    </w:p>
    <w:p w14:paraId="7C0494DC" w14:textId="77777777" w:rsidR="00B113E2" w:rsidRPr="00022524" w:rsidRDefault="00B113E2" w:rsidP="00B113E2">
      <w:pPr>
        <w:pStyle w:val="BulletPoint1"/>
      </w:pPr>
      <w:r w:rsidRPr="00022524">
        <w:t xml:space="preserve">Task 2: Provide a synthesis of how the provisions relating to performance framework (including the performance reserve) are reflected in all Partnership Agreements, </w:t>
      </w:r>
      <w:r w:rsidR="0099703C" w:rsidRPr="00022524">
        <w:t>operational programmes</w:t>
      </w:r>
      <w:r w:rsidRPr="00022524">
        <w:t xml:space="preserve"> financed by the ERDF and the CF, including multi-fund programmes, and ETC programmes financed by the ERDF.</w:t>
      </w:r>
    </w:p>
    <w:p w14:paraId="56CFC650" w14:textId="77777777" w:rsidR="00B113E2" w:rsidRPr="00022524" w:rsidRDefault="00B113E2" w:rsidP="00B113E2">
      <w:pPr>
        <w:pStyle w:val="BulletPoint1"/>
      </w:pPr>
      <w:r w:rsidRPr="00022524">
        <w:t>Task 3: Provide an assessment of how performance frameworks have been designed during the programming phase.</w:t>
      </w:r>
    </w:p>
    <w:p w14:paraId="7BF7D7C8" w14:textId="77777777" w:rsidR="00B113E2" w:rsidRPr="00022524" w:rsidRDefault="00B113E2" w:rsidP="00B113E2">
      <w:pPr>
        <w:pStyle w:val="BulletPoint1"/>
      </w:pPr>
      <w:r w:rsidRPr="00022524">
        <w:t>Task 4: Provide conclusions</w:t>
      </w:r>
    </w:p>
    <w:p w14:paraId="6E1E02FF" w14:textId="77777777" w:rsidR="00B113E2" w:rsidRPr="00022524" w:rsidRDefault="00B113E2" w:rsidP="00B113E2">
      <w:pPr>
        <w:pStyle w:val="BulletPoint1"/>
      </w:pPr>
      <w:r w:rsidRPr="00022524">
        <w:t xml:space="preserve">Task 5: </w:t>
      </w:r>
      <w:r w:rsidR="003B5FD1" w:rsidRPr="00022524">
        <w:t xml:space="preserve">Attend </w:t>
      </w:r>
      <w:r w:rsidR="00882D68" w:rsidRPr="00022524">
        <w:t>m</w:t>
      </w:r>
      <w:r w:rsidRPr="00022524">
        <w:t>eetings with Commission staff</w:t>
      </w:r>
    </w:p>
    <w:p w14:paraId="1065EDD8" w14:textId="77777777" w:rsidR="008C504B" w:rsidRPr="00022524" w:rsidRDefault="00637891" w:rsidP="00ED74BD">
      <w:pPr>
        <w:pStyle w:val="Body"/>
      </w:pPr>
      <w:r w:rsidRPr="00022524">
        <w:t xml:space="preserve">This Draft Final Report </w:t>
      </w:r>
      <w:r w:rsidR="001D319C" w:rsidRPr="00022524">
        <w:t xml:space="preserve">is aimed at providing a synthesis covering the manner in which the provisions relating to the performance framework (including the performance reserve) are reflected in all Partnership Agreements (PA), </w:t>
      </w:r>
      <w:r w:rsidR="0099703C" w:rsidRPr="00022524">
        <w:t>o</w:t>
      </w:r>
      <w:r w:rsidR="001D319C" w:rsidRPr="00022524">
        <w:t xml:space="preserve">perational </w:t>
      </w:r>
      <w:r w:rsidR="0099703C" w:rsidRPr="00022524">
        <w:t>p</w:t>
      </w:r>
      <w:r w:rsidR="001D319C" w:rsidRPr="00022524">
        <w:t>rogrammes (OP) under the Investment for Growth and Jobs objective (IGJ) financed by the European Regional Development Fund (ERDF) and the Cohesion Fund (CF), including multi-fund programmes</w:t>
      </w:r>
      <w:r w:rsidR="00CE108A" w:rsidRPr="00022524">
        <w:t xml:space="preserve"> including the European Social Fund (ESF)</w:t>
      </w:r>
      <w:r w:rsidR="001D319C" w:rsidRPr="00022524">
        <w:t>, and the European Territorial Cooperation (ETC) programmes financed by the ERDF. Moreover an assessment of how the performance framework has been designed during the programming phase and result</w:t>
      </w:r>
      <w:r w:rsidR="003B5FD1" w:rsidRPr="00022524">
        <w:t xml:space="preserve">ing </w:t>
      </w:r>
      <w:r w:rsidR="001D319C" w:rsidRPr="00022524">
        <w:t xml:space="preserve">conclusions </w:t>
      </w:r>
      <w:r w:rsidR="003B5FD1" w:rsidRPr="00022524">
        <w:t xml:space="preserve">on strengths and weaknesses </w:t>
      </w:r>
      <w:r w:rsidR="001D319C" w:rsidRPr="00022524">
        <w:t xml:space="preserve">are provided. The Draft Final Report is based on </w:t>
      </w:r>
      <w:r w:rsidR="00B46461" w:rsidRPr="00022524">
        <w:t xml:space="preserve">a web-survey with </w:t>
      </w:r>
      <w:r w:rsidR="00CB79F0" w:rsidRPr="00022524">
        <w:t>m</w:t>
      </w:r>
      <w:r w:rsidR="00B46461" w:rsidRPr="00022524">
        <w:t xml:space="preserve">anaging </w:t>
      </w:r>
      <w:r w:rsidR="00CB79F0" w:rsidRPr="00022524">
        <w:t>a</w:t>
      </w:r>
      <w:r w:rsidR="00B46461" w:rsidRPr="00022524">
        <w:t xml:space="preserve">uthorities (MA), interviews with programme representatives and </w:t>
      </w:r>
      <w:r w:rsidR="001D319C" w:rsidRPr="00022524">
        <w:t>an electronic database in MS Excel format that enables subsequent statistical analysis of the data gathered through</w:t>
      </w:r>
      <w:r w:rsidR="00882D68" w:rsidRPr="00022524">
        <w:t>out</w:t>
      </w:r>
      <w:r w:rsidR="001D319C" w:rsidRPr="00022524">
        <w:t xml:space="preserve"> the study. The report</w:t>
      </w:r>
      <w:r w:rsidR="008C504B" w:rsidRPr="00022524">
        <w:t xml:space="preserve"> presents the following aspects and findings in relation to the performance framework:</w:t>
      </w:r>
    </w:p>
    <w:p w14:paraId="31623F07" w14:textId="77777777" w:rsidR="00637891" w:rsidRPr="00022524" w:rsidRDefault="003B5FD1" w:rsidP="008C504B">
      <w:pPr>
        <w:pStyle w:val="BulletPoint1"/>
      </w:pPr>
      <w:r w:rsidRPr="00022524">
        <w:t xml:space="preserve">Presentation </w:t>
      </w:r>
      <w:r w:rsidR="008C504B" w:rsidRPr="00022524">
        <w:t>and assessment of processes and how the performance frameworks were elaborated and designed during the programming phase</w:t>
      </w:r>
      <w:r w:rsidR="00637891" w:rsidRPr="00022524">
        <w:t xml:space="preserve"> (see chapter </w:t>
      </w:r>
      <w:r w:rsidR="0083670B" w:rsidRPr="00022524">
        <w:fldChar w:fldCharType="begin"/>
      </w:r>
      <w:r w:rsidR="0083670B" w:rsidRPr="00022524">
        <w:instrText xml:space="preserve"> REF _Ref433010679 \r \h  \* MERGEFORMAT </w:instrText>
      </w:r>
      <w:r w:rsidR="0083670B" w:rsidRPr="00022524">
        <w:fldChar w:fldCharType="separate"/>
      </w:r>
      <w:r w:rsidR="008364C8">
        <w:t>2</w:t>
      </w:r>
      <w:r w:rsidR="0083670B" w:rsidRPr="00022524">
        <w:fldChar w:fldCharType="end"/>
      </w:r>
      <w:r w:rsidR="00637891" w:rsidRPr="00022524">
        <w:t>)</w:t>
      </w:r>
      <w:r w:rsidR="008C504B" w:rsidRPr="00022524">
        <w:t>;</w:t>
      </w:r>
    </w:p>
    <w:p w14:paraId="2118B4EE" w14:textId="77777777" w:rsidR="008C504B" w:rsidRPr="00022524" w:rsidRDefault="008C504B" w:rsidP="008C504B">
      <w:pPr>
        <w:pStyle w:val="BulletPoint1"/>
      </w:pPr>
      <w:r w:rsidRPr="00022524">
        <w:t xml:space="preserve">Presentation of </w:t>
      </w:r>
      <w:r w:rsidR="003B5FD1" w:rsidRPr="00022524">
        <w:t xml:space="preserve">the design of </w:t>
      </w:r>
      <w:r w:rsidRPr="00022524">
        <w:t xml:space="preserve">performance frameworks, i.e. indicator set up, and </w:t>
      </w:r>
      <w:r w:rsidR="00882D68" w:rsidRPr="00022524">
        <w:t xml:space="preserve">a </w:t>
      </w:r>
      <w:r w:rsidRPr="00022524">
        <w:t xml:space="preserve">review of the appropriateness of milestones of targets (see chapter </w:t>
      </w:r>
      <w:r w:rsidR="0083670B" w:rsidRPr="00022524">
        <w:fldChar w:fldCharType="begin"/>
      </w:r>
      <w:r w:rsidR="0083670B" w:rsidRPr="00022524">
        <w:instrText xml:space="preserve"> REF _Ref433011044 \r \h  \* MERGEFORMAT </w:instrText>
      </w:r>
      <w:r w:rsidR="0083670B" w:rsidRPr="00022524">
        <w:fldChar w:fldCharType="separate"/>
      </w:r>
      <w:r w:rsidR="008364C8">
        <w:t>3</w:t>
      </w:r>
      <w:r w:rsidR="0083670B" w:rsidRPr="00022524">
        <w:fldChar w:fldCharType="end"/>
      </w:r>
      <w:r w:rsidRPr="00022524">
        <w:t>);</w:t>
      </w:r>
    </w:p>
    <w:p w14:paraId="4BE1C994" w14:textId="77777777" w:rsidR="008C504B" w:rsidRPr="00022524" w:rsidRDefault="003B5FD1" w:rsidP="008C504B">
      <w:pPr>
        <w:pStyle w:val="BulletPoint1"/>
      </w:pPr>
      <w:r w:rsidRPr="00022524">
        <w:t xml:space="preserve">Presentation of the establishment </w:t>
      </w:r>
      <w:r w:rsidR="008C504B" w:rsidRPr="00022524">
        <w:t xml:space="preserve"> of the performance </w:t>
      </w:r>
      <w:r w:rsidRPr="00022524">
        <w:t>reserve</w:t>
      </w:r>
      <w:r w:rsidR="00746762" w:rsidRPr="00022524">
        <w:t xml:space="preserve"> </w:t>
      </w:r>
      <w:r w:rsidR="008C504B" w:rsidRPr="00022524">
        <w:t xml:space="preserve">(see chapter </w:t>
      </w:r>
      <w:r w:rsidR="0083670B" w:rsidRPr="00022524">
        <w:fldChar w:fldCharType="begin"/>
      </w:r>
      <w:r w:rsidR="0083670B" w:rsidRPr="00022524">
        <w:instrText xml:space="preserve"> REF _Ref433011087 \r \h  \* MERGEFORMAT </w:instrText>
      </w:r>
      <w:r w:rsidR="0083670B" w:rsidRPr="00022524">
        <w:fldChar w:fldCharType="separate"/>
      </w:r>
      <w:r w:rsidR="008364C8">
        <w:t>4</w:t>
      </w:r>
      <w:r w:rsidR="0083670B" w:rsidRPr="00022524">
        <w:fldChar w:fldCharType="end"/>
      </w:r>
      <w:r w:rsidR="008C504B" w:rsidRPr="00022524">
        <w:t>);</w:t>
      </w:r>
    </w:p>
    <w:p w14:paraId="2FFF18AB" w14:textId="77777777" w:rsidR="00637891" w:rsidRPr="00022524" w:rsidRDefault="008C504B" w:rsidP="008C504B">
      <w:pPr>
        <w:pStyle w:val="BulletPoint1"/>
      </w:pPr>
      <w:r w:rsidRPr="00022524">
        <w:t xml:space="preserve">Presentation of </w:t>
      </w:r>
      <w:r w:rsidR="0042674C" w:rsidRPr="00022524">
        <w:t xml:space="preserve">the </w:t>
      </w:r>
      <w:r w:rsidRPr="00022524">
        <w:t>conclusions on</w:t>
      </w:r>
      <w:r w:rsidR="0042674C" w:rsidRPr="00022524">
        <w:t xml:space="preserve"> the</w:t>
      </w:r>
      <w:r w:rsidRPr="00022524">
        <w:t xml:space="preserve"> strengths and weaknesses </w:t>
      </w:r>
      <w:r w:rsidR="0042674C" w:rsidRPr="00022524">
        <w:t xml:space="preserve">of the performance framework </w:t>
      </w:r>
      <w:r w:rsidRPr="00022524">
        <w:t xml:space="preserve">with regard to the application of the provisions </w:t>
      </w:r>
      <w:r w:rsidR="0042674C" w:rsidRPr="00022524">
        <w:t>applied</w:t>
      </w:r>
      <w:r w:rsidRPr="00022524">
        <w:t xml:space="preserve"> during the programming phase, as well as </w:t>
      </w:r>
      <w:r w:rsidR="0042674C" w:rsidRPr="00022524">
        <w:t xml:space="preserve">the </w:t>
      </w:r>
      <w:r w:rsidRPr="00022524">
        <w:t xml:space="preserve">first conclusions on the added value of this new element in the regulatory framework </w:t>
      </w:r>
      <w:r w:rsidR="00637891" w:rsidRPr="00022524">
        <w:t>(see chapter</w:t>
      </w:r>
      <w:r w:rsidR="004F06D3" w:rsidRPr="00022524">
        <w:t xml:space="preserve"> </w:t>
      </w:r>
      <w:r w:rsidR="00845832" w:rsidRPr="00022524">
        <w:fldChar w:fldCharType="begin"/>
      </w:r>
      <w:r w:rsidR="004F06D3" w:rsidRPr="00022524">
        <w:instrText xml:space="preserve"> REF _Ref433211462 \r \h </w:instrText>
      </w:r>
      <w:r w:rsidR="00845832" w:rsidRPr="00022524">
        <w:fldChar w:fldCharType="separate"/>
      </w:r>
      <w:r w:rsidR="008364C8">
        <w:t>5</w:t>
      </w:r>
      <w:r w:rsidR="00845832" w:rsidRPr="00022524">
        <w:fldChar w:fldCharType="end"/>
      </w:r>
      <w:r w:rsidR="00637891" w:rsidRPr="00022524">
        <w:t>)</w:t>
      </w:r>
      <w:r w:rsidRPr="00022524">
        <w:t>.</w:t>
      </w:r>
    </w:p>
    <w:p w14:paraId="68623328" w14:textId="77777777" w:rsidR="00D63E48" w:rsidRPr="00022524" w:rsidRDefault="00D63E48" w:rsidP="008C504B">
      <w:pPr>
        <w:pStyle w:val="BulletPoint1"/>
      </w:pPr>
      <w:r w:rsidRPr="00022524">
        <w:t xml:space="preserve">The annexes provide detailed information on the methodology and the findings deriving from the document analysis and survey. </w:t>
      </w:r>
    </w:p>
    <w:p w14:paraId="1A5179F9" w14:textId="77777777" w:rsidR="00223C55" w:rsidRPr="00022524" w:rsidRDefault="00336E04" w:rsidP="00336E04">
      <w:pPr>
        <w:pStyle w:val="Body"/>
        <w:spacing w:before="240"/>
      </w:pPr>
      <w:r w:rsidRPr="00022524">
        <w:t xml:space="preserve">The study covers all ERDF </w:t>
      </w:r>
      <w:r w:rsidR="0042674C" w:rsidRPr="00022524">
        <w:t>and</w:t>
      </w:r>
      <w:r w:rsidRPr="00022524">
        <w:t xml:space="preserve"> CF </w:t>
      </w:r>
      <w:r w:rsidR="00746762" w:rsidRPr="00022524">
        <w:t>programmes</w:t>
      </w:r>
      <w:r w:rsidR="0042674C" w:rsidRPr="00022524">
        <w:t>,</w:t>
      </w:r>
      <w:r w:rsidRPr="00022524">
        <w:t xml:space="preserve"> </w:t>
      </w:r>
      <w:r w:rsidR="006F3034" w:rsidRPr="00022524">
        <w:t>including multi-fun</w:t>
      </w:r>
      <w:r w:rsidR="00CE108A" w:rsidRPr="00022524">
        <w:t xml:space="preserve">d programmes </w:t>
      </w:r>
      <w:r w:rsidR="00746762" w:rsidRPr="00022524">
        <w:t xml:space="preserve">with </w:t>
      </w:r>
      <w:r w:rsidR="00CE108A" w:rsidRPr="00022524">
        <w:t xml:space="preserve">the ESF, </w:t>
      </w:r>
      <w:r w:rsidR="00746762" w:rsidRPr="00022524">
        <w:t xml:space="preserve">component, </w:t>
      </w:r>
      <w:r w:rsidR="003B5FD1" w:rsidRPr="00022524">
        <w:t>that have a performance framework.</w:t>
      </w:r>
      <w:r w:rsidR="00EA73DF" w:rsidRPr="00022524">
        <w:t xml:space="preserve"> </w:t>
      </w:r>
      <w:r w:rsidR="00223C55" w:rsidRPr="00022524">
        <w:t>The nine programmes (out of the set of 291 programmes) not having identified PF indicators are either technical assistance (TA) programmes or a SME initiative and are not required to identify a PF (see Regulation (EU) No 1303/2013, (23), 323). One ETC programme, the INTERREG V-A Italy-Croatia programme, is not covered, as it has not been submitted to the EC by summer 2015.</w:t>
      </w:r>
    </w:p>
    <w:p w14:paraId="42C10346" w14:textId="0E8EB434" w:rsidR="00336E04" w:rsidRPr="00022524" w:rsidRDefault="003B5FD1" w:rsidP="00336E04">
      <w:pPr>
        <w:pStyle w:val="Body"/>
        <w:spacing w:before="240"/>
      </w:pPr>
      <w:r w:rsidRPr="00022524">
        <w:t>The</w:t>
      </w:r>
      <w:r w:rsidR="00223C55" w:rsidRPr="00022524">
        <w:t xml:space="preserve"> programmes covered</w:t>
      </w:r>
      <w:r w:rsidRPr="00022524">
        <w:t xml:space="preserve"> </w:t>
      </w:r>
      <w:r w:rsidR="00336E04" w:rsidRPr="00022524">
        <w:t xml:space="preserve">were reviewed by the core team and the study’s team of national experts (covering the EU-28). </w:t>
      </w:r>
      <w:r w:rsidR="0042674C" w:rsidRPr="00022524">
        <w:t>However, n</w:t>
      </w:r>
      <w:r w:rsidR="00336E04" w:rsidRPr="00022524">
        <w:t xml:space="preserve">ot all of the analysed programmes </w:t>
      </w:r>
      <w:r w:rsidRPr="00022524">
        <w:t xml:space="preserve">had </w:t>
      </w:r>
      <w:r w:rsidR="00336E04" w:rsidRPr="00022524">
        <w:t xml:space="preserve">been approved by the European Commission (EC) </w:t>
      </w:r>
      <w:r w:rsidRPr="00022524">
        <w:t>at the time of analysis</w:t>
      </w:r>
      <w:r w:rsidR="001120DA">
        <w:t>, which means that some of the data may have changed subsequently</w:t>
      </w:r>
      <w:r w:rsidR="00336E04" w:rsidRPr="00022524">
        <w:t>. In total, all of the programmes analysed in the study cov</w:t>
      </w:r>
      <w:r w:rsidR="0042674C" w:rsidRPr="00022524">
        <w:t>er both</w:t>
      </w:r>
      <w:r w:rsidR="00336E04" w:rsidRPr="00022524">
        <w:t xml:space="preserve"> approved and non-approved </w:t>
      </w:r>
      <w:r w:rsidR="0042674C" w:rsidRPr="00022524">
        <w:t>programmes. Within this report:</w:t>
      </w:r>
      <w:r w:rsidR="00336E04" w:rsidRPr="00022524">
        <w:t xml:space="preserve"> </w:t>
      </w:r>
    </w:p>
    <w:p w14:paraId="01A768A7" w14:textId="77777777" w:rsidR="00336E04" w:rsidRPr="00022524" w:rsidRDefault="00336E04" w:rsidP="00336E04">
      <w:pPr>
        <w:pStyle w:val="BulletPoint1"/>
      </w:pPr>
      <w:r w:rsidRPr="00022524">
        <w:t>The analysis of the PF covers 291 programmes financed by the ERDF and the CF, including multi-fund programmes, in total</w:t>
      </w:r>
      <w:r w:rsidR="006F3034" w:rsidRPr="00022524">
        <w:t>. O</w:t>
      </w:r>
      <w:r w:rsidRPr="00022524">
        <w:t xml:space="preserve">f these, 282 programmes have defined PF indicators as required by Regulation (EU) No 1303/2013. </w:t>
      </w:r>
    </w:p>
    <w:p w14:paraId="0E668871" w14:textId="77777777" w:rsidR="00336E04" w:rsidRPr="00022524" w:rsidRDefault="00336E04" w:rsidP="00336E04">
      <w:pPr>
        <w:pStyle w:val="BulletPoint1"/>
      </w:pPr>
      <w:r w:rsidRPr="00022524">
        <w:t xml:space="preserve">207 programmes are under the IGJ objective, and </w:t>
      </w:r>
    </w:p>
    <w:p w14:paraId="0E8D0C41" w14:textId="77777777" w:rsidR="00336E04" w:rsidRPr="00022524" w:rsidRDefault="00336E04" w:rsidP="00336E04">
      <w:pPr>
        <w:pStyle w:val="BulletPoint1"/>
      </w:pPr>
      <w:r w:rsidRPr="00022524">
        <w:lastRenderedPageBreak/>
        <w:t xml:space="preserve">75 programmes are under the ETC objective. </w:t>
      </w:r>
    </w:p>
    <w:p w14:paraId="541BD73E" w14:textId="77777777" w:rsidR="00336E04" w:rsidRPr="00022524" w:rsidRDefault="00336E04" w:rsidP="00336E04">
      <w:pPr>
        <w:pStyle w:val="BulletPoint1"/>
      </w:pPr>
      <w:r w:rsidRPr="00022524">
        <w:t>From the 207 IGJ programmes that have defined PF indicators, the majority are regional programmes (67%), while 20% are national programmes and 13% are multiregional programmes</w:t>
      </w:r>
      <w:r w:rsidRPr="00022524">
        <w:rPr>
          <w:rStyle w:val="FootnoteReference"/>
        </w:rPr>
        <w:footnoteReference w:id="2"/>
      </w:r>
      <w:r w:rsidRPr="00022524">
        <w:t xml:space="preserve">. </w:t>
      </w:r>
    </w:p>
    <w:p w14:paraId="4B1D3B81" w14:textId="77777777" w:rsidR="00336E04" w:rsidRPr="00022524" w:rsidRDefault="00336E04" w:rsidP="003B5FD1">
      <w:pPr>
        <w:pStyle w:val="BulletPoint1"/>
      </w:pPr>
      <w:r w:rsidRPr="00022524">
        <w:t xml:space="preserve">From the 75 ETC programmes, the majority of 75% are INTERREG V-A programmes, i.e. </w:t>
      </w:r>
      <w:proofErr w:type="spellStart"/>
      <w:r w:rsidRPr="00022524">
        <w:t>cross-border</w:t>
      </w:r>
      <w:proofErr w:type="spellEnd"/>
      <w:r w:rsidRPr="00022524">
        <w:t xml:space="preserve"> cooperation programmes, 20% are INTERREG V-B programmes, i.e. transnational ones, and 5% are INTERREG V-C programmes, i.e. interregional programmes. </w:t>
      </w:r>
    </w:p>
    <w:p w14:paraId="79D964D8" w14:textId="77777777" w:rsidR="00523471" w:rsidRDefault="00336E04" w:rsidP="00336E04">
      <w:pPr>
        <w:pStyle w:val="BulletPoint1"/>
      </w:pPr>
      <w:r w:rsidRPr="00022524">
        <w:t>This report includes a set of 46 programmes (13 under the IGJ objective, 33 under the ETC objective), which</w:t>
      </w:r>
      <w:r w:rsidR="006F3034" w:rsidRPr="00022524">
        <w:t xml:space="preserve"> ha</w:t>
      </w:r>
      <w:r w:rsidR="003B5FD1" w:rsidRPr="00022524">
        <w:t>d</w:t>
      </w:r>
      <w:r w:rsidR="006F3034" w:rsidRPr="00022524">
        <w:t xml:space="preserve"> been submitted but </w:t>
      </w:r>
      <w:r w:rsidRPr="00022524">
        <w:t>not yet approved by the EC</w:t>
      </w:r>
      <w:r w:rsidR="003B5FD1" w:rsidRPr="00022524">
        <w:t xml:space="preserve"> at the time of the analysis</w:t>
      </w:r>
      <w:r w:rsidRPr="00022524">
        <w:t xml:space="preserve">. </w:t>
      </w:r>
    </w:p>
    <w:p w14:paraId="47CD800B" w14:textId="77777777" w:rsidR="00523471" w:rsidRDefault="00523471" w:rsidP="0012604D">
      <w:pPr>
        <w:pStyle w:val="BulletPoint1"/>
        <w:numPr>
          <w:ilvl w:val="0"/>
          <w:numId w:val="0"/>
        </w:numPr>
        <w:ind w:left="717"/>
      </w:pPr>
    </w:p>
    <w:p w14:paraId="3B809B15" w14:textId="0CAC2322" w:rsidR="00336E04" w:rsidRPr="00022524" w:rsidRDefault="00523471" w:rsidP="0012604D">
      <w:pPr>
        <w:pStyle w:val="BulletPoint1"/>
        <w:numPr>
          <w:ilvl w:val="0"/>
          <w:numId w:val="0"/>
        </w:numPr>
        <w:ind w:left="357"/>
      </w:pPr>
      <w:r>
        <w:t xml:space="preserve">The report is furthermore based on the analysis of the information recorded by bodies preparing programmes on the methodologies and criteria applied to select indicators where available at the time of analysis (not the case for all programmes). </w:t>
      </w:r>
    </w:p>
    <w:p w14:paraId="4FEC8CB5" w14:textId="77777777" w:rsidR="00B74C92" w:rsidRDefault="00B74C92" w:rsidP="00EF0A14">
      <w:pPr>
        <w:pStyle w:val="Figure"/>
        <w:sectPr w:rsidR="00B74C92" w:rsidSect="008E6313">
          <w:footerReference w:type="first" r:id="rId30"/>
          <w:pgSz w:w="11907" w:h="16839" w:code="9"/>
          <w:pgMar w:top="851" w:right="1418" w:bottom="851" w:left="1418" w:header="567" w:footer="567" w:gutter="0"/>
          <w:pgNumType w:start="1"/>
          <w:cols w:space="720"/>
          <w:titlePg/>
          <w:docGrid w:linePitch="326"/>
        </w:sectPr>
      </w:pPr>
      <w:bookmarkStart w:id="17" w:name="_Toc438196428"/>
    </w:p>
    <w:bookmarkEnd w:id="17"/>
    <w:p w14:paraId="51891808" w14:textId="41872235" w:rsidR="00B74C92" w:rsidRDefault="00652EFF" w:rsidP="00336E04">
      <w:pPr>
        <w:pStyle w:val="Body"/>
      </w:pPr>
      <w:r w:rsidRPr="00022524">
        <w:rPr>
          <w:noProof/>
          <w:lang w:eastAsia="en-GB"/>
        </w:rPr>
        <w:lastRenderedPageBreak/>
        <w:drawing>
          <wp:anchor distT="0" distB="0" distL="114300" distR="114300" simplePos="0" relativeHeight="251660290" behindDoc="0" locked="0" layoutInCell="1" allowOverlap="1" wp14:anchorId="2462469F" wp14:editId="693BF7EF">
            <wp:simplePos x="0" y="0"/>
            <wp:positionH relativeFrom="column">
              <wp:posOffset>-1236663</wp:posOffset>
            </wp:positionH>
            <wp:positionV relativeFrom="margin">
              <wp:posOffset>3205163</wp:posOffset>
            </wp:positionV>
            <wp:extent cx="6569075" cy="3783330"/>
            <wp:effectExtent l="0" t="4127" r="5397" b="5398"/>
            <wp:wrapTopAndBottom/>
            <wp:docPr id="22"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6569075" cy="3783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F6B" w:rsidRPr="00022524">
        <w:t xml:space="preserve">The study is based on varied sources of data including desk research, the review of all PAs, </w:t>
      </w:r>
      <w:r w:rsidR="00C2042A" w:rsidRPr="00022524">
        <w:t>programmes</w:t>
      </w:r>
      <w:r w:rsidR="006F3034" w:rsidRPr="00022524">
        <w:rPr>
          <w:rStyle w:val="FootnoteReference"/>
        </w:rPr>
        <w:footnoteReference w:id="3"/>
      </w:r>
      <w:r w:rsidR="00B65F6B" w:rsidRPr="00022524">
        <w:t>, ex-ante evaluations –</w:t>
      </w:r>
      <w:r w:rsidR="00E46720" w:rsidRPr="00022524">
        <w:t xml:space="preserve"> </w:t>
      </w:r>
      <w:r w:rsidR="00B65F6B" w:rsidRPr="00022524">
        <w:t>as well as additional information as recorded by the bodies preparing the programmes on methodologies of the PF</w:t>
      </w:r>
      <w:r w:rsidR="00E46720" w:rsidRPr="00022524">
        <w:t xml:space="preserve"> </w:t>
      </w:r>
      <w:r w:rsidR="00B65F6B" w:rsidRPr="00022524">
        <w:t xml:space="preserve">- and 60 interviews with representatives from programmes on the national level and </w:t>
      </w:r>
      <w:r w:rsidR="00B26DF8" w:rsidRPr="00022524">
        <w:t xml:space="preserve">Commission </w:t>
      </w:r>
      <w:r w:rsidR="00B65F6B" w:rsidRPr="00022524">
        <w:t xml:space="preserve">representatives. </w:t>
      </w:r>
      <w:r w:rsidR="00336E04" w:rsidRPr="00022524">
        <w:t>Furthermore, the</w:t>
      </w:r>
      <w:r w:rsidR="00B65F6B" w:rsidRPr="00022524">
        <w:t xml:space="preserve">se results were grounded </w:t>
      </w:r>
      <w:r w:rsidR="00336E04" w:rsidRPr="00022524">
        <w:t>on</w:t>
      </w:r>
      <w:r w:rsidR="00B65F6B" w:rsidRPr="00022524">
        <w:t xml:space="preserve"> findings from</w:t>
      </w:r>
      <w:r w:rsidR="00336E04" w:rsidRPr="00022524">
        <w:t xml:space="preserve"> a focus group with the EC and a web-survey</w:t>
      </w:r>
      <w:r w:rsidR="00B65F6B" w:rsidRPr="00022524">
        <w:t>. The web</w:t>
      </w:r>
      <w:r w:rsidR="00044F76" w:rsidRPr="00022524">
        <w:t>-</w:t>
      </w:r>
      <w:r w:rsidR="00B65F6B" w:rsidRPr="00022524">
        <w:t>survey</w:t>
      </w:r>
      <w:r w:rsidR="00336E04" w:rsidRPr="00022524">
        <w:t xml:space="preserve"> analysis </w:t>
      </w:r>
      <w:r w:rsidR="0056298A" w:rsidRPr="00022524">
        <w:t>brought</w:t>
      </w:r>
      <w:r w:rsidR="00336E04" w:rsidRPr="00022524">
        <w:t xml:space="preserve"> 161 r</w:t>
      </w:r>
      <w:r w:rsidR="00C56C1C" w:rsidRPr="00022524">
        <w:t>espondents</w:t>
      </w:r>
      <w:r w:rsidR="00336E04" w:rsidRPr="00022524">
        <w:t xml:space="preserve"> covering 138 adopted and not yet adopted programmes of which 32 ETC programmes. </w:t>
      </w:r>
      <w:r w:rsidR="00B65F6B" w:rsidRPr="00022524">
        <w:t>With regard to ETC programmes</w:t>
      </w:r>
      <w:r w:rsidR="00B65F6B" w:rsidRPr="00022524" w:rsidDel="00B65F6B">
        <w:t xml:space="preserve"> </w:t>
      </w:r>
      <w:r w:rsidR="00336E04" w:rsidRPr="00022524">
        <w:t>only cross border and transnational cooperation programmes are covered by the web-survey.</w:t>
      </w:r>
      <w:r w:rsidR="00B74C92" w:rsidRPr="00B74C92">
        <w:t xml:space="preserve"> </w:t>
      </w:r>
    </w:p>
    <w:p w14:paraId="72D1F904" w14:textId="136BC220" w:rsidR="00336E04" w:rsidRDefault="00B74C92" w:rsidP="00336E04">
      <w:pPr>
        <w:pStyle w:val="Body"/>
      </w:pPr>
      <w:proofErr w:type="gramStart"/>
      <w:r w:rsidRPr="00B74C92">
        <w:t>Figure 1.</w:t>
      </w:r>
      <w:proofErr w:type="gramEnd"/>
      <w:r w:rsidRPr="00B74C92">
        <w:tab/>
        <w:t>Programmes covered by the study</w:t>
      </w:r>
    </w:p>
    <w:p w14:paraId="61210B1A" w14:textId="4F74381A" w:rsidR="00B74C92" w:rsidRPr="00022524" w:rsidRDefault="00B74C92" w:rsidP="00336E04">
      <w:pPr>
        <w:pStyle w:val="Body"/>
      </w:pPr>
      <w:r w:rsidRPr="00022524">
        <w:rPr>
          <w:sz w:val="16"/>
        </w:rPr>
        <w:t>Source: Project consortium, 2015</w:t>
      </w:r>
    </w:p>
    <w:p w14:paraId="7C4B08BC" w14:textId="77777777" w:rsidR="00336E04" w:rsidRPr="00022524" w:rsidRDefault="00336E04" w:rsidP="00A0452B">
      <w:pPr>
        <w:pStyle w:val="Heading2"/>
      </w:pPr>
      <w:bookmarkStart w:id="18" w:name="_Toc433973088"/>
      <w:bookmarkStart w:id="19" w:name="_Toc433973189"/>
      <w:bookmarkStart w:id="20" w:name="_Toc448144103"/>
      <w:r w:rsidRPr="00022524">
        <w:lastRenderedPageBreak/>
        <w:t>The context of this study – the performance framework &amp; the performance reserve</w:t>
      </w:r>
      <w:bookmarkEnd w:id="18"/>
      <w:bookmarkEnd w:id="19"/>
      <w:bookmarkEnd w:id="20"/>
    </w:p>
    <w:p w14:paraId="659AFEEB" w14:textId="213ADDBA" w:rsidR="00B65F6B" w:rsidRPr="00022524" w:rsidRDefault="00B65F6B" w:rsidP="00B65F6B">
      <w:pPr>
        <w:pStyle w:val="Body"/>
      </w:pPr>
      <w:r w:rsidRPr="00022524">
        <w:t xml:space="preserve">The performance framework has been included as a compulsory element in all </w:t>
      </w:r>
      <w:r w:rsidR="0099703C" w:rsidRPr="00022524">
        <w:t>programmes</w:t>
      </w:r>
      <w:r w:rsidRPr="00022524">
        <w:t xml:space="preserve"> </w:t>
      </w:r>
      <w:r w:rsidR="0074159E" w:rsidRPr="00022524">
        <w:t>for</w:t>
      </w:r>
      <w:r w:rsidRPr="00022524">
        <w:t xml:space="preserve"> the 2014-2020 programming period of the ESI Funds</w:t>
      </w:r>
      <w:r w:rsidR="009779A5" w:rsidRPr="00022524">
        <w:t xml:space="preserve"> (with the exception of programmes</w:t>
      </w:r>
      <w:r w:rsidR="0056298A" w:rsidRPr="00022524">
        <w:t xml:space="preserve"> priorities dedicated to </w:t>
      </w:r>
      <w:r w:rsidR="003A0824">
        <w:t>t</w:t>
      </w:r>
      <w:r w:rsidR="009779A5" w:rsidRPr="00022524">
        <w:t>echnical assistance and</w:t>
      </w:r>
      <w:r w:rsidR="0056298A" w:rsidRPr="00022524">
        <w:t xml:space="preserve"> programmes for</w:t>
      </w:r>
      <w:r w:rsidR="009779A5" w:rsidRPr="00022524">
        <w:t xml:space="preserve"> the SME initiative)</w:t>
      </w:r>
      <w:r w:rsidRPr="00022524">
        <w:t xml:space="preserve"> in order to </w:t>
      </w:r>
      <w:r w:rsidR="00655E9C" w:rsidRPr="00022524">
        <w:t>support</w:t>
      </w:r>
      <w:r w:rsidRPr="00022524">
        <w:t xml:space="preserve"> the requirements of result orientation by setting up specific objectives and related indicators. </w:t>
      </w:r>
      <w:r w:rsidR="008657DD" w:rsidRPr="00022524">
        <w:t>T</w:t>
      </w:r>
      <w:r w:rsidRPr="00022524">
        <w:t>he performance framework is intended to ensure that priorities are implemented as planned and the programme is kept on track to achieve its objectives.</w:t>
      </w:r>
      <w:r w:rsidR="008657DD" w:rsidRPr="00022524">
        <w:t xml:space="preserve"> Additionally, the performance framework aims to ensure a monitoring </w:t>
      </w:r>
      <w:r w:rsidR="0074159E" w:rsidRPr="00022524">
        <w:t xml:space="preserve">of </w:t>
      </w:r>
      <w:r w:rsidR="008657DD" w:rsidRPr="00022524">
        <w:t>progress towards achievements of objectives and targets as well as to promote good performance</w:t>
      </w:r>
      <w:r w:rsidR="008657DD" w:rsidRPr="00022524">
        <w:rPr>
          <w:rStyle w:val="FootnoteReference"/>
          <w:sz w:val="20"/>
        </w:rPr>
        <w:footnoteReference w:id="4"/>
      </w:r>
      <w:r w:rsidR="008657DD" w:rsidRPr="00022524">
        <w:t>.</w:t>
      </w:r>
    </w:p>
    <w:p w14:paraId="0632697F" w14:textId="0306BCCC" w:rsidR="00336E04" w:rsidRPr="00022524" w:rsidRDefault="0020029B" w:rsidP="00336E04">
      <w:pPr>
        <w:pStyle w:val="Body"/>
      </w:pPr>
      <w:r>
        <w:t>T</w:t>
      </w:r>
      <w:r w:rsidR="008657DD" w:rsidRPr="00022524">
        <w:t>he</w:t>
      </w:r>
      <w:r w:rsidR="00336E04" w:rsidRPr="00022524">
        <w:t xml:space="preserve"> performance framework consists of milestones to be attained by the end of 2018 and targets set for the end of 2023</w:t>
      </w:r>
      <w:r w:rsidR="000F0E0F">
        <w:t>, which have to consist of financial and output indicators</w:t>
      </w:r>
      <w:r w:rsidR="00B04112">
        <w:t xml:space="preserve"> In addition, key implementation steps – </w:t>
      </w:r>
      <w:r w:rsidR="00B04112" w:rsidRPr="00022524">
        <w:t>which</w:t>
      </w:r>
      <w:r w:rsidR="00B04112">
        <w:t xml:space="preserve"> </w:t>
      </w:r>
      <w:r w:rsidR="00B04112" w:rsidRPr="00022524">
        <w:t>refer to an important stage in the implementation process of operations under a particular priority</w:t>
      </w:r>
      <w:r w:rsidR="00B04112">
        <w:t xml:space="preserve"> – may also be used for milestones. </w:t>
      </w:r>
      <w:r w:rsidR="00336E04" w:rsidRPr="00022524">
        <w:t>Since</w:t>
      </w:r>
      <w:r w:rsidR="00C224A6">
        <w:t xml:space="preserve"> in the case of ERDF and the Cohesion </w:t>
      </w:r>
      <w:r w:rsidR="0089701E">
        <w:t>Fund,</w:t>
      </w:r>
      <w:r w:rsidR="0089701E" w:rsidRPr="00022524">
        <w:t xml:space="preserve"> output</w:t>
      </w:r>
      <w:r w:rsidR="00336E04" w:rsidRPr="00022524">
        <w:t xml:space="preserve"> indicators refer to </w:t>
      </w:r>
      <w:r>
        <w:t xml:space="preserve">the expected deliverables of the </w:t>
      </w:r>
      <w:r w:rsidR="00336E04" w:rsidRPr="00022524">
        <w:t xml:space="preserve">fully implemented operations, the milestone value for some types of interventions may be </w:t>
      </w:r>
      <w:r w:rsidR="00B6348E">
        <w:t xml:space="preserve">zero. In such cases a relevant key implementation step should be added in order to better reflect the progress made in the implementation. </w:t>
      </w:r>
      <w:r w:rsidR="00336E04" w:rsidRPr="00022524">
        <w:t xml:space="preserve">. The performance framework may also include </w:t>
      </w:r>
      <w:r w:rsidR="009779A5" w:rsidRPr="00022524">
        <w:t xml:space="preserve">– where appropriate – </w:t>
      </w:r>
      <w:r w:rsidR="00336E04" w:rsidRPr="00022524">
        <w:t xml:space="preserve">result indicators. However, </w:t>
      </w:r>
      <w:r w:rsidR="00DD7386" w:rsidRPr="00022524">
        <w:t xml:space="preserve">the </w:t>
      </w:r>
      <w:r w:rsidR="00336E04" w:rsidRPr="00022524">
        <w:t xml:space="preserve">use </w:t>
      </w:r>
      <w:r w:rsidR="00DD7386" w:rsidRPr="00022524">
        <w:t xml:space="preserve">of result indicators </w:t>
      </w:r>
      <w:r w:rsidR="00336E04" w:rsidRPr="00022524">
        <w:t>is not recommended for the ERDF, the CF, the European Agricultural Fund for Rural Development (EAFRD) and the European Maritime and Fisheries Fund (EMFF) because of the timing of the expected attainment of the results</w:t>
      </w:r>
      <w:r w:rsidR="008657DD" w:rsidRPr="00022524">
        <w:t>,</w:t>
      </w:r>
      <w:r w:rsidR="00336E04" w:rsidRPr="00022524">
        <w:t xml:space="preserve"> and the </w:t>
      </w:r>
      <w:r w:rsidR="008657DD" w:rsidRPr="00022524">
        <w:t xml:space="preserve">necessity </w:t>
      </w:r>
      <w:r w:rsidR="00336E04" w:rsidRPr="00022524">
        <w:t xml:space="preserve">of evaluation to disentangle </w:t>
      </w:r>
      <w:r w:rsidR="008657DD" w:rsidRPr="00022524">
        <w:t xml:space="preserve">the </w:t>
      </w:r>
      <w:r w:rsidR="00336E04" w:rsidRPr="00022524">
        <w:t>policy effects from external effects</w:t>
      </w:r>
      <w:r w:rsidR="008657DD" w:rsidRPr="00022524">
        <w:t xml:space="preserve"> – thereby allowing the assessment of impacts</w:t>
      </w:r>
      <w:r w:rsidR="00CE108A" w:rsidRPr="00022524">
        <w:rPr>
          <w:rStyle w:val="FootnoteReference"/>
        </w:rPr>
        <w:footnoteReference w:id="5"/>
      </w:r>
      <w:r w:rsidR="00CE108A" w:rsidRPr="00022524">
        <w:t>.</w:t>
      </w:r>
    </w:p>
    <w:p w14:paraId="5705E4BC" w14:textId="49400543" w:rsidR="00336E04" w:rsidRPr="00022524" w:rsidRDefault="00336E04" w:rsidP="00336E04">
      <w:pPr>
        <w:pStyle w:val="Body"/>
      </w:pPr>
      <w:r w:rsidRPr="0020029B">
        <w:t xml:space="preserve">As highlighted above, </w:t>
      </w:r>
      <w:r w:rsidR="008657DD" w:rsidRPr="006E030B">
        <w:t xml:space="preserve">the performance </w:t>
      </w:r>
      <w:r w:rsidR="00752639" w:rsidRPr="006E030B">
        <w:t>framework is</w:t>
      </w:r>
      <w:r w:rsidR="00E11ABA" w:rsidRPr="006E030B">
        <w:t xml:space="preserve"> in most cases based on the </w:t>
      </w:r>
      <w:r w:rsidR="00E11ABA" w:rsidRPr="000D0E0C">
        <w:t>deliverables</w:t>
      </w:r>
      <w:r w:rsidR="00752639" w:rsidRPr="000D0E0C">
        <w:t xml:space="preserve"> </w:t>
      </w:r>
      <w:r w:rsidR="006E030B">
        <w:t xml:space="preserve">which are under the control of the managing authorities, i.e. the financial progress and the output indicators related directly to the investments supported under the programmes. </w:t>
      </w:r>
      <w:r w:rsidR="00E11ABA" w:rsidRPr="006E030B">
        <w:t xml:space="preserve"> The underlying assumption is that if the intervention logic applied in the programme is correct, then achievement of outputs should lead to the</w:t>
      </w:r>
      <w:r w:rsidR="00E11ABA" w:rsidRPr="00022524">
        <w:t xml:space="preserve"> achievement of intended results. </w:t>
      </w:r>
      <w:r w:rsidRPr="00022524">
        <w:t xml:space="preserve">At the stage of programming, the key challenge for MS and regions is therefore to identify milestones and targets which are both realistic and sufficiently ambitious </w:t>
      </w:r>
      <w:r w:rsidR="008659E8" w:rsidRPr="00022524">
        <w:t xml:space="preserve">thereby </w:t>
      </w:r>
      <w:r w:rsidRPr="00022524">
        <w:t xml:space="preserve">enabling reporting on performance through reliable information </w:t>
      </w:r>
      <w:r w:rsidR="008659E8" w:rsidRPr="00022524">
        <w:t xml:space="preserve">that captures </w:t>
      </w:r>
      <w:r w:rsidRPr="00022524">
        <w:t>progress.</w:t>
      </w:r>
    </w:p>
    <w:p w14:paraId="1824D199" w14:textId="77777777" w:rsidR="00336E04" w:rsidRPr="00022524" w:rsidRDefault="00336E04" w:rsidP="00336E04">
      <w:pPr>
        <w:pStyle w:val="Body"/>
      </w:pPr>
      <w:r w:rsidRPr="00022524">
        <w:t>The achievement of milestones will be assessed in 2019 (“performance review”) on the basis of information provided in the Annual Implementation Report (AIR). All priorities, which have attained their milestones, will have their performance reserve definitively allocated. No performance reserve is available for programmes under the ETC goal</w:t>
      </w:r>
      <w:r w:rsidR="0056298A" w:rsidRPr="00022524">
        <w:t xml:space="preserve"> and for programme priority axes under the YEI</w:t>
      </w:r>
      <w:r w:rsidRPr="00022524">
        <w:t xml:space="preserve">, although these programmes also </w:t>
      </w:r>
      <w:r w:rsidR="009779A5" w:rsidRPr="00022524">
        <w:t xml:space="preserve">include </w:t>
      </w:r>
      <w:r w:rsidRPr="00022524">
        <w:t xml:space="preserve">a performance framework. This </w:t>
      </w:r>
      <w:r w:rsidR="007763B3" w:rsidRPr="00022524">
        <w:t xml:space="preserve">performance review </w:t>
      </w:r>
      <w:r w:rsidRPr="00022524">
        <w:t>may also lead to the amendment of programmes, because the reserve related to priorities which have not achieved their milestones by the end of 2018</w:t>
      </w:r>
      <w:r w:rsidR="008659E8" w:rsidRPr="00022524">
        <w:t xml:space="preserve"> </w:t>
      </w:r>
      <w:r w:rsidRPr="00022524">
        <w:t xml:space="preserve">will have to be re-attributed to priorities which did achieve their milestones. In case of serious failure to achieve milestones, interim payments for the priority concerned may be suspended. The achievements of targets will be assessed in 2024 for the EAFRD and the EMFF and in 2025 for the ERDF, the CF and the </w:t>
      </w:r>
      <w:r w:rsidR="00CE108A" w:rsidRPr="00022524">
        <w:t>ESF,</w:t>
      </w:r>
      <w:r w:rsidRPr="00022524">
        <w:t xml:space="preserve"> and </w:t>
      </w:r>
      <w:r w:rsidR="008064C2" w:rsidRPr="00022524">
        <w:t>serious failures m</w:t>
      </w:r>
      <w:r w:rsidRPr="00022524">
        <w:t xml:space="preserve">ay </w:t>
      </w:r>
      <w:r w:rsidR="00E11ABA" w:rsidRPr="00022524">
        <w:t xml:space="preserve">result in </w:t>
      </w:r>
      <w:r w:rsidR="008064C2" w:rsidRPr="00022524">
        <w:t xml:space="preserve">net </w:t>
      </w:r>
      <w:r w:rsidRPr="00022524">
        <w:t>financial corrections.</w:t>
      </w:r>
    </w:p>
    <w:p w14:paraId="57899121" w14:textId="77777777" w:rsidR="00B5653B" w:rsidRPr="00022524" w:rsidRDefault="00241F35" w:rsidP="00E65E27">
      <w:pPr>
        <w:pStyle w:val="Headingone"/>
        <w:spacing w:after="240"/>
        <w:ind w:left="482" w:hanging="482"/>
      </w:pPr>
      <w:bookmarkStart w:id="21" w:name="_Ref433010679"/>
      <w:bookmarkStart w:id="22" w:name="_Toc433017927"/>
      <w:bookmarkStart w:id="23" w:name="_Toc433973089"/>
      <w:bookmarkStart w:id="24" w:name="_Toc448144104"/>
      <w:r w:rsidRPr="00022524">
        <w:lastRenderedPageBreak/>
        <w:t>Processes</w:t>
      </w:r>
      <w:r w:rsidR="00C62D64" w:rsidRPr="00022524">
        <w:t xml:space="preserve"> for </w:t>
      </w:r>
      <w:r w:rsidR="00BC6840" w:rsidRPr="00022524">
        <w:t xml:space="preserve">the </w:t>
      </w:r>
      <w:r w:rsidR="00C62D64" w:rsidRPr="00022524">
        <w:t>establishment of performance framework</w:t>
      </w:r>
      <w:bookmarkEnd w:id="21"/>
      <w:bookmarkEnd w:id="22"/>
      <w:bookmarkEnd w:id="23"/>
      <w:r w:rsidR="00C62D64" w:rsidRPr="00022524">
        <w:t>s</w:t>
      </w:r>
      <w:bookmarkEnd w:id="24"/>
    </w:p>
    <w:p w14:paraId="539181D1" w14:textId="77777777" w:rsidR="00621BE9" w:rsidRPr="00022524" w:rsidRDefault="00EC1FF2" w:rsidP="00ED74BD">
      <w:pPr>
        <w:pStyle w:val="Body"/>
      </w:pPr>
      <w:r w:rsidRPr="00022524">
        <w:t>This</w:t>
      </w:r>
      <w:r w:rsidR="00ED74BD" w:rsidRPr="00022524">
        <w:t xml:space="preserve"> chapter </w:t>
      </w:r>
      <w:r w:rsidR="005C47B9" w:rsidRPr="00022524">
        <w:t xml:space="preserve">provides an overview and assessment of how performance frameworks have been designed </w:t>
      </w:r>
      <w:r w:rsidR="00692EB7" w:rsidRPr="00022524">
        <w:t xml:space="preserve">and applied </w:t>
      </w:r>
      <w:r w:rsidR="005C47B9" w:rsidRPr="00022524">
        <w:t xml:space="preserve">during the programming phase. </w:t>
      </w:r>
      <w:r w:rsidRPr="00022524">
        <w:t>It</w:t>
      </w:r>
      <w:r w:rsidR="00621BE9" w:rsidRPr="00022524">
        <w:t xml:space="preserve"> focuses on the following aspects:</w:t>
      </w:r>
    </w:p>
    <w:p w14:paraId="102E1F2C" w14:textId="77777777" w:rsidR="00621BE9" w:rsidRPr="00022524" w:rsidRDefault="00ED74BD" w:rsidP="00621BE9">
      <w:pPr>
        <w:pStyle w:val="BulletPoint1"/>
      </w:pPr>
      <w:r w:rsidRPr="00022524">
        <w:t>First</w:t>
      </w:r>
      <w:r w:rsidR="008659E8" w:rsidRPr="00022524">
        <w:t>,</w:t>
      </w:r>
      <w:r w:rsidRPr="00022524">
        <w:t xml:space="preserve"> looking at the main actors responsible for designing and setting up the performance framework</w:t>
      </w:r>
      <w:r w:rsidR="00621BE9" w:rsidRPr="00022524">
        <w:t xml:space="preserve"> (chapter </w:t>
      </w:r>
      <w:r w:rsidR="00845832" w:rsidRPr="00022524">
        <w:fldChar w:fldCharType="begin"/>
      </w:r>
      <w:r w:rsidR="00621BE9" w:rsidRPr="00022524">
        <w:instrText xml:space="preserve"> REF _Ref433023451 \r \h </w:instrText>
      </w:r>
      <w:r w:rsidR="00845832" w:rsidRPr="00022524">
        <w:fldChar w:fldCharType="separate"/>
      </w:r>
      <w:r w:rsidR="008364C8">
        <w:t>2.1</w:t>
      </w:r>
      <w:r w:rsidR="00845832" w:rsidRPr="00022524">
        <w:fldChar w:fldCharType="end"/>
      </w:r>
      <w:r w:rsidR="00621BE9" w:rsidRPr="00022524">
        <w:t>)</w:t>
      </w:r>
      <w:r w:rsidRPr="00022524">
        <w:t xml:space="preserve">. </w:t>
      </w:r>
    </w:p>
    <w:p w14:paraId="546E9235" w14:textId="09FED2AA" w:rsidR="00621BE9" w:rsidRPr="00022524" w:rsidRDefault="00ED74BD" w:rsidP="00ED74BD">
      <w:pPr>
        <w:pStyle w:val="BulletPoint1"/>
      </w:pPr>
      <w:r w:rsidRPr="00022524">
        <w:t xml:space="preserve">Followed by an analysis of the role of the dialogue between the </w:t>
      </w:r>
      <w:r w:rsidR="00E11ABA" w:rsidRPr="00022524">
        <w:t>m</w:t>
      </w:r>
      <w:r w:rsidRPr="00022524">
        <w:t xml:space="preserve">anaging </w:t>
      </w:r>
      <w:r w:rsidR="00E11ABA" w:rsidRPr="00022524">
        <w:t>a</w:t>
      </w:r>
      <w:r w:rsidRPr="00022524">
        <w:t>uthorities and the EC, national coordinator, ex-ante evaluator</w:t>
      </w:r>
      <w:r w:rsidR="007801B3" w:rsidRPr="00022524">
        <w:t xml:space="preserve"> and actors in other ESI </w:t>
      </w:r>
      <w:r w:rsidR="00C2042A" w:rsidRPr="00022524">
        <w:t xml:space="preserve">programme </w:t>
      </w:r>
      <w:r w:rsidR="007801B3" w:rsidRPr="00022524">
        <w:t>drafting processes</w:t>
      </w:r>
      <w:r w:rsidR="00621BE9" w:rsidRPr="00022524">
        <w:t xml:space="preserve"> (chapter </w:t>
      </w:r>
      <w:r w:rsidR="00845832" w:rsidRPr="00022524">
        <w:fldChar w:fldCharType="begin"/>
      </w:r>
      <w:r w:rsidR="00621BE9" w:rsidRPr="00022524">
        <w:instrText xml:space="preserve"> REF _Ref433023458 \r \h </w:instrText>
      </w:r>
      <w:r w:rsidR="00845832" w:rsidRPr="00022524">
        <w:fldChar w:fldCharType="separate"/>
      </w:r>
      <w:r w:rsidR="008364C8">
        <w:t>2.2</w:t>
      </w:r>
      <w:r w:rsidR="00845832" w:rsidRPr="00022524">
        <w:fldChar w:fldCharType="end"/>
      </w:r>
      <w:r w:rsidR="00621BE9" w:rsidRPr="00022524">
        <w:t>)</w:t>
      </w:r>
      <w:r w:rsidRPr="00022524">
        <w:t>.</w:t>
      </w:r>
    </w:p>
    <w:p w14:paraId="30EBD013" w14:textId="793F5A8D" w:rsidR="00ED74BD" w:rsidRPr="00022524" w:rsidRDefault="00ED74BD" w:rsidP="00ED74BD">
      <w:pPr>
        <w:pStyle w:val="BulletPoint1"/>
      </w:pPr>
      <w:r w:rsidRPr="00022524">
        <w:t xml:space="preserve">The specific challenges and roles of the guiding documents </w:t>
      </w:r>
      <w:r w:rsidR="007801B3" w:rsidRPr="00022524">
        <w:t xml:space="preserve">with </w:t>
      </w:r>
      <w:r w:rsidRPr="00022524">
        <w:t>regard to complex priorities and specific delivery modes</w:t>
      </w:r>
      <w:r w:rsidR="002867FF" w:rsidRPr="00022524">
        <w:t xml:space="preserve"> (financial instruments</w:t>
      </w:r>
      <w:r w:rsidR="00A94E45">
        <w:t xml:space="preserve">, </w:t>
      </w:r>
      <w:r w:rsidR="002867FF" w:rsidRPr="00022524">
        <w:t>integrated territorial investment</w:t>
      </w:r>
      <w:r w:rsidR="00A94E45">
        <w:t xml:space="preserve"> and community-led local development</w:t>
      </w:r>
      <w:r w:rsidR="002867FF" w:rsidRPr="00022524">
        <w:t>)</w:t>
      </w:r>
      <w:r w:rsidRPr="00022524">
        <w:t xml:space="preserve"> of the </w:t>
      </w:r>
      <w:r w:rsidR="007801B3" w:rsidRPr="00022524">
        <w:t xml:space="preserve">performance </w:t>
      </w:r>
      <w:r w:rsidRPr="00022524">
        <w:t>framework will be elaborated</w:t>
      </w:r>
      <w:r w:rsidR="007801B3" w:rsidRPr="00022524">
        <w:t>. T</w:t>
      </w:r>
      <w:r w:rsidRPr="00022524">
        <w:t>he key elements of the processes set to ensure consistency between programmes and funds are outlined and analysed</w:t>
      </w:r>
      <w:r w:rsidR="00621BE9" w:rsidRPr="00022524">
        <w:t xml:space="preserve"> (chapter</w:t>
      </w:r>
      <w:r w:rsidR="00A86A21" w:rsidRPr="00022524">
        <w:t xml:space="preserve"> </w:t>
      </w:r>
      <w:r w:rsidR="00845832" w:rsidRPr="00022524">
        <w:fldChar w:fldCharType="begin"/>
      </w:r>
      <w:r w:rsidR="00A86A21" w:rsidRPr="00022524">
        <w:instrText xml:space="preserve"> REF _Ref433226703 \r \h </w:instrText>
      </w:r>
      <w:r w:rsidR="00845832" w:rsidRPr="00022524">
        <w:fldChar w:fldCharType="separate"/>
      </w:r>
      <w:r w:rsidR="008364C8">
        <w:t>2.3</w:t>
      </w:r>
      <w:r w:rsidR="00845832" w:rsidRPr="00022524">
        <w:fldChar w:fldCharType="end"/>
      </w:r>
      <w:r w:rsidR="00621BE9" w:rsidRPr="00022524">
        <w:t>)</w:t>
      </w:r>
      <w:r w:rsidRPr="00022524">
        <w:t>.</w:t>
      </w:r>
    </w:p>
    <w:p w14:paraId="619A340E" w14:textId="77777777" w:rsidR="00621BE9" w:rsidRPr="00022524" w:rsidRDefault="00621BE9" w:rsidP="00ED74BD">
      <w:pPr>
        <w:pStyle w:val="BulletPoint1"/>
      </w:pPr>
      <w:r w:rsidRPr="00022524">
        <w:t>Finally</w:t>
      </w:r>
      <w:r w:rsidR="008659E8" w:rsidRPr="00022524">
        <w:t>,</w:t>
      </w:r>
      <w:r w:rsidRPr="00022524">
        <w:t xml:space="preserve"> processes to ensure consistency in the functioning of the performance frameworks </w:t>
      </w:r>
      <w:r w:rsidR="002867FF" w:rsidRPr="00022524">
        <w:t xml:space="preserve">and similarities between MS </w:t>
      </w:r>
      <w:r w:rsidRPr="00022524">
        <w:t xml:space="preserve">are discussed (chapter </w:t>
      </w:r>
      <w:r w:rsidR="00845832" w:rsidRPr="00022524">
        <w:fldChar w:fldCharType="begin"/>
      </w:r>
      <w:r w:rsidRPr="00022524">
        <w:instrText xml:space="preserve"> REF _Ref433023476 \r \h </w:instrText>
      </w:r>
      <w:r w:rsidR="00845832" w:rsidRPr="00022524">
        <w:fldChar w:fldCharType="separate"/>
      </w:r>
      <w:r w:rsidR="008364C8">
        <w:t>2.4</w:t>
      </w:r>
      <w:r w:rsidR="00845832" w:rsidRPr="00022524">
        <w:fldChar w:fldCharType="end"/>
      </w:r>
      <w:r w:rsidRPr="00022524">
        <w:t>)</w:t>
      </w:r>
      <w:r w:rsidR="005C47B9" w:rsidRPr="00022524">
        <w:rPr>
          <w:rStyle w:val="FootnoteReference"/>
        </w:rPr>
        <w:footnoteReference w:id="6"/>
      </w:r>
      <w:r w:rsidRPr="00022524">
        <w:t>.</w:t>
      </w:r>
    </w:p>
    <w:p w14:paraId="73CBDE0A" w14:textId="0FE47C42" w:rsidR="008659E8" w:rsidRPr="00022524" w:rsidRDefault="008659E8" w:rsidP="008659E8">
      <w:pPr>
        <w:pStyle w:val="Body"/>
      </w:pPr>
      <w:r w:rsidRPr="00022524">
        <w:t xml:space="preserve">The findings presented in this chapter are primarily based on the interviews with representatives from the programmes, national level respondents, and web-survey respondents. The assessment is complemented through a review of all PAs, </w:t>
      </w:r>
      <w:r w:rsidR="00C2042A" w:rsidRPr="00022524">
        <w:t>programmes</w:t>
      </w:r>
      <w:r w:rsidRPr="00022524">
        <w:t xml:space="preserve">, </w:t>
      </w:r>
      <w:proofErr w:type="gramStart"/>
      <w:r w:rsidRPr="00022524">
        <w:t>ex</w:t>
      </w:r>
      <w:proofErr w:type="gramEnd"/>
      <w:r w:rsidRPr="00022524">
        <w:t xml:space="preserve">-ante evaluations as well as through additional information from the MS and the EC.  </w:t>
      </w:r>
    </w:p>
    <w:p w14:paraId="6F12277B" w14:textId="77777777" w:rsidR="00ED74BD" w:rsidRPr="00022524" w:rsidRDefault="00ED74BD" w:rsidP="00A0452B">
      <w:pPr>
        <w:pStyle w:val="Heading2"/>
      </w:pPr>
      <w:bookmarkStart w:id="25" w:name="_Toc429671043"/>
      <w:bookmarkStart w:id="26" w:name="_Toc432600844"/>
      <w:bookmarkStart w:id="27" w:name="_Ref433023451"/>
      <w:bookmarkStart w:id="28" w:name="_Ref433027599"/>
      <w:bookmarkStart w:id="29" w:name="_Ref433096824"/>
      <w:bookmarkStart w:id="30" w:name="_Toc433973090"/>
      <w:bookmarkStart w:id="31" w:name="_Toc433973190"/>
      <w:bookmarkStart w:id="32" w:name="_Toc448144105"/>
      <w:r w:rsidRPr="00022524">
        <w:t>Main actors and documents influencing the performance framework by Member State and type of programmes</w:t>
      </w:r>
      <w:bookmarkEnd w:id="25"/>
      <w:bookmarkEnd w:id="26"/>
      <w:bookmarkEnd w:id="27"/>
      <w:bookmarkEnd w:id="28"/>
      <w:bookmarkEnd w:id="29"/>
      <w:bookmarkEnd w:id="30"/>
      <w:bookmarkEnd w:id="31"/>
      <w:bookmarkEnd w:id="32"/>
    </w:p>
    <w:p w14:paraId="268191A5" w14:textId="77777777" w:rsidR="00292903" w:rsidRPr="00022524" w:rsidRDefault="00337660" w:rsidP="00ED74BD">
      <w:pPr>
        <w:pStyle w:val="Body"/>
      </w:pPr>
      <w:r w:rsidRPr="00022524">
        <w:t>When analysing</w:t>
      </w:r>
      <w:r w:rsidR="008659E8" w:rsidRPr="00022524">
        <w:t xml:space="preserve"> the</w:t>
      </w:r>
      <w:r w:rsidR="00CB79F0" w:rsidRPr="00022524">
        <w:t xml:space="preserve"> key</w:t>
      </w:r>
      <w:r w:rsidRPr="00022524">
        <w:t xml:space="preserve"> players influencing the performance framework, i.e. the stakeholders </w:t>
      </w:r>
      <w:r w:rsidR="00EF4376" w:rsidRPr="00022524">
        <w:t xml:space="preserve">responsible </w:t>
      </w:r>
      <w:r w:rsidRPr="00022524">
        <w:t xml:space="preserve">for the elaboration of the framework, </w:t>
      </w:r>
      <w:r w:rsidR="00ED74BD" w:rsidRPr="00022524">
        <w:t xml:space="preserve">a clear pattern of </w:t>
      </w:r>
      <w:r w:rsidR="008659E8" w:rsidRPr="00022524">
        <w:t>the</w:t>
      </w:r>
      <w:r w:rsidR="00CB79F0" w:rsidRPr="00022524">
        <w:t>se</w:t>
      </w:r>
      <w:r w:rsidR="008659E8" w:rsidRPr="00022524">
        <w:t xml:space="preserve"> </w:t>
      </w:r>
      <w:r w:rsidR="00ED74BD" w:rsidRPr="00022524">
        <w:t>main actors can be identified</w:t>
      </w:r>
      <w:r w:rsidRPr="00022524">
        <w:t xml:space="preserve"> at </w:t>
      </w:r>
      <w:r w:rsidR="008659E8" w:rsidRPr="00022524">
        <w:t xml:space="preserve">the </w:t>
      </w:r>
      <w:r w:rsidRPr="00022524">
        <w:t>EU-level</w:t>
      </w:r>
      <w:r w:rsidR="00ED74BD" w:rsidRPr="00022524">
        <w:t xml:space="preserve">. According to the </w:t>
      </w:r>
      <w:r w:rsidR="006317A3" w:rsidRPr="00022524">
        <w:t>web-survey</w:t>
      </w:r>
      <w:r w:rsidR="00ED74BD" w:rsidRPr="00022524">
        <w:t xml:space="preserve"> </w:t>
      </w:r>
    </w:p>
    <w:p w14:paraId="53BD3970" w14:textId="4B7FA1CE" w:rsidR="00292903" w:rsidRPr="00022524" w:rsidRDefault="00ED74BD" w:rsidP="00292903">
      <w:pPr>
        <w:pStyle w:val="BulletPoint1"/>
      </w:pPr>
      <w:r w:rsidRPr="00022524">
        <w:t>64% of the programmes include performance frameworks developed by the drafting team</w:t>
      </w:r>
      <w:r w:rsidR="00692EB7" w:rsidRPr="00022524">
        <w:t>;</w:t>
      </w:r>
      <w:r w:rsidRPr="00022524">
        <w:t xml:space="preserve"> </w:t>
      </w:r>
    </w:p>
    <w:p w14:paraId="1D515701" w14:textId="77777777" w:rsidR="00292903" w:rsidRPr="00022524" w:rsidRDefault="00ED74BD" w:rsidP="00292903">
      <w:pPr>
        <w:pStyle w:val="BulletPoint1"/>
      </w:pPr>
      <w:r w:rsidRPr="00022524">
        <w:t>15%</w:t>
      </w:r>
      <w:r w:rsidR="00692EB7" w:rsidRPr="00022524">
        <w:t xml:space="preserve"> of the programmes have performance frameworks elaborated</w:t>
      </w:r>
      <w:r w:rsidRPr="00022524">
        <w:t xml:space="preserve"> by </w:t>
      </w:r>
      <w:r w:rsidR="00692EB7" w:rsidRPr="00022524">
        <w:t>a central coordination body and;</w:t>
      </w:r>
    </w:p>
    <w:p w14:paraId="5483889F" w14:textId="77777777" w:rsidR="00292903" w:rsidRPr="00022524" w:rsidRDefault="00ED74BD" w:rsidP="00292903">
      <w:pPr>
        <w:pStyle w:val="BulletPoint1"/>
      </w:pPr>
      <w:r w:rsidRPr="00022524">
        <w:t xml:space="preserve">13% </w:t>
      </w:r>
      <w:r w:rsidR="00692EB7" w:rsidRPr="00022524">
        <w:t xml:space="preserve">of programme performance frameworks were developed </w:t>
      </w:r>
      <w:r w:rsidRPr="00022524">
        <w:t>by ex-ante evaluators.</w:t>
      </w:r>
    </w:p>
    <w:p w14:paraId="551D0BA2" w14:textId="77777777" w:rsidR="00ED74BD" w:rsidRPr="00022524" w:rsidRDefault="00ED74BD" w:rsidP="00292903">
      <w:pPr>
        <w:pStyle w:val="BulletPoint1"/>
        <w:rPr>
          <w:iCs/>
        </w:rPr>
      </w:pPr>
      <w:r w:rsidRPr="00022524">
        <w:t xml:space="preserve">While 9% are reported to be developed by other actors, this category was shown to primarily consist of a combination of the three aforementioned actors. </w:t>
      </w:r>
      <w:r w:rsidR="0074159E" w:rsidRPr="00022524">
        <w:t>T</w:t>
      </w:r>
      <w:r w:rsidRPr="00022524">
        <w:t xml:space="preserve">he drafting team of the programmes primarily develops the frameworks, evaluators and </w:t>
      </w:r>
      <w:r w:rsidR="00692EB7" w:rsidRPr="00022524">
        <w:t xml:space="preserve">other stakeholders such as </w:t>
      </w:r>
      <w:r w:rsidRPr="00022524">
        <w:t xml:space="preserve">the </w:t>
      </w:r>
      <w:r w:rsidR="00692EB7" w:rsidRPr="00022524">
        <w:t>EC</w:t>
      </w:r>
      <w:r w:rsidR="00704144" w:rsidRPr="00022524">
        <w:t xml:space="preserve"> often support these actors. </w:t>
      </w:r>
    </w:p>
    <w:p w14:paraId="565437D1" w14:textId="77777777" w:rsidR="00D878A7" w:rsidRPr="00022524" w:rsidRDefault="00D878A7" w:rsidP="00EF0A14">
      <w:pPr>
        <w:pStyle w:val="Figure"/>
      </w:pPr>
      <w:bookmarkStart w:id="33" w:name="_Toc448146043"/>
      <w:r w:rsidRPr="00022524">
        <w:t>Who developed the performance framework? By type of programme</w:t>
      </w:r>
      <w:bookmarkEnd w:id="33"/>
    </w:p>
    <w:p w14:paraId="77EE3154" w14:textId="77777777" w:rsidR="00D878A7" w:rsidRPr="00022524" w:rsidRDefault="00D878A7" w:rsidP="00D878A7">
      <w:pPr>
        <w:pStyle w:val="Abbildung"/>
        <w:rPr>
          <w:lang w:val="en-GB"/>
        </w:rPr>
      </w:pPr>
      <w:r w:rsidRPr="00022524">
        <w:rPr>
          <w:lang w:val="en-GB" w:eastAsia="en-GB"/>
        </w:rPr>
        <w:drawing>
          <wp:inline distT="0" distB="0" distL="0" distR="0" wp14:anchorId="542E6E4E" wp14:editId="144A935C">
            <wp:extent cx="4495349" cy="2462318"/>
            <wp:effectExtent l="0" t="0" r="635" b="19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1047" t="10611" r="2094" b="2292"/>
                    <a:stretch/>
                  </pic:blipFill>
                  <pic:spPr bwMode="auto">
                    <a:xfrm>
                      <a:off x="0" y="0"/>
                      <a:ext cx="4504786" cy="2467487"/>
                    </a:xfrm>
                    <a:prstGeom prst="rect">
                      <a:avLst/>
                    </a:prstGeom>
                    <a:noFill/>
                    <a:ln>
                      <a:noFill/>
                    </a:ln>
                    <a:extLst>
                      <a:ext uri="{53640926-AAD7-44D8-BBD7-CCE9431645EC}">
                        <a14:shadowObscured xmlns:a14="http://schemas.microsoft.com/office/drawing/2010/main"/>
                      </a:ext>
                    </a:extLst>
                  </pic:spPr>
                </pic:pic>
              </a:graphicData>
            </a:graphic>
          </wp:inline>
        </w:drawing>
      </w:r>
    </w:p>
    <w:p w14:paraId="07E74CA5" w14:textId="77777777" w:rsidR="00D878A7" w:rsidRPr="00022524" w:rsidRDefault="00D878A7" w:rsidP="00096F14">
      <w:pPr>
        <w:pStyle w:val="Source"/>
        <w:outlineLvl w:val="0"/>
      </w:pPr>
      <w:bookmarkStart w:id="34" w:name="_Toc433973091"/>
      <w:r w:rsidRPr="00022524">
        <w:t>Source: web-survey on performance frameworks 2015</w:t>
      </w:r>
      <w:bookmarkEnd w:id="34"/>
      <w:r w:rsidRPr="00022524">
        <w:t xml:space="preserve"> </w:t>
      </w:r>
    </w:p>
    <w:p w14:paraId="4F74036C" w14:textId="77777777" w:rsidR="008F0D9C" w:rsidRPr="00022524" w:rsidRDefault="008F0D9C" w:rsidP="00337660">
      <w:pPr>
        <w:pStyle w:val="Body"/>
      </w:pPr>
      <w:r w:rsidRPr="00022524">
        <w:lastRenderedPageBreak/>
        <w:t xml:space="preserve">The drafting teams of the programmes had a decisive role for all types of programmes. </w:t>
      </w:r>
    </w:p>
    <w:p w14:paraId="30B429E4" w14:textId="77777777" w:rsidR="00337660" w:rsidRPr="00022524" w:rsidRDefault="008F0D9C" w:rsidP="00337660">
      <w:pPr>
        <w:pStyle w:val="Body"/>
      </w:pPr>
      <w:r w:rsidRPr="00022524">
        <w:t xml:space="preserve">The central coordination bodies and the ex-ante evaluators had similar influence on the programmes in general, but the picture is more complex when looking at the types of programmes. </w:t>
      </w:r>
      <w:r w:rsidR="00ED74BD" w:rsidRPr="00022524">
        <w:t>Analysing the responses by different programme types shows some differences</w:t>
      </w:r>
      <w:r w:rsidR="008659E8" w:rsidRPr="00022524">
        <w:t>,</w:t>
      </w:r>
      <w:r w:rsidR="00ED74BD" w:rsidRPr="00022524">
        <w:t xml:space="preserve"> in particular with regard to the role of the ex-ante evaluator and the central coordination body. </w:t>
      </w:r>
      <w:r w:rsidR="00CB79F0" w:rsidRPr="00022524">
        <w:t>F</w:t>
      </w:r>
      <w:r w:rsidR="00AB7E72" w:rsidRPr="00022524">
        <w:t xml:space="preserve">irst of all </w:t>
      </w:r>
      <w:r w:rsidR="00337660" w:rsidRPr="00022524">
        <w:t>the central coordination body coveri</w:t>
      </w:r>
      <w:r w:rsidR="005D27EB" w:rsidRPr="00022524">
        <w:t>ng several programmes played a smaller</w:t>
      </w:r>
      <w:r w:rsidR="00337660" w:rsidRPr="00022524">
        <w:t xml:space="preserve"> role in the national programmes than </w:t>
      </w:r>
      <w:r w:rsidR="008659E8" w:rsidRPr="00022524">
        <w:t xml:space="preserve">it did </w:t>
      </w:r>
      <w:r w:rsidR="00337660" w:rsidRPr="00022524">
        <w:t>in the regional programmes</w:t>
      </w:r>
      <w:r w:rsidR="00F94531" w:rsidRPr="00022524">
        <w:t xml:space="preserve"> (which is natural as the coordination body usually comes into play when two or more programmes invest in the same area)</w:t>
      </w:r>
      <w:r w:rsidR="00AB7E72" w:rsidRPr="00022524">
        <w:t>, and</w:t>
      </w:r>
      <w:r w:rsidR="007801B3" w:rsidRPr="00022524">
        <w:t xml:space="preserve"> the role of ex-ante evaluators</w:t>
      </w:r>
      <w:r w:rsidR="00AB7E72" w:rsidRPr="00022524">
        <w:t xml:space="preserve"> was significantly bigger in the national programmes than in the regional ones</w:t>
      </w:r>
      <w:r w:rsidR="00BA66E2" w:rsidRPr="00022524">
        <w:t>.</w:t>
      </w:r>
      <w:r w:rsidR="00AB7E72" w:rsidRPr="00022524">
        <w:t xml:space="preserve"> Secondly</w:t>
      </w:r>
      <w:r w:rsidR="00CB79F0" w:rsidRPr="00022524">
        <w:t xml:space="preserve">, </w:t>
      </w:r>
      <w:r w:rsidR="00AB7E72" w:rsidRPr="00022524">
        <w:t>central c</w:t>
      </w:r>
      <w:r w:rsidR="00337660" w:rsidRPr="00022524">
        <w:t>oordination bodies are perceived as playing a relevant role within ETC programmes, although these are of different character than those in IGJ programm</w:t>
      </w:r>
      <w:r w:rsidR="001E04FB" w:rsidRPr="00022524">
        <w:t>es (</w:t>
      </w:r>
      <w:r w:rsidR="00337660" w:rsidRPr="00022524">
        <w:t>mostly referring to MA representatives involved in several programmes or INTERACT</w:t>
      </w:r>
      <w:r w:rsidR="001E04FB" w:rsidRPr="00022524">
        <w:t>)</w:t>
      </w:r>
      <w:r w:rsidR="00337660" w:rsidRPr="00022524">
        <w:t>.</w:t>
      </w:r>
      <w:r w:rsidR="008659E8" w:rsidRPr="00022524">
        <w:t xml:space="preserve"> </w:t>
      </w:r>
    </w:p>
    <w:p w14:paraId="0AB7D9A3" w14:textId="3908DA45" w:rsidR="0030548D" w:rsidRPr="00022524" w:rsidRDefault="00B62FA3" w:rsidP="0030548D">
      <w:pPr>
        <w:pStyle w:val="Body"/>
      </w:pPr>
      <w:r w:rsidRPr="00022524">
        <w:t>The importance of central coordination bodies for national programmes</w:t>
      </w:r>
      <w:r w:rsidR="00337660" w:rsidRPr="00022524">
        <w:t xml:space="preserve"> was also confirmed by the interviews as it was </w:t>
      </w:r>
      <w:r w:rsidR="00EE264C" w:rsidRPr="00022524">
        <w:t>stated</w:t>
      </w:r>
      <w:r w:rsidR="00337660" w:rsidRPr="00022524">
        <w:t xml:space="preserve"> that in particular in Member States with only one </w:t>
      </w:r>
      <w:r w:rsidR="0030548D" w:rsidRPr="00022524">
        <w:t>national</w:t>
      </w:r>
      <w:r w:rsidR="008F0D9C" w:rsidRPr="00022524">
        <w:t xml:space="preserve"> programme </w:t>
      </w:r>
      <w:r w:rsidR="008659E8" w:rsidRPr="00022524">
        <w:t>,</w:t>
      </w:r>
      <w:r w:rsidR="00337660" w:rsidRPr="00022524">
        <w:t xml:space="preserve"> </w:t>
      </w:r>
      <w:r w:rsidR="008C2B2E" w:rsidRPr="00022524">
        <w:t xml:space="preserve">the </w:t>
      </w:r>
      <w:r w:rsidR="00337660" w:rsidRPr="00022524">
        <w:t xml:space="preserve">MA </w:t>
      </w:r>
      <w:r w:rsidR="008C2B2E" w:rsidRPr="00022524">
        <w:t xml:space="preserve">for the </w:t>
      </w:r>
      <w:r w:rsidR="00C2042A" w:rsidRPr="00022524">
        <w:t>programme</w:t>
      </w:r>
      <w:r w:rsidR="008C2B2E" w:rsidRPr="00022524">
        <w:t xml:space="preserve"> </w:t>
      </w:r>
      <w:r w:rsidR="00337660" w:rsidRPr="00022524">
        <w:t>and</w:t>
      </w:r>
      <w:r w:rsidR="008C2B2E" w:rsidRPr="00022524">
        <w:t xml:space="preserve"> the</w:t>
      </w:r>
      <w:r w:rsidR="00337660" w:rsidRPr="00022524">
        <w:t xml:space="preserve"> national coordinator</w:t>
      </w:r>
      <w:r w:rsidR="008659E8" w:rsidRPr="00022524">
        <w:t>s</w:t>
      </w:r>
      <w:r w:rsidR="008C2B2E" w:rsidRPr="00022524">
        <w:t xml:space="preserve"> for the PA</w:t>
      </w:r>
      <w:r w:rsidR="00337660" w:rsidRPr="00022524">
        <w:t xml:space="preserve"> are either identical or cooperate closely. The </w:t>
      </w:r>
      <w:r w:rsidR="008F0D9C" w:rsidRPr="00022524">
        <w:t xml:space="preserve">importance reflects also on the </w:t>
      </w:r>
      <w:r w:rsidR="00337660" w:rsidRPr="00022524">
        <w:t xml:space="preserve">methodology and mechanisms to ensure consistency in the functioning of the performance framework and the performance </w:t>
      </w:r>
      <w:r w:rsidR="008659E8" w:rsidRPr="00022524">
        <w:t>reserve</w:t>
      </w:r>
      <w:r w:rsidR="00337660" w:rsidRPr="00022524">
        <w:t xml:space="preserve"> as such was developed in o</w:t>
      </w:r>
      <w:r w:rsidR="001E04FB" w:rsidRPr="00022524">
        <w:t>ne go</w:t>
      </w:r>
      <w:r w:rsidR="00EA2AC8" w:rsidRPr="00022524">
        <w:t>, i.e. parallel development</w:t>
      </w:r>
      <w:r w:rsidR="00EE264C" w:rsidRPr="00022524">
        <w:rPr>
          <w:rStyle w:val="FootnoteReference"/>
        </w:rPr>
        <w:footnoteReference w:id="7"/>
      </w:r>
      <w:r w:rsidR="00337660" w:rsidRPr="00022524">
        <w:t>.</w:t>
      </w:r>
      <w:r w:rsidR="0030548D" w:rsidRPr="00022524">
        <w:t xml:space="preserve"> </w:t>
      </w:r>
    </w:p>
    <w:p w14:paraId="4A24F278" w14:textId="77777777" w:rsidR="00292903" w:rsidRPr="00022524" w:rsidRDefault="0030548D" w:rsidP="0030548D">
      <w:pPr>
        <w:pStyle w:val="Body"/>
      </w:pPr>
      <w:r w:rsidRPr="00022524">
        <w:t xml:space="preserve">When focusing on the methodology and mechanisms </w:t>
      </w:r>
      <w:r w:rsidR="008659E8" w:rsidRPr="00022524">
        <w:t xml:space="preserve">available </w:t>
      </w:r>
      <w:r w:rsidRPr="00022524">
        <w:t xml:space="preserve">to ensure consistency in the functioning of the </w:t>
      </w:r>
      <w:r w:rsidR="00994E08" w:rsidRPr="00022524">
        <w:t>PF</w:t>
      </w:r>
      <w:r w:rsidRPr="00022524">
        <w:t xml:space="preserve"> as integrated in the PAs it can be seen that t</w:t>
      </w:r>
      <w:r w:rsidR="00292903" w:rsidRPr="00022524">
        <w:t>he texts on performance frameworks in the PAs are drafted by t</w:t>
      </w:r>
      <w:r w:rsidR="00994E08" w:rsidRPr="00022524">
        <w:t xml:space="preserve">he national coordination bodies. These </w:t>
      </w:r>
      <w:r w:rsidR="00292903" w:rsidRPr="00022524">
        <w:t>often mak</w:t>
      </w:r>
      <w:r w:rsidR="00CE00F5" w:rsidRPr="00022524">
        <w:t>e</w:t>
      </w:r>
      <w:r w:rsidR="00292903" w:rsidRPr="00022524">
        <w:t xml:space="preserve"> use of a small drafting/support group and inputs from the programmes. </w:t>
      </w:r>
      <w:r w:rsidRPr="00022524">
        <w:t xml:space="preserve">Besides the approach of </w:t>
      </w:r>
      <w:r w:rsidR="00EA2AC8" w:rsidRPr="00022524">
        <w:t xml:space="preserve">parallel </w:t>
      </w:r>
      <w:r w:rsidRPr="00022524">
        <w:t>elaboration of the performance frameworks</w:t>
      </w:r>
      <w:r w:rsidR="00E73038" w:rsidRPr="00022524">
        <w:t>,</w:t>
      </w:r>
      <w:r w:rsidRPr="00022524">
        <w:t xml:space="preserve"> </w:t>
      </w:r>
      <w:r w:rsidR="00994E08" w:rsidRPr="00022524">
        <w:t xml:space="preserve">as discussed </w:t>
      </w:r>
      <w:r w:rsidRPr="00022524">
        <w:t xml:space="preserve">above, </w:t>
      </w:r>
      <w:r w:rsidR="00292903" w:rsidRPr="00022524">
        <w:t xml:space="preserve">the </w:t>
      </w:r>
      <w:r w:rsidR="00D878A7" w:rsidRPr="00022524">
        <w:t xml:space="preserve">document </w:t>
      </w:r>
      <w:r w:rsidR="00292903" w:rsidRPr="00022524">
        <w:t xml:space="preserve">analysis, the interviews with stakeholders and the </w:t>
      </w:r>
      <w:r w:rsidR="006317A3" w:rsidRPr="00022524">
        <w:t xml:space="preserve">web-survey </w:t>
      </w:r>
      <w:r w:rsidR="00292903" w:rsidRPr="00022524">
        <w:t>findings</w:t>
      </w:r>
      <w:r w:rsidR="00E73038" w:rsidRPr="00022524">
        <w:t>, roughly revealed two ways of how consistency has been ensured</w:t>
      </w:r>
      <w:r w:rsidR="00292903" w:rsidRPr="00022524">
        <w:t>:</w:t>
      </w:r>
    </w:p>
    <w:p w14:paraId="0676BE8A" w14:textId="77777777" w:rsidR="0030548D" w:rsidRPr="00022524" w:rsidRDefault="00997F4A" w:rsidP="00234513">
      <w:pPr>
        <w:pStyle w:val="BulletPoint1"/>
        <w:ind w:left="284"/>
      </w:pPr>
      <w:r w:rsidRPr="00022524">
        <w:t>‘down-loading’ -</w:t>
      </w:r>
      <w:r w:rsidR="008C4EC9" w:rsidRPr="00022524">
        <w:t xml:space="preserve"> </w:t>
      </w:r>
      <w:r w:rsidRPr="00022524">
        <w:t>i</w:t>
      </w:r>
      <w:r w:rsidR="0030548D" w:rsidRPr="00022524">
        <w:t>n some countries, e.g.</w:t>
      </w:r>
      <w:r w:rsidR="00EA2AC8" w:rsidRPr="00022524">
        <w:t xml:space="preserve"> </w:t>
      </w:r>
      <w:r w:rsidR="0030548D" w:rsidRPr="00022524">
        <w:t>France,</w:t>
      </w:r>
      <w:r w:rsidR="00EA2AC8" w:rsidRPr="00022524">
        <w:t xml:space="preserve"> Poland,</w:t>
      </w:r>
      <w:r w:rsidR="0030548D" w:rsidRPr="00022524">
        <w:t xml:space="preserve"> Portugal, Slovakia and Sweden, the national coordination body supported the development of performance frameworks at </w:t>
      </w:r>
      <w:r w:rsidR="00CE00F5" w:rsidRPr="00022524">
        <w:t xml:space="preserve">the </w:t>
      </w:r>
      <w:r w:rsidR="0030548D" w:rsidRPr="00022524">
        <w:t xml:space="preserve">programme level (e.g. through the provision of methodologies and technical support). The statements below show the variety of approaches taken when the national coordination body played a strong role in the development of the performance framework : </w:t>
      </w:r>
    </w:p>
    <w:p w14:paraId="1478588D" w14:textId="77777777" w:rsidR="00C62D64" w:rsidRPr="00022524" w:rsidRDefault="00C62D64" w:rsidP="00C62D64">
      <w:pPr>
        <w:pStyle w:val="BulletPoint1"/>
        <w:numPr>
          <w:ilvl w:val="0"/>
          <w:numId w:val="0"/>
        </w:numPr>
        <w:spacing w:after="0"/>
        <w:ind w:left="717"/>
        <w:contextualSpacing w:val="0"/>
      </w:pPr>
    </w:p>
    <w:p w14:paraId="67E9D756" w14:textId="14FCCA28" w:rsidR="0030548D" w:rsidRPr="00022524" w:rsidRDefault="0030548D" w:rsidP="0030548D">
      <w:pPr>
        <w:pStyle w:val="BulletPoint2"/>
      </w:pPr>
      <w:r w:rsidRPr="00022524">
        <w:t xml:space="preserve">In France, the national coordinator (CGET) was actively involved in the development of the performance framework in the PA and provided support to MAs. The objective was not to substitute the MAs in the process of identifying and quantifying performance framework indicators, but to ensure the consistency of the approach across </w:t>
      </w:r>
      <w:r w:rsidR="00C2042A" w:rsidRPr="00022524">
        <w:t>programme</w:t>
      </w:r>
      <w:r w:rsidRPr="00022524">
        <w:t xml:space="preserve">s and to provide MAs with practical methodologies to estimate targets. In short, the national coordinator disseminated an information note to all MAs in order to raise the awareness of the </w:t>
      </w:r>
      <w:r w:rsidR="00C2042A" w:rsidRPr="00022524">
        <w:t xml:space="preserve">programme </w:t>
      </w:r>
      <w:r w:rsidRPr="00022524">
        <w:t xml:space="preserve">drafters. In these cases, national guidelines were published for the selection of the performance framework indicators. Finally, the national coordinator established a national methodology to support MAs in calculating target values. </w:t>
      </w:r>
    </w:p>
    <w:p w14:paraId="10F6EE57" w14:textId="77777777" w:rsidR="00C62D64" w:rsidRPr="00022524" w:rsidRDefault="00C62D64" w:rsidP="00C62D64">
      <w:pPr>
        <w:pStyle w:val="BulletPoint2"/>
        <w:numPr>
          <w:ilvl w:val="0"/>
          <w:numId w:val="0"/>
        </w:numPr>
        <w:ind w:left="568"/>
      </w:pPr>
    </w:p>
    <w:p w14:paraId="6C2228E3" w14:textId="77777777" w:rsidR="00EA2AC8" w:rsidRPr="00022524" w:rsidRDefault="00EA2AC8" w:rsidP="00EA2AC8">
      <w:pPr>
        <w:pStyle w:val="BulletPoint2"/>
      </w:pPr>
      <w:r w:rsidRPr="00022524">
        <w:t xml:space="preserve">In Poland, the Ministry of Infrastructure and Development supported the elaboration of the performance frameworks. </w:t>
      </w:r>
    </w:p>
    <w:p w14:paraId="75878FE3" w14:textId="77777777" w:rsidR="00C62D64" w:rsidRPr="00022524" w:rsidRDefault="00C62D64" w:rsidP="00C62D64">
      <w:pPr>
        <w:pStyle w:val="BulletPoint2"/>
        <w:numPr>
          <w:ilvl w:val="0"/>
          <w:numId w:val="0"/>
        </w:numPr>
      </w:pPr>
    </w:p>
    <w:p w14:paraId="6CA7E861" w14:textId="40E42158" w:rsidR="0030548D" w:rsidRPr="00022524" w:rsidRDefault="0030548D" w:rsidP="0030548D">
      <w:pPr>
        <w:pStyle w:val="BulletPoint2"/>
      </w:pPr>
      <w:r w:rsidRPr="00022524">
        <w:t xml:space="preserve">In Portugal, the national entity was pivotal in the elaboration of the performance frameworks for the PA and for </w:t>
      </w:r>
      <w:r w:rsidR="00C2042A" w:rsidRPr="00022524">
        <w:t xml:space="preserve">programmes </w:t>
      </w:r>
      <w:r w:rsidRPr="00022524">
        <w:t xml:space="preserve">(definition of characteristics of indicators, milestones and targets). At the programme level, the MAs and drafting teams were in charge of the performance framework. </w:t>
      </w:r>
    </w:p>
    <w:p w14:paraId="008AC741" w14:textId="77777777" w:rsidR="00C62D64" w:rsidRPr="00022524" w:rsidRDefault="00C62D64" w:rsidP="00C62D64">
      <w:pPr>
        <w:pStyle w:val="BulletPoint2"/>
        <w:numPr>
          <w:ilvl w:val="0"/>
          <w:numId w:val="0"/>
        </w:numPr>
      </w:pPr>
    </w:p>
    <w:p w14:paraId="670ABF62" w14:textId="77777777" w:rsidR="0030548D" w:rsidRPr="00022524" w:rsidRDefault="0030548D" w:rsidP="0030548D">
      <w:pPr>
        <w:pStyle w:val="BulletPoint2"/>
      </w:pPr>
      <w:r w:rsidRPr="00022524">
        <w:t>In Slovakia, the Central Coordination Authority set internal rules for the development of performance frameworks at the programme level</w:t>
      </w:r>
      <w:r w:rsidR="00AC1443" w:rsidRPr="00022524">
        <w:t>, w</w:t>
      </w:r>
      <w:r w:rsidRPr="00022524">
        <w:t xml:space="preserve">hile the actual elaboration was the responsibility of the MAs. </w:t>
      </w:r>
      <w:r w:rsidR="00E73038" w:rsidRPr="00022524">
        <w:t xml:space="preserve">As compared to the other examples listed, Slovakia has only national level programmes which also reflects on the work on ensuring consistency. </w:t>
      </w:r>
    </w:p>
    <w:p w14:paraId="225D0A57" w14:textId="77777777" w:rsidR="00C62D64" w:rsidRPr="00022524" w:rsidRDefault="00C62D64" w:rsidP="00C62D64">
      <w:pPr>
        <w:pStyle w:val="BulletPoint2"/>
        <w:numPr>
          <w:ilvl w:val="0"/>
          <w:numId w:val="0"/>
        </w:numPr>
      </w:pPr>
    </w:p>
    <w:p w14:paraId="66627495" w14:textId="77777777" w:rsidR="0030548D" w:rsidRPr="00022524" w:rsidRDefault="0030548D" w:rsidP="0030548D">
      <w:pPr>
        <w:pStyle w:val="BulletPoint2"/>
        <w:spacing w:after="120"/>
        <w:contextualSpacing w:val="0"/>
      </w:pPr>
      <w:r w:rsidRPr="00022524">
        <w:t xml:space="preserve">In Sweden, the MA and national coordination body had an overall coordination function in the development of the performance framework, including the selection of indicators and definition of milestones and targets. In such cases the regional drafting teams were mainly used for referrals. </w:t>
      </w:r>
    </w:p>
    <w:p w14:paraId="6A1F752F" w14:textId="0AE00B62" w:rsidR="0030548D" w:rsidRPr="00022524" w:rsidRDefault="00997F4A" w:rsidP="00234513">
      <w:pPr>
        <w:pStyle w:val="BulletPoint1"/>
        <w:spacing w:after="0"/>
        <w:ind w:left="284"/>
        <w:contextualSpacing w:val="0"/>
      </w:pPr>
      <w:r w:rsidRPr="00022524">
        <w:lastRenderedPageBreak/>
        <w:t xml:space="preserve">‘up-loading’ - </w:t>
      </w:r>
      <w:r w:rsidR="0030548D" w:rsidRPr="00022524">
        <w:t xml:space="preserve">In </w:t>
      </w:r>
      <w:r w:rsidR="00DE3213" w:rsidRPr="00022524">
        <w:t xml:space="preserve">some other </w:t>
      </w:r>
      <w:r w:rsidR="00EA2AC8" w:rsidRPr="00022524">
        <w:t>Member States,</w:t>
      </w:r>
      <w:r w:rsidR="0030548D" w:rsidRPr="00022524">
        <w:t xml:space="preserve"> </w:t>
      </w:r>
      <w:r w:rsidR="00EA2AC8" w:rsidRPr="00022524">
        <w:t>, as</w:t>
      </w:r>
      <w:r w:rsidR="0030548D" w:rsidRPr="00022524">
        <w:t xml:space="preserve"> e.g. </w:t>
      </w:r>
      <w:r w:rsidR="00EE264C" w:rsidRPr="00022524">
        <w:t>Belgium, Germany</w:t>
      </w:r>
      <w:r w:rsidR="00EA2AC8" w:rsidRPr="00022524">
        <w:t xml:space="preserve"> </w:t>
      </w:r>
      <w:r w:rsidR="00EE264C" w:rsidRPr="00022524">
        <w:t xml:space="preserve">and </w:t>
      </w:r>
      <w:r w:rsidR="0030548D" w:rsidRPr="00022524">
        <w:t>the UK</w:t>
      </w:r>
      <w:r w:rsidR="00EA2AC8" w:rsidRPr="00022524">
        <w:t xml:space="preserve"> </w:t>
      </w:r>
      <w:r w:rsidR="0030548D" w:rsidRPr="00022524">
        <w:t>the development of the</w:t>
      </w:r>
      <w:r w:rsidR="008C2B2E" w:rsidRPr="00022524">
        <w:t xml:space="preserve"> section containing the methodology and mechanisms to ensure consistency in the functioning of the</w:t>
      </w:r>
      <w:r w:rsidR="0030548D" w:rsidRPr="00022524">
        <w:t xml:space="preserve"> performance framework in the PA draws largely on the work done at </w:t>
      </w:r>
      <w:r w:rsidR="00C338B4" w:rsidRPr="00022524">
        <w:t xml:space="preserve">the </w:t>
      </w:r>
      <w:r w:rsidR="00C2042A" w:rsidRPr="00022524">
        <w:t xml:space="preserve">programme </w:t>
      </w:r>
      <w:r w:rsidR="0030548D" w:rsidRPr="00022524">
        <w:t>level. Various approaches were implemented to ensure that coherence was applied</w:t>
      </w:r>
      <w:r w:rsidR="00C338B4" w:rsidRPr="00022524">
        <w:t xml:space="preserve"> </w:t>
      </w:r>
      <w:r w:rsidR="0030548D" w:rsidRPr="00022524">
        <w:t>A few examples follow below:</w:t>
      </w:r>
    </w:p>
    <w:p w14:paraId="53DF6BFB" w14:textId="77777777" w:rsidR="00C62D64" w:rsidRPr="00022524" w:rsidRDefault="00C62D64" w:rsidP="00C62D64">
      <w:pPr>
        <w:pStyle w:val="BulletPoint1"/>
        <w:numPr>
          <w:ilvl w:val="0"/>
          <w:numId w:val="0"/>
        </w:numPr>
        <w:spacing w:after="0"/>
        <w:ind w:left="717"/>
        <w:contextualSpacing w:val="0"/>
      </w:pPr>
    </w:p>
    <w:p w14:paraId="3D3E6934" w14:textId="77777777" w:rsidR="0030548D" w:rsidRPr="00022524" w:rsidRDefault="0030548D" w:rsidP="0030548D">
      <w:pPr>
        <w:pStyle w:val="BulletPoint2"/>
      </w:pPr>
      <w:r w:rsidRPr="00022524">
        <w:t>In the UK</w:t>
      </w:r>
      <w:r w:rsidR="00C62D64" w:rsidRPr="00022524">
        <w:t>,</w:t>
      </w:r>
      <w:r w:rsidRPr="00022524">
        <w:t xml:space="preserve"> the performance framework in the PA is not articulated separately for each UK nation (as are most other parts of the PA). Instead, there is one UK-wide section which articulates the general provisions for performance framework requirements, which were agreed</w:t>
      </w:r>
      <w:r w:rsidR="00C338B4" w:rsidRPr="00022524">
        <w:t xml:space="preserve"> upon</w:t>
      </w:r>
      <w:r w:rsidRPr="00022524">
        <w:t xml:space="preserve"> between the national coordination body and the MAs of the regional OPs. </w:t>
      </w:r>
    </w:p>
    <w:p w14:paraId="1E56D4BF" w14:textId="77777777" w:rsidR="00C62D64" w:rsidRPr="00022524" w:rsidRDefault="00C62D64" w:rsidP="00C62D64">
      <w:pPr>
        <w:pStyle w:val="BulletPoint2"/>
        <w:numPr>
          <w:ilvl w:val="0"/>
          <w:numId w:val="0"/>
        </w:numPr>
        <w:ind w:left="568"/>
      </w:pPr>
    </w:p>
    <w:p w14:paraId="042C6999" w14:textId="2AF8F3BC" w:rsidR="0030548D" w:rsidRPr="00022524" w:rsidRDefault="0030548D" w:rsidP="0030548D">
      <w:pPr>
        <w:pStyle w:val="BulletPoint2"/>
      </w:pPr>
      <w:r w:rsidRPr="00022524">
        <w:t>In Germany</w:t>
      </w:r>
      <w:r w:rsidR="00C62D64" w:rsidRPr="00022524">
        <w:t>,</w:t>
      </w:r>
      <w:r w:rsidRPr="00022524">
        <w:t xml:space="preserve"> the performance frameworks were mainly developed by the MAs. In some cases the line departments were also responsible, each department for its specific part. Often this is reflected by an interactive process between drafting teams and line departments. The </w:t>
      </w:r>
      <w:r w:rsidR="00CC6B7D" w:rsidRPr="00022524">
        <w:t xml:space="preserve">German </w:t>
      </w:r>
      <w:r w:rsidRPr="00022524">
        <w:t xml:space="preserve">Federal Ministry led a working group on indicators for all regional ERDF programmes. This working group has met regularly since 2011 and intensively discussed possible indicators. The MAs agreed on definitions and procedures for common output indicators. The procedures where harmonised as far as it was possible – given </w:t>
      </w:r>
      <w:r w:rsidR="00C2042A" w:rsidRPr="00022524">
        <w:t>programme</w:t>
      </w:r>
      <w:r w:rsidRPr="00022524">
        <w:t>-specific structures and topics.</w:t>
      </w:r>
    </w:p>
    <w:p w14:paraId="36DBCDA0" w14:textId="77777777" w:rsidR="0030548D" w:rsidRPr="00022524" w:rsidRDefault="0030548D" w:rsidP="0030548D">
      <w:pPr>
        <w:pStyle w:val="Body"/>
        <w:spacing w:after="120"/>
      </w:pPr>
      <w:r w:rsidRPr="00022524">
        <w:t xml:space="preserve">Depending on the organisational setting of the programmes and role of intermediate bodies, there are also some cases where intermediate bodies played a crucial role in the development of the performance framework. </w:t>
      </w:r>
      <w:r w:rsidR="00C338B4" w:rsidRPr="00022524">
        <w:t>The e</w:t>
      </w:r>
      <w:r w:rsidRPr="00022524">
        <w:t xml:space="preserve">xamples are as follows: </w:t>
      </w:r>
    </w:p>
    <w:p w14:paraId="296C5210" w14:textId="77777777" w:rsidR="0030548D" w:rsidRPr="00022524" w:rsidRDefault="0030548D" w:rsidP="0030548D">
      <w:pPr>
        <w:pStyle w:val="BulletPoint1"/>
      </w:pPr>
      <w:r w:rsidRPr="00022524">
        <w:t>In Ireland</w:t>
      </w:r>
      <w:r w:rsidR="00C62D64" w:rsidRPr="00022524">
        <w:t>,</w:t>
      </w:r>
      <w:r w:rsidRPr="00022524">
        <w:t xml:space="preserve"> the ERDF MAs are nominally in charge of the performance framework management at the programme level</w:t>
      </w:r>
      <w:r w:rsidR="004F2510" w:rsidRPr="00022524">
        <w:t>, w</w:t>
      </w:r>
      <w:r w:rsidRPr="00022524">
        <w:t xml:space="preserve">hile in practice, the intermediate bodies had an instrumental role in setting indicators, milestones and targets </w:t>
      </w:r>
      <w:r w:rsidR="00C338B4" w:rsidRPr="00022524">
        <w:t>that</w:t>
      </w:r>
      <w:r w:rsidRPr="00022524">
        <w:t xml:space="preserve"> satisfy the performance framework criteria. </w:t>
      </w:r>
    </w:p>
    <w:p w14:paraId="3B94E89C" w14:textId="77777777" w:rsidR="0030548D" w:rsidRPr="00022524" w:rsidRDefault="0030548D" w:rsidP="0030548D">
      <w:pPr>
        <w:pStyle w:val="BulletPoint1"/>
      </w:pPr>
      <w:r w:rsidRPr="00022524">
        <w:t>In Lithuania</w:t>
      </w:r>
      <w:r w:rsidR="00C62D64" w:rsidRPr="00022524">
        <w:t>,</w:t>
      </w:r>
      <w:r w:rsidRPr="00022524">
        <w:t xml:space="preserve"> the intermediate bodies where responsible for selecting indicators and preparing detailed descriptions and justifications for these indicators and their values. In order to provide guidance for the process, the MA prepared recommendations for the intermediate bodies and conducted a final check of the indicators and their values. The development of the performance framework encouraged the </w:t>
      </w:r>
      <w:r w:rsidR="004F2510" w:rsidRPr="00022524">
        <w:t>bodies involved in programme design and implementation</w:t>
      </w:r>
      <w:r w:rsidRPr="00022524">
        <w:t xml:space="preserve"> to pay greater attention to the indicator development process and to develop sound target values. </w:t>
      </w:r>
    </w:p>
    <w:p w14:paraId="5AAC765F" w14:textId="77777777" w:rsidR="00ED74BD" w:rsidRPr="00022524" w:rsidRDefault="0030548D" w:rsidP="00ED74BD">
      <w:pPr>
        <w:pStyle w:val="Body"/>
      </w:pPr>
      <w:r w:rsidRPr="00022524">
        <w:t xml:space="preserve">In addition to the </w:t>
      </w:r>
      <w:r w:rsidR="00C338B4" w:rsidRPr="00022524">
        <w:t xml:space="preserve">examples </w:t>
      </w:r>
      <w:r w:rsidRPr="00022524">
        <w:t xml:space="preserve">listed above, the ex-ante evaluators also played an important role in the development of the performance framework. For instance, in the case of Cyprus, the ex-ante evaluators made crucial contributions regarding the indicator system and performance framework. The importance of the ex-ante evaluators was also highlighted </w:t>
      </w:r>
      <w:r w:rsidR="00CC6B7D" w:rsidRPr="00022524">
        <w:t xml:space="preserve">by many responses </w:t>
      </w:r>
      <w:r w:rsidRPr="00022524">
        <w:t xml:space="preserve">in the </w:t>
      </w:r>
      <w:r w:rsidR="006317A3" w:rsidRPr="00022524">
        <w:t>web-survey</w:t>
      </w:r>
      <w:r w:rsidRPr="00022524">
        <w:t xml:space="preserve">. </w:t>
      </w:r>
      <w:r w:rsidR="0085182E" w:rsidRPr="00022524">
        <w:t xml:space="preserve">Especially </w:t>
      </w:r>
      <w:r w:rsidRPr="00022524">
        <w:t xml:space="preserve">in Bulgaria the role of the ex-ante evaluators is indicated as considerably more influential than in other </w:t>
      </w:r>
      <w:r w:rsidR="00C338B4" w:rsidRPr="00022524">
        <w:t>MS</w:t>
      </w:r>
      <w:r w:rsidRPr="00022524">
        <w:t>.</w:t>
      </w:r>
    </w:p>
    <w:p w14:paraId="25460237" w14:textId="2BAB3203" w:rsidR="00EE264C" w:rsidRPr="00022524" w:rsidRDefault="00997F4A" w:rsidP="00ED74BD">
      <w:pPr>
        <w:pStyle w:val="Body"/>
      </w:pPr>
      <w:r w:rsidRPr="00022524">
        <w:t>In conclusion</w:t>
      </w:r>
      <w:r w:rsidR="00CE3CF4" w:rsidRPr="00022524">
        <w:t>, even</w:t>
      </w:r>
      <w:r w:rsidRPr="00022524">
        <w:t xml:space="preserve"> though the drafting team played the most important role in developing performance frameworks, the central coordination body and the ex-ante evaluators had significant influence as well. The importance of the latter two is especially visible for the ETC programmes. </w:t>
      </w:r>
    </w:p>
    <w:p w14:paraId="09CFBA72" w14:textId="77777777" w:rsidR="00ED74BD" w:rsidRPr="00022524" w:rsidRDefault="00ED74BD" w:rsidP="00096F14">
      <w:pPr>
        <w:pStyle w:val="Body"/>
        <w:pBdr>
          <w:bottom w:val="single" w:sz="4" w:space="3" w:color="004696"/>
        </w:pBdr>
        <w:spacing w:line="216" w:lineRule="exact"/>
        <w:outlineLvl w:val="0"/>
        <w:rPr>
          <w:i/>
        </w:rPr>
      </w:pPr>
      <w:bookmarkStart w:id="35" w:name="_Toc433973092"/>
      <w:r w:rsidRPr="00022524">
        <w:rPr>
          <w:i/>
        </w:rPr>
        <w:t xml:space="preserve">Main </w:t>
      </w:r>
      <w:r w:rsidR="003C3BFB" w:rsidRPr="00022524">
        <w:rPr>
          <w:i/>
        </w:rPr>
        <w:t>input relevant for the elaboration of the performance frameworks</w:t>
      </w:r>
      <w:bookmarkEnd w:id="35"/>
    </w:p>
    <w:p w14:paraId="01305F51" w14:textId="77777777" w:rsidR="00ED74BD" w:rsidRPr="00022524" w:rsidRDefault="00ED74BD" w:rsidP="00ED74BD">
      <w:pPr>
        <w:pStyle w:val="Body"/>
      </w:pPr>
      <w:r w:rsidRPr="00022524">
        <w:t xml:space="preserve">At </w:t>
      </w:r>
      <w:r w:rsidR="00687DC9" w:rsidRPr="00022524">
        <w:t xml:space="preserve">the </w:t>
      </w:r>
      <w:r w:rsidRPr="00022524">
        <w:t>EU-level</w:t>
      </w:r>
      <w:r w:rsidR="00687DC9" w:rsidRPr="00022524">
        <w:t>,</w:t>
      </w:r>
      <w:r w:rsidRPr="00022524">
        <w:rPr>
          <w:iCs/>
        </w:rPr>
        <w:t xml:space="preserve"> </w:t>
      </w:r>
      <w:r w:rsidR="00687DC9" w:rsidRPr="00022524">
        <w:t>p</w:t>
      </w:r>
      <w:r w:rsidRPr="00022524">
        <w:t xml:space="preserve">rogramme specific documents are the most influential for developing performance framework indicators. Programme specific documents </w:t>
      </w:r>
      <w:r w:rsidR="00B352E1" w:rsidRPr="00022524">
        <w:t>cover</w:t>
      </w:r>
      <w:r w:rsidR="00687DC9" w:rsidRPr="00022524">
        <w:t>,</w:t>
      </w:r>
      <w:r w:rsidR="00B352E1" w:rsidRPr="00022524">
        <w:t xml:space="preserve"> amongst others</w:t>
      </w:r>
      <w:r w:rsidR="00687DC9" w:rsidRPr="00022524">
        <w:t>,</w:t>
      </w:r>
      <w:r w:rsidRPr="00022524">
        <w:t xml:space="preserve"> annual implementation reports</w:t>
      </w:r>
      <w:r w:rsidR="0021629A" w:rsidRPr="00022524">
        <w:t xml:space="preserve"> (AIR)</w:t>
      </w:r>
      <w:r w:rsidR="006A5274" w:rsidRPr="00022524">
        <w:t xml:space="preserve"> of the previous programming period</w:t>
      </w:r>
      <w:r w:rsidRPr="00022524">
        <w:t>, previous programming documents and internal monitoring and evaluation reports. Respondents</w:t>
      </w:r>
      <w:r w:rsidR="006072CC" w:rsidRPr="00022524">
        <w:t xml:space="preserve"> to the web-survey </w:t>
      </w:r>
      <w:r w:rsidRPr="00022524">
        <w:t>from 27 programmes indicated that the development of indicators is almost entirely based on programme specific docum</w:t>
      </w:r>
      <w:r w:rsidR="004E49FA" w:rsidRPr="00022524">
        <w:t>ents, w</w:t>
      </w:r>
      <w:r w:rsidRPr="00022524">
        <w:t>hereas national and regional strategy documents rank second and third.</w:t>
      </w:r>
      <w:r w:rsidR="00941474" w:rsidRPr="00022524">
        <w:t xml:space="preserve"> The findings, differentiated by types of programmes and EU MS, show the following:</w:t>
      </w:r>
    </w:p>
    <w:p w14:paraId="37C546DF" w14:textId="77777777" w:rsidR="00ED74BD" w:rsidRPr="00022524" w:rsidRDefault="004E49FA" w:rsidP="00941474">
      <w:pPr>
        <w:pStyle w:val="BulletPoint1"/>
      </w:pPr>
      <w:r w:rsidRPr="00022524">
        <w:t xml:space="preserve">When differentiating the approaches by types of programmes, no </w:t>
      </w:r>
      <w:r w:rsidR="00ED74BD" w:rsidRPr="00022524">
        <w:t>significant differences</w:t>
      </w:r>
      <w:r w:rsidRPr="00022524">
        <w:t xml:space="preserve"> can be observed</w:t>
      </w:r>
      <w:r w:rsidR="00ED74BD" w:rsidRPr="00022524">
        <w:t>. In all cases programme specific documents are the most important sources for develo</w:t>
      </w:r>
      <w:r w:rsidRPr="00022524">
        <w:t>ping the performance frameworks;</w:t>
      </w:r>
      <w:r w:rsidR="00ED74BD" w:rsidRPr="00022524">
        <w:t xml:space="preserve"> these are generally followed by national strategies. Only within ETC programmes are regional strategy documents perceived as a more important information source than th</w:t>
      </w:r>
      <w:r w:rsidR="00292903" w:rsidRPr="00022524">
        <w:t>e national strategy programmes</w:t>
      </w:r>
      <w:r w:rsidRPr="00022524">
        <w:t>, being based in the nature of the programmes</w:t>
      </w:r>
      <w:r w:rsidR="00941474" w:rsidRPr="00022524">
        <w:t xml:space="preserve"> of supporting cooperation between NUTS-3 regions </w:t>
      </w:r>
      <w:proofErr w:type="gramStart"/>
      <w:r w:rsidR="00941474" w:rsidRPr="00022524">
        <w:t>from at least two different MS (CBC)</w:t>
      </w:r>
      <w:proofErr w:type="gramEnd"/>
      <w:r w:rsidR="00ED74BD" w:rsidRPr="00022524">
        <w:t xml:space="preserve">. </w:t>
      </w:r>
    </w:p>
    <w:p w14:paraId="263CA571" w14:textId="23AA5964" w:rsidR="00ED74BD" w:rsidRPr="00022524" w:rsidRDefault="0021629A" w:rsidP="00941474">
      <w:pPr>
        <w:pStyle w:val="BulletPoint1"/>
      </w:pPr>
      <w:r w:rsidRPr="00022524">
        <w:t xml:space="preserve">A differentiated analysis of the EU Member States </w:t>
      </w:r>
      <w:r w:rsidR="00ED74BD" w:rsidRPr="00022524">
        <w:t xml:space="preserve">shows </w:t>
      </w:r>
      <w:r w:rsidR="00ED0216" w:rsidRPr="00022524">
        <w:t>that</w:t>
      </w:r>
      <w:r w:rsidR="00ED74BD" w:rsidRPr="00022524">
        <w:t xml:space="preserve"> Greece, Italy, Bulgaria, Slovenia and Portugal based the development of their indicators more on national strategy </w:t>
      </w:r>
      <w:r w:rsidR="00ED74BD" w:rsidRPr="00022524">
        <w:lastRenderedPageBreak/>
        <w:t xml:space="preserve">documents than other Member States. </w:t>
      </w:r>
      <w:r w:rsidR="00ED0216" w:rsidRPr="00022524">
        <w:t>On the contrary</w:t>
      </w:r>
      <w:r w:rsidR="00ED74BD" w:rsidRPr="00022524">
        <w:t xml:space="preserve">, the development of indicators in Germany, Finland and Spain is more </w:t>
      </w:r>
      <w:r w:rsidR="0092447E">
        <w:t>strongly</w:t>
      </w:r>
      <w:r w:rsidR="0092447E" w:rsidRPr="00022524">
        <w:t xml:space="preserve"> </w:t>
      </w:r>
      <w:r w:rsidR="00ED74BD" w:rsidRPr="00022524">
        <w:t xml:space="preserve">based on regional strategy documents. </w:t>
      </w:r>
    </w:p>
    <w:p w14:paraId="7FA3A97A" w14:textId="77777777" w:rsidR="00941474" w:rsidRPr="00022524" w:rsidRDefault="00941474" w:rsidP="00ED74BD">
      <w:pPr>
        <w:pStyle w:val="Body"/>
      </w:pPr>
      <w:r w:rsidRPr="00022524">
        <w:t>The review of influencing documents and the question if these are clear for the responsible stakeholders shows the following findings:</w:t>
      </w:r>
    </w:p>
    <w:p w14:paraId="44A9ADD3" w14:textId="77777777" w:rsidR="00941474" w:rsidRPr="00022524" w:rsidRDefault="00ED74BD" w:rsidP="00941474">
      <w:pPr>
        <w:pStyle w:val="BulletPoint1"/>
      </w:pPr>
      <w:r w:rsidRPr="00022524">
        <w:t xml:space="preserve">The </w:t>
      </w:r>
      <w:r w:rsidR="00941474" w:rsidRPr="00022524">
        <w:t>EC</w:t>
      </w:r>
      <w:r w:rsidRPr="00022524">
        <w:t xml:space="preserve"> </w:t>
      </w:r>
      <w:r w:rsidR="00044F76" w:rsidRPr="00022524">
        <w:t>I</w:t>
      </w:r>
      <w:r w:rsidRPr="00022524">
        <w:t xml:space="preserve">mplementing </w:t>
      </w:r>
      <w:r w:rsidR="00044F76" w:rsidRPr="00022524">
        <w:t>R</w:t>
      </w:r>
      <w:r w:rsidRPr="00022524">
        <w:t xml:space="preserve">egulation </w:t>
      </w:r>
      <w:r w:rsidR="0021629A" w:rsidRPr="00022524">
        <w:t xml:space="preserve">No 215/2014 laying down rules for implementing Regulation (EU) No 1303/2013 with a specific focus on the determination of milestones and targets in the performance framework </w:t>
      </w:r>
      <w:r w:rsidRPr="00022524">
        <w:t>was perceived by 73% of all programme respondents to be a rather clear source for develo</w:t>
      </w:r>
      <w:r w:rsidR="00D16C1A" w:rsidRPr="00022524">
        <w:t>ping the performance framework.</w:t>
      </w:r>
    </w:p>
    <w:p w14:paraId="3C7E3EE9" w14:textId="77777777" w:rsidR="00707DB1" w:rsidRPr="00022524" w:rsidRDefault="006072CC" w:rsidP="00CE3CF4">
      <w:pPr>
        <w:pStyle w:val="BulletPoint2"/>
        <w:numPr>
          <w:ilvl w:val="0"/>
          <w:numId w:val="48"/>
        </w:numPr>
      </w:pPr>
      <w:r w:rsidRPr="00022524">
        <w:t>According to the web-survey o</w:t>
      </w:r>
      <w:r w:rsidR="00ED74BD" w:rsidRPr="00022524">
        <w:t xml:space="preserve">nly one ETC programme and one German programme have indicated that the </w:t>
      </w:r>
      <w:r w:rsidR="00044F76" w:rsidRPr="00022524">
        <w:t>I</w:t>
      </w:r>
      <w:r w:rsidR="00ED74BD" w:rsidRPr="00022524">
        <w:t xml:space="preserve">mplementing </w:t>
      </w:r>
      <w:r w:rsidR="00044F76" w:rsidRPr="00022524">
        <w:t>R</w:t>
      </w:r>
      <w:r w:rsidR="00ED74BD" w:rsidRPr="00022524">
        <w:t>egulation 215/2014 was very unclear regarding the performance framework</w:t>
      </w:r>
      <w:r w:rsidR="00707DB1" w:rsidRPr="00022524">
        <w:t xml:space="preserve">, and selected interviewees mentioned </w:t>
      </w:r>
      <w:r w:rsidR="00F97AAF" w:rsidRPr="00022524">
        <w:t xml:space="preserve">a.) </w:t>
      </w:r>
      <w:proofErr w:type="gramStart"/>
      <w:r w:rsidR="00707DB1" w:rsidRPr="00022524">
        <w:t>the</w:t>
      </w:r>
      <w:proofErr w:type="gramEnd"/>
      <w:r w:rsidR="00687DC9" w:rsidRPr="00022524">
        <w:t xml:space="preserve"> </w:t>
      </w:r>
      <w:r w:rsidR="00707DB1" w:rsidRPr="00022524">
        <w:t>late delivery of guidelines from the EC which compromised the timeframe allocated to them for elaborating the performance framework</w:t>
      </w:r>
      <w:r w:rsidR="00F97AAF" w:rsidRPr="00022524">
        <w:t xml:space="preserve">, and b.) </w:t>
      </w:r>
      <w:proofErr w:type="gramStart"/>
      <w:r w:rsidR="00F97AAF" w:rsidRPr="00022524">
        <w:t>modifications</w:t>
      </w:r>
      <w:proofErr w:type="gramEnd"/>
      <w:r w:rsidR="00F97AAF" w:rsidRPr="00022524">
        <w:t xml:space="preserve"> of EU guidelines during the process of elaborating the programmes as challenging</w:t>
      </w:r>
      <w:r w:rsidR="00707DB1" w:rsidRPr="00022524">
        <w:t>.</w:t>
      </w:r>
    </w:p>
    <w:p w14:paraId="52404084" w14:textId="77777777" w:rsidR="00941474" w:rsidRPr="00022524" w:rsidRDefault="00ED74BD" w:rsidP="00CE3CF4">
      <w:pPr>
        <w:pStyle w:val="BulletPoint2"/>
        <w:numPr>
          <w:ilvl w:val="0"/>
          <w:numId w:val="48"/>
        </w:numPr>
      </w:pPr>
      <w:r w:rsidRPr="00022524">
        <w:t xml:space="preserve">The majority considers the Commission </w:t>
      </w:r>
      <w:r w:rsidR="006A5274" w:rsidRPr="00022524">
        <w:t xml:space="preserve">Implementing </w:t>
      </w:r>
      <w:r w:rsidRPr="00022524">
        <w:t xml:space="preserve">Regulation 215/2014 rather clear when grouping the findings by types of programmes. </w:t>
      </w:r>
    </w:p>
    <w:p w14:paraId="05F7F9EC" w14:textId="77777777" w:rsidR="00ED74BD" w:rsidRPr="00022524" w:rsidRDefault="00ED74BD" w:rsidP="00CE3CF4">
      <w:pPr>
        <w:pStyle w:val="BulletPoint2"/>
        <w:numPr>
          <w:ilvl w:val="0"/>
          <w:numId w:val="48"/>
        </w:numPr>
      </w:pPr>
      <w:r w:rsidRPr="00022524">
        <w:t xml:space="preserve">There are some country specific patterns present, e.g. in Greece and Poland the Implementing </w:t>
      </w:r>
      <w:r w:rsidR="00044F76" w:rsidRPr="00022524">
        <w:t>R</w:t>
      </w:r>
      <w:r w:rsidRPr="00022524">
        <w:t xml:space="preserve">egulation is seen as very clear while respondents from Italy and Spain have indicated that the regulation was rather unclear to them. </w:t>
      </w:r>
    </w:p>
    <w:p w14:paraId="153B90C7" w14:textId="61AA7833" w:rsidR="00ED74BD" w:rsidRPr="00022524" w:rsidRDefault="00941474" w:rsidP="00122574">
      <w:pPr>
        <w:pStyle w:val="Body"/>
      </w:pPr>
      <w:r w:rsidRPr="00022524">
        <w:t xml:space="preserve">Besides the influence of guidance documents and regulations on the development of the performance frameworks, past experiences from previous programming periods was a main source of information while designing the framework. </w:t>
      </w:r>
      <w:r w:rsidR="0083670B" w:rsidRPr="00022524">
        <w:t>T</w:t>
      </w:r>
      <w:r w:rsidR="00ED74BD" w:rsidRPr="00022524">
        <w:t xml:space="preserve">he drafting teams </w:t>
      </w:r>
      <w:r w:rsidR="00523AE3" w:rsidRPr="00022524">
        <w:t>t</w:t>
      </w:r>
      <w:r w:rsidR="00ED74BD" w:rsidRPr="00022524">
        <w:t xml:space="preserve">ook into consideration the </w:t>
      </w:r>
      <w:r w:rsidR="00CE3CF4" w:rsidRPr="00022524">
        <w:t xml:space="preserve">past </w:t>
      </w:r>
      <w:r w:rsidR="00ED74BD" w:rsidRPr="00022524">
        <w:t xml:space="preserve">experience and data from previous programming periods when developing the performance frameworks. </w:t>
      </w:r>
      <w:r w:rsidR="00ED0216" w:rsidRPr="00022524">
        <w:t>However,</w:t>
      </w:r>
      <w:r w:rsidR="00523AE3" w:rsidRPr="00022524">
        <w:t xml:space="preserve"> it should be noted that still</w:t>
      </w:r>
      <w:r w:rsidR="00ED0216" w:rsidRPr="00022524">
        <w:t xml:space="preserve"> </w:t>
      </w:r>
      <w:r w:rsidR="00ED74BD" w:rsidRPr="00022524">
        <w:t xml:space="preserve">for 22% </w:t>
      </w:r>
      <w:r w:rsidR="005B5E9B" w:rsidRPr="00022524">
        <w:t xml:space="preserve">of </w:t>
      </w:r>
      <w:r w:rsidR="00ED74BD" w:rsidRPr="00022524">
        <w:t xml:space="preserve">the </w:t>
      </w:r>
      <w:r w:rsidR="00C2042A" w:rsidRPr="00022524">
        <w:t xml:space="preserve">programmes </w:t>
      </w:r>
      <w:r w:rsidR="00ED74BD" w:rsidRPr="00022524">
        <w:t>past experience was not used for developing the performance framework</w:t>
      </w:r>
      <w:r w:rsidR="00687DC9" w:rsidRPr="00022524">
        <w:t>;</w:t>
      </w:r>
      <w:r w:rsidR="00ED74BD" w:rsidRPr="00022524">
        <w:t xml:space="preserve"> </w:t>
      </w:r>
      <w:r w:rsidR="00687DC9" w:rsidRPr="00022524">
        <w:t>t</w:t>
      </w:r>
      <w:r w:rsidR="00ED74BD" w:rsidRPr="00022524">
        <w:t xml:space="preserve">hese OPs are mainly found in Belgium, Estonia, France, Greece, Italy, Slovakia and the UK. </w:t>
      </w:r>
    </w:p>
    <w:p w14:paraId="292DE50E" w14:textId="77777777" w:rsidR="00ED74BD" w:rsidRPr="00022524" w:rsidRDefault="00523AE3" w:rsidP="00122574">
      <w:pPr>
        <w:pStyle w:val="Body"/>
      </w:pPr>
      <w:r w:rsidRPr="00022524">
        <w:t>T</w:t>
      </w:r>
      <w:r w:rsidR="00ED74BD" w:rsidRPr="00022524">
        <w:t>he IGJ programmes</w:t>
      </w:r>
      <w:r w:rsidR="00687DC9" w:rsidRPr="00022524">
        <w:t>,</w:t>
      </w:r>
      <w:r w:rsidR="00ED74BD" w:rsidRPr="00022524">
        <w:t xml:space="preserve"> in particular the national O</w:t>
      </w:r>
      <w:r w:rsidR="001A56F0" w:rsidRPr="00022524">
        <w:t>P</w:t>
      </w:r>
      <w:r w:rsidR="00ED74BD" w:rsidRPr="00022524">
        <w:t>s</w:t>
      </w:r>
      <w:r w:rsidR="00687DC9" w:rsidRPr="00022524">
        <w:t>,</w:t>
      </w:r>
      <w:r w:rsidR="00ED74BD" w:rsidRPr="00022524">
        <w:t xml:space="preserve"> are more strongly based on past experience than other types of OPs. </w:t>
      </w:r>
      <w:r w:rsidR="00687DC9" w:rsidRPr="00022524">
        <w:t>In most cases, t</w:t>
      </w:r>
      <w:r w:rsidR="00ED74BD" w:rsidRPr="00022524">
        <w:t>here are no substantial differences between single and multi-fund O</w:t>
      </w:r>
      <w:r w:rsidR="00044F76" w:rsidRPr="00022524">
        <w:t>P</w:t>
      </w:r>
      <w:r w:rsidR="00ED74BD" w:rsidRPr="00022524">
        <w:t>s</w:t>
      </w:r>
      <w:r w:rsidR="00687DC9" w:rsidRPr="00022524">
        <w:t>.</w:t>
      </w:r>
      <w:r w:rsidR="00ED74BD" w:rsidRPr="00022524">
        <w:t xml:space="preserve"> </w:t>
      </w:r>
    </w:p>
    <w:p w14:paraId="60B91DDB" w14:textId="77777777" w:rsidR="00122574" w:rsidRPr="00022524" w:rsidRDefault="00ED0216" w:rsidP="00122574">
      <w:pPr>
        <w:pStyle w:val="Body"/>
      </w:pPr>
      <w:r w:rsidRPr="00022524">
        <w:t>In conclusion</w:t>
      </w:r>
      <w:r w:rsidR="00122574" w:rsidRPr="00022524">
        <w:t>, programme specific documents are the most influential for developing the performance framework</w:t>
      </w:r>
      <w:r w:rsidR="00687DC9" w:rsidRPr="00022524">
        <w:t xml:space="preserve"> as</w:t>
      </w:r>
      <w:r w:rsidR="00122574" w:rsidRPr="00022524">
        <w:t xml:space="preserve"> they provided relevant information mainly for the selection of indicators. Guiding documents from the EC where quite clear for the responsible stakeholders while elaborating the performance frameworks</w:t>
      </w:r>
      <w:r w:rsidR="00687DC9" w:rsidRPr="00022524">
        <w:t>,</w:t>
      </w:r>
      <w:r w:rsidR="00122574" w:rsidRPr="00022524">
        <w:t xml:space="preserve"> and additionally, past experience played a major role in developing the </w:t>
      </w:r>
      <w:r w:rsidRPr="00022524">
        <w:t xml:space="preserve">indicators used in the </w:t>
      </w:r>
      <w:r w:rsidR="00122574" w:rsidRPr="00022524">
        <w:t xml:space="preserve">performance frameworks. </w:t>
      </w:r>
    </w:p>
    <w:p w14:paraId="38BB373F" w14:textId="77777777" w:rsidR="00ED74BD" w:rsidRPr="00022524" w:rsidRDefault="005A3AAF" w:rsidP="00A0452B">
      <w:pPr>
        <w:pStyle w:val="Heading2"/>
      </w:pPr>
      <w:bookmarkStart w:id="36" w:name="_Toc429671052"/>
      <w:bookmarkStart w:id="37" w:name="_Toc432600853"/>
      <w:bookmarkStart w:id="38" w:name="_Ref433023458"/>
      <w:bookmarkStart w:id="39" w:name="_Toc433973093"/>
      <w:bookmarkStart w:id="40" w:name="_Toc433973191"/>
      <w:bookmarkStart w:id="41" w:name="_Toc448144106"/>
      <w:r w:rsidRPr="00022524">
        <w:t>Role and influence of</w:t>
      </w:r>
      <w:r w:rsidR="00ED74BD" w:rsidRPr="00022524">
        <w:t xml:space="preserve"> dialogue with</w:t>
      </w:r>
      <w:r w:rsidR="00A84655" w:rsidRPr="00022524">
        <w:t xml:space="preserve"> </w:t>
      </w:r>
      <w:r w:rsidR="00ED74BD" w:rsidRPr="00022524">
        <w:t>ex-ante evaluator</w:t>
      </w:r>
      <w:r w:rsidR="00A616C3" w:rsidRPr="00022524">
        <w:t>s</w:t>
      </w:r>
      <w:r w:rsidR="00ED74BD" w:rsidRPr="00022524">
        <w:t xml:space="preserve">, </w:t>
      </w:r>
      <w:r w:rsidR="00A84655" w:rsidRPr="00022524">
        <w:t xml:space="preserve">the Commission and </w:t>
      </w:r>
      <w:r w:rsidR="00ED74BD" w:rsidRPr="00022524">
        <w:t xml:space="preserve">other </w:t>
      </w:r>
      <w:bookmarkEnd w:id="36"/>
      <w:bookmarkEnd w:id="37"/>
      <w:bookmarkEnd w:id="38"/>
      <w:bookmarkEnd w:id="39"/>
      <w:bookmarkEnd w:id="40"/>
      <w:r w:rsidR="00A84655" w:rsidRPr="00022524">
        <w:t>programmes</w:t>
      </w:r>
      <w:bookmarkEnd w:id="41"/>
    </w:p>
    <w:p w14:paraId="014339D1" w14:textId="12B8ABE3" w:rsidR="00E75F7D" w:rsidRPr="00022524" w:rsidRDefault="00843DAF" w:rsidP="004A4810">
      <w:pPr>
        <w:pStyle w:val="Body"/>
      </w:pPr>
      <w:r w:rsidRPr="00022524">
        <w:t xml:space="preserve">As already </w:t>
      </w:r>
      <w:r w:rsidR="003C4F66" w:rsidRPr="00022524">
        <w:t>pointed out</w:t>
      </w:r>
      <w:r w:rsidRPr="00022524">
        <w:t xml:space="preserve"> in the previous subchapter, </w:t>
      </w:r>
      <w:r w:rsidR="00B0492C" w:rsidRPr="00022524">
        <w:t>the performance framework</w:t>
      </w:r>
      <w:r w:rsidRPr="00022524">
        <w:t>s</w:t>
      </w:r>
      <w:r w:rsidR="00B0492C" w:rsidRPr="00022524">
        <w:t xml:space="preserve"> </w:t>
      </w:r>
      <w:r w:rsidRPr="00022524">
        <w:t>were</w:t>
      </w:r>
      <w:r w:rsidR="00B0492C" w:rsidRPr="00022524">
        <w:t xml:space="preserve"> most often elaborated in dialogue </w:t>
      </w:r>
      <w:r w:rsidR="0013758E" w:rsidRPr="00022524">
        <w:t xml:space="preserve">of the programmes’ drafting teams </w:t>
      </w:r>
      <w:r w:rsidR="00B0492C" w:rsidRPr="00022524">
        <w:t xml:space="preserve">with various </w:t>
      </w:r>
      <w:r w:rsidR="00695953" w:rsidRPr="00022524">
        <w:t>stakeholders</w:t>
      </w:r>
      <w:r w:rsidR="00C56C1C" w:rsidRPr="00022524">
        <w:t xml:space="preserve"> (ranging of ex ante evaluators to national coordinators and the EC)</w:t>
      </w:r>
      <w:r w:rsidR="00B0492C" w:rsidRPr="00022524">
        <w:t xml:space="preserve">. </w:t>
      </w:r>
      <w:r w:rsidR="00695953" w:rsidRPr="00022524">
        <w:t>As</w:t>
      </w:r>
      <w:r w:rsidR="004A4810" w:rsidRPr="00022524">
        <w:t xml:space="preserve"> highlighted in chapter </w:t>
      </w:r>
      <w:r w:rsidR="00845832" w:rsidRPr="00022524">
        <w:fldChar w:fldCharType="begin"/>
      </w:r>
      <w:r w:rsidR="004A4810" w:rsidRPr="00022524">
        <w:instrText xml:space="preserve"> REF _Ref433027599 \r \h </w:instrText>
      </w:r>
      <w:r w:rsidR="00845832" w:rsidRPr="00022524">
        <w:fldChar w:fldCharType="separate"/>
      </w:r>
      <w:r w:rsidR="008364C8">
        <w:t>2.1</w:t>
      </w:r>
      <w:r w:rsidR="00845832" w:rsidRPr="00022524">
        <w:fldChar w:fldCharType="end"/>
      </w:r>
      <w:r w:rsidR="00695953" w:rsidRPr="00022524">
        <w:t>,</w:t>
      </w:r>
      <w:r w:rsidR="004A4810" w:rsidRPr="00022524">
        <w:t xml:space="preserve"> the performance framework was an integral part of the dialogue and negotiations during the elaboration of the P</w:t>
      </w:r>
      <w:r w:rsidR="00695953" w:rsidRPr="00022524">
        <w:t>A</w:t>
      </w:r>
      <w:r w:rsidR="004A4810" w:rsidRPr="00022524">
        <w:t>s</w:t>
      </w:r>
      <w:r w:rsidR="003156F8" w:rsidRPr="00022524">
        <w:t xml:space="preserve"> and programmes</w:t>
      </w:r>
      <w:r w:rsidR="00695953" w:rsidRPr="00022524">
        <w:t>.</w:t>
      </w:r>
      <w:r w:rsidR="004A4810" w:rsidRPr="00022524">
        <w:t xml:space="preserve"> </w:t>
      </w:r>
      <w:r w:rsidR="00ED74BD" w:rsidRPr="00022524">
        <w:t>Overall, the performance frameworks were mostly established in cooperation with the national coordinator</w:t>
      </w:r>
      <w:r w:rsidR="00F51C6A" w:rsidRPr="00022524">
        <w:t xml:space="preserve">. </w:t>
      </w:r>
      <w:r w:rsidR="00ED74BD" w:rsidRPr="00022524">
        <w:t xml:space="preserve">73% of the </w:t>
      </w:r>
      <w:r w:rsidR="00C2042A" w:rsidRPr="00022524">
        <w:t xml:space="preserve">programmes </w:t>
      </w:r>
      <w:r w:rsidR="00ED74BD" w:rsidRPr="00022524">
        <w:t>develop</w:t>
      </w:r>
      <w:r w:rsidR="004A4810" w:rsidRPr="00022524">
        <w:t>ed</w:t>
      </w:r>
      <w:r w:rsidR="00ED74BD" w:rsidRPr="00022524">
        <w:t xml:space="preserve"> the performance framework jointly with the national coordinator</w:t>
      </w:r>
      <w:r w:rsidR="00F51C6A" w:rsidRPr="00022524">
        <w:t xml:space="preserve"> and </w:t>
      </w:r>
      <w:r w:rsidR="00ED74BD" w:rsidRPr="00022524">
        <w:t xml:space="preserve">60% of the </w:t>
      </w:r>
      <w:r w:rsidR="00C2042A" w:rsidRPr="00022524">
        <w:t xml:space="preserve">programmes </w:t>
      </w:r>
      <w:r w:rsidR="00ED74BD" w:rsidRPr="00022524">
        <w:t xml:space="preserve">had regular meetings with the national coordinator. </w:t>
      </w:r>
    </w:p>
    <w:p w14:paraId="0B0DB6CF" w14:textId="77777777" w:rsidR="00A84655" w:rsidRPr="00022524" w:rsidRDefault="00A84655" w:rsidP="00A84655">
      <w:pPr>
        <w:pStyle w:val="Body"/>
        <w:pBdr>
          <w:bottom w:val="single" w:sz="4" w:space="3" w:color="004696"/>
        </w:pBdr>
        <w:spacing w:line="216" w:lineRule="exact"/>
        <w:outlineLvl w:val="0"/>
        <w:rPr>
          <w:i/>
        </w:rPr>
      </w:pPr>
      <w:r w:rsidRPr="00022524">
        <w:rPr>
          <w:i/>
        </w:rPr>
        <w:t>Role and influence of dialogue with the ex-ante evaluator</w:t>
      </w:r>
    </w:p>
    <w:p w14:paraId="282AD94D" w14:textId="77777777" w:rsidR="00A84655" w:rsidRPr="00022524" w:rsidRDefault="00A84655" w:rsidP="00A84655">
      <w:pPr>
        <w:pStyle w:val="Body"/>
      </w:pPr>
      <w:r w:rsidRPr="00022524">
        <w:t xml:space="preserve">In many cases, the assessment by the ex-ante evaluator – which was conducted with close links to the drafting of the programme documents – was particularly important as these evaluators reviewed the indicator values, gave suggestions for improvements, and confirmed the final indicator values. The web-survey shows that about 64% of the programmes that responded indicated that the performance framework was changed after review by the ex-ante evaluators. Values of milestones and targets were most often changed, followed by cases where in addition also indicators were changed, which are followed by cases where only indicators were changed. The following points describe these findings per programme type, fund and Member State: </w:t>
      </w:r>
    </w:p>
    <w:p w14:paraId="0EDF237F" w14:textId="77777777" w:rsidR="00A84655" w:rsidRPr="00022524" w:rsidRDefault="00A84655" w:rsidP="00A84655">
      <w:pPr>
        <w:pStyle w:val="BulletPoint1"/>
      </w:pPr>
      <w:r w:rsidRPr="00022524">
        <w:lastRenderedPageBreak/>
        <w:t xml:space="preserve">Analysing the web-survey data by programme type shows that the ex-ante evaluation contributed to changing the selection of indicators of transnational cooperation programmes. </w:t>
      </w:r>
    </w:p>
    <w:p w14:paraId="21618A08" w14:textId="77777777" w:rsidR="00A84655" w:rsidRPr="00022524" w:rsidRDefault="00A84655" w:rsidP="00A84655">
      <w:pPr>
        <w:pStyle w:val="BulletPoint1"/>
      </w:pPr>
      <w:r w:rsidRPr="00022524">
        <w:t xml:space="preserve">The ex-ante evaluator had the strongest influence on amending milestones and targets in single fund programmes and </w:t>
      </w:r>
      <w:proofErr w:type="spellStart"/>
      <w:r w:rsidRPr="00022524">
        <w:t>cross-border</w:t>
      </w:r>
      <w:proofErr w:type="spellEnd"/>
      <w:r w:rsidRPr="00022524">
        <w:t xml:space="preserve"> programmes. </w:t>
      </w:r>
    </w:p>
    <w:p w14:paraId="35F90A4B" w14:textId="77777777" w:rsidR="00A84655" w:rsidRPr="00022524" w:rsidRDefault="00A84655" w:rsidP="00A84655">
      <w:pPr>
        <w:pStyle w:val="BulletPoint1"/>
      </w:pPr>
      <w:r w:rsidRPr="00022524">
        <w:t>Single fund programmes have changed their performance framework more often than multi-fund programmes – 67% against 57%. All aspects of the performance framework (indicators, milestones and targets) in different combinations were changed more often in mono-fund programmes.</w:t>
      </w:r>
    </w:p>
    <w:p w14:paraId="2E0CB5FA" w14:textId="77777777" w:rsidR="00A84655" w:rsidRPr="00022524" w:rsidRDefault="00A84655" w:rsidP="00A84655">
      <w:pPr>
        <w:pStyle w:val="BulletPoint1"/>
      </w:pPr>
      <w:r w:rsidRPr="00022524">
        <w:t>Multi-thematic programmes show the highest prevalence of no change in the performance framework following the ex-ante evaluation; this is followed by multi-category programmes.</w:t>
      </w:r>
    </w:p>
    <w:p w14:paraId="38AE07FF" w14:textId="51A6D1B2" w:rsidR="00A84655" w:rsidRPr="00022524" w:rsidRDefault="00A84655" w:rsidP="00A84655">
      <w:pPr>
        <w:pStyle w:val="BulletPoint1"/>
      </w:pPr>
      <w:r w:rsidRPr="00022524">
        <w:t xml:space="preserve">The share of multi-thematic </w:t>
      </w:r>
      <w:r w:rsidR="00C2042A" w:rsidRPr="00022524">
        <w:t xml:space="preserve">programmes </w:t>
      </w:r>
      <w:r w:rsidRPr="00022524">
        <w:t xml:space="preserve">where no change has been indicated is particularly large (58% as compared to an average of 33% across all programme types). </w:t>
      </w:r>
    </w:p>
    <w:p w14:paraId="077582C1" w14:textId="77777777" w:rsidR="00A84655" w:rsidRPr="00022524" w:rsidRDefault="00A84655" w:rsidP="00A84655">
      <w:pPr>
        <w:pStyle w:val="BulletPoint1"/>
      </w:pPr>
      <w:r w:rsidRPr="00022524">
        <w:t xml:space="preserve">The web-survey data indicates that no change is most often reported in the UK, Portugal, Italy, France, Denmark, Finland, Slovakia and Spain. </w:t>
      </w:r>
    </w:p>
    <w:p w14:paraId="4225D3AB" w14:textId="3FCAF4EB" w:rsidR="00A84655" w:rsidRPr="00022524" w:rsidRDefault="0026455D" w:rsidP="00A84655">
      <w:pPr>
        <w:pStyle w:val="BulletPoint1"/>
      </w:pPr>
      <w:r>
        <w:t>T</w:t>
      </w:r>
      <w:r w:rsidR="00A84655" w:rsidRPr="00022524">
        <w:t xml:space="preserve">hree Romanian Programmes have changed the indicators as well as their milestones and targets. In five French OPs the milestones and targets were changed after review by the evaluators. </w:t>
      </w:r>
    </w:p>
    <w:p w14:paraId="403631BF" w14:textId="77777777" w:rsidR="00A84655" w:rsidRPr="00022524" w:rsidRDefault="00A84655" w:rsidP="00A84655">
      <w:pPr>
        <w:pStyle w:val="Body"/>
        <w:pBdr>
          <w:bottom w:val="single" w:sz="4" w:space="3" w:color="004696"/>
        </w:pBdr>
        <w:spacing w:line="216" w:lineRule="exact"/>
        <w:outlineLvl w:val="0"/>
        <w:rPr>
          <w:i/>
        </w:rPr>
      </w:pPr>
      <w:r w:rsidRPr="00022524">
        <w:rPr>
          <w:i/>
        </w:rPr>
        <w:t>Role and influence of dialogue with the Commission</w:t>
      </w:r>
    </w:p>
    <w:p w14:paraId="7A1F3211" w14:textId="0A1148C1" w:rsidR="00416CBB" w:rsidRPr="00022524" w:rsidRDefault="00F51C6A" w:rsidP="004A4810">
      <w:pPr>
        <w:pStyle w:val="Body"/>
      </w:pPr>
      <w:r w:rsidRPr="00022524">
        <w:t>The</w:t>
      </w:r>
      <w:r w:rsidR="00ED74BD" w:rsidRPr="00022524">
        <w:t xml:space="preserve"> level of interaction in the drafting process of the performance frameworks shows the important role of the </w:t>
      </w:r>
      <w:r w:rsidR="004A4810" w:rsidRPr="00022524">
        <w:t>E</w:t>
      </w:r>
      <w:r w:rsidR="00697350" w:rsidRPr="00022524">
        <w:t xml:space="preserve">uropean </w:t>
      </w:r>
      <w:r w:rsidR="004A4810" w:rsidRPr="00022524">
        <w:t>C</w:t>
      </w:r>
      <w:r w:rsidR="00697350" w:rsidRPr="00022524">
        <w:t>ommission</w:t>
      </w:r>
      <w:r w:rsidR="0013758E" w:rsidRPr="00022524">
        <w:t>, as</w:t>
      </w:r>
      <w:r w:rsidR="00ED74BD" w:rsidRPr="00022524">
        <w:t xml:space="preserve"> 44% of the </w:t>
      </w:r>
      <w:r w:rsidR="00C2042A" w:rsidRPr="00022524">
        <w:t xml:space="preserve">programmes </w:t>
      </w:r>
      <w:r w:rsidR="00ED74BD" w:rsidRPr="00022524">
        <w:t xml:space="preserve">requested guidance and 43% of the </w:t>
      </w:r>
      <w:r w:rsidR="00C2042A" w:rsidRPr="00022524">
        <w:t xml:space="preserve">programmes </w:t>
      </w:r>
      <w:r w:rsidR="00ED74BD" w:rsidRPr="00022524">
        <w:t xml:space="preserve">had occasional discussions with the </w:t>
      </w:r>
      <w:r w:rsidR="004A4810" w:rsidRPr="00022524">
        <w:t>EC</w:t>
      </w:r>
      <w:r w:rsidR="00ED74BD" w:rsidRPr="00022524">
        <w:t>.</w:t>
      </w:r>
      <w:r w:rsidR="004A4810" w:rsidRPr="00022524">
        <w:t xml:space="preserve"> The dialogue with the EC was also emphasised in almost all interviews. The dialogue with the Commission prior to the submission of the programme was usually perceived as helpful to clarify and modify the </w:t>
      </w:r>
      <w:r w:rsidR="00843DAF" w:rsidRPr="00022524">
        <w:t xml:space="preserve">setup of the performance frameworks, i.e. the </w:t>
      </w:r>
      <w:r w:rsidR="004A4810" w:rsidRPr="00022524">
        <w:t xml:space="preserve">selection of indicators, milestone and targets. </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7B5E46" w:rsidRPr="00767075" w14:paraId="551A64C1" w14:textId="77777777" w:rsidTr="00606F50">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19D0B389" w14:textId="77777777" w:rsidR="007B5E46" w:rsidRPr="00022524" w:rsidRDefault="007B5E46" w:rsidP="00606F50">
            <w:pPr>
              <w:pStyle w:val="Body"/>
              <w:spacing w:before="60" w:after="60"/>
              <w:rPr>
                <w:b/>
                <w:color w:val="004696"/>
                <w:szCs w:val="18"/>
              </w:rPr>
            </w:pPr>
            <w:r w:rsidRPr="00022524">
              <w:rPr>
                <w:b/>
                <w:color w:val="004696"/>
                <w:szCs w:val="18"/>
              </w:rPr>
              <w:t>Examples – dialogue with the EC</w:t>
            </w:r>
          </w:p>
          <w:p w14:paraId="76843DE5" w14:textId="77777777" w:rsidR="007B5E46" w:rsidRPr="00022524" w:rsidRDefault="007B5E46" w:rsidP="007B5E46">
            <w:pPr>
              <w:pStyle w:val="BulletPoint1"/>
              <w:rPr>
                <w:color w:val="auto"/>
              </w:rPr>
            </w:pPr>
            <w:r w:rsidRPr="00022524">
              <w:rPr>
                <w:color w:val="auto"/>
              </w:rPr>
              <w:t>In the case of Denmark some of the milestones were adjusted after</w:t>
            </w:r>
            <w:r w:rsidR="00F51C6A" w:rsidRPr="00022524">
              <w:rPr>
                <w:color w:val="auto"/>
              </w:rPr>
              <w:t xml:space="preserve"> </w:t>
            </w:r>
            <w:r w:rsidRPr="00022524">
              <w:rPr>
                <w:color w:val="auto"/>
              </w:rPr>
              <w:t>discussion with the Commission</w:t>
            </w:r>
            <w:r w:rsidR="00F51C6A" w:rsidRPr="00022524">
              <w:rPr>
                <w:color w:val="auto"/>
              </w:rPr>
              <w:t>. In the c</w:t>
            </w:r>
            <w:r w:rsidRPr="00022524">
              <w:rPr>
                <w:color w:val="auto"/>
              </w:rPr>
              <w:t xml:space="preserve">ase of Estonia </w:t>
            </w:r>
            <w:r w:rsidR="00F51C6A" w:rsidRPr="00022524">
              <w:rPr>
                <w:color w:val="auto"/>
              </w:rPr>
              <w:t>both</w:t>
            </w:r>
            <w:r w:rsidRPr="00022524">
              <w:rPr>
                <w:color w:val="auto"/>
              </w:rPr>
              <w:t xml:space="preserve"> milestones and targets were amended</w:t>
            </w:r>
            <w:r w:rsidR="00F51C6A" w:rsidRPr="00022524">
              <w:rPr>
                <w:color w:val="auto"/>
              </w:rPr>
              <w:t xml:space="preserve"> and defined after discussion with the Commission</w:t>
            </w:r>
            <w:r w:rsidRPr="00022524">
              <w:rPr>
                <w:color w:val="auto"/>
              </w:rPr>
              <w:t xml:space="preserve">. </w:t>
            </w:r>
          </w:p>
          <w:p w14:paraId="4A47840F" w14:textId="77777777" w:rsidR="007B5E46" w:rsidRPr="00022524" w:rsidRDefault="007B5E46" w:rsidP="007B5E46">
            <w:pPr>
              <w:pStyle w:val="BulletPoint1"/>
              <w:rPr>
                <w:color w:val="auto"/>
              </w:rPr>
            </w:pPr>
            <w:r w:rsidRPr="00022524">
              <w:rPr>
                <w:color w:val="auto"/>
              </w:rPr>
              <w:t xml:space="preserve">One interviewee representing an INTERREG V-A programme highlighted the intense exchange with the EC in comparison to the last funding period. </w:t>
            </w:r>
          </w:p>
          <w:p w14:paraId="34A215AE" w14:textId="77777777" w:rsidR="007B5E46" w:rsidRPr="00022524" w:rsidRDefault="007B5E46" w:rsidP="007B5E46">
            <w:pPr>
              <w:pStyle w:val="BulletPoint1"/>
              <w:rPr>
                <w:color w:val="auto"/>
              </w:rPr>
            </w:pPr>
            <w:r w:rsidRPr="00022524">
              <w:rPr>
                <w:color w:val="auto"/>
              </w:rPr>
              <w:t xml:space="preserve">In Croatia, the Commission had a substantial impact on the performance framework. </w:t>
            </w:r>
          </w:p>
          <w:p w14:paraId="49269312" w14:textId="77777777" w:rsidR="007B5E46" w:rsidRPr="00022524" w:rsidRDefault="007B5E46" w:rsidP="007B5E46">
            <w:pPr>
              <w:pStyle w:val="BulletPoint1"/>
              <w:rPr>
                <w:color w:val="auto"/>
              </w:rPr>
            </w:pPr>
            <w:r w:rsidRPr="00022524">
              <w:rPr>
                <w:color w:val="auto"/>
              </w:rPr>
              <w:t>In the UK (e.g. in Scotland) the bilateral dialogue between the MA and the Commission had a significant influence on determining the final design of the performance framework provisions. Specifically, Commission feedback on the initial submitted draft pushed for greater use of common output indicators, while on-going dialogue resulted in some adjustments to the intervention logic and the selection of different result indicators.</w:t>
            </w:r>
          </w:p>
          <w:p w14:paraId="67E4F1BA" w14:textId="77777777" w:rsidR="007B5E46" w:rsidRPr="00022524" w:rsidRDefault="007B5E46" w:rsidP="004C3D7E">
            <w:pPr>
              <w:pStyle w:val="BulletPoint1"/>
            </w:pPr>
            <w:r w:rsidRPr="00022524">
              <w:rPr>
                <w:color w:val="auto"/>
              </w:rPr>
              <w:t xml:space="preserve">Some cases highlight that the Commission feedback resulting in changes of the performance framework were implemented after the submission. This was the case, for example, in Austria where the Commission gave feedback and suggestions for improvement of the targets (asking for a more specific calculation based on the priority area specificities) after the submission of the programme. </w:t>
            </w:r>
          </w:p>
        </w:tc>
      </w:tr>
    </w:tbl>
    <w:p w14:paraId="70982770" w14:textId="69E76048" w:rsidR="00843DAF" w:rsidRPr="00022524" w:rsidRDefault="004A4810" w:rsidP="0000249A">
      <w:pPr>
        <w:pStyle w:val="Body"/>
        <w:spacing w:before="240"/>
      </w:pPr>
      <w:r w:rsidRPr="00022524">
        <w:t>The EC was found to be quite influential when it comes to changing the performance framework</w:t>
      </w:r>
      <w:r w:rsidR="00753AF0" w:rsidRPr="00022524">
        <w:t xml:space="preserve">; </w:t>
      </w:r>
      <w:r w:rsidRPr="00022524">
        <w:t>8</w:t>
      </w:r>
      <w:r w:rsidR="00680483">
        <w:t>3</w:t>
      </w:r>
      <w:r w:rsidRPr="00022524">
        <w:t xml:space="preserve">% of the </w:t>
      </w:r>
      <w:r w:rsidR="00C2042A" w:rsidRPr="00022524">
        <w:t xml:space="preserve">programmes </w:t>
      </w:r>
      <w:r w:rsidRPr="00022524">
        <w:t xml:space="preserve">have changed </w:t>
      </w:r>
      <w:r w:rsidR="00753AF0" w:rsidRPr="00022524">
        <w:t xml:space="preserve">aspects </w:t>
      </w:r>
      <w:r w:rsidRPr="00022524">
        <w:t>of their performance framework after review by the Commission.</w:t>
      </w:r>
      <w:r w:rsidR="003C4F66" w:rsidRPr="00022524">
        <w:t xml:space="preserve"> A large number of </w:t>
      </w:r>
      <w:r w:rsidR="00C2042A" w:rsidRPr="00022524">
        <w:t xml:space="preserve">programmes </w:t>
      </w:r>
      <w:r w:rsidR="00D878A7" w:rsidRPr="00022524">
        <w:t>(more than 30% of programmes)</w:t>
      </w:r>
      <w:r w:rsidRPr="00022524">
        <w:t xml:space="preserve"> changed </w:t>
      </w:r>
      <w:r w:rsidR="0085182E" w:rsidRPr="00022524">
        <w:t xml:space="preserve">values of </w:t>
      </w:r>
      <w:r w:rsidRPr="00022524">
        <w:t xml:space="preserve">their milestones and targets, followed by </w:t>
      </w:r>
      <w:r w:rsidR="00D878A7" w:rsidRPr="00022524">
        <w:t xml:space="preserve">a share of programmes (approximately 20% of programmes), which </w:t>
      </w:r>
      <w:r w:rsidRPr="00022524">
        <w:t>change</w:t>
      </w:r>
      <w:r w:rsidR="00D878A7" w:rsidRPr="00022524">
        <w:t xml:space="preserve">d their indicators and amended </w:t>
      </w:r>
      <w:r w:rsidR="0085182E" w:rsidRPr="00022524">
        <w:t xml:space="preserve">values of </w:t>
      </w:r>
      <w:r w:rsidR="00D878A7" w:rsidRPr="00022524">
        <w:t>milestones and targets</w:t>
      </w:r>
      <w:r w:rsidRPr="00022524">
        <w:t>.</w:t>
      </w:r>
      <w:r w:rsidR="00843DAF" w:rsidRPr="00022524">
        <w:t xml:space="preserve"> The following paragraphs describe some specifics per objective, fund and programme type:</w:t>
      </w:r>
      <w:r w:rsidRPr="00022524">
        <w:t xml:space="preserve"> </w:t>
      </w:r>
    </w:p>
    <w:p w14:paraId="182DE009" w14:textId="77777777" w:rsidR="00843DAF" w:rsidRPr="00022524" w:rsidRDefault="004A4810" w:rsidP="00843DAF">
      <w:pPr>
        <w:pStyle w:val="BulletPoint1"/>
      </w:pPr>
      <w:r w:rsidRPr="00022524">
        <w:t xml:space="preserve">Although </w:t>
      </w:r>
      <w:r w:rsidR="00C56C1C" w:rsidRPr="00022524">
        <w:t xml:space="preserve">the survey shows </w:t>
      </w:r>
      <w:r w:rsidRPr="00022524">
        <w:t xml:space="preserve">a larger share of ETC </w:t>
      </w:r>
      <w:r w:rsidR="0078533D" w:rsidRPr="00022524">
        <w:t xml:space="preserve">programmes </w:t>
      </w:r>
      <w:r w:rsidR="00C56C1C" w:rsidRPr="00022524">
        <w:t xml:space="preserve">which </w:t>
      </w:r>
      <w:r w:rsidRPr="00022524">
        <w:t xml:space="preserve">did not change their </w:t>
      </w:r>
      <w:r w:rsidR="0078533D" w:rsidRPr="00022524">
        <w:t xml:space="preserve">programmes </w:t>
      </w:r>
      <w:r w:rsidRPr="00022524">
        <w:t>after review by the EC (</w:t>
      </w:r>
      <w:r w:rsidR="00C56C1C" w:rsidRPr="00022524">
        <w:t xml:space="preserve">no change: </w:t>
      </w:r>
      <w:r w:rsidRPr="00022524">
        <w:t xml:space="preserve">28% of all ETC </w:t>
      </w:r>
      <w:r w:rsidR="0078533D" w:rsidRPr="00022524">
        <w:t>programmes</w:t>
      </w:r>
      <w:r w:rsidRPr="00022524">
        <w:t>, against 14% of all IGJ</w:t>
      </w:r>
      <w:r w:rsidR="006F7A49" w:rsidRPr="00022524">
        <w:rPr>
          <w:rStyle w:val="FootnoteReference"/>
        </w:rPr>
        <w:footnoteReference w:id="8"/>
      </w:r>
      <w:r w:rsidRPr="00022524">
        <w:t xml:space="preserve"> OPs)</w:t>
      </w:r>
      <w:r w:rsidR="00C56C1C" w:rsidRPr="00022524">
        <w:t>, i</w:t>
      </w:r>
      <w:r w:rsidRPr="00022524">
        <w:t xml:space="preserve">t should be noted that the </w:t>
      </w:r>
      <w:r w:rsidR="006317A3" w:rsidRPr="00022524">
        <w:t xml:space="preserve">web-survey </w:t>
      </w:r>
      <w:r w:rsidRPr="00022524">
        <w:t>is based on adopted and not yet adopted programmes</w:t>
      </w:r>
      <w:r w:rsidR="00753AF0" w:rsidRPr="00022524">
        <w:t xml:space="preserve"> and</w:t>
      </w:r>
      <w:r w:rsidRPr="00022524">
        <w:t xml:space="preserve"> </w:t>
      </w:r>
      <w:r w:rsidR="00C56C1C" w:rsidRPr="00022524">
        <w:t>a significant share of</w:t>
      </w:r>
      <w:r w:rsidRPr="00022524">
        <w:t xml:space="preserve"> ETC programmes </w:t>
      </w:r>
      <w:r w:rsidR="00C56C1C" w:rsidRPr="00022524">
        <w:t>was</w:t>
      </w:r>
      <w:r w:rsidRPr="00022524">
        <w:t xml:space="preserve"> not yet adopted at the time of the </w:t>
      </w:r>
      <w:r w:rsidR="006317A3" w:rsidRPr="00022524">
        <w:t>web-survey</w:t>
      </w:r>
      <w:r w:rsidR="00C8679C" w:rsidRPr="00022524">
        <w:t>, so further changes may still have occurred</w:t>
      </w:r>
      <w:r w:rsidRPr="00022524">
        <w:t xml:space="preserve">. </w:t>
      </w:r>
    </w:p>
    <w:p w14:paraId="32F885EC" w14:textId="2B8BEA91" w:rsidR="004A4810" w:rsidRPr="00022524" w:rsidRDefault="004A4810" w:rsidP="00843DAF">
      <w:pPr>
        <w:pStyle w:val="BulletPoint1"/>
      </w:pPr>
      <w:r w:rsidRPr="00022524">
        <w:t xml:space="preserve">Notably, </w:t>
      </w:r>
      <w:r w:rsidR="00753AF0" w:rsidRPr="00022524">
        <w:t xml:space="preserve">out of all programmes, the </w:t>
      </w:r>
      <w:r w:rsidRPr="00022524">
        <w:t>regional OPs changed their framework most often</w:t>
      </w:r>
      <w:r w:rsidR="00C56C1C" w:rsidRPr="00022524">
        <w:t xml:space="preserve"> as a result of t</w:t>
      </w:r>
      <w:r w:rsidRPr="00022524">
        <w:t xml:space="preserve">he EC </w:t>
      </w:r>
      <w:r w:rsidR="00C56C1C" w:rsidRPr="00022524">
        <w:t xml:space="preserve">review </w:t>
      </w:r>
      <w:r w:rsidR="00F16CA4">
        <w:t>(8</w:t>
      </w:r>
      <w:r w:rsidR="002645C2">
        <w:t>3</w:t>
      </w:r>
      <w:r w:rsidRPr="00022524">
        <w:t>% selected having made some kind of change</w:t>
      </w:r>
      <w:r w:rsidR="0056581B">
        <w:t xml:space="preserve">, i.e. indicators, </w:t>
      </w:r>
      <w:r w:rsidR="0056581B">
        <w:lastRenderedPageBreak/>
        <w:t>targets, milestones or others</w:t>
      </w:r>
      <w:r w:rsidRPr="00022524">
        <w:t xml:space="preserve">). </w:t>
      </w:r>
      <w:r w:rsidR="00B474CE" w:rsidRPr="00022524">
        <w:t>Looking into further details</w:t>
      </w:r>
      <w:r w:rsidRPr="00022524">
        <w:t>, the share of national</w:t>
      </w:r>
      <w:r w:rsidR="00E36325" w:rsidRPr="00022524">
        <w:t xml:space="preserve"> regional development</w:t>
      </w:r>
      <w:r w:rsidRPr="00022524">
        <w:t xml:space="preserve"> OPs that changed milestones and targets (54%) is higher than the share of regional (32%) and </w:t>
      </w:r>
      <w:proofErr w:type="spellStart"/>
      <w:r w:rsidRPr="00022524">
        <w:t>sectoral</w:t>
      </w:r>
      <w:proofErr w:type="spellEnd"/>
      <w:r w:rsidR="00052371">
        <w:rPr>
          <w:rStyle w:val="FootnoteReference"/>
        </w:rPr>
        <w:footnoteReference w:id="9"/>
      </w:r>
      <w:r w:rsidRPr="00022524">
        <w:t xml:space="preserve"> OPs (30%). </w:t>
      </w:r>
    </w:p>
    <w:p w14:paraId="0336819C" w14:textId="77777777" w:rsidR="004A4810" w:rsidRPr="00022524" w:rsidRDefault="004A4810" w:rsidP="00843DAF">
      <w:pPr>
        <w:pStyle w:val="BulletPoint1"/>
      </w:pPr>
      <w:r w:rsidRPr="00022524">
        <w:t xml:space="preserve">The share of programmes </w:t>
      </w:r>
      <w:r w:rsidR="00753AF0" w:rsidRPr="00022524">
        <w:t xml:space="preserve">in which </w:t>
      </w:r>
      <w:r w:rsidRPr="00022524">
        <w:t>parts of the framework have changed after review by the Commission is slightly higher for multi-fund programmes than for single fund programmes. For both types of programmes</w:t>
      </w:r>
      <w:r w:rsidR="00753AF0" w:rsidRPr="00022524">
        <w:t>,</w:t>
      </w:r>
      <w:r w:rsidRPr="00022524">
        <w:t xml:space="preserve"> </w:t>
      </w:r>
      <w:r w:rsidR="0085182E" w:rsidRPr="00022524">
        <w:t xml:space="preserve">values of </w:t>
      </w:r>
      <w:r w:rsidRPr="00022524">
        <w:t>milestones and targets were amended most often. The share of programmes where indicators</w:t>
      </w:r>
      <w:r w:rsidR="0085182E" w:rsidRPr="00022524">
        <w:t xml:space="preserve"> and</w:t>
      </w:r>
      <w:r w:rsidRPr="00022524">
        <w:t xml:space="preserve"> </w:t>
      </w:r>
      <w:r w:rsidR="0085182E" w:rsidRPr="00022524">
        <w:t xml:space="preserve">values of </w:t>
      </w:r>
      <w:r w:rsidRPr="00022524">
        <w:t>milestones and targets were amended is higher for multi-fund programmes (25%) than for mono-fund programmes (17%).</w:t>
      </w:r>
    </w:p>
    <w:p w14:paraId="5D16ED1A" w14:textId="434A4AF8" w:rsidR="00843DAF" w:rsidRPr="00022524" w:rsidRDefault="00C2042A" w:rsidP="00843DAF">
      <w:pPr>
        <w:pStyle w:val="BulletPoint1"/>
      </w:pPr>
      <w:r w:rsidRPr="00022524">
        <w:t>Programmes</w:t>
      </w:r>
      <w:r w:rsidR="004A4810" w:rsidRPr="00022524">
        <w:t xml:space="preserve"> with other complex priorities (multi-category and multi-thematic) more often changed their performance frameworks when compared to the EU average. </w:t>
      </w:r>
    </w:p>
    <w:p w14:paraId="5392D776" w14:textId="69723074" w:rsidR="004A4810" w:rsidRPr="00022524" w:rsidRDefault="004A4810" w:rsidP="00843DAF">
      <w:pPr>
        <w:pStyle w:val="BulletPoint1"/>
      </w:pPr>
      <w:r w:rsidRPr="00022524">
        <w:t xml:space="preserve">90% of the multi-category </w:t>
      </w:r>
      <w:r w:rsidR="00C2042A" w:rsidRPr="00022524">
        <w:t xml:space="preserve">programmes </w:t>
      </w:r>
      <w:r w:rsidRPr="00022524">
        <w:t xml:space="preserve">and 75% of the multi-thematic </w:t>
      </w:r>
      <w:r w:rsidR="00C2042A" w:rsidRPr="00022524">
        <w:t xml:space="preserve">programmes </w:t>
      </w:r>
      <w:r w:rsidRPr="00022524">
        <w:t xml:space="preserve">changed parts of the framework after review by the Commission. The large share of changes for multi-category </w:t>
      </w:r>
      <w:r w:rsidR="00C2042A" w:rsidRPr="00022524">
        <w:t xml:space="preserve">programmes </w:t>
      </w:r>
      <w:r w:rsidRPr="00022524">
        <w:t xml:space="preserve">is mainly due to a large share of </w:t>
      </w:r>
      <w:r w:rsidR="00C2042A" w:rsidRPr="00022524">
        <w:t>programme</w:t>
      </w:r>
      <w:r w:rsidRPr="00022524">
        <w:t>s where both the milestones and targets have been amended.</w:t>
      </w:r>
    </w:p>
    <w:p w14:paraId="4360B29E" w14:textId="77777777" w:rsidR="00A84655" w:rsidRPr="00022524" w:rsidRDefault="004A4810" w:rsidP="00502EE1">
      <w:pPr>
        <w:pStyle w:val="BulletPoint1"/>
      </w:pPr>
      <w:r w:rsidRPr="00022524">
        <w:t xml:space="preserve">In all Member States amending </w:t>
      </w:r>
      <w:r w:rsidR="0085182E" w:rsidRPr="00022524">
        <w:t xml:space="preserve">values of </w:t>
      </w:r>
      <w:r w:rsidRPr="00022524">
        <w:t xml:space="preserve">milestones and targets is indicated </w:t>
      </w:r>
      <w:r w:rsidR="00753AF0" w:rsidRPr="00022524">
        <w:t xml:space="preserve">as </w:t>
      </w:r>
      <w:r w:rsidRPr="00022524">
        <w:t>the most frequent to have changed after review by the EC</w:t>
      </w:r>
      <w:r w:rsidR="003F3BAA" w:rsidRPr="00022524">
        <w:t>. Romania was found to be the exception, w</w:t>
      </w:r>
      <w:r w:rsidRPr="00022524">
        <w:t>here more OPs indicated no change. Additionally, in Poland a significant</w:t>
      </w:r>
      <w:r w:rsidR="003F3BAA" w:rsidRPr="00022524">
        <w:t>ly</w:t>
      </w:r>
      <w:r w:rsidRPr="00022524">
        <w:t xml:space="preserve"> higher share of OPs changed their indicators after review by the Commission when compared to EU averages (28% compared to 15%).</w:t>
      </w:r>
    </w:p>
    <w:p w14:paraId="6FB12EB0" w14:textId="77777777" w:rsidR="00A84655" w:rsidRPr="00022524" w:rsidRDefault="00A84655" w:rsidP="00A84655">
      <w:pPr>
        <w:pStyle w:val="Body"/>
        <w:pBdr>
          <w:bottom w:val="single" w:sz="4" w:space="3" w:color="004696"/>
        </w:pBdr>
        <w:spacing w:line="216" w:lineRule="exact"/>
        <w:outlineLvl w:val="0"/>
        <w:rPr>
          <w:i/>
        </w:rPr>
      </w:pPr>
      <w:r w:rsidRPr="00022524">
        <w:rPr>
          <w:i/>
        </w:rPr>
        <w:t xml:space="preserve">Role and influence of dialogue between programmes </w:t>
      </w:r>
    </w:p>
    <w:p w14:paraId="7B59073A" w14:textId="77777777" w:rsidR="00697350" w:rsidRPr="00022524" w:rsidRDefault="00697350" w:rsidP="00697350">
      <w:pPr>
        <w:pStyle w:val="Body"/>
      </w:pPr>
      <w:r w:rsidRPr="00022524">
        <w:t>The</w:t>
      </w:r>
      <w:r w:rsidR="006317A3" w:rsidRPr="00022524">
        <w:t xml:space="preserve"> web-survey</w:t>
      </w:r>
      <w:r w:rsidRPr="00022524">
        <w:t xml:space="preserve"> also identified the relevance of interaction </w:t>
      </w:r>
      <w:r w:rsidR="00ED74BD" w:rsidRPr="00022524">
        <w:t xml:space="preserve">between </w:t>
      </w:r>
      <w:r w:rsidR="00843DAF" w:rsidRPr="00022524">
        <w:t>programmes</w:t>
      </w:r>
      <w:r w:rsidR="00ED74BD" w:rsidRPr="00022524">
        <w:t xml:space="preserve"> in the same Member State</w:t>
      </w:r>
      <w:r w:rsidR="003F3BAA" w:rsidRPr="00022524">
        <w:t>. These interactions</w:t>
      </w:r>
      <w:r w:rsidR="00ED74BD" w:rsidRPr="00022524">
        <w:t xml:space="preserve"> consisted mostly o</w:t>
      </w:r>
      <w:r w:rsidR="003F3BAA" w:rsidRPr="00022524">
        <w:t>f</w:t>
      </w:r>
      <w:r w:rsidR="00ED74BD" w:rsidRPr="00022524">
        <w:t xml:space="preserve"> frequent discussions (25%) and information exchange (35%). </w:t>
      </w:r>
      <w:r w:rsidRPr="00022524">
        <w:t xml:space="preserve">This was also confirmed during the interviews, as </w:t>
      </w:r>
      <w:r w:rsidR="003F3BAA" w:rsidRPr="00022524">
        <w:t>for example</w:t>
      </w:r>
      <w:r w:rsidRPr="00022524">
        <w:t xml:space="preserve"> in the Netherlands</w:t>
      </w:r>
      <w:r w:rsidR="003F3BAA" w:rsidRPr="00022524">
        <w:t xml:space="preserve"> where</w:t>
      </w:r>
      <w:r w:rsidRPr="00022524">
        <w:t xml:space="preserve"> the level of interaction to draft the performance framework concentrated mainly on the interactions with the EC and other Dutch OPs. </w:t>
      </w:r>
    </w:p>
    <w:p w14:paraId="21772E7D" w14:textId="136F8E3F" w:rsidR="00ED74BD" w:rsidRPr="00022524" w:rsidRDefault="00C2042A" w:rsidP="00ED74BD">
      <w:pPr>
        <w:pStyle w:val="Body"/>
      </w:pPr>
      <w:r w:rsidRPr="00022524">
        <w:t xml:space="preserve">Programmes </w:t>
      </w:r>
      <w:r w:rsidR="00ED74BD" w:rsidRPr="00022524">
        <w:t xml:space="preserve">had limited interaction laterally with </w:t>
      </w:r>
      <w:r w:rsidRPr="00022524">
        <w:t xml:space="preserve">programmes </w:t>
      </w:r>
      <w:r w:rsidR="00ED74BD" w:rsidRPr="00022524">
        <w:t>in other Member States</w:t>
      </w:r>
      <w:r w:rsidR="003F3BAA" w:rsidRPr="00022524">
        <w:t>.</w:t>
      </w:r>
      <w:r w:rsidR="00ED74BD" w:rsidRPr="00022524">
        <w:t xml:space="preserve"> When this form of interaction </w:t>
      </w:r>
      <w:r w:rsidR="003F3BAA" w:rsidRPr="00022524">
        <w:t>is concerned</w:t>
      </w:r>
      <w:r w:rsidR="00ED74BD" w:rsidRPr="00022524">
        <w:t>, it is mostly occasional discussions and occasional information exchange</w:t>
      </w:r>
      <w:r w:rsidR="003F3BAA" w:rsidRPr="00022524">
        <w:t xml:space="preserve">. </w:t>
      </w:r>
      <w:r w:rsidR="003156F8" w:rsidRPr="00022524">
        <w:t>The</w:t>
      </w:r>
      <w:r w:rsidR="003F3BAA" w:rsidRPr="00022524">
        <w:t xml:space="preserve"> exception </w:t>
      </w:r>
      <w:r w:rsidR="003156F8" w:rsidRPr="00022524">
        <w:t xml:space="preserve">to this is </w:t>
      </w:r>
      <w:r w:rsidR="00697350" w:rsidRPr="00022524">
        <w:t>Lithuania</w:t>
      </w:r>
      <w:r w:rsidR="003156F8" w:rsidRPr="00022524">
        <w:t>,</w:t>
      </w:r>
      <w:r w:rsidR="003F3BAA" w:rsidRPr="00022524">
        <w:t xml:space="preserve"> where</w:t>
      </w:r>
      <w:r w:rsidR="00697350" w:rsidRPr="00022524">
        <w:t xml:space="preserve"> occasional information exchange</w:t>
      </w:r>
      <w:r w:rsidR="00420E4C">
        <w:t>s</w:t>
      </w:r>
      <w:r w:rsidR="00697350" w:rsidRPr="00022524">
        <w:t xml:space="preserve"> and ad hoc discussions with representatives of OPs in other Member States were also </w:t>
      </w:r>
      <w:r w:rsidR="003156F8" w:rsidRPr="00022524">
        <w:t xml:space="preserve">reported to be </w:t>
      </w:r>
      <w:r w:rsidR="00697350" w:rsidRPr="00022524">
        <w:t xml:space="preserve">held </w:t>
      </w:r>
      <w:r w:rsidR="003F3BAA" w:rsidRPr="00022524">
        <w:t xml:space="preserve">on </w:t>
      </w:r>
      <w:r w:rsidR="00697350" w:rsidRPr="00022524">
        <w:t>various occasions.</w:t>
      </w:r>
    </w:p>
    <w:p w14:paraId="743F32F8" w14:textId="77777777" w:rsidR="00697350" w:rsidRPr="00022524" w:rsidRDefault="00697350" w:rsidP="00697350">
      <w:pPr>
        <w:pStyle w:val="Body"/>
      </w:pPr>
      <w:r w:rsidRPr="00022524">
        <w:t>The interviews and desk research identified that other national bodies, intermediate bodies, line ministries and line departments where partly involved in cases where they were responsible for more specific parts of the programme, as e.g. in some German programmes or in Sweden. In Sweden, the MA has received help from various governmental agencies when developing the performance framework (e.g. Swedish Energy Agency regarding indicators on CO</w:t>
      </w:r>
      <w:r w:rsidRPr="00022524">
        <w:rPr>
          <w:vertAlign w:val="subscript"/>
        </w:rPr>
        <w:t>2</w:t>
      </w:r>
      <w:r w:rsidRPr="00022524">
        <w:t xml:space="preserve"> emissions).</w:t>
      </w:r>
    </w:p>
    <w:p w14:paraId="379351D3" w14:textId="77777777" w:rsidR="00697350" w:rsidRPr="00022524" w:rsidRDefault="003C4F66" w:rsidP="00ED74BD">
      <w:pPr>
        <w:pStyle w:val="Body"/>
      </w:pPr>
      <w:r w:rsidRPr="00022524">
        <w:t>In a nutshell, when</w:t>
      </w:r>
      <w:r w:rsidR="00697350" w:rsidRPr="00022524">
        <w:t xml:space="preserve"> differentiating by cohesion policy objective, fund, category of region and thematic orientation</w:t>
      </w:r>
      <w:r w:rsidR="003F3BAA" w:rsidRPr="00022524">
        <w:t>,</w:t>
      </w:r>
      <w:r w:rsidR="00697350" w:rsidRPr="00022524">
        <w:t xml:space="preserve"> it can be recognised that:</w:t>
      </w:r>
    </w:p>
    <w:p w14:paraId="29B6DDB3" w14:textId="77777777" w:rsidR="00843DAF" w:rsidRPr="00022524" w:rsidRDefault="00ED74BD" w:rsidP="00697350">
      <w:pPr>
        <w:pStyle w:val="BulletPoint1"/>
      </w:pPr>
      <w:r w:rsidRPr="00022524">
        <w:rPr>
          <w:iCs/>
        </w:rPr>
        <w:t>Differentiating by cohesion policy goal</w:t>
      </w:r>
      <w:r w:rsidRPr="00022524">
        <w:t xml:space="preserve"> shows only minor differences in the level of interaction regarding the Commission, national coordination and other OPs in the same country. The level of interaction with OPs in other countries, in both cases, is low, although slightly higher for programmes under the ETC goal. These programmes also have more interaction with the Commission requesting guidance and in the form of occasional discussions. </w:t>
      </w:r>
    </w:p>
    <w:p w14:paraId="6763F1E5" w14:textId="77777777" w:rsidR="00843DAF" w:rsidRPr="00022524" w:rsidRDefault="00ED74BD" w:rsidP="00697350">
      <w:pPr>
        <w:pStyle w:val="BulletPoint1"/>
      </w:pPr>
      <w:r w:rsidRPr="00022524">
        <w:t xml:space="preserve">The share of ETC programmes that had occasional informal exchange with other programmes in the same country is higher than for OPs under IGJ goal. </w:t>
      </w:r>
    </w:p>
    <w:p w14:paraId="0043BE2E" w14:textId="77777777" w:rsidR="00ED74BD" w:rsidRPr="00022524" w:rsidRDefault="00ED74BD" w:rsidP="00697350">
      <w:pPr>
        <w:pStyle w:val="BulletPoint1"/>
      </w:pPr>
      <w:r w:rsidRPr="00022524">
        <w:t>A higher share of these (IGJ) OPs request</w:t>
      </w:r>
      <w:r w:rsidR="00A036FF" w:rsidRPr="00022524">
        <w:t>ed</w:t>
      </w:r>
      <w:r w:rsidRPr="00022524">
        <w:t xml:space="preserve"> guidance at the level of national coordination and a larger share of IGJ OPs have frequent discussions with other OPs in the same country.</w:t>
      </w:r>
    </w:p>
    <w:p w14:paraId="41E391F9" w14:textId="50AB1751" w:rsidR="00ED74BD" w:rsidRPr="00022524" w:rsidRDefault="00ED74BD" w:rsidP="00697350">
      <w:pPr>
        <w:pStyle w:val="BulletPoint1"/>
      </w:pPr>
      <w:r w:rsidRPr="00022524">
        <w:rPr>
          <w:iCs/>
        </w:rPr>
        <w:t>Differentiating by multi and single fund programmes</w:t>
      </w:r>
      <w:r w:rsidRPr="00022524">
        <w:t xml:space="preserve"> shows that multi-fund programmes tend to request guidance from the national coordinator more frequently than single fund programmes (60% against 29%). The level of interaction of single and multi-fund programmes with the national coordination body is high, comparable with the EU-level pattern. Although, single fund programmes have discussions with the national coordinator less frequently and less </w:t>
      </w:r>
      <w:r w:rsidR="00C2042A" w:rsidRPr="00022524">
        <w:t>programmes</w:t>
      </w:r>
      <w:r w:rsidRPr="00022524">
        <w:t xml:space="preserve"> develop the frameworks jointly with the national </w:t>
      </w:r>
      <w:r w:rsidRPr="00022524">
        <w:lastRenderedPageBreak/>
        <w:t xml:space="preserve">coordinator. Single fund programmes interact more with the Commission and more often develop the frameworks jointly with other </w:t>
      </w:r>
      <w:r w:rsidR="00C2042A" w:rsidRPr="00022524">
        <w:t>programme</w:t>
      </w:r>
      <w:r w:rsidRPr="00022524">
        <w:t xml:space="preserve">s in the same country. </w:t>
      </w:r>
    </w:p>
    <w:p w14:paraId="5263DE31" w14:textId="7BAC5078" w:rsidR="00ED74BD" w:rsidRPr="00022524" w:rsidRDefault="00ED74BD" w:rsidP="00697350">
      <w:pPr>
        <w:pStyle w:val="BulletPoint1"/>
      </w:pPr>
      <w:r w:rsidRPr="00022524">
        <w:rPr>
          <w:iCs/>
        </w:rPr>
        <w:t>Multi-category and multi-thematic programmes</w:t>
      </w:r>
      <w:r w:rsidRPr="00022524">
        <w:t xml:space="preserve"> largely follow the overall EU pattern. The types of programmes which seem to interact less with other </w:t>
      </w:r>
      <w:r w:rsidR="00C2042A" w:rsidRPr="00022524">
        <w:t xml:space="preserve">programmes </w:t>
      </w:r>
      <w:r w:rsidRPr="00022524">
        <w:t xml:space="preserve">in the same Member State have more interaction with the national coordinator. These types of programmes develop the performance frameworks jointly, to a large degree, with the national coordinator. This is true for 89% of the multi-category programmes and 96% of the multi-thematic </w:t>
      </w:r>
      <w:r w:rsidR="00C2042A" w:rsidRPr="00022524">
        <w:t>programme</w:t>
      </w:r>
      <w:r w:rsidRPr="00022524">
        <w:t xml:space="preserve">s. </w:t>
      </w:r>
    </w:p>
    <w:p w14:paraId="5C4FD2C5" w14:textId="77777777" w:rsidR="00843DAF" w:rsidRPr="00022524" w:rsidRDefault="00697350" w:rsidP="00697350">
      <w:pPr>
        <w:pStyle w:val="Body"/>
      </w:pPr>
      <w:r w:rsidRPr="00022524">
        <w:t xml:space="preserve">This was particularly highlighted </w:t>
      </w:r>
      <w:r w:rsidR="003F3BAA" w:rsidRPr="00022524">
        <w:t xml:space="preserve">through </w:t>
      </w:r>
      <w:r w:rsidRPr="00022524">
        <w:t xml:space="preserve">interviews in Austria, Cyprus, Estonia, France and Greece. </w:t>
      </w:r>
    </w:p>
    <w:p w14:paraId="7D55A8A7" w14:textId="77777777" w:rsidR="00A616C3" w:rsidRPr="00022524" w:rsidRDefault="00A616C3" w:rsidP="00502EE1">
      <w:pPr>
        <w:pStyle w:val="Body"/>
        <w:pBdr>
          <w:bottom w:val="single" w:sz="4" w:space="3" w:color="004696"/>
        </w:pBdr>
        <w:spacing w:line="216" w:lineRule="exact"/>
        <w:outlineLvl w:val="0"/>
        <w:rPr>
          <w:i/>
        </w:rPr>
      </w:pPr>
      <w:r w:rsidRPr="00022524">
        <w:rPr>
          <w:i/>
        </w:rPr>
        <w:t xml:space="preserve">Conclusions  </w:t>
      </w:r>
    </w:p>
    <w:p w14:paraId="5A340DBF" w14:textId="111796B4" w:rsidR="00E75F7D" w:rsidRPr="00022524" w:rsidRDefault="00E75F7D" w:rsidP="00E75F7D">
      <w:pPr>
        <w:pStyle w:val="Body"/>
      </w:pPr>
      <w:bookmarkStart w:id="42" w:name="_Toc432346782"/>
      <w:bookmarkStart w:id="43" w:name="_Toc432402033"/>
      <w:bookmarkStart w:id="44" w:name="_Toc432404533"/>
      <w:bookmarkStart w:id="45" w:name="_Toc432408044"/>
      <w:bookmarkStart w:id="46" w:name="_Toc432408837"/>
      <w:bookmarkStart w:id="47" w:name="_Toc432422551"/>
      <w:bookmarkStart w:id="48" w:name="_Toc429671056"/>
      <w:bookmarkStart w:id="49" w:name="_Toc432600857"/>
      <w:bookmarkStart w:id="50" w:name="_Ref433023468"/>
      <w:bookmarkEnd w:id="42"/>
      <w:bookmarkEnd w:id="43"/>
      <w:bookmarkEnd w:id="44"/>
      <w:bookmarkEnd w:id="45"/>
      <w:bookmarkEnd w:id="46"/>
      <w:bookmarkEnd w:id="47"/>
      <w:r w:rsidRPr="00022524">
        <w:t xml:space="preserve">Concluding, the analysis highlights not only the </w:t>
      </w:r>
      <w:r w:rsidR="00855153" w:rsidRPr="00022524">
        <w:t>importance</w:t>
      </w:r>
      <w:r w:rsidRPr="00022524">
        <w:t xml:space="preserve"> of central coordination but also the EC’s influence on the review of</w:t>
      </w:r>
      <w:r w:rsidR="00D43D9D" w:rsidRPr="00022524">
        <w:t xml:space="preserve"> the</w:t>
      </w:r>
      <w:r w:rsidRPr="00022524">
        <w:t xml:space="preserve"> performance frameworks. Multi-fund programmes as well as </w:t>
      </w:r>
      <w:r w:rsidR="00C2042A" w:rsidRPr="00022524">
        <w:t xml:space="preserve">programmes </w:t>
      </w:r>
      <w:r w:rsidRPr="00022524">
        <w:t xml:space="preserve">with complex priorities have notably more often changed their performance frameworks based on EC dialogue when compared to the EU average. Modifications are recognisable for all EU MS except Romania. </w:t>
      </w:r>
      <w:r w:rsidR="00D43D9D" w:rsidRPr="00022524">
        <w:t>Apart from the</w:t>
      </w:r>
      <w:r w:rsidRPr="00022524">
        <w:t xml:space="preserve"> strong role of ex-ante evaluators in reviewing and modifying the performance frameworks, interaction with </w:t>
      </w:r>
      <w:r w:rsidR="00C2042A" w:rsidRPr="00022524">
        <w:t>programme</w:t>
      </w:r>
      <w:r w:rsidRPr="00022524">
        <w:t>s in the same MS</w:t>
      </w:r>
      <w:r w:rsidR="00D43D9D" w:rsidRPr="00022524">
        <w:t>,</w:t>
      </w:r>
      <w:r w:rsidRPr="00022524">
        <w:t xml:space="preserve"> and in other MS</w:t>
      </w:r>
      <w:r w:rsidR="00D43D9D" w:rsidRPr="00022524">
        <w:t>,</w:t>
      </w:r>
      <w:r w:rsidRPr="00022524">
        <w:t xml:space="preserve"> </w:t>
      </w:r>
      <w:r w:rsidR="00D43D9D" w:rsidRPr="00022524">
        <w:t>was only occasional</w:t>
      </w:r>
      <w:r w:rsidRPr="00022524">
        <w:t xml:space="preserve">. </w:t>
      </w:r>
      <w:r w:rsidR="00D43D9D" w:rsidRPr="00022524">
        <w:t>Modifications</w:t>
      </w:r>
      <w:r w:rsidR="00D97250" w:rsidRPr="00022524">
        <w:t xml:space="preserve"> after review </w:t>
      </w:r>
      <w:r w:rsidR="00D43D9D" w:rsidRPr="00022524">
        <w:t xml:space="preserve">by </w:t>
      </w:r>
      <w:r w:rsidR="00D97250" w:rsidRPr="00022524">
        <w:t>different stakeholders</w:t>
      </w:r>
      <w:r w:rsidR="00D43D9D" w:rsidRPr="00022524">
        <w:t>,</w:t>
      </w:r>
      <w:r w:rsidR="00D97250" w:rsidRPr="00022524">
        <w:t xml:space="preserve"> such as the EC or ex-ante evaluators</w:t>
      </w:r>
      <w:r w:rsidR="00D43D9D" w:rsidRPr="00022524">
        <w:t>,</w:t>
      </w:r>
      <w:r w:rsidR="00D97250" w:rsidRPr="00022524">
        <w:t xml:space="preserve"> underlines the new aspect of performance frameworks</w:t>
      </w:r>
      <w:r w:rsidR="001E04FB" w:rsidRPr="00022524">
        <w:t xml:space="preserve"> as </w:t>
      </w:r>
      <w:r w:rsidR="00D97250" w:rsidRPr="00022524">
        <w:t>a mandatory element of 2014-2020 ESIF,</w:t>
      </w:r>
      <w:r w:rsidR="001E04FB" w:rsidRPr="00022524">
        <w:t xml:space="preserve"> and the </w:t>
      </w:r>
      <w:r w:rsidR="00D97250" w:rsidRPr="00022524">
        <w:t>importance of indicators, milestones and targets</w:t>
      </w:r>
      <w:r w:rsidR="00D43D9D" w:rsidRPr="00022524">
        <w:t xml:space="preserve"> </w:t>
      </w:r>
      <w:r w:rsidR="001E04FB" w:rsidRPr="00022524">
        <w:t>being</w:t>
      </w:r>
      <w:r w:rsidR="00D43D9D" w:rsidRPr="00022524">
        <w:t xml:space="preserve"> even more pronounced</w:t>
      </w:r>
      <w:r w:rsidR="00D97250" w:rsidRPr="00022524">
        <w:t>.</w:t>
      </w:r>
    </w:p>
    <w:p w14:paraId="1A0034A0" w14:textId="77777777" w:rsidR="00ED74BD" w:rsidRPr="00022524" w:rsidRDefault="00ED74BD" w:rsidP="00A0452B">
      <w:pPr>
        <w:pStyle w:val="Heading2"/>
        <w:rPr>
          <w:rStyle w:val="Heading2Char0"/>
          <w:b/>
          <w:i w:val="0"/>
        </w:rPr>
      </w:pPr>
      <w:bookmarkStart w:id="51" w:name="_Ref433226703"/>
      <w:bookmarkStart w:id="52" w:name="_Toc433973094"/>
      <w:bookmarkStart w:id="53" w:name="_Toc433973192"/>
      <w:bookmarkStart w:id="54" w:name="_Toc448144107"/>
      <w:r w:rsidRPr="00022524">
        <w:t xml:space="preserve">Specific challenges and role of guiding documents for complex priorities </w:t>
      </w:r>
      <w:r w:rsidRPr="00022524">
        <w:rPr>
          <w:rStyle w:val="Heading2Char0"/>
          <w:b/>
          <w:i w:val="0"/>
        </w:rPr>
        <w:t>and specific delivery modes</w:t>
      </w:r>
      <w:bookmarkEnd w:id="48"/>
      <w:bookmarkEnd w:id="49"/>
      <w:bookmarkEnd w:id="50"/>
      <w:bookmarkEnd w:id="51"/>
      <w:bookmarkEnd w:id="52"/>
      <w:bookmarkEnd w:id="53"/>
      <w:bookmarkEnd w:id="54"/>
      <w:r w:rsidRPr="00022524">
        <w:rPr>
          <w:rStyle w:val="Heading2Char0"/>
          <w:b/>
          <w:i w:val="0"/>
        </w:rPr>
        <w:t xml:space="preserve"> </w:t>
      </w:r>
    </w:p>
    <w:p w14:paraId="14EFA89B" w14:textId="77777777" w:rsidR="00E61524" w:rsidRPr="00022524" w:rsidRDefault="00E61524" w:rsidP="00ED74BD">
      <w:pPr>
        <w:pStyle w:val="Body"/>
      </w:pPr>
      <w:r w:rsidRPr="00022524">
        <w:t>This section examines more particularly the specific cases of complex priority axes and priority axes covering specific delivery modes.</w:t>
      </w:r>
    </w:p>
    <w:p w14:paraId="49240AEA" w14:textId="77777777" w:rsidR="00A22853" w:rsidRPr="00022524" w:rsidRDefault="00A22853" w:rsidP="00E61524">
      <w:pPr>
        <w:pStyle w:val="Body"/>
        <w:pBdr>
          <w:bottom w:val="single" w:sz="4" w:space="3" w:color="004696"/>
        </w:pBdr>
        <w:spacing w:line="216" w:lineRule="exact"/>
        <w:outlineLvl w:val="0"/>
        <w:rPr>
          <w:i/>
        </w:rPr>
      </w:pPr>
      <w:bookmarkStart w:id="55" w:name="_Toc433973095"/>
      <w:r w:rsidRPr="00022524">
        <w:rPr>
          <w:i/>
        </w:rPr>
        <w:t>Complex priorities</w:t>
      </w:r>
      <w:bookmarkEnd w:id="55"/>
      <w:r w:rsidRPr="00022524">
        <w:rPr>
          <w:i/>
        </w:rPr>
        <w:t xml:space="preserve"> </w:t>
      </w:r>
    </w:p>
    <w:p w14:paraId="06C38D3A" w14:textId="77777777" w:rsidR="007B51C4" w:rsidRPr="00022524" w:rsidRDefault="007B51C4" w:rsidP="007B51C4">
      <w:pPr>
        <w:pStyle w:val="Body"/>
      </w:pPr>
      <w:r w:rsidRPr="00022524">
        <w:t>Programmes consist of priority axes, “which concern one Fund, one category of region," and "correspond (…), to a thematic objective and comprise one or more of the investment priorities of that thematic objective” (Regulation (EU) 1303/2013, Article 96). However, the Regulation allows for some exceptions from this principle to increase impacts and effectiveness of priority axes. By consequence there can be:</w:t>
      </w:r>
    </w:p>
    <w:p w14:paraId="170D91DC" w14:textId="0A6CCB71" w:rsidR="007B51C4" w:rsidRPr="00022524" w:rsidRDefault="00DA7557" w:rsidP="007B51C4">
      <w:pPr>
        <w:pStyle w:val="BulletPoint1"/>
        <w:ind w:left="527" w:hanging="357"/>
      </w:pPr>
      <w:proofErr w:type="spellStart"/>
      <w:r>
        <w:t>PAx</w:t>
      </w:r>
      <w:proofErr w:type="spellEnd"/>
      <w:r w:rsidR="007B51C4" w:rsidRPr="00022524">
        <w:t xml:space="preserve"> concerning more than one category of region</w:t>
      </w:r>
    </w:p>
    <w:p w14:paraId="7EA169B4" w14:textId="0AC56B45" w:rsidR="007B51C4" w:rsidRPr="00022524" w:rsidRDefault="00DA7557" w:rsidP="007B51C4">
      <w:pPr>
        <w:pStyle w:val="BulletPoint1"/>
        <w:ind w:left="527" w:hanging="357"/>
      </w:pPr>
      <w:proofErr w:type="spellStart"/>
      <w:r>
        <w:t>PAx</w:t>
      </w:r>
      <w:proofErr w:type="spellEnd"/>
      <w:r w:rsidR="007B51C4" w:rsidRPr="00022524">
        <w:t xml:space="preserve"> covering more than one Fund </w:t>
      </w:r>
    </w:p>
    <w:p w14:paraId="116114DB" w14:textId="52B0F8E7" w:rsidR="007B51C4" w:rsidRPr="00022524" w:rsidRDefault="00DA7557" w:rsidP="007B51C4">
      <w:pPr>
        <w:pStyle w:val="BulletPoint1"/>
        <w:ind w:left="527" w:hanging="357"/>
      </w:pPr>
      <w:proofErr w:type="spellStart"/>
      <w:r>
        <w:t>PAx</w:t>
      </w:r>
      <w:proofErr w:type="spellEnd"/>
      <w:r w:rsidR="007B51C4" w:rsidRPr="00022524">
        <w:t xml:space="preserve"> comprising of one or more investment priorities from different thematic objectives </w:t>
      </w:r>
    </w:p>
    <w:p w14:paraId="5469CFC7" w14:textId="6A4990A7" w:rsidR="00E61524" w:rsidRPr="00022524" w:rsidRDefault="009879D0" w:rsidP="00E61524">
      <w:pPr>
        <w:pStyle w:val="Body"/>
      </w:pPr>
      <w:r w:rsidRPr="00022524">
        <w:t>T</w:t>
      </w:r>
      <w:r w:rsidR="007B51C4" w:rsidRPr="00022524">
        <w:t xml:space="preserve">here can </w:t>
      </w:r>
      <w:r w:rsidRPr="00022524">
        <w:t xml:space="preserve">also </w:t>
      </w:r>
      <w:r w:rsidR="007B51C4" w:rsidRPr="00022524">
        <w:t xml:space="preserve">be </w:t>
      </w:r>
      <w:proofErr w:type="spellStart"/>
      <w:r w:rsidR="00DA7557">
        <w:t>PAx</w:t>
      </w:r>
      <w:proofErr w:type="spellEnd"/>
      <w:r w:rsidR="007B51C4" w:rsidRPr="00022524">
        <w:t>, which combine two or even three of the above-listed possibilities.</w:t>
      </w:r>
    </w:p>
    <w:tbl>
      <w:tblPr>
        <w:tblW w:w="9211" w:type="dxa"/>
        <w:shd w:val="clear" w:color="auto" w:fill="E6E6FA"/>
        <w:tblLayout w:type="fixed"/>
        <w:tblCellMar>
          <w:left w:w="57" w:type="dxa"/>
          <w:right w:w="57" w:type="dxa"/>
        </w:tblCellMar>
        <w:tblLook w:val="04A0" w:firstRow="1" w:lastRow="0" w:firstColumn="1" w:lastColumn="0" w:noHBand="0" w:noVBand="1"/>
      </w:tblPr>
      <w:tblGrid>
        <w:gridCol w:w="9211"/>
      </w:tblGrid>
      <w:tr w:rsidR="00E61524" w:rsidRPr="00767075" w14:paraId="6CC2A520" w14:textId="77777777" w:rsidTr="007B51C4">
        <w:tc>
          <w:tcPr>
            <w:tcW w:w="9211" w:type="dxa"/>
            <w:shd w:val="clear" w:color="auto" w:fill="E6E6FA"/>
          </w:tcPr>
          <w:p w14:paraId="7A54E44C" w14:textId="77777777" w:rsidR="00E61524" w:rsidRPr="00022524" w:rsidRDefault="00E61524" w:rsidP="007B51C4">
            <w:pPr>
              <w:pStyle w:val="Body"/>
              <w:keepNext/>
              <w:spacing w:before="120" w:after="60"/>
              <w:rPr>
                <w:b/>
                <w:color w:val="004696"/>
                <w:szCs w:val="18"/>
              </w:rPr>
            </w:pPr>
            <w:r w:rsidRPr="00022524">
              <w:rPr>
                <w:b/>
                <w:color w:val="004696"/>
                <w:szCs w:val="18"/>
              </w:rPr>
              <w:t>Multi-region programme</w:t>
            </w:r>
            <w:r w:rsidR="009879D0" w:rsidRPr="00022524">
              <w:rPr>
                <w:b/>
                <w:color w:val="004696"/>
                <w:szCs w:val="18"/>
              </w:rPr>
              <w:t xml:space="preserve"> with multi-region PAs</w:t>
            </w:r>
            <w:r w:rsidRPr="00022524">
              <w:rPr>
                <w:b/>
                <w:color w:val="004696"/>
                <w:szCs w:val="18"/>
              </w:rPr>
              <w:t>, example</w:t>
            </w:r>
          </w:p>
          <w:p w14:paraId="25C7441A" w14:textId="233F5599" w:rsidR="00E61524" w:rsidRPr="00022524" w:rsidRDefault="00E61524" w:rsidP="007B51C4">
            <w:pPr>
              <w:pStyle w:val="Body"/>
              <w:spacing w:before="60" w:after="60"/>
            </w:pPr>
            <w:r w:rsidRPr="00022524">
              <w:t xml:space="preserve">For multi region programmes it needs to be considered that not all </w:t>
            </w:r>
            <w:proofErr w:type="spellStart"/>
            <w:r w:rsidR="00DA7557">
              <w:t>PAx</w:t>
            </w:r>
            <w:proofErr w:type="spellEnd"/>
            <w:r w:rsidRPr="00022524">
              <w:t xml:space="preserve"> of a </w:t>
            </w:r>
            <w:r w:rsidR="0093312F" w:rsidRPr="00022524">
              <w:t>multi-region</w:t>
            </w:r>
            <w:r w:rsidRPr="00022524">
              <w:t xml:space="preserve"> programme </w:t>
            </w:r>
            <w:r w:rsidR="00803CA5" w:rsidRPr="00022524">
              <w:t xml:space="preserve">necessarily </w:t>
            </w:r>
            <w:r w:rsidRPr="00022524">
              <w:t xml:space="preserve">have to refer to more than one category of region. </w:t>
            </w:r>
          </w:p>
          <w:p w14:paraId="688C6319" w14:textId="1E665CD3" w:rsidR="0013758E" w:rsidRPr="00022524" w:rsidRDefault="00E61524" w:rsidP="007B51C4">
            <w:pPr>
              <w:pStyle w:val="Body"/>
              <w:spacing w:before="60" w:after="60"/>
            </w:pPr>
            <w:r w:rsidRPr="00022524">
              <w:t xml:space="preserve">As the example of the programme 2014AT16RFOP001 in Austria shows, the programme has identified five </w:t>
            </w:r>
            <w:proofErr w:type="spellStart"/>
            <w:r w:rsidR="00DA7557">
              <w:t>PAx</w:t>
            </w:r>
            <w:proofErr w:type="spellEnd"/>
            <w:r w:rsidRPr="00022524">
              <w:t xml:space="preserve"> with a PF</w:t>
            </w:r>
            <w:r w:rsidR="0093312F" w:rsidRPr="00022524">
              <w:t>.,</w:t>
            </w:r>
            <w:r w:rsidRPr="00022524">
              <w:t xml:space="preserve"> </w:t>
            </w:r>
            <w:r w:rsidR="0013758E" w:rsidRPr="00022524">
              <w:t xml:space="preserve">Three of them combine support for both more developed regions and regions in transition and the remaining two </w:t>
            </w:r>
            <w:proofErr w:type="spellStart"/>
            <w:r w:rsidR="00DA7557">
              <w:t>PAx</w:t>
            </w:r>
            <w:proofErr w:type="spellEnd"/>
            <w:r w:rsidR="0013758E" w:rsidRPr="00022524">
              <w:t xml:space="preserve"> refer to more developed regions only.</w:t>
            </w:r>
          </w:p>
        </w:tc>
      </w:tr>
    </w:tbl>
    <w:p w14:paraId="02459DD0" w14:textId="77777777" w:rsidR="00E61524" w:rsidRPr="00022524" w:rsidRDefault="00E61524" w:rsidP="00E61524">
      <w:pPr>
        <w:pStyle w:val="Body"/>
      </w:pPr>
    </w:p>
    <w:p w14:paraId="43C3D84E" w14:textId="27DC937B" w:rsidR="00176F95" w:rsidRPr="00022524" w:rsidRDefault="00176F95" w:rsidP="00176F95">
      <w:pPr>
        <w:pStyle w:val="BulletPoint1"/>
        <w:numPr>
          <w:ilvl w:val="0"/>
          <w:numId w:val="0"/>
        </w:numPr>
      </w:pPr>
      <w:r w:rsidRPr="00022524">
        <w:t xml:space="preserve">If a priority axis covers more than one Fund or more than one category of region, </w:t>
      </w:r>
      <w:r w:rsidR="005E7D0D">
        <w:t xml:space="preserve">the milestones and targets </w:t>
      </w:r>
      <w:r w:rsidR="00EE37B2">
        <w:t xml:space="preserve">as well as the amounts from the performance reserve </w:t>
      </w:r>
      <w:r w:rsidR="005E7D0D">
        <w:t xml:space="preserve">have to be broken down by </w:t>
      </w:r>
      <w:r w:rsidRPr="00022524">
        <w:t xml:space="preserve">Fund </w:t>
      </w:r>
      <w:r w:rsidR="005E7D0D">
        <w:t>and/</w:t>
      </w:r>
      <w:r w:rsidRPr="00022524">
        <w:t>or categor</w:t>
      </w:r>
      <w:r w:rsidR="005E7D0D">
        <w:t>y</w:t>
      </w:r>
      <w:r w:rsidRPr="00022524">
        <w:t xml:space="preserve"> of regions. In such situation the </w:t>
      </w:r>
      <w:r w:rsidR="00EE37B2">
        <w:t xml:space="preserve">achievement of milestones and targets </w:t>
      </w:r>
      <w:r w:rsidRPr="00022524">
        <w:t xml:space="preserve">for each Fund or category of region will be </w:t>
      </w:r>
      <w:r w:rsidR="00EE37B2">
        <w:t>carried out</w:t>
      </w:r>
      <w:r w:rsidR="00EE37B2" w:rsidRPr="00022524">
        <w:t xml:space="preserve"> </w:t>
      </w:r>
      <w:r w:rsidRPr="00022524">
        <w:t xml:space="preserve">independently from the other Fund(s) or </w:t>
      </w:r>
      <w:proofErr w:type="gramStart"/>
      <w:r w:rsidRPr="00022524">
        <w:t>category(</w:t>
      </w:r>
      <w:proofErr w:type="spellStart"/>
      <w:proofErr w:type="gramEnd"/>
      <w:r w:rsidRPr="00022524">
        <w:t>ies</w:t>
      </w:r>
      <w:proofErr w:type="spellEnd"/>
      <w:r w:rsidRPr="00022524">
        <w:t xml:space="preserve">) of regions included in the priority axis and the performance reserve per fund / category of region will be allocated independently of each other. However, if one </w:t>
      </w:r>
      <w:proofErr w:type="spellStart"/>
      <w:r w:rsidR="00DA7557">
        <w:t>PAx</w:t>
      </w:r>
      <w:proofErr w:type="spellEnd"/>
      <w:r w:rsidRPr="00022524">
        <w:t xml:space="preserve"> combines </w:t>
      </w:r>
      <w:r w:rsidR="00803CA5" w:rsidRPr="00022524">
        <w:t xml:space="preserve">investment priorities from </w:t>
      </w:r>
      <w:r w:rsidRPr="00022524">
        <w:t>more than one thematic objective</w:t>
      </w:r>
      <w:r w:rsidR="00772C6A" w:rsidRPr="00022524">
        <w:t>, but uses resources of only</w:t>
      </w:r>
      <w:r w:rsidRPr="00022524">
        <w:t xml:space="preserve"> one fund and </w:t>
      </w:r>
      <w:r w:rsidR="00772C6A" w:rsidRPr="00022524">
        <w:t xml:space="preserve">covers only </w:t>
      </w:r>
      <w:r w:rsidRPr="00022524">
        <w:t xml:space="preserve">one category of region, then it has one performance framework. </w:t>
      </w:r>
    </w:p>
    <w:p w14:paraId="4B4DF477" w14:textId="50FD2DA3" w:rsidR="00A22853" w:rsidRPr="00022524" w:rsidRDefault="00374FC5" w:rsidP="00A22853">
      <w:pPr>
        <w:pStyle w:val="Body"/>
      </w:pPr>
      <w:r w:rsidRPr="00022524">
        <w:t xml:space="preserve">When </w:t>
      </w:r>
      <w:r w:rsidR="000843B3" w:rsidRPr="00022524">
        <w:t>concentrating</w:t>
      </w:r>
      <w:r w:rsidRPr="00022524">
        <w:t xml:space="preserve"> on the specific challenges of complex priorities, the range of responses varied widely. </w:t>
      </w:r>
      <w:r w:rsidR="00925BF2" w:rsidRPr="00022524">
        <w:t>T</w:t>
      </w:r>
      <w:r w:rsidRPr="00022524">
        <w:t>he EC guidance fiche performance framework</w:t>
      </w:r>
      <w:r w:rsidR="00925BF2" w:rsidRPr="00022524">
        <w:t xml:space="preserve"> was</w:t>
      </w:r>
      <w:r w:rsidRPr="00022524">
        <w:t xml:space="preserve"> perceived as the most useful one by the </w:t>
      </w:r>
      <w:r w:rsidRPr="00022524">
        <w:lastRenderedPageBreak/>
        <w:t>majority of</w:t>
      </w:r>
      <w:r w:rsidR="006317A3" w:rsidRPr="00022524">
        <w:t xml:space="preserve"> web-survey</w:t>
      </w:r>
      <w:r w:rsidRPr="00022524">
        <w:t xml:space="preserve"> respondents, followed by the </w:t>
      </w:r>
      <w:r w:rsidR="00210B62" w:rsidRPr="00022524">
        <w:t>EC</w:t>
      </w:r>
      <w:r w:rsidRPr="00022524">
        <w:t xml:space="preserve"> implementation regulation and the draft guidelines for </w:t>
      </w:r>
      <w:r w:rsidR="00C2042A" w:rsidRPr="00022524">
        <w:t>programme</w:t>
      </w:r>
      <w:r w:rsidRPr="00022524">
        <w:t>s</w:t>
      </w:r>
      <w:r w:rsidR="00925BF2" w:rsidRPr="00022524">
        <w:t>.</w:t>
      </w:r>
      <w:r w:rsidR="00210B62" w:rsidRPr="00022524">
        <w:t xml:space="preserve"> </w:t>
      </w:r>
      <w:r w:rsidR="00A616C3" w:rsidRPr="00022524">
        <w:t xml:space="preserve">Some </w:t>
      </w:r>
      <w:r w:rsidRPr="00022524">
        <w:t>interviewees did not see any special issues related to the performance framework under the complex priorities, and there was no use for specific guidance either</w:t>
      </w:r>
      <w:r w:rsidR="00210B62" w:rsidRPr="00022524">
        <w:rPr>
          <w:rStyle w:val="FootnoteReference"/>
        </w:rPr>
        <w:footnoteReference w:id="10"/>
      </w:r>
      <w:r w:rsidR="00A22853" w:rsidRPr="00022524">
        <w:t xml:space="preserve">. </w:t>
      </w:r>
    </w:p>
    <w:p w14:paraId="08A858B1" w14:textId="77777777" w:rsidR="000843B3" w:rsidRPr="00022524" w:rsidRDefault="00A22853" w:rsidP="00A22853">
      <w:pPr>
        <w:pStyle w:val="Body"/>
      </w:pPr>
      <w:r w:rsidRPr="00022524">
        <w:t>On the other hand the CPR</w:t>
      </w:r>
      <w:r w:rsidR="00E61524" w:rsidRPr="00022524">
        <w:t xml:space="preserve">, </w:t>
      </w:r>
      <w:r w:rsidRPr="00022524">
        <w:t>guidance documents</w:t>
      </w:r>
      <w:r w:rsidR="00925BF2" w:rsidRPr="00022524">
        <w:t>,</w:t>
      </w:r>
      <w:r w:rsidRPr="00022524">
        <w:t xml:space="preserve"> </w:t>
      </w:r>
      <w:r w:rsidR="00925BF2" w:rsidRPr="00022524">
        <w:t>and</w:t>
      </w:r>
      <w:r w:rsidR="008D6FD6" w:rsidRPr="00022524">
        <w:t xml:space="preserve"> Implementation R</w:t>
      </w:r>
      <w:r w:rsidRPr="00022524">
        <w:t>egulation 215/2014</w:t>
      </w:r>
      <w:r w:rsidR="00925BF2" w:rsidRPr="00022524">
        <w:t>,</w:t>
      </w:r>
      <w:r w:rsidRPr="00022524">
        <w:t xml:space="preserve"> were perceived ambivalently by the respondents</w:t>
      </w:r>
      <w:r w:rsidR="00925BF2" w:rsidRPr="00022524">
        <w:t>.</w:t>
      </w:r>
      <w:r w:rsidRPr="00022524">
        <w:t xml:space="preserve"> The majority assesses them as rather clear, </w:t>
      </w:r>
      <w:r w:rsidR="00925BF2" w:rsidRPr="00022524">
        <w:t>however,</w:t>
      </w:r>
      <w:r w:rsidRPr="00022524">
        <w:t xml:space="preserve"> 44%</w:t>
      </w:r>
      <w:r w:rsidR="00925BF2" w:rsidRPr="00022524">
        <w:t xml:space="preserve"> perceived the CPR </w:t>
      </w:r>
      <w:r w:rsidRPr="00022524">
        <w:t>as rather unclear</w:t>
      </w:r>
      <w:r w:rsidR="00925BF2" w:rsidRPr="00022524">
        <w:t xml:space="preserve"> and 41% perceived the guidance documents as rather unclear</w:t>
      </w:r>
      <w:r w:rsidR="000843B3" w:rsidRPr="00022524">
        <w:t xml:space="preserve">: </w:t>
      </w:r>
      <w:r w:rsidRPr="00022524">
        <w:t xml:space="preserve"> </w:t>
      </w:r>
    </w:p>
    <w:p w14:paraId="3D5F4183" w14:textId="77777777" w:rsidR="00A22853" w:rsidRPr="00022524" w:rsidRDefault="00A22853" w:rsidP="000843B3">
      <w:pPr>
        <w:pStyle w:val="BulletPoint1"/>
      </w:pPr>
      <w:r w:rsidRPr="00022524">
        <w:t xml:space="preserve">This pattern is similar for all types of programmes and was also confirmed by the findings of the interviews as there were also </w:t>
      </w:r>
      <w:r w:rsidR="00925BF2" w:rsidRPr="00022524">
        <w:t>arguments made</w:t>
      </w:r>
      <w:r w:rsidRPr="00022524">
        <w:t xml:space="preserve"> for clearer guidance documents (e.g. in France, Portugal and Poland). These interviewees perceived the guidance documents, </w:t>
      </w:r>
      <w:r w:rsidR="00E61524" w:rsidRPr="00022524">
        <w:t xml:space="preserve">as well as </w:t>
      </w:r>
      <w:r w:rsidRPr="00022524">
        <w:t>the CPR, as rather unclear or as leaving too much room for interpretation.</w:t>
      </w:r>
    </w:p>
    <w:p w14:paraId="0A6115CF" w14:textId="77777777" w:rsidR="000843B3" w:rsidRPr="00022524" w:rsidRDefault="00A22853">
      <w:pPr>
        <w:pStyle w:val="BulletPoint1"/>
      </w:pPr>
      <w:r w:rsidRPr="00022524">
        <w:t>O</w:t>
      </w:r>
      <w:r w:rsidR="00374FC5" w:rsidRPr="00022524">
        <w:t>thers outlined that the challenges were not necessarily linked to the EU level guidance documents and requirements, but</w:t>
      </w:r>
      <w:r w:rsidR="000843B3" w:rsidRPr="00022524">
        <w:t xml:space="preserve"> rather to national issues</w:t>
      </w:r>
    </w:p>
    <w:p w14:paraId="498E6A29" w14:textId="77777777" w:rsidR="00374FC5" w:rsidRPr="00022524" w:rsidRDefault="00374FC5" w:rsidP="00A22853">
      <w:pPr>
        <w:pStyle w:val="Body"/>
      </w:pPr>
      <w:r w:rsidRPr="00022524">
        <w:t>The interviews also revealed some specific challenges related to different variations of complex priorities:</w:t>
      </w:r>
    </w:p>
    <w:p w14:paraId="778B7711" w14:textId="77777777" w:rsidR="00374FC5" w:rsidRPr="00022524" w:rsidRDefault="00374FC5" w:rsidP="00A22853">
      <w:pPr>
        <w:pStyle w:val="BulletPoint1"/>
      </w:pPr>
      <w:r w:rsidRPr="00022524">
        <w:t>Multi-region</w:t>
      </w:r>
      <w:r w:rsidR="00A22853" w:rsidRPr="00022524">
        <w:t>:</w:t>
      </w:r>
      <w:r w:rsidRPr="00022524">
        <w:t xml:space="preserve"> </w:t>
      </w:r>
      <w:r w:rsidR="008871AB" w:rsidRPr="00022524">
        <w:t>a</w:t>
      </w:r>
      <w:r w:rsidRPr="00022524">
        <w:t xml:space="preserve"> challenge for the multi-region priority was the definition of milestones and targets</w:t>
      </w:r>
      <w:r w:rsidR="00925BF2" w:rsidRPr="00022524">
        <w:t>. For example,</w:t>
      </w:r>
      <w:r w:rsidRPr="00022524">
        <w:t xml:space="preserve"> the region in transition (Burgenland, Austria) has limited funding and accordingly low milestones and targets</w:t>
      </w:r>
      <w:r w:rsidR="00E61524" w:rsidRPr="00022524">
        <w:t xml:space="preserve"> in comparison to the remaining regions of the Austrian OP (more developed regions)</w:t>
      </w:r>
      <w:r w:rsidRPr="00022524">
        <w:t>.</w:t>
      </w:r>
    </w:p>
    <w:p w14:paraId="3C63AEA7" w14:textId="4B0FDD49" w:rsidR="00374FC5" w:rsidRPr="00022524" w:rsidRDefault="00374FC5" w:rsidP="00A22853">
      <w:pPr>
        <w:pStyle w:val="BulletPoint1"/>
      </w:pPr>
      <w:r w:rsidRPr="00022524">
        <w:t>Multi-thematic</w:t>
      </w:r>
      <w:r w:rsidR="00637A2C" w:rsidRPr="00022524">
        <w:t xml:space="preserve">: A challenge for the multi-thematic objective priority was how to keep the number of output indicators low. Combing investment priorities from different thematic objectives means - in most cases – that more output indicators are required to monitor properly the programme implementation. By consequence, each output indicator corresponds to a smaller share of the priority axis allocation; hence more output indicators have to be included in the performance framework to cover the majority of the priority allocation. And </w:t>
      </w:r>
      <w:r w:rsidR="000D0E0C">
        <w:t xml:space="preserve">taking into account the EU criteria for </w:t>
      </w:r>
      <w:r w:rsidR="00F900E0">
        <w:t xml:space="preserve">the achievement and </w:t>
      </w:r>
      <w:r w:rsidR="000D0E0C">
        <w:t>a serious failure</w:t>
      </w:r>
      <w:r w:rsidR="000D0E0C">
        <w:rPr>
          <w:rStyle w:val="FootnoteReference"/>
        </w:rPr>
        <w:footnoteReference w:id="11"/>
      </w:r>
      <w:r w:rsidR="000D0E0C">
        <w:t xml:space="preserve">, </w:t>
      </w:r>
      <w:r w:rsidR="00637A2C" w:rsidRPr="00022524">
        <w:t>more output indicators in the performance framework increases the risk of failing to achieve the milestone by the end of 2018.</w:t>
      </w:r>
    </w:p>
    <w:p w14:paraId="573010A9" w14:textId="77777777" w:rsidR="00374FC5" w:rsidRPr="00022524" w:rsidRDefault="00374FC5" w:rsidP="00A22853">
      <w:pPr>
        <w:pStyle w:val="BulletPoint1"/>
      </w:pPr>
      <w:r w:rsidRPr="00022524">
        <w:t>Multi-fund</w:t>
      </w:r>
      <w:r w:rsidR="00A22853" w:rsidRPr="00022524">
        <w:t>:</w:t>
      </w:r>
      <w:r w:rsidRPr="00022524">
        <w:t xml:space="preserve"> With regard to multi-fund complexity</w:t>
      </w:r>
      <w:r w:rsidR="00194647" w:rsidRPr="00022524">
        <w:t xml:space="preserve"> no specific problems were reported for the application of the performance framework</w:t>
      </w:r>
      <w:r w:rsidR="00E942E5" w:rsidRPr="00022524">
        <w:rPr>
          <w:rStyle w:val="FootnoteReference"/>
        </w:rPr>
        <w:footnoteReference w:id="12"/>
      </w:r>
      <w:r w:rsidRPr="00022524">
        <w:t>.</w:t>
      </w:r>
    </w:p>
    <w:p w14:paraId="69FC14FC" w14:textId="59A13BEF" w:rsidR="00ED74BD" w:rsidRPr="00022524" w:rsidRDefault="00ED74BD" w:rsidP="00ED74BD">
      <w:pPr>
        <w:pStyle w:val="Body"/>
      </w:pPr>
      <w:r w:rsidRPr="00022524">
        <w:t xml:space="preserve">In some cases (e.g. in Poland) it was underlined that documents were delivered too late in the process, in other cases (e.g. Croatia and UK) people perceived contradicting </w:t>
      </w:r>
      <w:r w:rsidR="003B062D" w:rsidRPr="00022524">
        <w:t>viewpoints</w:t>
      </w:r>
      <w:r w:rsidRPr="00022524">
        <w:t xml:space="preserve"> when bringing together regulations, guidance documents and feedback provided by Commission staff. </w:t>
      </w:r>
    </w:p>
    <w:p w14:paraId="06BDEF7A" w14:textId="77777777" w:rsidR="00ED74BD" w:rsidRPr="00022524" w:rsidRDefault="00ED74BD" w:rsidP="00096F14">
      <w:pPr>
        <w:pStyle w:val="Body"/>
        <w:pBdr>
          <w:bottom w:val="single" w:sz="4" w:space="3" w:color="004696"/>
        </w:pBdr>
        <w:spacing w:line="216" w:lineRule="exact"/>
        <w:outlineLvl w:val="0"/>
        <w:rPr>
          <w:i/>
        </w:rPr>
      </w:pPr>
      <w:bookmarkStart w:id="56" w:name="_Toc433973096"/>
      <w:r w:rsidRPr="00022524">
        <w:rPr>
          <w:i/>
        </w:rPr>
        <w:t xml:space="preserve">Specific </w:t>
      </w:r>
      <w:r w:rsidR="00A22853" w:rsidRPr="00022524">
        <w:rPr>
          <w:i/>
        </w:rPr>
        <w:t>d</w:t>
      </w:r>
      <w:r w:rsidRPr="00022524">
        <w:rPr>
          <w:i/>
        </w:rPr>
        <w:t>elivery modes</w:t>
      </w:r>
      <w:bookmarkEnd w:id="56"/>
      <w:r w:rsidRPr="00022524">
        <w:rPr>
          <w:i/>
        </w:rPr>
        <w:t xml:space="preserve"> </w:t>
      </w:r>
    </w:p>
    <w:p w14:paraId="3F98CC53" w14:textId="77777777" w:rsidR="007400FB" w:rsidRPr="00022524" w:rsidRDefault="007400FB" w:rsidP="007400FB">
      <w:pPr>
        <w:pStyle w:val="Body"/>
      </w:pPr>
      <w:r w:rsidRPr="00022524">
        <w:t xml:space="preserve">The term 'specific delivery modes' covers: </w:t>
      </w:r>
    </w:p>
    <w:p w14:paraId="63E35E0C" w14:textId="31043B89" w:rsidR="007400FB" w:rsidRPr="00022524" w:rsidRDefault="007400FB" w:rsidP="007400FB">
      <w:pPr>
        <w:pStyle w:val="BulletPoint1"/>
        <w:ind w:left="527" w:hanging="357"/>
      </w:pPr>
      <w:r w:rsidRPr="00022524">
        <w:t xml:space="preserve">Integrated Territorial Investment (ITI), is an instrument to implement urban or territorial development strategy in an integrated manner, hence it may combine investments from different funds included under more than one </w:t>
      </w:r>
      <w:proofErr w:type="spellStart"/>
      <w:r w:rsidR="00DA7557">
        <w:t>PAx</w:t>
      </w:r>
      <w:proofErr w:type="spellEnd"/>
      <w:r w:rsidRPr="00022524">
        <w:t xml:space="preserve"> of one or more operational programme</w:t>
      </w:r>
      <w:r w:rsidR="00EA73DF" w:rsidRPr="00022524">
        <w:t>s</w:t>
      </w:r>
      <w:r w:rsidRPr="00022524">
        <w:t>.</w:t>
      </w:r>
    </w:p>
    <w:p w14:paraId="249BE0A8" w14:textId="77777777" w:rsidR="007400FB" w:rsidRPr="00022524" w:rsidRDefault="007400FB" w:rsidP="007400FB">
      <w:pPr>
        <w:pStyle w:val="BulletPoint1"/>
        <w:ind w:left="527" w:hanging="357"/>
      </w:pPr>
      <w:r w:rsidRPr="00022524">
        <w:t>Community-Led Local Development (CLLD) focuses on the implementation of the, development strategies designed by the local action groups for specific sub-regional areas.</w:t>
      </w:r>
    </w:p>
    <w:p w14:paraId="0B064EE6" w14:textId="77777777" w:rsidR="007400FB" w:rsidRPr="00022524" w:rsidRDefault="007400FB" w:rsidP="007400FB">
      <w:pPr>
        <w:pStyle w:val="BulletPoint1"/>
        <w:ind w:left="527" w:hanging="357"/>
      </w:pPr>
      <w:r w:rsidRPr="00022524">
        <w:t>Financial instruments - Union measures of financial support provided on a complementary basis from the budget to address one or more specific policy objectives of the Union. Such instruments may take the form of equity or quasi-equity investments, loans or guarantees, or other risk-sharing instruments, and may, where appropriate, be combined with grants.</w:t>
      </w:r>
    </w:p>
    <w:p w14:paraId="0C0D7412" w14:textId="1BCCB38A" w:rsidR="007D24A7" w:rsidRPr="00022524" w:rsidRDefault="00A22853" w:rsidP="00A22853">
      <w:pPr>
        <w:pStyle w:val="Body"/>
      </w:pPr>
      <w:r w:rsidRPr="00022524">
        <w:t>When it comes to specific delivery modes, the guidance fiche on performance framework was perceived as the most useful guidance document</w:t>
      </w:r>
      <w:r w:rsidR="00173B1E" w:rsidRPr="00022524">
        <w:t xml:space="preserve"> (potentially because it was also the best known reference document)</w:t>
      </w:r>
      <w:r w:rsidRPr="00022524">
        <w:t xml:space="preserve">, followed by the Commission </w:t>
      </w:r>
      <w:r w:rsidR="006A5274" w:rsidRPr="00022524">
        <w:t xml:space="preserve">Implementing </w:t>
      </w:r>
      <w:r w:rsidR="00DD7386" w:rsidRPr="00022524">
        <w:t>R</w:t>
      </w:r>
      <w:r w:rsidRPr="00022524">
        <w:t xml:space="preserve">egulation and the draft guidelines for </w:t>
      </w:r>
      <w:r w:rsidR="00C2042A" w:rsidRPr="00022524">
        <w:t>programmes</w:t>
      </w:r>
      <w:r w:rsidRPr="00022524">
        <w:t>. Thereafter</w:t>
      </w:r>
      <w:r w:rsidR="00925BF2" w:rsidRPr="00022524">
        <w:t>,</w:t>
      </w:r>
      <w:r w:rsidRPr="00022524">
        <w:t xml:space="preserve"> the short reference guide for financial instruments in ESIF was mentioned</w:t>
      </w:r>
      <w:r w:rsidR="00925BF2" w:rsidRPr="00022524">
        <w:t xml:space="preserve"> </w:t>
      </w:r>
      <w:r w:rsidRPr="00022524">
        <w:t xml:space="preserve">as </w:t>
      </w:r>
      <w:r w:rsidR="00925BF2" w:rsidRPr="00022524">
        <w:t xml:space="preserve">was </w:t>
      </w:r>
      <w:r w:rsidRPr="00022524">
        <w:t xml:space="preserve">the guidance fiche on </w:t>
      </w:r>
      <w:r w:rsidR="00044F76" w:rsidRPr="00022524">
        <w:t>Integrated Territorial Investment</w:t>
      </w:r>
      <w:r w:rsidRPr="00022524">
        <w:t xml:space="preserve">. </w:t>
      </w:r>
    </w:p>
    <w:p w14:paraId="7B2A97F3" w14:textId="77777777" w:rsidR="00A22853" w:rsidRPr="00022524" w:rsidRDefault="00A22853" w:rsidP="00A22853">
      <w:pPr>
        <w:pStyle w:val="Body"/>
      </w:pPr>
      <w:r w:rsidRPr="00022524">
        <w:lastRenderedPageBreak/>
        <w:t>Th</w:t>
      </w:r>
      <w:r w:rsidR="00AE620E" w:rsidRPr="00022524">
        <w:t>is</w:t>
      </w:r>
      <w:r w:rsidRPr="00022524">
        <w:t xml:space="preserve"> pattern is highly similar across all </w:t>
      </w:r>
      <w:r w:rsidR="00AE620E" w:rsidRPr="00022524">
        <w:t xml:space="preserve">programme </w:t>
      </w:r>
      <w:r w:rsidRPr="00022524">
        <w:t xml:space="preserve">types. </w:t>
      </w:r>
      <w:r w:rsidR="00AE620E" w:rsidRPr="00022524">
        <w:t xml:space="preserve">Akin </w:t>
      </w:r>
      <w:r w:rsidRPr="00022524">
        <w:t>to the complex priorities, the CPR</w:t>
      </w:r>
      <w:r w:rsidR="00AE620E" w:rsidRPr="00022524">
        <w:t xml:space="preserve">, and </w:t>
      </w:r>
      <w:r w:rsidRPr="00022524">
        <w:t>guidance documents</w:t>
      </w:r>
      <w:r w:rsidR="00AE620E" w:rsidRPr="00022524">
        <w:t xml:space="preserve"> (including </w:t>
      </w:r>
      <w:r w:rsidRPr="00022524">
        <w:t>implementing act</w:t>
      </w:r>
      <w:r w:rsidR="00AE620E" w:rsidRPr="00022524">
        <w:t>s)</w:t>
      </w:r>
      <w:r w:rsidRPr="00022524">
        <w:t xml:space="preserve"> were perceived as rather clear by the majority of respondents, but as unclear by a comparably large group</w:t>
      </w:r>
      <w:r w:rsidR="00AE620E" w:rsidRPr="00022524">
        <w:t>;</w:t>
      </w:r>
      <w:r w:rsidRPr="00022524">
        <w:t xml:space="preserve"> 45% and 42% </w:t>
      </w:r>
      <w:r w:rsidR="00AE620E" w:rsidRPr="00022524">
        <w:t xml:space="preserve">for the CPR and guidance documents, </w:t>
      </w:r>
      <w:r w:rsidRPr="00022524">
        <w:t xml:space="preserve">respectively. </w:t>
      </w:r>
    </w:p>
    <w:p w14:paraId="2C143512" w14:textId="77777777" w:rsidR="00A22853" w:rsidRPr="00022524" w:rsidRDefault="00ED74BD" w:rsidP="00ED74BD">
      <w:pPr>
        <w:pStyle w:val="Body"/>
      </w:pPr>
      <w:r w:rsidRPr="00022524">
        <w:t xml:space="preserve">Challenges in setting up performance frameworks involving specific delivery modes were partially linked to the identification of relevant indicators while keeping the </w:t>
      </w:r>
      <w:r w:rsidR="00AE620E" w:rsidRPr="00022524">
        <w:t xml:space="preserve">total </w:t>
      </w:r>
      <w:r w:rsidRPr="00022524">
        <w:t xml:space="preserve">number of indicators to a minimum. </w:t>
      </w:r>
    </w:p>
    <w:p w14:paraId="1E44CDAE" w14:textId="77777777" w:rsidR="0024447E" w:rsidRPr="00022524" w:rsidRDefault="0024447E" w:rsidP="0024447E">
      <w:pPr>
        <w:pStyle w:val="BulletPoint1"/>
      </w:pPr>
      <w:r w:rsidRPr="00022524">
        <w:t>In Lithuania, some uncertainties were faced in the case of financial instruments. The CPR and the Commission Implementing Regulation define that both milestone and target values for output indicators should refer to fully implemented operations, but it was not entirely clear what constitutes a 'fully implemented operation' if it is being financed by financial instruments. However, in the end it was not necessary to include indicators related to financial instruments, because other indicators were sufficient to cover the majority of the priority axis allocation.</w:t>
      </w:r>
    </w:p>
    <w:p w14:paraId="50935364" w14:textId="77777777" w:rsidR="00ED74BD" w:rsidRPr="00022524" w:rsidRDefault="00ED74BD" w:rsidP="00A22853">
      <w:pPr>
        <w:pStyle w:val="BulletPoint1"/>
      </w:pPr>
      <w:r w:rsidRPr="00022524">
        <w:t xml:space="preserve">In England, the Department for Communities and Local Government (DCLG) </w:t>
      </w:r>
      <w:r w:rsidR="00194647" w:rsidRPr="00022524">
        <w:t xml:space="preserve">felt </w:t>
      </w:r>
      <w:r w:rsidRPr="00022524">
        <w:t xml:space="preserve">also impelled to make provisions for the </w:t>
      </w:r>
      <w:r w:rsidR="00194647" w:rsidRPr="00022524">
        <w:t xml:space="preserve">delivery specifics caused by the anticipated governing of the Implementing Regulations </w:t>
      </w:r>
      <w:r w:rsidRPr="00022524">
        <w:t>when considering milestones and targets. For example, Community-led Local Development (CLLD) allows for up to 25% of the budgetary allocation to be set aside for running costs and animation</w:t>
      </w:r>
      <w:r w:rsidRPr="00022524">
        <w:rPr>
          <w:rStyle w:val="FootnoteReference"/>
        </w:rPr>
        <w:footnoteReference w:id="13"/>
      </w:r>
      <w:r w:rsidRPr="00022524">
        <w:t>, meaning that rate of expenditure is also affected by the time taken to get CLLD schemes established.</w:t>
      </w:r>
    </w:p>
    <w:p w14:paraId="3EF31299" w14:textId="77777777" w:rsidR="007D24A7" w:rsidRPr="00022524" w:rsidRDefault="00D36D0E" w:rsidP="007D24A7">
      <w:pPr>
        <w:pStyle w:val="Body"/>
      </w:pPr>
      <w:r w:rsidRPr="00022524">
        <w:t>In conclusion</w:t>
      </w:r>
      <w:r w:rsidR="007D24A7" w:rsidRPr="00022524">
        <w:t xml:space="preserve">, specific challenges in the elaboration of the performance frameworks </w:t>
      </w:r>
      <w:r w:rsidR="00523067" w:rsidRPr="00022524">
        <w:t xml:space="preserve">as new mandatory element of programming </w:t>
      </w:r>
      <w:r w:rsidR="007D24A7" w:rsidRPr="00022524">
        <w:t xml:space="preserve">in relation to complex priorities and specific delivery modes are visible only occasionally. A.) The majority of interviewees did not see any special issues related to complex priorities, although </w:t>
      </w:r>
      <w:r w:rsidR="00B216C7" w:rsidRPr="00022524">
        <w:t>some mentioned as problematic</w:t>
      </w:r>
      <w:r w:rsidR="007D24A7" w:rsidRPr="00022524">
        <w:t xml:space="preserve"> </w:t>
      </w:r>
      <w:r w:rsidR="00AE620E" w:rsidRPr="00022524">
        <w:t xml:space="preserve">the </w:t>
      </w:r>
      <w:r w:rsidR="007D24A7" w:rsidRPr="00022524">
        <w:t>definition of appropriate indicators for programme regions with less funding or focusing on more than one thematic objective. Generally, guiding documents were perceived as useful</w:t>
      </w:r>
      <w:r w:rsidR="00AE620E" w:rsidRPr="00022524">
        <w:t>. I</w:t>
      </w:r>
      <w:r w:rsidR="007D24A7" w:rsidRPr="00022524">
        <w:t xml:space="preserve">nterviewees from 3 MS mentioned </w:t>
      </w:r>
      <w:r w:rsidR="008F2869" w:rsidRPr="00022524">
        <w:t>certain</w:t>
      </w:r>
      <w:r w:rsidR="007D24A7" w:rsidRPr="00022524">
        <w:t xml:space="preserve"> vagueness </w:t>
      </w:r>
      <w:r w:rsidR="00AE620E" w:rsidRPr="00022524">
        <w:t xml:space="preserve">in </w:t>
      </w:r>
      <w:r w:rsidR="007D24A7" w:rsidRPr="00022524">
        <w:t>the CPR. B.) For specific delivery modes, the EC guidance was perceived as rather clear by the majority of respondents</w:t>
      </w:r>
      <w:r w:rsidR="00AE620E" w:rsidRPr="00022524">
        <w:t>. S</w:t>
      </w:r>
      <w:r w:rsidR="007D24A7" w:rsidRPr="00022524">
        <w:t xml:space="preserve">pecific challenges </w:t>
      </w:r>
      <w:r w:rsidR="00AE620E" w:rsidRPr="00022524">
        <w:t xml:space="preserve">identified </w:t>
      </w:r>
      <w:r w:rsidR="007D24A7" w:rsidRPr="00022524">
        <w:t>while elaborating the performance frameworks</w:t>
      </w:r>
      <w:r w:rsidR="00AE620E" w:rsidRPr="00022524">
        <w:t xml:space="preserve"> related to</w:t>
      </w:r>
      <w:r w:rsidR="007D24A7" w:rsidRPr="00022524">
        <w:t xml:space="preserve"> financial instruments</w:t>
      </w:r>
      <w:r w:rsidR="001E04FB" w:rsidRPr="00022524">
        <w:t>.</w:t>
      </w:r>
      <w:r w:rsidR="007D24A7" w:rsidRPr="00022524">
        <w:t xml:space="preserve">  </w:t>
      </w:r>
    </w:p>
    <w:p w14:paraId="0E1D474F" w14:textId="77777777" w:rsidR="00ED74BD" w:rsidRPr="00022524" w:rsidRDefault="00ED74BD" w:rsidP="00A0452B">
      <w:pPr>
        <w:pStyle w:val="Heading2"/>
      </w:pPr>
      <w:bookmarkStart w:id="57" w:name="_Toc429671061"/>
      <w:bookmarkStart w:id="58" w:name="_Toc432600862"/>
      <w:bookmarkStart w:id="59" w:name="_Ref433023476"/>
      <w:bookmarkStart w:id="60" w:name="_Ref433094453"/>
      <w:bookmarkStart w:id="61" w:name="_Toc433973097"/>
      <w:bookmarkStart w:id="62" w:name="_Toc433973193"/>
      <w:bookmarkStart w:id="63" w:name="_Toc448144108"/>
      <w:r w:rsidRPr="00022524">
        <w:t>Processes to ensure consistency in the functioning of the performance framework</w:t>
      </w:r>
      <w:bookmarkEnd w:id="57"/>
      <w:bookmarkEnd w:id="58"/>
      <w:bookmarkEnd w:id="59"/>
      <w:bookmarkEnd w:id="60"/>
      <w:bookmarkEnd w:id="61"/>
      <w:bookmarkEnd w:id="62"/>
      <w:bookmarkEnd w:id="63"/>
    </w:p>
    <w:p w14:paraId="14455F5E" w14:textId="77777777" w:rsidR="00ED74BD" w:rsidRPr="00022524" w:rsidRDefault="00ED74BD" w:rsidP="00ED74BD">
      <w:pPr>
        <w:pStyle w:val="Body"/>
      </w:pPr>
      <w:r w:rsidRPr="00022524">
        <w:t>Ensuring consistency in the functioning of the performance framework</w:t>
      </w:r>
      <w:r w:rsidR="00523067" w:rsidRPr="00022524">
        <w:t xml:space="preserve"> needs arrangements at national level and</w:t>
      </w:r>
      <w:r w:rsidRPr="00022524">
        <w:t xml:space="preserve"> has been pointed out as being a challenge for </w:t>
      </w:r>
      <w:r w:rsidR="003C10B8" w:rsidRPr="00022524">
        <w:t>a large</w:t>
      </w:r>
      <w:r w:rsidRPr="00022524">
        <w:t xml:space="preserve"> number of MS</w:t>
      </w:r>
      <w:r w:rsidR="007A4EA0" w:rsidRPr="00022524">
        <w:t xml:space="preserve"> Of course  indicators as such are not a new element but their importance has increased thanks to a combination of performance framework and reserve in this programming period.</w:t>
      </w:r>
      <w:r w:rsidR="006102C6" w:rsidRPr="00022524">
        <w:t xml:space="preserve"> </w:t>
      </w:r>
      <w:r w:rsidR="00F229CE" w:rsidRPr="00022524">
        <w:t>Overall, the obligation to ensure consistency across programmes (where appropriate) makes the task more complex.</w:t>
      </w:r>
    </w:p>
    <w:p w14:paraId="44685F6E" w14:textId="77777777" w:rsidR="00ED74BD" w:rsidRPr="00022524" w:rsidRDefault="00ED74BD" w:rsidP="00ED74BD">
      <w:pPr>
        <w:pStyle w:val="Body"/>
      </w:pPr>
      <w:r w:rsidRPr="00022524">
        <w:t xml:space="preserve">Within this section the PAs have been used as </w:t>
      </w:r>
      <w:r w:rsidR="003C10B8" w:rsidRPr="00022524">
        <w:t xml:space="preserve">the </w:t>
      </w:r>
      <w:r w:rsidRPr="00022524">
        <w:t>source for the data base analysis</w:t>
      </w:r>
      <w:r w:rsidR="003C10B8" w:rsidRPr="00022524">
        <w:t>,</w:t>
      </w:r>
      <w:r w:rsidRPr="00022524">
        <w:t xml:space="preserve"> thus covering all ESI Funds (i.e. </w:t>
      </w:r>
      <w:r w:rsidR="00C22609" w:rsidRPr="00022524">
        <w:t xml:space="preserve">ERDF, </w:t>
      </w:r>
      <w:r w:rsidRPr="00022524">
        <w:t xml:space="preserve">ESF, EAFRD, EMFF, </w:t>
      </w:r>
      <w:proofErr w:type="gramStart"/>
      <w:r w:rsidRPr="00022524">
        <w:t>CF</w:t>
      </w:r>
      <w:proofErr w:type="gramEnd"/>
      <w:r w:rsidRPr="00022524">
        <w:t>) through the information provided therein.</w:t>
      </w:r>
    </w:p>
    <w:p w14:paraId="7321E755" w14:textId="6B9E1970" w:rsidR="00FE1560" w:rsidRPr="00022524" w:rsidRDefault="00ED74BD" w:rsidP="00FE1560">
      <w:pPr>
        <w:pStyle w:val="Body"/>
      </w:pPr>
      <w:r w:rsidRPr="00022524">
        <w:t>There are various approaches used to establish consistency for the performance frameworks. Largely the approaches taken also depend on the division of labour and responsibilities between national coordination bodies and programme bodies</w:t>
      </w:r>
      <w:r w:rsidR="00966204" w:rsidRPr="00022524">
        <w:t>.</w:t>
      </w:r>
      <w:r w:rsidR="00592539" w:rsidRPr="00022524">
        <w:t xml:space="preserve"> </w:t>
      </w:r>
      <w:r w:rsidR="003C10B8" w:rsidRPr="00022524">
        <w:t>According to web-survey results, m</w:t>
      </w:r>
      <w:r w:rsidR="00592539" w:rsidRPr="00022524">
        <w:t xml:space="preserve">ost </w:t>
      </w:r>
      <w:r w:rsidR="00C2042A" w:rsidRPr="00022524">
        <w:t xml:space="preserve">programmes </w:t>
      </w:r>
      <w:r w:rsidR="00592539" w:rsidRPr="00022524">
        <w:t xml:space="preserve">ensured coherence between the PA and </w:t>
      </w:r>
      <w:r w:rsidR="00C2042A" w:rsidRPr="00022524">
        <w:t xml:space="preserve">programme </w:t>
      </w:r>
      <w:r w:rsidR="00592539" w:rsidRPr="00022524">
        <w:t xml:space="preserve">by having regular meetings and information exchanges. </w:t>
      </w:r>
      <w:r w:rsidR="003C10B8" w:rsidRPr="00022524">
        <w:t>I</w:t>
      </w:r>
      <w:r w:rsidR="00592539" w:rsidRPr="00022524">
        <w:t xml:space="preserve">n a lot of cases the same persons were involved. </w:t>
      </w:r>
      <w:r w:rsidR="003C10B8" w:rsidRPr="00022524">
        <w:t xml:space="preserve">There </w:t>
      </w:r>
      <w:r w:rsidR="00592539" w:rsidRPr="00022524">
        <w:t>were national guidelines for OPs regarding indicators.</w:t>
      </w:r>
      <w:r w:rsidR="00FE1560" w:rsidRPr="00022524">
        <w:t xml:space="preserve"> The differences between programme types are rather limited in that respect. The involvement of the same person at several levels in the process was comparably more important in the multi-thematic and multi-category programmes.</w:t>
      </w:r>
      <w:r w:rsidR="00D92DD7" w:rsidRPr="00022524">
        <w:t xml:space="preserve"> </w:t>
      </w:r>
    </w:p>
    <w:p w14:paraId="1CD754CE" w14:textId="77777777" w:rsidR="0012604D" w:rsidRDefault="00D92DD7" w:rsidP="00D92DD7">
      <w:pPr>
        <w:pStyle w:val="Body"/>
      </w:pPr>
      <w:r w:rsidRPr="00022524">
        <w:t>Th</w:t>
      </w:r>
      <w:r w:rsidR="00A0513C" w:rsidRPr="00022524">
        <w:t>e variety of approaches</w:t>
      </w:r>
      <w:r w:rsidRPr="00022524">
        <w:t xml:space="preserve"> w</w:t>
      </w:r>
      <w:r w:rsidR="00A0513C" w:rsidRPr="00022524">
        <w:t>ere</w:t>
      </w:r>
      <w:r w:rsidRPr="00022524">
        <w:t xml:space="preserve"> confirmed when taking a look at the information available in the MS PAs identifying the actions taken at the MS level to ensure consistency across programmes and funds: seminars, national guidelines, regulations and generally harmonised procedures (e.g. uniform definitions of indicators across a MS, as for example in Germany) were widely applied</w:t>
      </w:r>
      <w:r w:rsidR="0012604D">
        <w:t>. More precisely:</w:t>
      </w:r>
    </w:p>
    <w:p w14:paraId="294081F3" w14:textId="405E476D" w:rsidR="0012604D" w:rsidRPr="001F6039" w:rsidRDefault="0012604D" w:rsidP="0012604D">
      <w:pPr>
        <w:pStyle w:val="BulletPoint1"/>
        <w:ind w:left="527" w:hanging="357"/>
      </w:pPr>
      <w:r w:rsidRPr="001F6039">
        <w:lastRenderedPageBreak/>
        <w:t>Seminars where mentioned by 15 Member States</w:t>
      </w:r>
    </w:p>
    <w:p w14:paraId="2AC5FE93" w14:textId="77777777" w:rsidR="0012604D" w:rsidRPr="001F6039" w:rsidRDefault="0012604D" w:rsidP="0012604D">
      <w:pPr>
        <w:pStyle w:val="BulletPoint1"/>
        <w:ind w:left="527" w:hanging="357"/>
      </w:pPr>
      <w:r w:rsidRPr="001F6039">
        <w:t>National guidelines</w:t>
      </w:r>
      <w:r w:rsidRPr="001F6039">
        <w:rPr>
          <w:rStyle w:val="FootnoteReference"/>
          <w:lang w:eastAsia="nl-BE"/>
        </w:rPr>
        <w:footnoteReference w:id="14"/>
      </w:r>
      <w:r w:rsidRPr="001F6039">
        <w:t xml:space="preserve"> where indicated in 16 Member States</w:t>
      </w:r>
    </w:p>
    <w:p w14:paraId="08C42931" w14:textId="77777777" w:rsidR="0012604D" w:rsidRPr="001F6039" w:rsidRDefault="0012604D" w:rsidP="0012604D">
      <w:pPr>
        <w:pStyle w:val="BulletPoint1"/>
        <w:ind w:left="527" w:hanging="357"/>
      </w:pPr>
      <w:r w:rsidRPr="001F6039">
        <w:t>Regulations were mentioned by 10 Member States</w:t>
      </w:r>
    </w:p>
    <w:p w14:paraId="4A10826D" w14:textId="7BE6FBA2" w:rsidR="0012604D" w:rsidRDefault="0012604D" w:rsidP="0012604D">
      <w:pPr>
        <w:pStyle w:val="BulletPoint1"/>
        <w:ind w:left="527" w:hanging="357"/>
      </w:pPr>
      <w:r w:rsidRPr="001F6039">
        <w:t>Harmonised procedures</w:t>
      </w:r>
      <w:r w:rsidRPr="001F6039">
        <w:rPr>
          <w:rStyle w:val="FootnoteReference"/>
          <w:lang w:eastAsia="nl-BE"/>
        </w:rPr>
        <w:footnoteReference w:id="15"/>
      </w:r>
      <w:r w:rsidRPr="001F6039">
        <w:t xml:space="preserve"> were applied in 19 Member States</w:t>
      </w:r>
    </w:p>
    <w:p w14:paraId="76B4A90D" w14:textId="67506A4A" w:rsidR="00D92DD7" w:rsidRPr="00022524" w:rsidRDefault="00D92DD7" w:rsidP="00D92DD7">
      <w:pPr>
        <w:pStyle w:val="Body"/>
      </w:pPr>
      <w:r w:rsidRPr="00022524">
        <w:t>Nearly 70% of all MS applied harmonised procedures, 57% of MS had national guidelines, around 54% of MS held seminars and approximately one third of all EU MS had regulations to ensure consistency in the functioning of the performance framework. In Hungary</w:t>
      </w:r>
      <w:r w:rsidR="004F080F" w:rsidRPr="00022524">
        <w:t xml:space="preserve"> </w:t>
      </w:r>
      <w:r w:rsidRPr="00022524">
        <w:t xml:space="preserve">and Portugal, all four types of actions as mentioned above were taken to ensure consistency. Furthermore, these </w:t>
      </w:r>
      <w:r w:rsidR="006102C6" w:rsidRPr="00022524">
        <w:t>Member States</w:t>
      </w:r>
      <w:r w:rsidRPr="00022524">
        <w:t xml:space="preserve"> identified additional actions, such as internal discussions and training sessions. </w:t>
      </w:r>
    </w:p>
    <w:p w14:paraId="0BC65D9F" w14:textId="77777777" w:rsidR="00D92DD7" w:rsidRPr="00022524" w:rsidRDefault="00D92DD7" w:rsidP="00D92DD7">
      <w:pPr>
        <w:pStyle w:val="Body"/>
      </w:pPr>
      <w:r w:rsidRPr="00022524">
        <w:t xml:space="preserve">Additionally, in the PAs of 10 </w:t>
      </w:r>
      <w:r w:rsidR="00A62C03" w:rsidRPr="00022524">
        <w:t xml:space="preserve">MS some other </w:t>
      </w:r>
      <w:r w:rsidRPr="00022524">
        <w:t xml:space="preserve">additional actions to ensure consistency across programmes and funds were found; these actions cover internal discussions and training sessions –the use of forecasting tools or meetings to guarantee consistent procedures. These actions were not only mentioned in the PAs of the MS with the EC, but partly also in the programme methodologies, i.e. information recorded by the bodies preparing programmes and confirmed by the interviews. Thus for example, in Germany, a meeting of all ERDF MAs served to exchange on the performance framework of the 2014-2020 funding period, where the participants (representatives of the ERDF programmes) sighted the upcoming or already selected indicator for the performance framework and discussed issues of indicator selection and definition. The information coming from the programme methodology of the OP Competitiveness (2014RO16RFOP001) in Romania shows that the Performance Assessment Functional Working Group was set-up. This group was meeting regularly and having the role of designing the conceptual framework (elaboration of the so-called “Guide to the performance framework”) for selecting appropriate suite of indicators and setting targets and for designing the performance framework in order to ensure consistency in the functioning of the performance framework. </w:t>
      </w:r>
    </w:p>
    <w:p w14:paraId="54026704" w14:textId="2300C85D" w:rsidR="00D92DD7" w:rsidRPr="00022524" w:rsidRDefault="005A504F" w:rsidP="00D92DD7">
      <w:pPr>
        <w:pStyle w:val="Body"/>
      </w:pPr>
      <w:r w:rsidRPr="00022524">
        <w:t xml:space="preserve">On the other hand, there are cases where the </w:t>
      </w:r>
      <w:r w:rsidR="006E724A" w:rsidRPr="00022524">
        <w:t>PA</w:t>
      </w:r>
      <w:r w:rsidRPr="00022524">
        <w:t xml:space="preserve">s do not </w:t>
      </w:r>
      <w:r w:rsidR="006E724A" w:rsidRPr="00022524">
        <w:t>detail processes leading to joint methodologies. For instance, t</w:t>
      </w:r>
      <w:r w:rsidR="00D92DD7" w:rsidRPr="00022524">
        <w:t>he methodology of the PF in Austria highlighted the differences between the fund-specific programmes</w:t>
      </w:r>
      <w:r w:rsidR="00044F76" w:rsidRPr="00022524">
        <w:t>:</w:t>
      </w:r>
      <w:r w:rsidR="00D92DD7" w:rsidRPr="00022524">
        <w:t xml:space="preserve"> the four Austrian </w:t>
      </w:r>
      <w:r w:rsidR="00044F76" w:rsidRPr="00022524">
        <w:t xml:space="preserve">ESIF </w:t>
      </w:r>
      <w:r w:rsidR="00D92DD7" w:rsidRPr="00022524">
        <w:t xml:space="preserve">programmes do not have similar </w:t>
      </w:r>
      <w:proofErr w:type="spellStart"/>
      <w:r w:rsidR="00DA7557">
        <w:t>PAx</w:t>
      </w:r>
      <w:proofErr w:type="spellEnd"/>
      <w:r w:rsidR="00D92DD7" w:rsidRPr="00022524">
        <w:t xml:space="preserve"> and the risk of inconsistencies between the performance frameworks is</w:t>
      </w:r>
      <w:r w:rsidR="00044F76" w:rsidRPr="00022524">
        <w:t xml:space="preserve"> therefore</w:t>
      </w:r>
      <w:r w:rsidR="00D92DD7" w:rsidRPr="00022524">
        <w:t xml:space="preserve"> not given. Although it needs to be mentioned that based on the findings of the interviews, there were joint working groups on the performance framework, even</w:t>
      </w:r>
      <w:r w:rsidR="00044F76" w:rsidRPr="00022524">
        <w:t xml:space="preserve"> if</w:t>
      </w:r>
      <w:r w:rsidR="00D92DD7" w:rsidRPr="00022524">
        <w:t xml:space="preserve"> not</w:t>
      </w:r>
      <w:r w:rsidR="00044F76" w:rsidRPr="00022524">
        <w:t xml:space="preserve"> explicitly</w:t>
      </w:r>
      <w:r w:rsidR="00D92DD7" w:rsidRPr="00022524">
        <w:t xml:space="preserve"> highlighted in the PA of Austria with the EC. Similarities </w:t>
      </w:r>
      <w:r w:rsidR="00044F76" w:rsidRPr="00022524">
        <w:t>to this situation (i.e. methodology not highlightin</w:t>
      </w:r>
      <w:r w:rsidR="00A71B12" w:rsidRPr="00022524">
        <w:t>g</w:t>
      </w:r>
      <w:r w:rsidR="00044F76" w:rsidRPr="00022524">
        <w:t xml:space="preserve"> actions to ensure consistency across funds) </w:t>
      </w:r>
      <w:r w:rsidR="00D92DD7" w:rsidRPr="00022524">
        <w:t xml:space="preserve">are also observable for e.g. Belgium (see above) and the Netherlands: the PA did not include information about national level meetings in the PA of the MS with the EC, but where highlighted during the interviews. </w:t>
      </w:r>
    </w:p>
    <w:p w14:paraId="7B36DE83" w14:textId="77777777" w:rsidR="00ED74BD" w:rsidRPr="00022524" w:rsidRDefault="00ED74BD" w:rsidP="00592539">
      <w:pPr>
        <w:pStyle w:val="Body"/>
      </w:pPr>
      <w:r w:rsidRPr="00022524">
        <w:t>The following are the main coordination mechanisms observed</w:t>
      </w:r>
      <w:r w:rsidR="00F2196E" w:rsidRPr="00022524">
        <w:t xml:space="preserve"> during the interviews with main stakeholders</w:t>
      </w:r>
      <w:r w:rsidRPr="00022524">
        <w:t>:</w:t>
      </w:r>
    </w:p>
    <w:p w14:paraId="03035489" w14:textId="77777777" w:rsidR="00ED74BD" w:rsidRPr="00022524" w:rsidRDefault="00FE1560" w:rsidP="003F6B72">
      <w:pPr>
        <w:pStyle w:val="BulletPoint1"/>
        <w:spacing w:after="0"/>
        <w:ind w:left="284" w:hanging="284"/>
        <w:contextualSpacing w:val="0"/>
      </w:pPr>
      <w:r w:rsidRPr="00022524">
        <w:t>One</w:t>
      </w:r>
      <w:r w:rsidR="00ED74BD" w:rsidRPr="00022524">
        <w:t xml:space="preserve"> </w:t>
      </w:r>
      <w:r w:rsidR="005054C0" w:rsidRPr="00022524">
        <w:t>p</w:t>
      </w:r>
      <w:r w:rsidR="00ED74BD" w:rsidRPr="00022524">
        <w:t>rogramme only</w:t>
      </w:r>
      <w:r w:rsidRPr="00022524">
        <w:t>:</w:t>
      </w:r>
      <w:r w:rsidR="00ED74BD" w:rsidRPr="00022524">
        <w:t xml:space="preserve"> the main focus on the coordination </w:t>
      </w:r>
      <w:r w:rsidR="004D0677" w:rsidRPr="00022524">
        <w:t xml:space="preserve">was </w:t>
      </w:r>
      <w:r w:rsidR="00ED74BD" w:rsidRPr="00022524">
        <w:t>between</w:t>
      </w:r>
      <w:r w:rsidR="004D0677" w:rsidRPr="00022524">
        <w:t xml:space="preserve"> </w:t>
      </w:r>
      <w:r w:rsidR="00494A24" w:rsidRPr="00022524">
        <w:t xml:space="preserve">different </w:t>
      </w:r>
      <w:r w:rsidR="004D0677" w:rsidRPr="00022524">
        <w:t>ESI</w:t>
      </w:r>
      <w:r w:rsidR="00ED74BD" w:rsidRPr="00022524">
        <w:t xml:space="preserve"> funds</w:t>
      </w:r>
      <w:r w:rsidR="004D0677" w:rsidRPr="00022524">
        <w:t>, via e.g. joint working groups</w:t>
      </w:r>
      <w:r w:rsidR="00ED74BD" w:rsidRPr="00022524">
        <w:t>. This can e.g. be observed for Austria, Cyprus, Denmark, Estonia, Luxembourg, Malta and Slovenia</w:t>
      </w:r>
      <w:r w:rsidR="00F2196E" w:rsidRPr="00022524">
        <w:t>, even if not identified during the desk research of the PAs</w:t>
      </w:r>
      <w:r w:rsidR="00ED74BD" w:rsidRPr="00022524">
        <w:t xml:space="preserve">. </w:t>
      </w:r>
    </w:p>
    <w:p w14:paraId="31CEB282" w14:textId="77777777" w:rsidR="00ED74BD" w:rsidRPr="00022524" w:rsidRDefault="00ED74BD" w:rsidP="00ED74BD">
      <w:pPr>
        <w:pStyle w:val="BulletPoint2"/>
        <w:spacing w:after="120"/>
      </w:pPr>
      <w:r w:rsidRPr="00022524">
        <w:t xml:space="preserve">In Cyprus, consistency between the different funds was ensured by defining a national coordination authority responsible for the preparation and submission of the PA. The MAs of the various funds were directly involved in the preparation of the PA. </w:t>
      </w:r>
    </w:p>
    <w:p w14:paraId="61A2FB8B" w14:textId="77777777" w:rsidR="00ED74BD" w:rsidRPr="00022524" w:rsidRDefault="00ED74BD" w:rsidP="003F6B72">
      <w:pPr>
        <w:pStyle w:val="BulletPoint1"/>
        <w:spacing w:after="0"/>
        <w:ind w:left="284" w:hanging="284"/>
        <w:contextualSpacing w:val="0"/>
      </w:pPr>
      <w:r w:rsidRPr="00022524">
        <w:t>National methodology</w:t>
      </w:r>
      <w:r w:rsidR="00F2196E" w:rsidRPr="00022524">
        <w:t xml:space="preserve"> on indicator milestones and targets</w:t>
      </w:r>
      <w:r w:rsidR="00FE1560" w:rsidRPr="00022524">
        <w:rPr>
          <w:bCs/>
        </w:rPr>
        <w:t xml:space="preserve">: </w:t>
      </w:r>
      <w:r w:rsidRPr="00022524">
        <w:t>The provision of a national method on how to elaborate the performance framework</w:t>
      </w:r>
      <w:r w:rsidR="004D0677" w:rsidRPr="00022524">
        <w:t>, i.e. values of milestones and targets,</w:t>
      </w:r>
      <w:r w:rsidRPr="00022524">
        <w:t xml:space="preserve"> can e.g. be observed in France and Portugal. In both cases this is accompanied by national guidelines. </w:t>
      </w:r>
    </w:p>
    <w:p w14:paraId="4498FDEE" w14:textId="77777777" w:rsidR="00ED74BD" w:rsidRPr="00022524" w:rsidRDefault="00ED74BD" w:rsidP="00ED74BD">
      <w:pPr>
        <w:pStyle w:val="BulletPoint2"/>
      </w:pPr>
      <w:r w:rsidRPr="00022524">
        <w:t>In France, the consistency between PA and programmes, programmes and funds and across programmes was ensured through the methodological support delivered by the NC CGET over the programme drafting period (end 2012 – beginning of 2014).</w:t>
      </w:r>
    </w:p>
    <w:p w14:paraId="3C5265A8" w14:textId="77777777" w:rsidR="00ED74BD" w:rsidRPr="00022524" w:rsidRDefault="00ED74BD" w:rsidP="00ED74BD">
      <w:pPr>
        <w:pStyle w:val="BulletPoint2"/>
        <w:spacing w:after="120"/>
      </w:pPr>
      <w:r w:rsidRPr="00022524">
        <w:t xml:space="preserve">In Portugal, the national coordination body developed several initiatives to ensure the consistency of the performance frameworks, including a common methodology for setting reference values for milestones and targets. </w:t>
      </w:r>
    </w:p>
    <w:p w14:paraId="4012C1D6" w14:textId="77777777" w:rsidR="00ED74BD" w:rsidRPr="00022524" w:rsidRDefault="00ED74BD" w:rsidP="003F6B72">
      <w:pPr>
        <w:pStyle w:val="BulletPoint1"/>
        <w:spacing w:after="120"/>
        <w:ind w:left="284" w:hanging="284"/>
        <w:contextualSpacing w:val="0"/>
      </w:pPr>
      <w:r w:rsidRPr="00022524">
        <w:t>National guidelines</w:t>
      </w:r>
      <w:r w:rsidR="00F2196E" w:rsidRPr="00022524">
        <w:t xml:space="preserve"> for the selection of PF indicators</w:t>
      </w:r>
      <w:r w:rsidR="00FE1560" w:rsidRPr="00022524">
        <w:t>:</w:t>
      </w:r>
      <w:r w:rsidRPr="00022524">
        <w:rPr>
          <w:b/>
        </w:rPr>
        <w:t xml:space="preserve"> </w:t>
      </w:r>
      <w:r w:rsidRPr="00022524">
        <w:t>The provision of a national guideline on how to elaborate the performance framework</w:t>
      </w:r>
      <w:r w:rsidR="004D0677" w:rsidRPr="00022524">
        <w:t>, i.e. selection of indicators,</w:t>
      </w:r>
      <w:r w:rsidRPr="00022524">
        <w:t xml:space="preserve"> can be found in France, Greece, (for key implementation steps), Latvia, Portugal (incl. national common indicators), Sweden (national list of common indicators).</w:t>
      </w:r>
    </w:p>
    <w:p w14:paraId="2AA3067C" w14:textId="77777777" w:rsidR="00ED74BD" w:rsidRPr="00022524" w:rsidRDefault="00ED74BD" w:rsidP="003F6B72">
      <w:pPr>
        <w:pStyle w:val="BulletPoint1"/>
        <w:spacing w:after="0"/>
        <w:ind w:left="284" w:hanging="284"/>
        <w:contextualSpacing w:val="0"/>
      </w:pPr>
      <w:r w:rsidRPr="00022524">
        <w:lastRenderedPageBreak/>
        <w:t>National level meetings</w:t>
      </w:r>
      <w:r w:rsidR="00FE1560" w:rsidRPr="00022524">
        <w:t>:</w:t>
      </w:r>
      <w:r w:rsidRPr="00022524">
        <w:t xml:space="preserve"> The organisation of national meetings offering a platform where programme bodies could coordinate their efforts and agree on certain aspects was seen e.g. in Belgium, Germany and the Netherlands (incl. two working groups). </w:t>
      </w:r>
    </w:p>
    <w:p w14:paraId="4B3C916C" w14:textId="77777777" w:rsidR="00ED74BD" w:rsidRPr="00022524" w:rsidRDefault="00ED74BD" w:rsidP="00ED74BD">
      <w:pPr>
        <w:pStyle w:val="BulletPoint2"/>
      </w:pPr>
      <w:r w:rsidRPr="00022524">
        <w:t xml:space="preserve">In Belgium, </w:t>
      </w:r>
      <w:r w:rsidR="006F12F6" w:rsidRPr="00022524">
        <w:t xml:space="preserve">its </w:t>
      </w:r>
      <w:r w:rsidR="00985C6A" w:rsidRPr="00022524">
        <w:t xml:space="preserve">permanent </w:t>
      </w:r>
      <w:r w:rsidRPr="00022524">
        <w:t xml:space="preserve">representation </w:t>
      </w:r>
      <w:r w:rsidR="006F12F6" w:rsidRPr="00022524">
        <w:t xml:space="preserve">to the </w:t>
      </w:r>
      <w:r w:rsidRPr="00022524">
        <w:t xml:space="preserve">European </w:t>
      </w:r>
      <w:r w:rsidR="006F12F6" w:rsidRPr="00022524">
        <w:t xml:space="preserve">Union </w:t>
      </w:r>
      <w:r w:rsidR="005054C0" w:rsidRPr="00022524">
        <w:t>in Brussels</w:t>
      </w:r>
      <w:r w:rsidRPr="00022524">
        <w:t xml:space="preserve"> took care of the integration of frameworks and exchange between regions to increase consistency between programmes. The coordinating region for the national level was invited to each coordinating meeting of the different regions, and contributed actively to the discussion which allows </w:t>
      </w:r>
      <w:r w:rsidR="00571055" w:rsidRPr="00022524">
        <w:t>preparing</w:t>
      </w:r>
      <w:r w:rsidRPr="00022524">
        <w:t xml:space="preserve"> the basis for the national integration of the regional work. Each region brought together the different regional authorities responsible for the different programmes.</w:t>
      </w:r>
    </w:p>
    <w:p w14:paraId="6DA3B5EC" w14:textId="77777777" w:rsidR="00ED74BD" w:rsidRPr="00022524" w:rsidRDefault="00ED74BD" w:rsidP="00ED74BD">
      <w:pPr>
        <w:pStyle w:val="BulletPoint2"/>
      </w:pPr>
      <w:r w:rsidRPr="00022524">
        <w:t xml:space="preserve">In Germany, the performance frameworks were elaborated at the level of </w:t>
      </w:r>
      <w:r w:rsidR="0074159E" w:rsidRPr="00022524">
        <w:t xml:space="preserve">the </w:t>
      </w:r>
      <w:r w:rsidRPr="00022524">
        <w:t>programmes</w:t>
      </w:r>
      <w:r w:rsidR="00C41531" w:rsidRPr="00022524">
        <w:t>.</w:t>
      </w:r>
      <w:r w:rsidRPr="00022524">
        <w:t xml:space="preserve"> </w:t>
      </w:r>
      <w:r w:rsidR="00C41531" w:rsidRPr="00022524">
        <w:t>T</w:t>
      </w:r>
      <w:r w:rsidRPr="00022524">
        <w:t xml:space="preserve">he Federal Ministry led a working group on indicators for all regional ERDF programmes. This working group met regularly since 2011 and discussed possible indicators intensively. The MAs agreed on definitions and procedures for common indicators. The procedures were harmonised </w:t>
      </w:r>
      <w:r w:rsidR="0074159E" w:rsidRPr="00022524">
        <w:t>and</w:t>
      </w:r>
      <w:r w:rsidRPr="00022524">
        <w:t xml:space="preserve"> the different OP-</w:t>
      </w:r>
      <w:r w:rsidR="0074159E" w:rsidRPr="00022524">
        <w:t xml:space="preserve">were given </w:t>
      </w:r>
      <w:r w:rsidRPr="00022524">
        <w:t xml:space="preserve">specific structures. </w:t>
      </w:r>
    </w:p>
    <w:p w14:paraId="3C8708D5" w14:textId="77777777" w:rsidR="00ED74BD" w:rsidRPr="00022524" w:rsidRDefault="00ED74BD" w:rsidP="00ED74BD">
      <w:pPr>
        <w:pStyle w:val="BulletPoint2"/>
        <w:spacing w:after="120"/>
      </w:pPr>
      <w:r w:rsidRPr="00022524">
        <w:t xml:space="preserve">In the Netherlands representatives of the four MAs </w:t>
      </w:r>
      <w:r w:rsidR="0074159E" w:rsidRPr="00022524">
        <w:t>attended</w:t>
      </w:r>
      <w:r w:rsidRPr="00022524">
        <w:t xml:space="preserve"> informal meetings with the Commission, resulting in strong coherence between the four ERDF OPs. </w:t>
      </w:r>
      <w:r w:rsidR="0074159E" w:rsidRPr="00022524">
        <w:t>Additionally,</w:t>
      </w:r>
      <w:r w:rsidRPr="00022524">
        <w:t xml:space="preserve"> there were regular meetings between the MAs for the ERDF programmes. </w:t>
      </w:r>
    </w:p>
    <w:p w14:paraId="236AB503" w14:textId="77777777" w:rsidR="00ED74BD" w:rsidRPr="00022524" w:rsidRDefault="0074159E" w:rsidP="00E67680">
      <w:pPr>
        <w:pStyle w:val="BulletPoint1"/>
        <w:spacing w:after="120"/>
        <w:ind w:left="284" w:hanging="284"/>
        <w:contextualSpacing w:val="0"/>
      </w:pPr>
      <w:r w:rsidRPr="00022524">
        <w:t>Various</w:t>
      </w:r>
      <w:r w:rsidR="00ED74BD" w:rsidRPr="00022524">
        <w:t xml:space="preserve"> forms of committees taking care of the coordination</w:t>
      </w:r>
      <w:r w:rsidRPr="00022524">
        <w:t xml:space="preserve"> </w:t>
      </w:r>
      <w:r w:rsidR="00ED74BD" w:rsidRPr="00022524">
        <w:t>can be found in Croatia (Coordination Committee), Ireland PAMC (Partnership Agreement Monitoring Committee), Spain and the NCCF (National Coordination Committee of the Funds), Sweden (Fund coordination group consisting of the three MAs of the ESI funds), and the UK (Performance Management Group led by BIS).</w:t>
      </w:r>
    </w:p>
    <w:p w14:paraId="4FAF0191" w14:textId="77777777" w:rsidR="00ED74BD" w:rsidRPr="00022524" w:rsidRDefault="005054C0" w:rsidP="003F6B72">
      <w:pPr>
        <w:pStyle w:val="BulletPoint1"/>
        <w:spacing w:after="120"/>
        <w:ind w:left="284" w:hanging="284"/>
        <w:contextualSpacing w:val="0"/>
      </w:pPr>
      <w:r w:rsidRPr="00022524">
        <w:t>A</w:t>
      </w:r>
      <w:r w:rsidR="0074159E" w:rsidRPr="00022524">
        <w:t>d</w:t>
      </w:r>
      <w:r w:rsidR="00ED74BD" w:rsidRPr="00022524">
        <w:t xml:space="preserve"> hoc and informal coordination efforts were </w:t>
      </w:r>
      <w:r w:rsidR="0074159E" w:rsidRPr="00022524">
        <w:t xml:space="preserve">most often </w:t>
      </w:r>
      <w:r w:rsidR="00ED74BD" w:rsidRPr="00022524">
        <w:t>reported from Poland</w:t>
      </w:r>
      <w:r w:rsidR="00E531BD" w:rsidRPr="00022524">
        <w:t>, where</w:t>
      </w:r>
      <w:r w:rsidRPr="00022524">
        <w:t xml:space="preserve"> seminar, national guidelines, regulations and harmonised procedures were identified in the PA as actions taken to ensure consistency across programmes and funds. However, direct contacts, meetings and occasional discussions were highlighted by the interviewees as aspects</w:t>
      </w:r>
      <w:r w:rsidR="00A71B12" w:rsidRPr="00022524">
        <w:t xml:space="preserve"> </w:t>
      </w:r>
      <w:r w:rsidRPr="00022524">
        <w:t xml:space="preserve">that </w:t>
      </w:r>
      <w:r w:rsidR="00ED74BD" w:rsidRPr="00022524">
        <w:t>influenced the final shape of the performance frameworks in all programmes.</w:t>
      </w:r>
    </w:p>
    <w:p w14:paraId="07DBEA7A" w14:textId="77777777" w:rsidR="00ED74BD" w:rsidRPr="00022524" w:rsidRDefault="00ED74BD" w:rsidP="003F6B72">
      <w:pPr>
        <w:pStyle w:val="BulletPoint1"/>
        <w:spacing w:after="0"/>
        <w:ind w:left="284"/>
        <w:contextualSpacing w:val="0"/>
      </w:pPr>
      <w:r w:rsidRPr="00022524">
        <w:t>Special cases</w:t>
      </w:r>
      <w:r w:rsidR="00FE1560" w:rsidRPr="00022524">
        <w:t>:</w:t>
      </w:r>
      <w:r w:rsidRPr="00022524">
        <w:t xml:space="preserve"> In addition to the above, there are also a number of </w:t>
      </w:r>
      <w:r w:rsidR="005054C0" w:rsidRPr="00022524">
        <w:t>specific approaches</w:t>
      </w:r>
      <w:r w:rsidRPr="00022524">
        <w:t>:</w:t>
      </w:r>
    </w:p>
    <w:p w14:paraId="1ABEF2C9" w14:textId="77777777" w:rsidR="00ED74BD" w:rsidRPr="00022524" w:rsidRDefault="00ED74BD" w:rsidP="00ED74BD">
      <w:pPr>
        <w:pStyle w:val="BulletPoint2"/>
      </w:pPr>
      <w:r w:rsidRPr="00022524">
        <w:t xml:space="preserve">Finland Mainland: Coordination between ESI funds was not seen as necessary in Finland. The relevant ministries cooperated on the PA, but did not take any specific actions to ensure consistency between the performance frameworks. They consider that actions financed under each programme are different, and </w:t>
      </w:r>
      <w:r w:rsidR="0074159E" w:rsidRPr="00022524">
        <w:t xml:space="preserve">that </w:t>
      </w:r>
      <w:r w:rsidRPr="00022524">
        <w:t xml:space="preserve">there is no more than one OP for each of the Funds for Finland Mainland. </w:t>
      </w:r>
    </w:p>
    <w:p w14:paraId="2A74BFCB" w14:textId="77777777" w:rsidR="00ED74BD" w:rsidRPr="00022524" w:rsidRDefault="00ED74BD" w:rsidP="00ED74BD">
      <w:pPr>
        <w:pStyle w:val="BulletPoint2"/>
      </w:pPr>
      <w:r w:rsidRPr="00022524">
        <w:t xml:space="preserve">Finland </w:t>
      </w:r>
      <w:proofErr w:type="spellStart"/>
      <w:r w:rsidRPr="00022524">
        <w:t>Åland</w:t>
      </w:r>
      <w:proofErr w:type="spellEnd"/>
      <w:r w:rsidR="0074159E" w:rsidRPr="00022524">
        <w:t xml:space="preserve">: </w:t>
      </w:r>
      <w:r w:rsidRPr="00022524">
        <w:t>all ESI funds have the same MA</w:t>
      </w:r>
      <w:r w:rsidR="005054C0" w:rsidRPr="00022524">
        <w:t xml:space="preserve"> which implies a certain coordination of efforts while elaborating the performance framework</w:t>
      </w:r>
      <w:r w:rsidRPr="00022524">
        <w:t xml:space="preserve">. </w:t>
      </w:r>
    </w:p>
    <w:p w14:paraId="5BEEA01E" w14:textId="77777777" w:rsidR="00ED74BD" w:rsidRPr="00022524" w:rsidRDefault="00ED74BD" w:rsidP="00ED74BD">
      <w:pPr>
        <w:pStyle w:val="BulletPoint2"/>
      </w:pPr>
      <w:r w:rsidRPr="00022524">
        <w:t>Denmark</w:t>
      </w:r>
      <w:r w:rsidR="005054C0" w:rsidRPr="00022524">
        <w:t xml:space="preserve"> – a concentration of MAs has been established:</w:t>
      </w:r>
      <w:r w:rsidR="0074159E" w:rsidRPr="00022524">
        <w:t xml:space="preserve"> </w:t>
      </w:r>
      <w:r w:rsidRPr="00022524">
        <w:t xml:space="preserve">only two MAs for all four ESI funds. The PA was developed in collaboration between the </w:t>
      </w:r>
      <w:proofErr w:type="spellStart"/>
      <w:r w:rsidRPr="00022524">
        <w:t>AgriFish</w:t>
      </w:r>
      <w:proofErr w:type="spellEnd"/>
      <w:r w:rsidRPr="00022524">
        <w:t xml:space="preserve"> Agency and the DBA, i.e. the relevant ESIF MAs. The DBA as MA for both ESF and ERDF ensures consistency between these two funds, and the same is the case for the </w:t>
      </w:r>
      <w:proofErr w:type="spellStart"/>
      <w:r w:rsidRPr="00022524">
        <w:t>AgriFish</w:t>
      </w:r>
      <w:proofErr w:type="spellEnd"/>
      <w:r w:rsidRPr="00022524">
        <w:t xml:space="preserve"> Agency for the EAFRD and EMFF.</w:t>
      </w:r>
    </w:p>
    <w:p w14:paraId="6C8182C7" w14:textId="77777777" w:rsidR="00ED74BD" w:rsidRPr="00022524" w:rsidRDefault="00ED74BD" w:rsidP="00ED74BD">
      <w:pPr>
        <w:pStyle w:val="BulletPoint2"/>
      </w:pPr>
      <w:r w:rsidRPr="00022524">
        <w:t>Malta</w:t>
      </w:r>
      <w:r w:rsidR="0074159E" w:rsidRPr="00022524">
        <w:t>:</w:t>
      </w:r>
      <w:r w:rsidRPr="00022524">
        <w:t xml:space="preserve"> the most important actions undertaken to ensure consistency between the PA and OP is the setup of a specific unit in charge of the drafting of both documents as well as the coordination with the partnership principle. With regard to the implementation, to ensure consistency the MA has established a spot</w:t>
      </w:r>
      <w:r w:rsidR="003958FA" w:rsidRPr="00022524">
        <w:t>-</w:t>
      </w:r>
      <w:r w:rsidRPr="00022524">
        <w:t xml:space="preserve">check </w:t>
      </w:r>
      <w:r w:rsidR="003958FA" w:rsidRPr="00022524">
        <w:t xml:space="preserve">verification protocol for the </w:t>
      </w:r>
      <w:r w:rsidRPr="00022524">
        <w:t xml:space="preserve">data provided in relation to milestones, targets and indicators. This approach will ensure both data consistency </w:t>
      </w:r>
      <w:r w:rsidR="003958FA" w:rsidRPr="00022524">
        <w:t xml:space="preserve">and </w:t>
      </w:r>
      <w:r w:rsidRPr="00022524">
        <w:t xml:space="preserve">enable the MAs to identify </w:t>
      </w:r>
      <w:r w:rsidR="003958FA" w:rsidRPr="00022524">
        <w:t xml:space="preserve">early </w:t>
      </w:r>
      <w:r w:rsidRPr="00022524">
        <w:t>issues in relation the implementation of the performance framework thus providing the possibility to take timely corrective actions.</w:t>
      </w:r>
    </w:p>
    <w:p w14:paraId="3F82EB01" w14:textId="77777777" w:rsidR="00ED74BD" w:rsidRPr="00022524" w:rsidRDefault="008242CD" w:rsidP="00ED74BD">
      <w:pPr>
        <w:pStyle w:val="Body"/>
        <w:spacing w:after="360"/>
      </w:pPr>
      <w:r w:rsidRPr="00022524">
        <w:t>C</w:t>
      </w:r>
      <w:r w:rsidR="00ED74BD" w:rsidRPr="00022524">
        <w:t xml:space="preserve">ases where coordination was not </w:t>
      </w:r>
      <w:r w:rsidR="003D575C" w:rsidRPr="00022524">
        <w:t xml:space="preserve">necessarily </w:t>
      </w:r>
      <w:r w:rsidR="00ED74BD" w:rsidRPr="00022524">
        <w:t>perceived as relevant</w:t>
      </w:r>
      <w:r w:rsidRPr="00022524">
        <w:t xml:space="preserve"> include for instance Finland (see above) Lithuania and the UK</w:t>
      </w:r>
      <w:r w:rsidR="00ED74BD" w:rsidRPr="00022524">
        <w:t xml:space="preserve">. </w:t>
      </w:r>
      <w:r w:rsidRPr="00022524">
        <w:t>I</w:t>
      </w:r>
      <w:r w:rsidR="00ED74BD" w:rsidRPr="00022524">
        <w:t>n the case of Lithuania it was argued that the multi-fund OP</w:t>
      </w:r>
      <w:r w:rsidR="005054C0" w:rsidRPr="00022524">
        <w:t xml:space="preserve"> is </w:t>
      </w:r>
      <w:r w:rsidR="00ED74BD" w:rsidRPr="00022524">
        <w:t xml:space="preserve">different in nature, objective and </w:t>
      </w:r>
      <w:r w:rsidR="00D478B4" w:rsidRPr="00022524">
        <w:t xml:space="preserve">in </w:t>
      </w:r>
      <w:r w:rsidR="00ED74BD" w:rsidRPr="00022524">
        <w:t xml:space="preserve">characteristics. </w:t>
      </w:r>
      <w:r w:rsidRPr="00022524">
        <w:t>I</w:t>
      </w:r>
      <w:r w:rsidR="00ED74BD" w:rsidRPr="00022524">
        <w:t>n the UK there was no concerted top-down approach to designating PF indicators; consistency within thematic objectives across programmes was not emphasised. Neither BIS nor the devolved governments issued national guidance on establishing the PF. Although at the early stages of OP preparation the UK PA Programme Board did communicate a set of “preferred” performance indicators to the individual MAs in the interests of promoting commonality. At the UK level</w:t>
      </w:r>
      <w:r w:rsidR="00D478B4" w:rsidRPr="00022524">
        <w:t>,</w:t>
      </w:r>
      <w:r w:rsidR="00ED74BD" w:rsidRPr="00022524">
        <w:t xml:space="preserve"> a Performance Management Group led by BIS was established “to ensure that the indicators are implemented in a consistent manner and to exchange information of high value outcomes and best practice”. However</w:t>
      </w:r>
      <w:r w:rsidR="008D6FD6" w:rsidRPr="00022524">
        <w:t>,</w:t>
      </w:r>
      <w:r w:rsidR="00ED74BD" w:rsidRPr="00022524">
        <w:t xml:space="preserve"> the fulfilment of this objective is not evident when the final PF indicators across all UK OPs are reviewed. The individual OP MAs had considerable independence wit</w:t>
      </w:r>
      <w:r w:rsidR="00523067" w:rsidRPr="00022524">
        <w:t>h which to design PF provisions.</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ED74BD" w:rsidRPr="00767075" w14:paraId="62235EC0" w14:textId="77777777" w:rsidTr="00ED74BD">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1C7E4F9F" w14:textId="77777777" w:rsidR="00ED74BD" w:rsidRPr="00022524" w:rsidRDefault="00ED74BD" w:rsidP="00ED74BD">
            <w:pPr>
              <w:pStyle w:val="Body"/>
              <w:spacing w:before="120" w:after="60"/>
              <w:rPr>
                <w:b/>
                <w:color w:val="004696"/>
                <w:szCs w:val="18"/>
                <w:lang w:eastAsia="nl-BE"/>
              </w:rPr>
            </w:pPr>
            <w:r w:rsidRPr="00022524">
              <w:rPr>
                <w:b/>
                <w:color w:val="004696"/>
                <w:szCs w:val="18"/>
                <w:lang w:eastAsia="nl-BE"/>
              </w:rPr>
              <w:t xml:space="preserve">Interesting examples </w:t>
            </w:r>
          </w:p>
          <w:p w14:paraId="34C13A77" w14:textId="77777777" w:rsidR="00ED74BD" w:rsidRPr="00022524" w:rsidRDefault="00ED74BD" w:rsidP="00ED74BD">
            <w:pPr>
              <w:pStyle w:val="Body"/>
              <w:spacing w:before="120" w:after="60"/>
              <w:rPr>
                <w:b/>
                <w:i/>
                <w:iCs/>
                <w:color w:val="004696"/>
                <w:szCs w:val="18"/>
                <w:lang w:eastAsia="nl-BE"/>
              </w:rPr>
            </w:pPr>
            <w:r w:rsidRPr="00022524">
              <w:rPr>
                <w:b/>
                <w:i/>
                <w:iCs/>
                <w:color w:val="004696"/>
                <w:szCs w:val="18"/>
                <w:lang w:eastAsia="nl-BE"/>
              </w:rPr>
              <w:t>FR – National guidance</w:t>
            </w:r>
          </w:p>
          <w:p w14:paraId="73ECA771" w14:textId="77777777" w:rsidR="00ED74BD" w:rsidRPr="00022524" w:rsidRDefault="00ED74BD" w:rsidP="00ED74BD">
            <w:pPr>
              <w:pStyle w:val="Body"/>
              <w:spacing w:before="60" w:after="60"/>
              <w:rPr>
                <w:color w:val="auto"/>
              </w:rPr>
            </w:pPr>
            <w:r w:rsidRPr="00022524">
              <w:rPr>
                <w:color w:val="auto"/>
              </w:rPr>
              <w:t xml:space="preserve">In France, the consistency between PA and programmes, programmes and funds and across </w:t>
            </w:r>
            <w:r w:rsidRPr="00022524">
              <w:rPr>
                <w:color w:val="auto"/>
              </w:rPr>
              <w:lastRenderedPageBreak/>
              <w:t>programmes was ensured through methodological support delivered by the NC CGET over the programme drafting period (end 2012 – beginning of 2014).</w:t>
            </w:r>
          </w:p>
          <w:p w14:paraId="58E08D70" w14:textId="77777777" w:rsidR="00ED74BD" w:rsidRPr="00022524" w:rsidRDefault="00ED74BD" w:rsidP="00ED74BD">
            <w:pPr>
              <w:pStyle w:val="Body"/>
              <w:spacing w:before="60" w:after="60"/>
              <w:rPr>
                <w:color w:val="auto"/>
              </w:rPr>
            </w:pPr>
            <w:r w:rsidRPr="00022524">
              <w:rPr>
                <w:color w:val="auto"/>
              </w:rPr>
              <w:t xml:space="preserve">Three types of activities were carried out in cooperation with </w:t>
            </w:r>
            <w:r w:rsidR="00CB79F0" w:rsidRPr="00022524">
              <w:rPr>
                <w:color w:val="auto"/>
              </w:rPr>
              <w:t>m</w:t>
            </w:r>
            <w:r w:rsidRPr="00022524">
              <w:rPr>
                <w:color w:val="auto"/>
              </w:rPr>
              <w:t xml:space="preserve">anaging </w:t>
            </w:r>
            <w:r w:rsidR="00CB79F0" w:rsidRPr="00022524">
              <w:rPr>
                <w:color w:val="auto"/>
              </w:rPr>
              <w:t>a</w:t>
            </w:r>
            <w:r w:rsidRPr="00022524">
              <w:rPr>
                <w:color w:val="auto"/>
              </w:rPr>
              <w:t>uthorities in 2013 and up to the approval of the programmes. These activities related to:</w:t>
            </w:r>
          </w:p>
          <w:p w14:paraId="399EF767" w14:textId="77777777" w:rsidR="00ED74BD" w:rsidRPr="00022524" w:rsidRDefault="00ED74BD" w:rsidP="00ED74BD">
            <w:pPr>
              <w:pStyle w:val="Body"/>
              <w:numPr>
                <w:ilvl w:val="0"/>
                <w:numId w:val="31"/>
              </w:numPr>
              <w:spacing w:after="60"/>
              <w:ind w:left="426" w:hanging="426"/>
              <w:rPr>
                <w:color w:val="auto"/>
              </w:rPr>
            </w:pPr>
            <w:r w:rsidRPr="00022524">
              <w:rPr>
                <w:color w:val="auto"/>
              </w:rPr>
              <w:t xml:space="preserve">the transmission of an informative note about the PF (normative framework, requirement, timing and methodologies) to all </w:t>
            </w:r>
            <w:r w:rsidR="00CB79F0" w:rsidRPr="00022524">
              <w:rPr>
                <w:color w:val="auto"/>
              </w:rPr>
              <w:t>m</w:t>
            </w:r>
            <w:r w:rsidRPr="00022524">
              <w:rPr>
                <w:color w:val="auto"/>
              </w:rPr>
              <w:t xml:space="preserve">anaging </w:t>
            </w:r>
            <w:r w:rsidR="00CB79F0" w:rsidRPr="00022524">
              <w:rPr>
                <w:color w:val="auto"/>
              </w:rPr>
              <w:t>a</w:t>
            </w:r>
            <w:r w:rsidRPr="00022524">
              <w:rPr>
                <w:color w:val="auto"/>
              </w:rPr>
              <w:t>uthorities;</w:t>
            </w:r>
          </w:p>
          <w:p w14:paraId="2285EB9C" w14:textId="77777777" w:rsidR="00ED74BD" w:rsidRPr="00022524" w:rsidRDefault="00ED74BD" w:rsidP="00ED74BD">
            <w:pPr>
              <w:pStyle w:val="Body"/>
              <w:numPr>
                <w:ilvl w:val="0"/>
                <w:numId w:val="31"/>
              </w:numPr>
              <w:spacing w:after="60"/>
              <w:ind w:left="426" w:hanging="426"/>
              <w:rPr>
                <w:color w:val="auto"/>
              </w:rPr>
            </w:pPr>
            <w:r w:rsidRPr="00022524">
              <w:rPr>
                <w:color w:val="auto"/>
              </w:rPr>
              <w:t>the definition of national guidance for the selection of PF indicator types</w:t>
            </w:r>
          </w:p>
          <w:p w14:paraId="06AC7433" w14:textId="77777777" w:rsidR="00ED74BD" w:rsidRPr="00022524" w:rsidRDefault="00ED74BD" w:rsidP="00ED74BD">
            <w:pPr>
              <w:pStyle w:val="Body"/>
              <w:numPr>
                <w:ilvl w:val="0"/>
                <w:numId w:val="31"/>
              </w:numPr>
              <w:spacing w:after="60"/>
              <w:ind w:left="426" w:hanging="426"/>
              <w:rPr>
                <w:color w:val="auto"/>
              </w:rPr>
            </w:pPr>
            <w:r w:rsidRPr="00022524">
              <w:rPr>
                <w:color w:val="auto"/>
              </w:rPr>
              <w:t xml:space="preserve">the elaboration of a national methodology to set the target indicators, with inputs from </w:t>
            </w:r>
            <w:r w:rsidR="00CB79F0" w:rsidRPr="00022524">
              <w:rPr>
                <w:color w:val="auto"/>
              </w:rPr>
              <w:t>m</w:t>
            </w:r>
            <w:r w:rsidRPr="00022524">
              <w:rPr>
                <w:color w:val="auto"/>
              </w:rPr>
              <w:t xml:space="preserve">anaging </w:t>
            </w:r>
            <w:r w:rsidR="00CB79F0" w:rsidRPr="00022524">
              <w:rPr>
                <w:color w:val="auto"/>
              </w:rPr>
              <w:t>a</w:t>
            </w:r>
            <w:r w:rsidRPr="00022524">
              <w:rPr>
                <w:color w:val="auto"/>
              </w:rPr>
              <w:t>uthorities;</w:t>
            </w:r>
          </w:p>
          <w:p w14:paraId="20F288AB" w14:textId="77777777" w:rsidR="00ED74BD" w:rsidRPr="00022524" w:rsidRDefault="00ED74BD" w:rsidP="00ED74BD">
            <w:pPr>
              <w:pStyle w:val="Body"/>
              <w:numPr>
                <w:ilvl w:val="0"/>
                <w:numId w:val="31"/>
              </w:numPr>
              <w:spacing w:after="60"/>
              <w:ind w:left="426" w:hanging="426"/>
              <w:rPr>
                <w:color w:val="auto"/>
              </w:rPr>
            </w:pPr>
            <w:r w:rsidRPr="00022524">
              <w:rPr>
                <w:color w:val="auto"/>
              </w:rPr>
              <w:t xml:space="preserve">Actions taken to ensure consistency between programmes and funds; </w:t>
            </w:r>
          </w:p>
          <w:p w14:paraId="1371CE2F" w14:textId="77777777" w:rsidR="00ED74BD" w:rsidRPr="00022524" w:rsidRDefault="00ED74BD" w:rsidP="00ED74BD">
            <w:pPr>
              <w:pStyle w:val="Body"/>
              <w:numPr>
                <w:ilvl w:val="0"/>
                <w:numId w:val="31"/>
              </w:numPr>
              <w:spacing w:after="60"/>
              <w:ind w:left="426" w:hanging="426"/>
              <w:rPr>
                <w:color w:val="auto"/>
              </w:rPr>
            </w:pPr>
            <w:r w:rsidRPr="00022524">
              <w:rPr>
                <w:color w:val="auto"/>
              </w:rPr>
              <w:t xml:space="preserve">Actions taken to ensure consistency within thematic objectives across programmes; </w:t>
            </w:r>
          </w:p>
          <w:p w14:paraId="0FFF8E2F" w14:textId="77777777" w:rsidR="00ED74BD" w:rsidRPr="00022524" w:rsidRDefault="00ED74BD" w:rsidP="00ED74BD">
            <w:pPr>
              <w:pStyle w:val="Body"/>
              <w:numPr>
                <w:ilvl w:val="0"/>
                <w:numId w:val="31"/>
              </w:numPr>
              <w:spacing w:after="60"/>
              <w:ind w:left="426" w:hanging="426"/>
              <w:rPr>
                <w:color w:val="auto"/>
              </w:rPr>
            </w:pPr>
            <w:r w:rsidRPr="00022524">
              <w:rPr>
                <w:color w:val="auto"/>
              </w:rPr>
              <w:t>Monitoring and follow-up systems for preventing performance framework issues.</w:t>
            </w:r>
          </w:p>
          <w:p w14:paraId="59FE61E3" w14:textId="77777777" w:rsidR="00ED74BD" w:rsidRPr="00022524" w:rsidRDefault="00ED74BD" w:rsidP="00ED74BD">
            <w:pPr>
              <w:pStyle w:val="Body"/>
              <w:spacing w:before="60" w:after="60"/>
              <w:rPr>
                <w:color w:val="auto"/>
              </w:rPr>
            </w:pPr>
            <w:r w:rsidRPr="00022524">
              <w:rPr>
                <w:color w:val="auto"/>
              </w:rPr>
              <w:t>All MAs participated in the seminars organised by the NC CGET and beneficiated of a personalised support. The follow-up activities carried out by the NC allowed MAs during the drafting period to:</w:t>
            </w:r>
          </w:p>
          <w:p w14:paraId="0EFE1FE1" w14:textId="77777777" w:rsidR="00ED74BD" w:rsidRPr="00022524" w:rsidRDefault="00ED74BD" w:rsidP="00ED74BD">
            <w:pPr>
              <w:pStyle w:val="Body"/>
              <w:numPr>
                <w:ilvl w:val="0"/>
                <w:numId w:val="32"/>
              </w:numPr>
              <w:spacing w:after="60"/>
              <w:ind w:left="426" w:hanging="426"/>
              <w:rPr>
                <w:color w:val="auto"/>
              </w:rPr>
            </w:pPr>
            <w:r w:rsidRPr="00022524">
              <w:rPr>
                <w:color w:val="auto"/>
              </w:rPr>
              <w:t>Complete the information needed to set-up the PF at OP level;</w:t>
            </w:r>
          </w:p>
          <w:p w14:paraId="4619A91E" w14:textId="77777777" w:rsidR="00ED74BD" w:rsidRPr="00022524" w:rsidRDefault="00ED74BD" w:rsidP="00ED74BD">
            <w:pPr>
              <w:pStyle w:val="Body"/>
              <w:numPr>
                <w:ilvl w:val="0"/>
                <w:numId w:val="32"/>
              </w:numPr>
              <w:spacing w:after="60"/>
              <w:ind w:left="426" w:hanging="426"/>
              <w:rPr>
                <w:color w:val="auto"/>
              </w:rPr>
            </w:pPr>
            <w:r w:rsidRPr="00022524">
              <w:rPr>
                <w:color w:val="auto"/>
              </w:rPr>
              <w:t>Adapt the national methodologies to each OPs, in order to fit well with local challenges and information available;</w:t>
            </w:r>
          </w:p>
          <w:p w14:paraId="6179CE72" w14:textId="77777777" w:rsidR="00ED74BD" w:rsidRPr="00022524" w:rsidRDefault="00ED74BD" w:rsidP="00ED74BD">
            <w:pPr>
              <w:pStyle w:val="Body"/>
              <w:numPr>
                <w:ilvl w:val="0"/>
                <w:numId w:val="32"/>
              </w:numPr>
              <w:spacing w:after="60"/>
              <w:ind w:left="426" w:hanging="426"/>
              <w:rPr>
                <w:color w:val="auto"/>
              </w:rPr>
            </w:pPr>
            <w:r w:rsidRPr="00022524">
              <w:rPr>
                <w:color w:val="auto"/>
              </w:rPr>
              <w:t>Ensure consistency of the work done by the MAs on the PF with the national methodology;</w:t>
            </w:r>
          </w:p>
          <w:p w14:paraId="18F1D07F" w14:textId="77777777" w:rsidR="00ED74BD" w:rsidRPr="00022524" w:rsidRDefault="00ED74BD" w:rsidP="00ED74BD">
            <w:pPr>
              <w:pStyle w:val="Body"/>
              <w:numPr>
                <w:ilvl w:val="0"/>
                <w:numId w:val="32"/>
              </w:numPr>
              <w:spacing w:after="60"/>
              <w:ind w:left="426" w:hanging="426"/>
              <w:rPr>
                <w:color w:val="auto"/>
              </w:rPr>
            </w:pPr>
            <w:r w:rsidRPr="00022524">
              <w:rPr>
                <w:color w:val="auto"/>
              </w:rPr>
              <w:t xml:space="preserve">Verify the consistency of the approach chosen at regional level when different from the national one, justifying the gap reported when target values were different). </w:t>
            </w:r>
          </w:p>
          <w:p w14:paraId="0FD84CE4" w14:textId="77777777" w:rsidR="00ED74BD" w:rsidRPr="00022524" w:rsidRDefault="00ED74BD" w:rsidP="00ED74BD">
            <w:pPr>
              <w:pStyle w:val="Body"/>
              <w:keepNext/>
              <w:spacing w:before="120" w:after="60"/>
              <w:rPr>
                <w:b/>
                <w:i/>
                <w:iCs/>
                <w:color w:val="004696"/>
                <w:szCs w:val="18"/>
                <w:lang w:eastAsia="nl-BE"/>
              </w:rPr>
            </w:pPr>
            <w:r w:rsidRPr="00022524">
              <w:rPr>
                <w:b/>
                <w:i/>
                <w:iCs/>
                <w:color w:val="004696"/>
                <w:szCs w:val="18"/>
                <w:lang w:eastAsia="nl-BE"/>
              </w:rPr>
              <w:t xml:space="preserve">MT – Data consistency during the implementation </w:t>
            </w:r>
          </w:p>
          <w:p w14:paraId="780A7581" w14:textId="77777777" w:rsidR="00ED74BD" w:rsidRPr="00022524" w:rsidRDefault="00ED74BD" w:rsidP="00ED74BD">
            <w:pPr>
              <w:pStyle w:val="Body"/>
              <w:spacing w:before="60" w:after="60"/>
              <w:rPr>
                <w:color w:val="auto"/>
              </w:rPr>
            </w:pPr>
            <w:r w:rsidRPr="00022524">
              <w:rPr>
                <w:color w:val="auto"/>
              </w:rPr>
              <w:t>To ensure consistency, the MA has established a performance on the spot check to verify the data provided in relation to milestones, targets and indicators. This approach will ensure both data consistency as well as enable the MAs to identify issues in relation the implementation of the performance framework at the earliest, thus providing the possibility to take timely corrective actions.</w:t>
            </w:r>
          </w:p>
          <w:p w14:paraId="444ADC49" w14:textId="77777777" w:rsidR="00ED74BD" w:rsidRPr="00022524" w:rsidRDefault="00ED74BD" w:rsidP="00ED74BD">
            <w:pPr>
              <w:pStyle w:val="Body"/>
              <w:keepNext/>
              <w:spacing w:before="120" w:after="60"/>
              <w:rPr>
                <w:b/>
                <w:i/>
                <w:iCs/>
                <w:color w:val="004696"/>
                <w:szCs w:val="18"/>
                <w:lang w:eastAsia="nl-BE"/>
              </w:rPr>
            </w:pPr>
            <w:r w:rsidRPr="00022524">
              <w:rPr>
                <w:b/>
                <w:i/>
                <w:iCs/>
                <w:color w:val="004696"/>
                <w:szCs w:val="18"/>
                <w:lang w:eastAsia="nl-BE"/>
              </w:rPr>
              <w:t xml:space="preserve">PT – National guidance processes and common indicators </w:t>
            </w:r>
          </w:p>
          <w:p w14:paraId="06F1B144" w14:textId="77777777" w:rsidR="00ED74BD" w:rsidRPr="00022524" w:rsidRDefault="00ED74BD" w:rsidP="00ED74BD">
            <w:pPr>
              <w:pStyle w:val="Body"/>
              <w:spacing w:before="60" w:after="60"/>
              <w:rPr>
                <w:color w:val="auto"/>
              </w:rPr>
            </w:pPr>
            <w:r w:rsidRPr="00022524">
              <w:rPr>
                <w:color w:val="auto"/>
              </w:rPr>
              <w:t>The National Entity was the central agent to ensure national consistency. This process had distinct activities in two main phases.</w:t>
            </w:r>
          </w:p>
          <w:p w14:paraId="012A41E4" w14:textId="77777777" w:rsidR="00ED74BD" w:rsidRPr="00022524" w:rsidRDefault="00ED74BD" w:rsidP="00ED74BD">
            <w:pPr>
              <w:pStyle w:val="Body"/>
              <w:numPr>
                <w:ilvl w:val="0"/>
                <w:numId w:val="33"/>
              </w:numPr>
              <w:spacing w:after="60"/>
              <w:ind w:left="426" w:hanging="426"/>
              <w:rPr>
                <w:color w:val="auto"/>
              </w:rPr>
            </w:pPr>
            <w:r w:rsidRPr="00022524">
              <w:rPr>
                <w:color w:val="auto"/>
              </w:rPr>
              <w:t xml:space="preserve">In the first phase, the activities were related with the construction of a guiding process, namely through the elaboration of the Partnership Agreement and guiding documents for the MAs to select indicators, milestones and targets. </w:t>
            </w:r>
          </w:p>
          <w:p w14:paraId="4D2E868B" w14:textId="77777777" w:rsidR="00ED74BD" w:rsidRPr="00022524" w:rsidRDefault="00ED74BD" w:rsidP="00ED74BD">
            <w:pPr>
              <w:pStyle w:val="Body"/>
              <w:numPr>
                <w:ilvl w:val="0"/>
                <w:numId w:val="33"/>
              </w:numPr>
              <w:spacing w:after="60"/>
              <w:ind w:left="426" w:hanging="426"/>
              <w:rPr>
                <w:color w:val="auto"/>
              </w:rPr>
            </w:pPr>
            <w:r w:rsidRPr="00022524">
              <w:rPr>
                <w:color w:val="auto"/>
              </w:rPr>
              <w:t xml:space="preserve">In the second phase, several activities as meetings and workshops were developed. To reinforce the integration of the national philosophy within the instruments was ensured by involving persons in both, the PA and the OP. </w:t>
            </w:r>
          </w:p>
          <w:p w14:paraId="0CEC5D9D" w14:textId="77777777" w:rsidR="00ED74BD" w:rsidRPr="00022524" w:rsidRDefault="00ED74BD" w:rsidP="00ED74BD">
            <w:pPr>
              <w:pStyle w:val="Body"/>
              <w:spacing w:before="60" w:after="60"/>
              <w:rPr>
                <w:color w:val="auto"/>
              </w:rPr>
            </w:pPr>
            <w:r w:rsidRPr="00022524">
              <w:rPr>
                <w:color w:val="auto"/>
              </w:rPr>
              <w:t xml:space="preserve">The existence of EC Common Indicators and National Common Indicators reinforces the consistency within thematic objectives across programmes. In this last case, the National Entity made a great effort to create this set of indicators, in order to monitor the evolution of specific indicators, being able to compare it within all OPs and/or aggregate to have national figures. However, the National Entity assumed some difficulty to create and maintain the consistency between OPs, due to the several changes in all OPs during the programming process (Source: Interview CDA). </w:t>
            </w:r>
          </w:p>
          <w:p w14:paraId="62D00A2D" w14:textId="77777777" w:rsidR="00ED74BD" w:rsidRPr="00022524" w:rsidRDefault="00ED74BD" w:rsidP="00ED74BD">
            <w:pPr>
              <w:pStyle w:val="Body"/>
              <w:spacing w:before="60" w:after="60"/>
              <w:rPr>
                <w:color w:val="auto"/>
              </w:rPr>
            </w:pPr>
            <w:r w:rsidRPr="00022524">
              <w:rPr>
                <w:color w:val="auto"/>
              </w:rPr>
              <w:t xml:space="preserve">In order to monitor and promote follow-up systems for preventing PF issues, the National Entity promoted in the PA the execution of several actions (source: PA), such as: Development of training actions on the issue of monitoring evaluation to entities directly involved in the implementation of ESIF; existence, for national option of an annual report on the Partnership Agreement, in addition to the two moments asked by EC; and creation of early warning mechanisms of monitoring concerning indicators or targets that prove to be inadequate in the first run times, to allow fine-tune the model before the allocation of the performance reserve. </w:t>
            </w:r>
          </w:p>
        </w:tc>
      </w:tr>
    </w:tbl>
    <w:p w14:paraId="01F6D601" w14:textId="77777777" w:rsidR="00FE1560" w:rsidRPr="00022524" w:rsidRDefault="00FE1560" w:rsidP="0000249A">
      <w:pPr>
        <w:pStyle w:val="Body"/>
        <w:spacing w:before="240"/>
      </w:pPr>
      <w:bookmarkStart w:id="64" w:name="_Toc429671065"/>
      <w:bookmarkStart w:id="65" w:name="_Toc432600866"/>
      <w:r w:rsidRPr="00022524">
        <w:lastRenderedPageBreak/>
        <w:t xml:space="preserve">Looking at the usefulness of the coordination mechanisms, the vast majority of programmes indicate that mechanisms to ensure consistency between performance frameworks in the Member State were present and useful. Single fund programmes, regional programmes and </w:t>
      </w:r>
      <w:proofErr w:type="spellStart"/>
      <w:r w:rsidRPr="00022524">
        <w:t>cross-border</w:t>
      </w:r>
      <w:proofErr w:type="spellEnd"/>
      <w:r w:rsidRPr="00022524">
        <w:t xml:space="preserve"> programmes are the most positive about the existing coordination mechanisms. </w:t>
      </w:r>
    </w:p>
    <w:p w14:paraId="757C8734" w14:textId="77777777" w:rsidR="00523067" w:rsidRPr="00022524" w:rsidRDefault="00523067" w:rsidP="00523067">
      <w:pPr>
        <w:pStyle w:val="Body"/>
      </w:pPr>
      <w:r w:rsidRPr="00022524">
        <w:t>Generally</w:t>
      </w:r>
      <w:r w:rsidR="00D478B4" w:rsidRPr="00022524">
        <w:t>,</w:t>
      </w:r>
      <w:r w:rsidRPr="00022524">
        <w:t xml:space="preserve"> the study identified a large variety of approache</w:t>
      </w:r>
      <w:r w:rsidR="00D478B4" w:rsidRPr="00022524">
        <w:t>s</w:t>
      </w:r>
      <w:r w:rsidRPr="00022524">
        <w:t xml:space="preserve"> to establish national consistency, which largely depends on the national set up of bodies and responsibilities. Regular meetings and information exchange between involved stakeholders, national guidelines</w:t>
      </w:r>
      <w:r w:rsidR="00D478B4" w:rsidRPr="00022524">
        <w:t>,</w:t>
      </w:r>
      <w:r w:rsidRPr="00022524">
        <w:t xml:space="preserve"> as well as shared responsibilities</w:t>
      </w:r>
      <w:r w:rsidR="00D478B4" w:rsidRPr="00022524">
        <w:t>,</w:t>
      </w:r>
      <w:r w:rsidRPr="00022524">
        <w:t xml:space="preserve"> were identified in the majority of programmes. Differences in approaches are mainly not visible for programme types, but </w:t>
      </w:r>
      <w:r w:rsidR="00D478B4" w:rsidRPr="00022524">
        <w:t xml:space="preserve">rather </w:t>
      </w:r>
      <w:r w:rsidRPr="00022524">
        <w:t xml:space="preserve">Member States. Only occasionally </w:t>
      </w:r>
      <w:r w:rsidR="00D478B4" w:rsidRPr="00022524">
        <w:t xml:space="preserve">was </w:t>
      </w:r>
      <w:r w:rsidRPr="00022524">
        <w:lastRenderedPageBreak/>
        <w:t>coordination between the different ESIF was not perceived as relevant</w:t>
      </w:r>
      <w:r w:rsidR="00D478B4" w:rsidRPr="00022524">
        <w:t>.</w:t>
      </w:r>
      <w:r w:rsidRPr="00022524">
        <w:t xml:space="preserve"> </w:t>
      </w:r>
      <w:r w:rsidR="00D478B4" w:rsidRPr="00022524">
        <w:t>T</w:t>
      </w:r>
      <w:r w:rsidRPr="00022524">
        <w:t xml:space="preserve">he vast majority of programmes indicated consistency mechanisms to be useful. </w:t>
      </w:r>
    </w:p>
    <w:p w14:paraId="455BC17D" w14:textId="77777777" w:rsidR="00EC6DE8" w:rsidRPr="00022524" w:rsidRDefault="00EC6DE8" w:rsidP="00A0452B">
      <w:pPr>
        <w:pStyle w:val="Heading2"/>
      </w:pPr>
      <w:bookmarkStart w:id="66" w:name="_Toc433973098"/>
      <w:bookmarkStart w:id="67" w:name="_Toc433973194"/>
      <w:bookmarkStart w:id="68" w:name="_Toc448144109"/>
      <w:bookmarkEnd w:id="64"/>
      <w:bookmarkEnd w:id="65"/>
      <w:r w:rsidRPr="00022524">
        <w:t>Conclusions</w:t>
      </w:r>
      <w:bookmarkEnd w:id="66"/>
      <w:bookmarkEnd w:id="67"/>
      <w:bookmarkEnd w:id="68"/>
    </w:p>
    <w:p w14:paraId="59B8F5F4" w14:textId="1BC0B21B" w:rsidR="007D4423" w:rsidRPr="00022524" w:rsidRDefault="00EC6DE8" w:rsidP="007D4423">
      <w:pPr>
        <w:pStyle w:val="Body"/>
      </w:pPr>
      <w:r w:rsidRPr="00022524">
        <w:t xml:space="preserve">Overall, the drafting teams have a strong role in the development of the performance frameworks. </w:t>
      </w:r>
      <w:proofErr w:type="gramStart"/>
      <w:r w:rsidRPr="00022524">
        <w:t xml:space="preserve">Depending on the national set-up for ESIF management, national coordination bodies and intermediate bodies are also influential and </w:t>
      </w:r>
      <w:r w:rsidR="007D4423" w:rsidRPr="00022524">
        <w:t>ex-</w:t>
      </w:r>
      <w:r w:rsidRPr="00022524">
        <w:t>evaluators.</w:t>
      </w:r>
      <w:proofErr w:type="gramEnd"/>
      <w:r w:rsidRPr="00022524">
        <w:t xml:space="preserve"> </w:t>
      </w:r>
      <w:r w:rsidR="007D4423" w:rsidRPr="00022524">
        <w:t xml:space="preserve">Likewise, the </w:t>
      </w:r>
      <w:r w:rsidR="00BF7451" w:rsidRPr="00022524">
        <w:t xml:space="preserve">expected contribution of </w:t>
      </w:r>
      <w:r w:rsidR="007D4423" w:rsidRPr="00022524">
        <w:t xml:space="preserve">performance framework to better focusing the programmes already in the programming phase and better steering of programme process in the implementation phase was already confirmed </w:t>
      </w:r>
      <w:r w:rsidR="00D478B4" w:rsidRPr="00022524">
        <w:t xml:space="preserve">or </w:t>
      </w:r>
      <w:r w:rsidR="007D4423" w:rsidRPr="00022524">
        <w:t xml:space="preserve">is expected.  </w:t>
      </w:r>
    </w:p>
    <w:p w14:paraId="27C068C9" w14:textId="77777777" w:rsidR="00EC6DE8" w:rsidRPr="00022524" w:rsidRDefault="00B82CBB" w:rsidP="007D4423">
      <w:pPr>
        <w:pStyle w:val="Body"/>
      </w:pPr>
      <w:r w:rsidRPr="00022524">
        <w:t>In addition</w:t>
      </w:r>
      <w:r w:rsidR="00EC6DE8" w:rsidRPr="00022524">
        <w:t>, the work performed by these bodies and individuals was largely based on past experience and programme specific documents</w:t>
      </w:r>
      <w:r w:rsidR="00D478B4" w:rsidRPr="00022524">
        <w:t>. Programme specific documents</w:t>
      </w:r>
      <w:r w:rsidR="00EC6DE8" w:rsidRPr="00022524">
        <w:t xml:space="preserve"> </w:t>
      </w:r>
      <w:r w:rsidR="007D4423" w:rsidRPr="00022524">
        <w:t>can be regarded as the most influential documents and sources for developing the performance framework. EC guidance was mainly perceived as quite clear for the responsible stakeholders.</w:t>
      </w:r>
    </w:p>
    <w:p w14:paraId="1B80A404" w14:textId="77777777" w:rsidR="00EC6DE8" w:rsidRPr="00022524" w:rsidRDefault="00EC6DE8" w:rsidP="007D4423">
      <w:pPr>
        <w:pStyle w:val="Body"/>
      </w:pPr>
      <w:r w:rsidRPr="00022524">
        <w:t>All in all</w:t>
      </w:r>
      <w:r w:rsidR="003D4AEC" w:rsidRPr="00022524">
        <w:t>, elements of</w:t>
      </w:r>
      <w:r w:rsidRPr="00022524">
        <w:t xml:space="preserve"> dialogue and feedback seemed to be an important element when designing and revising the performance framework. The timing and different actors of these feedback loops have to be distinguished</w:t>
      </w:r>
      <w:r w:rsidR="007D4423" w:rsidRPr="00022524">
        <w:t xml:space="preserve"> as the analysis highlights not only the </w:t>
      </w:r>
      <w:r w:rsidR="00855153" w:rsidRPr="00022524">
        <w:t>importance</w:t>
      </w:r>
      <w:r w:rsidR="007D4423" w:rsidRPr="00022524">
        <w:t xml:space="preserve"> of central coordination but also the EC’s influence on the review of performance frameworks</w:t>
      </w:r>
      <w:r w:rsidRPr="00022524">
        <w:t>:</w:t>
      </w:r>
    </w:p>
    <w:p w14:paraId="3120DB63" w14:textId="77777777" w:rsidR="00EC6DE8" w:rsidRPr="00022524" w:rsidRDefault="00EC6DE8" w:rsidP="007D4423">
      <w:pPr>
        <w:pStyle w:val="BulletPoint1"/>
      </w:pPr>
      <w:r w:rsidRPr="00022524">
        <w:t xml:space="preserve">Feedback/review during the set-up process – </w:t>
      </w:r>
      <w:proofErr w:type="gramStart"/>
      <w:r w:rsidRPr="00022524">
        <w:t>both the</w:t>
      </w:r>
      <w:proofErr w:type="gramEnd"/>
      <w:r w:rsidRPr="00022524">
        <w:t xml:space="preserve"> national coordinators and the ex-ante evaluators </w:t>
      </w:r>
      <w:r w:rsidR="00002BD7" w:rsidRPr="00022524">
        <w:t xml:space="preserve">as well as the Commission </w:t>
      </w:r>
      <w:r w:rsidRPr="00022524">
        <w:t>seemed to have a significant influence on the continuous revision of the performance framework and the indicators. This is due to the new role of the ex</w:t>
      </w:r>
      <w:r w:rsidR="00BC04C2" w:rsidRPr="00022524">
        <w:t>-</w:t>
      </w:r>
      <w:r w:rsidRPr="00022524">
        <w:t>ante evaluation, being designed as an accompanying intervention.</w:t>
      </w:r>
    </w:p>
    <w:p w14:paraId="548D25B4" w14:textId="1A9597AC" w:rsidR="00EC6DE8" w:rsidRPr="00022524" w:rsidRDefault="00EC6DE8" w:rsidP="007D4423">
      <w:pPr>
        <w:pStyle w:val="BulletPoint1"/>
      </w:pPr>
      <w:r w:rsidRPr="00022524">
        <w:t xml:space="preserve">Feedback/review after submission of the </w:t>
      </w:r>
      <w:r w:rsidR="00C2042A" w:rsidRPr="00022524">
        <w:t xml:space="preserve">programme </w:t>
      </w:r>
      <w:r w:rsidRPr="00022524">
        <w:t>– the Commission played a major role here</w:t>
      </w:r>
      <w:r w:rsidR="002645C2">
        <w:t xml:space="preserve"> as 83</w:t>
      </w:r>
      <w:r w:rsidR="007D4423" w:rsidRPr="00022524">
        <w:t>% of programmes change</w:t>
      </w:r>
      <w:r w:rsidR="00855153" w:rsidRPr="00022524">
        <w:t>d</w:t>
      </w:r>
      <w:r w:rsidR="007D4423" w:rsidRPr="00022524">
        <w:t xml:space="preserve"> parts of their performance framework after EC review</w:t>
      </w:r>
      <w:r w:rsidRPr="00022524">
        <w:t xml:space="preserve">. Still, it should be noted that the </w:t>
      </w:r>
      <w:r w:rsidR="007D4423" w:rsidRPr="00022524">
        <w:t>EC</w:t>
      </w:r>
      <w:r w:rsidRPr="00022524">
        <w:t xml:space="preserve"> also had an important feedback </w:t>
      </w:r>
      <w:r w:rsidR="00855153" w:rsidRPr="00022524">
        <w:t xml:space="preserve">role </w:t>
      </w:r>
      <w:r w:rsidRPr="00022524">
        <w:t>during the set-up phase of the performance frameworks (i.e. during the set-up process, as highlighted above).</w:t>
      </w:r>
    </w:p>
    <w:p w14:paraId="45EC41D5" w14:textId="3EB65DA4" w:rsidR="007D4423" w:rsidRPr="00022524" w:rsidRDefault="007D4423" w:rsidP="003D5995">
      <w:pPr>
        <w:pStyle w:val="Body"/>
      </w:pPr>
      <w:r w:rsidRPr="00022524">
        <w:t xml:space="preserve">Multi-fund programmes as well as </w:t>
      </w:r>
      <w:r w:rsidR="00C2042A" w:rsidRPr="00022524">
        <w:t xml:space="preserve">programmes </w:t>
      </w:r>
      <w:r w:rsidRPr="00022524">
        <w:t>with other complex priorities have notably more often changed their performance frameworks based on EC dialogue compared to the EU average. The modifications after the review of different stakeholders such as the EC or ex-ante evaluators underlines the new aspect of performance frameworks being a mandatory element of 2014-2020 ESIF, underlining the importance of indicators, milestones and targets.</w:t>
      </w:r>
    </w:p>
    <w:p w14:paraId="13A6613F" w14:textId="77777777" w:rsidR="00EC6DE8" w:rsidRPr="00022524" w:rsidRDefault="00EC6DE8" w:rsidP="00B82CBB">
      <w:pPr>
        <w:pStyle w:val="Body"/>
      </w:pPr>
      <w:r w:rsidRPr="00022524">
        <w:t>Generally</w:t>
      </w:r>
      <w:r w:rsidR="00A1374F" w:rsidRPr="00022524">
        <w:t>,</w:t>
      </w:r>
      <w:r w:rsidRPr="00022524">
        <w:t xml:space="preserve"> all forms of feedback have been used to revise all elements of the performance framework – notably the milestones and the targets as well as the indicators.</w:t>
      </w:r>
      <w:r w:rsidR="007D4423" w:rsidRPr="00022524">
        <w:t xml:space="preserve"> </w:t>
      </w:r>
      <w:r w:rsidRPr="00022524">
        <w:t>Another important aspect with respect to the rol</w:t>
      </w:r>
      <w:r w:rsidR="007D4423" w:rsidRPr="00022524">
        <w:t>e and influence of</w:t>
      </w:r>
      <w:r w:rsidRPr="00022524">
        <w:t xml:space="preserve"> dialogue is the finding that other MAs and other country experiences have been reported as hardly been playing a role, even though learning from other experiences is </w:t>
      </w:r>
      <w:r w:rsidR="00A1374F" w:rsidRPr="00022524">
        <w:t>frequently requested</w:t>
      </w:r>
      <w:r w:rsidRPr="00022524">
        <w:t xml:space="preserve"> by MS.</w:t>
      </w:r>
    </w:p>
    <w:p w14:paraId="70ED71B2" w14:textId="753331C5" w:rsidR="00EC6DE8" w:rsidRPr="00022524" w:rsidRDefault="003D5995" w:rsidP="00B82CBB">
      <w:pPr>
        <w:pStyle w:val="Body"/>
      </w:pPr>
      <w:r w:rsidRPr="00022524">
        <w:t>Specific challenges in the elaboration of the performance frameworks in relation to complex priorities and specific delivery modes are</w:t>
      </w:r>
      <w:r w:rsidR="003167AE" w:rsidRPr="00022524">
        <w:t xml:space="preserve"> only occasionally</w:t>
      </w:r>
      <w:r w:rsidRPr="00022524">
        <w:t xml:space="preserve"> visible. </w:t>
      </w:r>
      <w:r w:rsidR="00EC6DE8" w:rsidRPr="00022524">
        <w:t>Although there is some criticism, overall</w:t>
      </w:r>
      <w:r w:rsidR="00A1374F" w:rsidRPr="00022524">
        <w:t>,</w:t>
      </w:r>
      <w:r w:rsidR="00EC6DE8" w:rsidRPr="00022524">
        <w:t xml:space="preserve"> the guidance </w:t>
      </w:r>
      <w:r w:rsidRPr="00022524">
        <w:t>received from</w:t>
      </w:r>
      <w:r w:rsidR="00EC6DE8" w:rsidRPr="00022524">
        <w:t xml:space="preserve"> the EC was appreciated, in particular, the guidance fiche on </w:t>
      </w:r>
      <w:r w:rsidR="00C9353E" w:rsidRPr="00022524">
        <w:t xml:space="preserve">the </w:t>
      </w:r>
      <w:r w:rsidR="00EC6DE8" w:rsidRPr="00022524">
        <w:t>performance framework</w:t>
      </w:r>
      <w:r w:rsidR="00A1374F" w:rsidRPr="00022524">
        <w:t>. This guidance fiche</w:t>
      </w:r>
      <w:r w:rsidR="00EC6DE8" w:rsidRPr="00022524">
        <w:t xml:space="preserve"> was perceived as the most useful guidance document, followed by the Commission </w:t>
      </w:r>
      <w:r w:rsidR="006A5274" w:rsidRPr="00022524">
        <w:t>I</w:t>
      </w:r>
      <w:r w:rsidR="00EC6DE8" w:rsidRPr="00022524">
        <w:t xml:space="preserve">mplementing </w:t>
      </w:r>
      <w:r w:rsidR="006A5274" w:rsidRPr="00022524">
        <w:t>R</w:t>
      </w:r>
      <w:r w:rsidR="00EC6DE8" w:rsidRPr="00022524">
        <w:t xml:space="preserve">egulation and the draft guidelines for </w:t>
      </w:r>
      <w:r w:rsidR="00C2042A" w:rsidRPr="00022524">
        <w:t>programme</w:t>
      </w:r>
      <w:r w:rsidR="00EC6DE8" w:rsidRPr="00022524">
        <w:t>.</w:t>
      </w:r>
    </w:p>
    <w:p w14:paraId="602FA243" w14:textId="77777777" w:rsidR="00234DC3" w:rsidRPr="00022524" w:rsidRDefault="00EC6DE8" w:rsidP="00B82CBB">
      <w:pPr>
        <w:pStyle w:val="Body"/>
      </w:pPr>
      <w:r w:rsidRPr="00022524">
        <w:t xml:space="preserve">Nevertheless, developing the performance framework for complex priorities and specific delivery modes was not an easy </w:t>
      </w:r>
      <w:r w:rsidR="00A1374F" w:rsidRPr="00022524">
        <w:t xml:space="preserve">process </w:t>
      </w:r>
      <w:r w:rsidRPr="00022524">
        <w:t xml:space="preserve">– both with respect to dealing with the complexity of the task and the resources </w:t>
      </w:r>
      <w:r w:rsidR="00A1374F" w:rsidRPr="00022524">
        <w:t xml:space="preserve">required </w:t>
      </w:r>
      <w:r w:rsidRPr="00022524">
        <w:t xml:space="preserve">to accomplish it. Identifying indicators which sufficiently reflect the scope of complex priorities </w:t>
      </w:r>
      <w:r w:rsidR="00002BD7" w:rsidRPr="00022524">
        <w:t xml:space="preserve">combining investment priorities from different thematic objectives </w:t>
      </w:r>
      <w:r w:rsidRPr="00022524">
        <w:t xml:space="preserve">without increasing the total number of indicators was challenging. Additionally, the definition of milestones and targets was more challenging for complex priorities than in other cases, since there are more uncertainties involved in these instances. </w:t>
      </w:r>
      <w:r w:rsidR="00234DC3" w:rsidRPr="00022524">
        <w:t>For specific delivery modes, challenges while elaborat</w:t>
      </w:r>
      <w:r w:rsidR="003D5995" w:rsidRPr="00022524">
        <w:t xml:space="preserve">ing the performance frameworks in particular in relation to </w:t>
      </w:r>
      <w:r w:rsidR="00234DC3" w:rsidRPr="00022524">
        <w:t xml:space="preserve">financial instruments were highlighted, leading partly to very low milestones and targets in the performance frameworks.  </w:t>
      </w:r>
    </w:p>
    <w:p w14:paraId="1E70D40F" w14:textId="0339C857" w:rsidR="00F2196E" w:rsidRPr="00022524" w:rsidRDefault="00D0073A" w:rsidP="00F2196E">
      <w:pPr>
        <w:pStyle w:val="Body"/>
      </w:pPr>
      <w:r w:rsidRPr="00022524">
        <w:t>There is</w:t>
      </w:r>
      <w:r w:rsidR="00B82CBB" w:rsidRPr="00022524">
        <w:t xml:space="preserve"> a </w:t>
      </w:r>
      <w:r w:rsidRPr="00022524">
        <w:t xml:space="preserve">great </w:t>
      </w:r>
      <w:r w:rsidR="00B82CBB" w:rsidRPr="00022524">
        <w:t>variety of approache</w:t>
      </w:r>
      <w:r w:rsidR="00A1374F" w:rsidRPr="00022524">
        <w:t>s</w:t>
      </w:r>
      <w:r w:rsidR="00B82CBB" w:rsidRPr="00022524">
        <w:t xml:space="preserve"> to establish national consistency</w:t>
      </w:r>
      <w:r w:rsidR="00FF394C">
        <w:t xml:space="preserve"> (</w:t>
      </w:r>
      <w:r w:rsidR="00FF394C" w:rsidRPr="00022524">
        <w:t>in line with Article 15 of Regulation (EU) No 1303/2013</w:t>
      </w:r>
      <w:r w:rsidR="00FF394C">
        <w:t>)</w:t>
      </w:r>
      <w:r w:rsidR="00B82CBB" w:rsidRPr="00022524">
        <w:t>, which largely depend</w:t>
      </w:r>
      <w:r w:rsidR="00FF394C">
        <w:t>s</w:t>
      </w:r>
      <w:r w:rsidR="00B82CBB" w:rsidRPr="00022524">
        <w:t xml:space="preserve"> on the national set up of bodies and responsibilities. </w:t>
      </w:r>
      <w:r w:rsidR="00F2196E" w:rsidRPr="00022524">
        <w:t>Generally</w:t>
      </w:r>
      <w:r w:rsidR="00A440C9" w:rsidRPr="00022524">
        <w:t>,</w:t>
      </w:r>
      <w:r w:rsidR="00F2196E" w:rsidRPr="00022524">
        <w:t xml:space="preserve"> coordination </w:t>
      </w:r>
      <w:r w:rsidR="00EC6DE8" w:rsidRPr="00022524">
        <w:t>mechanisms used were in the form of consultations and dialogue rather than top-down</w:t>
      </w:r>
      <w:r w:rsidR="006524B2" w:rsidRPr="00022524">
        <w:t xml:space="preserve"> </w:t>
      </w:r>
      <w:r w:rsidR="00EC6DE8" w:rsidRPr="00022524">
        <w:t>guidance (e.g. through a methodology imposed by the coordinating unit/at national level).</w:t>
      </w:r>
      <w:r w:rsidR="00F2196E" w:rsidRPr="00022524">
        <w:t xml:space="preserve"> The review of the PAs with the EC highlighted various actions taken at the </w:t>
      </w:r>
      <w:r w:rsidR="00F2196E" w:rsidRPr="00022524">
        <w:lastRenderedPageBreak/>
        <w:t xml:space="preserve">MS level to ensure consistency across programmes and funds, which was confirmed by the methodologies available at programme level. Seminars, national guidelines, regulations and generally harmonised procedures (e.g. uniform definitions of indicators across a MS) were often applied in the MS. Nearly 70% of all MS applied harmonised procedures, 57% of MS had national guidelines, around 54% of MS held seminars and approximately one third of all MS had regulations to ensure consistency in the functioning of the performance framework. As identified in the PA, the majority of MS (93%) applied at least a single action to ensure consistency across programmes and funds. </w:t>
      </w:r>
    </w:p>
    <w:p w14:paraId="6984169E" w14:textId="77777777" w:rsidR="00F2196E" w:rsidRPr="00022524" w:rsidRDefault="00F2196E" w:rsidP="00F2196E">
      <w:pPr>
        <w:pStyle w:val="Body"/>
      </w:pPr>
      <w:r w:rsidRPr="00022524">
        <w:t xml:space="preserve">The sole desk review of PA and methodologies was enriched by the web-survey findings and the interviews with programme and national representatives, which mainly confirmed the desk review findings and provided additional information, which was partly not </w:t>
      </w:r>
      <w:r w:rsidR="003946BF" w:rsidRPr="00022524">
        <w:t>included in</w:t>
      </w:r>
      <w:r w:rsidRPr="00022524">
        <w:t xml:space="preserve"> the PA.</w:t>
      </w:r>
    </w:p>
    <w:p w14:paraId="0B649D11" w14:textId="33F95174" w:rsidR="00EC6DE8" w:rsidRPr="008712FF" w:rsidRDefault="00B82CBB" w:rsidP="00B82CBB">
      <w:pPr>
        <w:pStyle w:val="Body"/>
        <w:rPr>
          <w:b/>
        </w:rPr>
      </w:pPr>
      <w:r w:rsidRPr="00022524">
        <w:t>Differences in approaches are mainly not visible for programme types, but</w:t>
      </w:r>
      <w:r w:rsidR="00A1374F" w:rsidRPr="00022524">
        <w:t xml:space="preserve"> rather</w:t>
      </w:r>
      <w:r w:rsidRPr="00022524">
        <w:t xml:space="preserve"> Member States. A majority of MS and MAs found these mechanisms useful, as only occasionally coordination between the different ESIF was not perceived as relevant, as the vast majority of programmes indicated consistency mechanisms to be useful. </w:t>
      </w:r>
    </w:p>
    <w:p w14:paraId="2DEA5DB5" w14:textId="77777777" w:rsidR="00B5653B" w:rsidRPr="00022524" w:rsidRDefault="003126B9" w:rsidP="00E65E27">
      <w:pPr>
        <w:pStyle w:val="Headingone"/>
        <w:spacing w:after="240"/>
        <w:ind w:left="482" w:hanging="482"/>
      </w:pPr>
      <w:bookmarkStart w:id="69" w:name="_Ref433011044"/>
      <w:bookmarkStart w:id="70" w:name="_Toc433017928"/>
      <w:bookmarkStart w:id="71" w:name="_Toc433973099"/>
      <w:bookmarkStart w:id="72" w:name="_Toc448144110"/>
      <w:r w:rsidRPr="00022524">
        <w:lastRenderedPageBreak/>
        <w:t>Design of the performa</w:t>
      </w:r>
      <w:r w:rsidR="00002BD7" w:rsidRPr="00022524">
        <w:t>n</w:t>
      </w:r>
      <w:r w:rsidRPr="00022524">
        <w:t>ce frameworks and underlying rationale</w:t>
      </w:r>
      <w:bookmarkEnd w:id="69"/>
      <w:bookmarkEnd w:id="70"/>
      <w:bookmarkEnd w:id="71"/>
      <w:bookmarkEnd w:id="72"/>
    </w:p>
    <w:p w14:paraId="1319BC01" w14:textId="77777777" w:rsidR="00CB71A6" w:rsidRPr="00022524" w:rsidRDefault="00187B5D" w:rsidP="00370CD0">
      <w:pPr>
        <w:pStyle w:val="Body"/>
        <w:spacing w:after="120"/>
      </w:pPr>
      <w:r w:rsidRPr="00022524">
        <w:t>This</w:t>
      </w:r>
      <w:r w:rsidR="00CB71A6" w:rsidRPr="00022524">
        <w:t xml:space="preserve"> chapter describes </w:t>
      </w:r>
      <w:r w:rsidR="004C13C1" w:rsidRPr="00022524">
        <w:t xml:space="preserve">the design of the performance framework and </w:t>
      </w:r>
      <w:r w:rsidR="00CB71A6" w:rsidRPr="00022524">
        <w:t>provides</w:t>
      </w:r>
      <w:r w:rsidR="00370CD0" w:rsidRPr="00022524">
        <w:t xml:space="preserve"> a synthesis of how the provisions relating to the performance framework are reflected in all programmes financed by the ERDF and the CF, including multi-fund programmes and ETC </w:t>
      </w:r>
      <w:r w:rsidR="00CB71A6" w:rsidRPr="00022524">
        <w:t>programmes financed by the ERDF. This chapter focuses on the following aspects:</w:t>
      </w:r>
    </w:p>
    <w:p w14:paraId="5D4E1E45" w14:textId="701362B6" w:rsidR="00CB71A6" w:rsidRPr="00022524" w:rsidRDefault="00CB71A6" w:rsidP="00CB71A6">
      <w:pPr>
        <w:pStyle w:val="BulletPoint1"/>
      </w:pPr>
      <w:r w:rsidRPr="00022524">
        <w:t>The</w:t>
      </w:r>
      <w:r w:rsidR="00370CD0" w:rsidRPr="00022524">
        <w:t xml:space="preserve"> use of </w:t>
      </w:r>
      <w:r w:rsidR="00312FE1" w:rsidRPr="00022524">
        <w:t xml:space="preserve">categories of </w:t>
      </w:r>
      <w:r w:rsidR="00370CD0" w:rsidRPr="00022524">
        <w:t>indicators</w:t>
      </w:r>
      <w:r w:rsidR="006903B5" w:rsidRPr="00022524">
        <w:t xml:space="preserve"> – a</w:t>
      </w:r>
      <w:r w:rsidR="00370CD0" w:rsidRPr="00022524">
        <w:t>part</w:t>
      </w:r>
      <w:r w:rsidR="006903B5" w:rsidRPr="00022524">
        <w:t xml:space="preserve"> </w:t>
      </w:r>
      <w:r w:rsidR="00370CD0" w:rsidRPr="00022524">
        <w:t>from the general description of the use of different categories</w:t>
      </w:r>
      <w:r w:rsidR="00312FE1" w:rsidRPr="00022524">
        <w:t xml:space="preserve"> </w:t>
      </w:r>
      <w:r w:rsidR="00370CD0" w:rsidRPr="00022524">
        <w:t>– i.e. output indicators, financial indicators, key implementa</w:t>
      </w:r>
      <w:r w:rsidRPr="00022524">
        <w:t>tion steps, result indicators – the</w:t>
      </w:r>
      <w:r w:rsidR="006903B5" w:rsidRPr="00022524">
        <w:t>ir</w:t>
      </w:r>
      <w:r w:rsidRPr="00022524">
        <w:t xml:space="preserve"> use across MS, programmes</w:t>
      </w:r>
      <w:r w:rsidR="00F50793">
        <w:t>/</w:t>
      </w:r>
      <w:proofErr w:type="spellStart"/>
      <w:r w:rsidR="00DA7557">
        <w:t>PAx</w:t>
      </w:r>
      <w:proofErr w:type="spellEnd"/>
      <w:r w:rsidRPr="00022524">
        <w:t xml:space="preserve">, funds and regions is reviewed in detail (see chapter </w:t>
      </w:r>
      <w:r w:rsidR="00845832" w:rsidRPr="00022524">
        <w:fldChar w:fldCharType="begin"/>
      </w:r>
      <w:r w:rsidRPr="00022524">
        <w:instrText xml:space="preserve"> REF _Ref426109869 \r \h </w:instrText>
      </w:r>
      <w:r w:rsidR="00845832" w:rsidRPr="00022524">
        <w:fldChar w:fldCharType="separate"/>
      </w:r>
      <w:r w:rsidR="008364C8">
        <w:t>3.1</w:t>
      </w:r>
      <w:r w:rsidR="00845832" w:rsidRPr="00022524">
        <w:fldChar w:fldCharType="end"/>
      </w:r>
      <w:r w:rsidRPr="00022524">
        <w:t>).</w:t>
      </w:r>
      <w:r w:rsidR="00370CD0" w:rsidRPr="00022524">
        <w:t xml:space="preserve"> </w:t>
      </w:r>
    </w:p>
    <w:p w14:paraId="18EC27D8" w14:textId="77777777" w:rsidR="00CB71A6" w:rsidRPr="00022524" w:rsidRDefault="00CB71A6" w:rsidP="00CB71A6">
      <w:pPr>
        <w:pStyle w:val="BulletPoint1"/>
      </w:pPr>
      <w:r w:rsidRPr="00022524">
        <w:t>Furthermore</w:t>
      </w:r>
      <w:r w:rsidR="00E12648" w:rsidRPr="00022524">
        <w:t>,</w:t>
      </w:r>
      <w:r w:rsidRPr="00022524">
        <w:t xml:space="preserve"> </w:t>
      </w:r>
      <w:r w:rsidR="00370CD0" w:rsidRPr="00022524">
        <w:t>the establishment of milestones and targets in accordance with Annex II of Regulation (EU) No 1303/2013 is discussed</w:t>
      </w:r>
      <w:r w:rsidRPr="00022524">
        <w:t xml:space="preserve">. This analysis is especially carried out for common output indicators (ERDF/CF and ESF) and financial indicators. Furthermore </w:t>
      </w:r>
      <w:r w:rsidR="006A7927" w:rsidRPr="00022524">
        <w:t>a reflection on the appropriate level for milestones, taking into account the rhythm of delivery of outputs is included</w:t>
      </w:r>
      <w:r w:rsidRPr="00022524">
        <w:t xml:space="preserve"> (see chapter</w:t>
      </w:r>
      <w:r w:rsidR="0036138A" w:rsidRPr="00022524">
        <w:t xml:space="preserve"> 3.2</w:t>
      </w:r>
      <w:r w:rsidRPr="00022524">
        <w:t>)</w:t>
      </w:r>
      <w:r w:rsidR="006A7927" w:rsidRPr="00022524">
        <w:rPr>
          <w:rStyle w:val="FootnoteReference"/>
        </w:rPr>
        <w:footnoteReference w:id="16"/>
      </w:r>
      <w:r w:rsidR="00370CD0" w:rsidRPr="00022524">
        <w:t xml:space="preserve">. </w:t>
      </w:r>
    </w:p>
    <w:p w14:paraId="36C136BA" w14:textId="48094090" w:rsidR="006A7927" w:rsidRPr="00022524" w:rsidRDefault="00CB71A6" w:rsidP="00CB71A6">
      <w:pPr>
        <w:pStyle w:val="Body"/>
      </w:pPr>
      <w:r w:rsidRPr="00022524">
        <w:t xml:space="preserve">The findings presented in this chapter are mainly based on the review of </w:t>
      </w:r>
      <w:r w:rsidR="006A7927" w:rsidRPr="00022524">
        <w:t xml:space="preserve">the relevant sections of </w:t>
      </w:r>
      <w:r w:rsidRPr="00022524">
        <w:t xml:space="preserve">all PAs, </w:t>
      </w:r>
      <w:r w:rsidR="00C2042A" w:rsidRPr="00022524">
        <w:t>programme</w:t>
      </w:r>
      <w:r w:rsidRPr="00022524">
        <w:t xml:space="preserve">s, </w:t>
      </w:r>
      <w:proofErr w:type="gramStart"/>
      <w:r w:rsidRPr="00022524">
        <w:t>ex</w:t>
      </w:r>
      <w:proofErr w:type="gramEnd"/>
      <w:r w:rsidRPr="00022524">
        <w:t>-ante evaluations as well as on additional information as received by the MS and the EC</w:t>
      </w:r>
      <w:r w:rsidR="006A7927" w:rsidRPr="00022524">
        <w:t>. Additional insights were gained through the results of the interviews with representatives from programmes</w:t>
      </w:r>
      <w:r w:rsidR="00A1374F" w:rsidRPr="00022524">
        <w:t>,</w:t>
      </w:r>
      <w:r w:rsidR="006A7927" w:rsidRPr="00022524">
        <w:t xml:space="preserve"> the national lev</w:t>
      </w:r>
      <w:r w:rsidR="009F1C9B" w:rsidRPr="00022524">
        <w:t>el</w:t>
      </w:r>
      <w:r w:rsidR="00A1374F" w:rsidRPr="00022524">
        <w:t>,</w:t>
      </w:r>
      <w:r w:rsidR="006A7927" w:rsidRPr="00022524">
        <w:t xml:space="preserve"> and the web-survey. </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4F06D3" w:rsidRPr="00767075" w14:paraId="2B45935F" w14:textId="77777777" w:rsidTr="00966F6B">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2D5D4C52" w14:textId="77777777" w:rsidR="004F06D3" w:rsidRPr="00022524" w:rsidRDefault="00C67B08" w:rsidP="00966F6B">
            <w:pPr>
              <w:pStyle w:val="Body"/>
              <w:spacing w:before="60" w:after="60"/>
              <w:rPr>
                <w:b/>
                <w:color w:val="004696"/>
                <w:szCs w:val="18"/>
              </w:rPr>
            </w:pPr>
            <w:r w:rsidRPr="00022524">
              <w:rPr>
                <w:b/>
                <w:color w:val="004696"/>
                <w:szCs w:val="18"/>
              </w:rPr>
              <w:t xml:space="preserve">Analysis of </w:t>
            </w:r>
            <w:r w:rsidR="00E67680" w:rsidRPr="00022524">
              <w:rPr>
                <w:b/>
                <w:color w:val="004696"/>
                <w:szCs w:val="18"/>
              </w:rPr>
              <w:t>P</w:t>
            </w:r>
            <w:r w:rsidR="004F06D3" w:rsidRPr="00022524">
              <w:rPr>
                <w:b/>
                <w:color w:val="004696"/>
                <w:szCs w:val="18"/>
              </w:rPr>
              <w:t>rogramme</w:t>
            </w:r>
            <w:r w:rsidRPr="00022524">
              <w:rPr>
                <w:b/>
                <w:color w:val="004696"/>
                <w:szCs w:val="18"/>
              </w:rPr>
              <w:t>s</w:t>
            </w:r>
            <w:r w:rsidR="004F06D3" w:rsidRPr="00022524">
              <w:rPr>
                <w:b/>
                <w:color w:val="004696"/>
                <w:szCs w:val="18"/>
              </w:rPr>
              <w:t xml:space="preserve"> – setting the frame of the analysis</w:t>
            </w:r>
          </w:p>
          <w:p w14:paraId="6F45BBF4" w14:textId="32BED289" w:rsidR="004F06D3" w:rsidRPr="00022524" w:rsidRDefault="004F06D3" w:rsidP="004F06D3">
            <w:pPr>
              <w:pStyle w:val="Body"/>
              <w:spacing w:after="120"/>
              <w:rPr>
                <w:color w:val="auto"/>
              </w:rPr>
            </w:pPr>
            <w:r w:rsidRPr="00022524">
              <w:rPr>
                <w:color w:val="auto"/>
              </w:rPr>
              <w:t>The analysis differentiates between programmes funded under the IGJ objective and the ETC objective. Furthermore the analysis illustrates findings per OPs and per priority axes (</w:t>
            </w:r>
            <w:proofErr w:type="spellStart"/>
            <w:r w:rsidR="00DA7557">
              <w:rPr>
                <w:color w:val="auto"/>
              </w:rPr>
              <w:t>PAx</w:t>
            </w:r>
            <w:proofErr w:type="spellEnd"/>
            <w:r w:rsidRPr="00022524">
              <w:rPr>
                <w:color w:val="auto"/>
              </w:rPr>
              <w:t xml:space="preserve">) when indicated. </w:t>
            </w:r>
          </w:p>
          <w:p w14:paraId="61487B7F" w14:textId="5D9F9355" w:rsidR="004F06D3" w:rsidRPr="00022524" w:rsidRDefault="004F06D3" w:rsidP="004F06D3">
            <w:pPr>
              <w:pStyle w:val="Body"/>
              <w:rPr>
                <w:color w:val="auto"/>
              </w:rPr>
            </w:pPr>
            <w:r w:rsidRPr="00022524">
              <w:rPr>
                <w:color w:val="auto"/>
              </w:rPr>
              <w:t>The analysis of the PF has covered 291 programmes financed by the ERDF and the CF, including multi-fund programmes</w:t>
            </w:r>
            <w:r w:rsidR="00F06D5D" w:rsidRPr="00022524">
              <w:rPr>
                <w:color w:val="auto"/>
              </w:rPr>
              <w:t xml:space="preserve"> co-financed by the ESF. </w:t>
            </w:r>
            <w:r w:rsidR="00CC6577" w:rsidRPr="00022524">
              <w:rPr>
                <w:color w:val="auto"/>
              </w:rPr>
              <w:t>O</w:t>
            </w:r>
            <w:r w:rsidRPr="00022524">
              <w:rPr>
                <w:color w:val="auto"/>
              </w:rPr>
              <w:t xml:space="preserve">f these, 282 programmes have </w:t>
            </w:r>
            <w:r w:rsidR="00F06D5D" w:rsidRPr="00022524">
              <w:rPr>
                <w:color w:val="auto"/>
              </w:rPr>
              <w:t xml:space="preserve">a performance framework </w:t>
            </w:r>
            <w:r w:rsidRPr="00022524">
              <w:rPr>
                <w:color w:val="auto"/>
              </w:rPr>
              <w:t>as required by Regulation (EU) No 1303/2013. The nine programmes</w:t>
            </w:r>
            <w:r w:rsidRPr="00022524">
              <w:rPr>
                <w:rStyle w:val="FootnoteReference"/>
                <w:color w:val="auto"/>
              </w:rPr>
              <w:footnoteReference w:id="17"/>
            </w:r>
            <w:r w:rsidRPr="00022524">
              <w:rPr>
                <w:color w:val="auto"/>
              </w:rPr>
              <w:t xml:space="preserve"> (out of the set of 291 programmes) not having identified PF indicators are all either technical assistance (TA) programmes or a</w:t>
            </w:r>
            <w:r w:rsidR="00F06D5D" w:rsidRPr="00022524">
              <w:rPr>
                <w:color w:val="auto"/>
              </w:rPr>
              <w:t>n</w:t>
            </w:r>
            <w:r w:rsidRPr="00022524">
              <w:rPr>
                <w:color w:val="auto"/>
              </w:rPr>
              <w:t xml:space="preserve"> SME initiative </w:t>
            </w:r>
            <w:r w:rsidR="00F06D5D" w:rsidRPr="00022524">
              <w:rPr>
                <w:color w:val="auto"/>
              </w:rPr>
              <w:t xml:space="preserve">programme </w:t>
            </w:r>
            <w:r w:rsidRPr="00022524">
              <w:rPr>
                <w:color w:val="auto"/>
              </w:rPr>
              <w:t xml:space="preserve">and are not required to </w:t>
            </w:r>
            <w:r w:rsidR="00F06D5D" w:rsidRPr="00022524">
              <w:rPr>
                <w:color w:val="auto"/>
              </w:rPr>
              <w:t xml:space="preserve">have </w:t>
            </w:r>
            <w:r w:rsidRPr="00022524">
              <w:rPr>
                <w:color w:val="auto"/>
              </w:rPr>
              <w:t>a PF (see Regulation (EU) No 1303/2013).</w:t>
            </w:r>
          </w:p>
          <w:p w14:paraId="34B69AB8" w14:textId="77228C96" w:rsidR="004F06D3" w:rsidRPr="00022524" w:rsidRDefault="00CC6577" w:rsidP="004F06D3">
            <w:pPr>
              <w:pStyle w:val="Body"/>
              <w:spacing w:after="120"/>
              <w:rPr>
                <w:color w:val="auto"/>
              </w:rPr>
            </w:pPr>
            <w:r w:rsidRPr="00022524">
              <w:rPr>
                <w:color w:val="auto"/>
              </w:rPr>
              <w:t>Accordingly t</w:t>
            </w:r>
            <w:r w:rsidR="004F06D3" w:rsidRPr="00022524">
              <w:rPr>
                <w:color w:val="auto"/>
              </w:rPr>
              <w:t>he analysis, as presented in</w:t>
            </w:r>
            <w:r w:rsidRPr="00022524">
              <w:rPr>
                <w:color w:val="auto"/>
              </w:rPr>
              <w:t xml:space="preserve"> the following chapter</w:t>
            </w:r>
            <w:r w:rsidR="004F06D3" w:rsidRPr="00022524">
              <w:rPr>
                <w:color w:val="auto"/>
              </w:rPr>
              <w:t xml:space="preserve"> covers 282 programmes, of which 207 are </w:t>
            </w:r>
            <w:r w:rsidR="00F06D5D" w:rsidRPr="00022524">
              <w:rPr>
                <w:color w:val="auto"/>
              </w:rPr>
              <w:t>covered by the</w:t>
            </w:r>
            <w:r w:rsidR="004F06D3" w:rsidRPr="00022524">
              <w:rPr>
                <w:color w:val="auto"/>
              </w:rPr>
              <w:t xml:space="preserve"> IGJ </w:t>
            </w:r>
            <w:r w:rsidR="00F06D5D" w:rsidRPr="00022524">
              <w:rPr>
                <w:color w:val="auto"/>
              </w:rPr>
              <w:t xml:space="preserve">goal </w:t>
            </w:r>
            <w:r w:rsidR="004F06D3" w:rsidRPr="00022524">
              <w:rPr>
                <w:color w:val="auto"/>
              </w:rPr>
              <w:t xml:space="preserve">and 75 are </w:t>
            </w:r>
            <w:r w:rsidR="00F06D5D" w:rsidRPr="00022524">
              <w:rPr>
                <w:color w:val="auto"/>
              </w:rPr>
              <w:t xml:space="preserve">covered by </w:t>
            </w:r>
            <w:r w:rsidR="004F06D3" w:rsidRPr="00022524">
              <w:rPr>
                <w:color w:val="auto"/>
              </w:rPr>
              <w:t xml:space="preserve">the ETC </w:t>
            </w:r>
            <w:r w:rsidR="00F06D5D" w:rsidRPr="00022524">
              <w:rPr>
                <w:color w:val="auto"/>
              </w:rPr>
              <w:t>goal</w:t>
            </w:r>
            <w:r w:rsidR="004F06D3" w:rsidRPr="00022524">
              <w:rPr>
                <w:color w:val="auto"/>
              </w:rPr>
              <w:t xml:space="preserve">. From the 207 IGJ programmes that have </w:t>
            </w:r>
            <w:r w:rsidR="00F06D5D" w:rsidRPr="00022524">
              <w:rPr>
                <w:color w:val="auto"/>
              </w:rPr>
              <w:t xml:space="preserve">a </w:t>
            </w:r>
            <w:r w:rsidR="004F06D3" w:rsidRPr="00022524">
              <w:rPr>
                <w:color w:val="auto"/>
              </w:rPr>
              <w:t>PF, the majority are regional programmes (67%), while 20% are national programmes and 13% are multiregional programmes</w:t>
            </w:r>
            <w:r w:rsidR="004F06D3" w:rsidRPr="00022524">
              <w:rPr>
                <w:rStyle w:val="FootnoteReference"/>
                <w:color w:val="auto"/>
              </w:rPr>
              <w:footnoteReference w:id="18"/>
            </w:r>
            <w:r w:rsidR="004F06D3" w:rsidRPr="00022524">
              <w:rPr>
                <w:color w:val="auto"/>
              </w:rPr>
              <w:t xml:space="preserve">. </w:t>
            </w:r>
            <w:r w:rsidR="00821100">
              <w:rPr>
                <w:color w:val="auto"/>
              </w:rPr>
              <w:t>While 38% of the national programmes have a general regional development focus</w:t>
            </w:r>
            <w:r w:rsidR="004F06D3" w:rsidRPr="00022524">
              <w:rPr>
                <w:color w:val="auto"/>
              </w:rPr>
              <w:t>, 6</w:t>
            </w:r>
            <w:r w:rsidR="003A5224" w:rsidRPr="00022524">
              <w:rPr>
                <w:color w:val="auto"/>
              </w:rPr>
              <w:t>2</w:t>
            </w:r>
            <w:r w:rsidR="004F06D3" w:rsidRPr="00022524">
              <w:rPr>
                <w:color w:val="auto"/>
              </w:rPr>
              <w:t>% of programmes demonstrate the following specific focus</w:t>
            </w:r>
            <w:r w:rsidR="00D4162B">
              <w:rPr>
                <w:color w:val="auto"/>
              </w:rPr>
              <w:t>:</w:t>
            </w:r>
          </w:p>
          <w:p w14:paraId="5C5A47AE" w14:textId="77777777" w:rsidR="004F06D3" w:rsidRPr="00022524" w:rsidRDefault="004F06D3" w:rsidP="004F06D3">
            <w:pPr>
              <w:pStyle w:val="BulletPoint1"/>
              <w:rPr>
                <w:color w:val="auto"/>
              </w:rPr>
            </w:pPr>
            <w:r w:rsidRPr="00022524">
              <w:rPr>
                <w:color w:val="auto"/>
              </w:rPr>
              <w:t xml:space="preserve">19% of national programmes focus mainly on smart growth; </w:t>
            </w:r>
          </w:p>
          <w:p w14:paraId="0E7CB8F4" w14:textId="77777777" w:rsidR="004F06D3" w:rsidRPr="00022524" w:rsidRDefault="004F06D3" w:rsidP="004F06D3">
            <w:pPr>
              <w:pStyle w:val="BulletPoint1"/>
              <w:rPr>
                <w:color w:val="auto"/>
              </w:rPr>
            </w:pPr>
            <w:r w:rsidRPr="00022524">
              <w:rPr>
                <w:color w:val="auto"/>
              </w:rPr>
              <w:t>19% focus mainly on sustainable growth;</w:t>
            </w:r>
          </w:p>
          <w:p w14:paraId="61D01AD7" w14:textId="77777777" w:rsidR="004F06D3" w:rsidRPr="00022524" w:rsidRDefault="004F06D3" w:rsidP="004F06D3">
            <w:pPr>
              <w:pStyle w:val="BulletPoint1"/>
              <w:rPr>
                <w:color w:val="auto"/>
              </w:rPr>
            </w:pPr>
            <w:r w:rsidRPr="00022524">
              <w:rPr>
                <w:color w:val="auto"/>
              </w:rPr>
              <w:t xml:space="preserve">14% of national programmes are transport and infrastructure ones; and </w:t>
            </w:r>
          </w:p>
          <w:p w14:paraId="07A95324" w14:textId="167BE7D5" w:rsidR="00D4162B" w:rsidRPr="00022524" w:rsidRDefault="004F06D3" w:rsidP="003369EF">
            <w:pPr>
              <w:pStyle w:val="BulletPoint1"/>
              <w:rPr>
                <w:color w:val="auto"/>
              </w:rPr>
            </w:pPr>
            <w:r w:rsidRPr="00022524">
              <w:rPr>
                <w:color w:val="auto"/>
              </w:rPr>
              <w:t>10% of national programmes focus on human capital.</w:t>
            </w:r>
          </w:p>
          <w:p w14:paraId="04B1BE4B" w14:textId="77777777" w:rsidR="004F06D3" w:rsidRPr="00022524" w:rsidRDefault="004F06D3" w:rsidP="004F06D3">
            <w:pPr>
              <w:pStyle w:val="Body"/>
              <w:rPr>
                <w:color w:val="auto"/>
              </w:rPr>
            </w:pPr>
            <w:r w:rsidRPr="00022524">
              <w:rPr>
                <w:color w:val="auto"/>
              </w:rPr>
              <w:t xml:space="preserve">From the 75 ETC programmes, the majority of 75% are INTERREG V-A programmes, i.e. </w:t>
            </w:r>
            <w:proofErr w:type="spellStart"/>
            <w:r w:rsidRPr="00022524">
              <w:rPr>
                <w:color w:val="auto"/>
              </w:rPr>
              <w:t>cross-border</w:t>
            </w:r>
            <w:proofErr w:type="spellEnd"/>
            <w:r w:rsidRPr="00022524">
              <w:rPr>
                <w:color w:val="auto"/>
              </w:rPr>
              <w:t xml:space="preserve"> cooperation programmes, 20% are INTERREG V-B programmes, i.e. transnational ones, and 5% are INTERREG V-C programmes, i.e. interregional programmes.</w:t>
            </w:r>
          </w:p>
          <w:p w14:paraId="289D07EB" w14:textId="283B7372" w:rsidR="004F06D3" w:rsidRPr="00022524" w:rsidRDefault="004F06D3" w:rsidP="001F5EE6">
            <w:pPr>
              <w:pStyle w:val="Body"/>
            </w:pPr>
            <w:r w:rsidRPr="00022524">
              <w:rPr>
                <w:color w:val="auto"/>
              </w:rPr>
              <w:t>Therefore the PF database includes indicator information on 282 programmes and financial information on 291 programmes which stem from all EU Member States and cover all types of ETC programmes</w:t>
            </w:r>
            <w:r w:rsidRPr="00022524">
              <w:rPr>
                <w:rStyle w:val="FootnoteReference"/>
                <w:color w:val="auto"/>
              </w:rPr>
              <w:footnoteReference w:id="19"/>
            </w:r>
            <w:r w:rsidRPr="00022524">
              <w:rPr>
                <w:color w:val="auto"/>
              </w:rPr>
              <w:t xml:space="preserve">. It needs to be mentioned that this report also includes a set of 46 programmes (13 </w:t>
            </w:r>
            <w:r w:rsidRPr="00022524">
              <w:rPr>
                <w:color w:val="auto"/>
              </w:rPr>
              <w:lastRenderedPageBreak/>
              <w:t xml:space="preserve">under the IGJ objective, 33 under the ETC objective), which </w:t>
            </w:r>
            <w:r w:rsidR="00F06D5D" w:rsidRPr="00022524">
              <w:rPr>
                <w:color w:val="auto"/>
              </w:rPr>
              <w:t xml:space="preserve">have not been approved at the time of the analysis, which </w:t>
            </w:r>
            <w:r w:rsidRPr="00022524">
              <w:rPr>
                <w:color w:val="auto"/>
              </w:rPr>
              <w:t xml:space="preserve">means that </w:t>
            </w:r>
            <w:r w:rsidR="00F06D5D" w:rsidRPr="00022524">
              <w:rPr>
                <w:color w:val="auto"/>
              </w:rPr>
              <w:t xml:space="preserve">data may still have changed </w:t>
            </w:r>
            <w:r w:rsidRPr="00022524">
              <w:rPr>
                <w:color w:val="auto"/>
              </w:rPr>
              <w:t xml:space="preserve">before the time the documents are approved by the EC. </w:t>
            </w:r>
          </w:p>
        </w:tc>
      </w:tr>
    </w:tbl>
    <w:p w14:paraId="2733648D" w14:textId="5E33ADAB" w:rsidR="00370CD0" w:rsidRPr="00022524" w:rsidRDefault="00006061" w:rsidP="00A0452B">
      <w:pPr>
        <w:pStyle w:val="Heading2"/>
      </w:pPr>
      <w:bookmarkStart w:id="73" w:name="_Ref426109869"/>
      <w:bookmarkStart w:id="74" w:name="_Toc427649640"/>
      <w:bookmarkStart w:id="75" w:name="_Toc429671071"/>
      <w:bookmarkStart w:id="76" w:name="_Toc432600872"/>
      <w:bookmarkStart w:id="77" w:name="_Toc433973100"/>
      <w:bookmarkStart w:id="78" w:name="_Toc433973195"/>
      <w:bookmarkStart w:id="79" w:name="_Toc448144111"/>
      <w:r>
        <w:lastRenderedPageBreak/>
        <w:t>T</w:t>
      </w:r>
      <w:r w:rsidRPr="00022524">
        <w:t>he</w:t>
      </w:r>
      <w:r w:rsidR="00370CD0" w:rsidRPr="00022524">
        <w:t xml:space="preserve"> use of the four categories of indicators</w:t>
      </w:r>
      <w:bookmarkEnd w:id="73"/>
      <w:bookmarkEnd w:id="74"/>
      <w:bookmarkEnd w:id="75"/>
      <w:bookmarkEnd w:id="76"/>
      <w:bookmarkEnd w:id="77"/>
      <w:bookmarkEnd w:id="78"/>
      <w:bookmarkEnd w:id="79"/>
      <w:r w:rsidR="00370CD0" w:rsidRPr="00022524">
        <w:t xml:space="preserve"> </w:t>
      </w:r>
    </w:p>
    <w:p w14:paraId="79A5422C" w14:textId="0ADFD778" w:rsidR="00370CD0" w:rsidRPr="00022524" w:rsidRDefault="00370CD0" w:rsidP="00370CD0">
      <w:pPr>
        <w:pStyle w:val="Body"/>
        <w:keepLines/>
      </w:pPr>
      <w:r w:rsidRPr="00022524">
        <w:t xml:space="preserve">A first step to provide a synthesis of how the provisions relating to the PF are reflected in the </w:t>
      </w:r>
      <w:r w:rsidR="0099703C" w:rsidRPr="00022524">
        <w:t>operational programme</w:t>
      </w:r>
      <w:r w:rsidRPr="00022524">
        <w:t xml:space="preserve"> </w:t>
      </w:r>
      <w:r w:rsidR="0028348E">
        <w:t xml:space="preserve">and its </w:t>
      </w:r>
      <w:proofErr w:type="spellStart"/>
      <w:r w:rsidR="00DA7557">
        <w:t>PAx</w:t>
      </w:r>
      <w:proofErr w:type="spellEnd"/>
      <w:r w:rsidR="0028348E">
        <w:t xml:space="preserve"> </w:t>
      </w:r>
      <w:r w:rsidRPr="00022524">
        <w:t xml:space="preserve">is the assessment of the use of the four categories of indicators, namely output indicators, financial indicators, key implementation steps </w:t>
      </w:r>
      <w:r w:rsidR="00CD3AE6" w:rsidRPr="00022524">
        <w:t>and</w:t>
      </w:r>
      <w:r w:rsidRPr="00022524">
        <w:t xml:space="preserve"> result indicators, in the PF. Both output and financial indicators must be included in the PF, while result indicators can be used where appropriate. Key implementation steps </w:t>
      </w:r>
      <w:r w:rsidR="00F14F8A">
        <w:t>have to</w:t>
      </w:r>
      <w:r w:rsidR="002140BA" w:rsidRPr="00022524">
        <w:t xml:space="preserve"> </w:t>
      </w:r>
      <w:r w:rsidR="00314D14" w:rsidRPr="00022524">
        <w:t>be</w:t>
      </w:r>
      <w:r w:rsidRPr="00022524">
        <w:t xml:space="preserve"> applied where no outputs can be achieved at a milestone stage</w:t>
      </w:r>
      <w:r w:rsidR="002803CC" w:rsidRPr="00022524">
        <w:rPr>
          <w:rStyle w:val="FootnoteReference"/>
        </w:rPr>
        <w:footnoteReference w:id="20"/>
      </w:r>
      <w:r w:rsidRPr="00022524">
        <w:t xml:space="preserve">. </w:t>
      </w:r>
      <w:r w:rsidR="00714665">
        <w:t>When the expected milestone value was particularly low, t</w:t>
      </w:r>
      <w:r w:rsidRPr="00022524">
        <w:t>he</w:t>
      </w:r>
      <w:r w:rsidR="00F14F8A">
        <w:t xml:space="preserve"> Mem</w:t>
      </w:r>
      <w:r w:rsidR="00714665">
        <w:t>ber State could propose to add</w:t>
      </w:r>
      <w:r w:rsidR="00F14F8A">
        <w:t xml:space="preserve"> </w:t>
      </w:r>
      <w:r w:rsidR="00714665">
        <w:t xml:space="preserve">a </w:t>
      </w:r>
      <w:r w:rsidR="00F14F8A">
        <w:t xml:space="preserve">key implementation step </w:t>
      </w:r>
      <w:r w:rsidR="00714665">
        <w:t xml:space="preserve">in order to give a better representation of the progress in implementation. </w:t>
      </w:r>
    </w:p>
    <w:p w14:paraId="53E880BA" w14:textId="4859D203" w:rsidR="00370CD0" w:rsidRPr="00022524" w:rsidRDefault="00CD3AE6" w:rsidP="00994D68">
      <w:pPr>
        <w:pStyle w:val="Body"/>
        <w:spacing w:after="120"/>
      </w:pPr>
      <w:r w:rsidRPr="00022524">
        <w:t>In this section,</w:t>
      </w:r>
      <w:r w:rsidR="00370CD0" w:rsidRPr="00022524">
        <w:t xml:space="preserve"> the use of these four indicator categories is introduced briefly. </w:t>
      </w:r>
      <w:r w:rsidR="00CB7CC4" w:rsidRPr="00022524">
        <w:t>The</w:t>
      </w:r>
      <w:r w:rsidR="00370CD0" w:rsidRPr="00022524">
        <w:t xml:space="preserve"> analysis focuses on the use of indicator categories in relation to the following aspects:</w:t>
      </w:r>
      <w:r w:rsidR="00994D68" w:rsidRPr="00022524">
        <w:t xml:space="preserve"> </w:t>
      </w:r>
      <w:r w:rsidR="00370CD0" w:rsidRPr="00022524">
        <w:t>Member States</w:t>
      </w:r>
      <w:r w:rsidR="00376E70" w:rsidRPr="00022524">
        <w:rPr>
          <w:rStyle w:val="FootnoteReference"/>
        </w:rPr>
        <w:footnoteReference w:id="21"/>
      </w:r>
      <w:r w:rsidR="00994D68" w:rsidRPr="00022524">
        <w:t xml:space="preserve">, funds, </w:t>
      </w:r>
      <w:r w:rsidR="00370CD0" w:rsidRPr="00022524">
        <w:t xml:space="preserve">programmes (dealing with different thematic orientations of the programmes as a whole, such as smart growth or sustainable growth, dealing with programmes which </w:t>
      </w:r>
      <w:proofErr w:type="spellStart"/>
      <w:r w:rsidR="00DA7557">
        <w:t>PAx</w:t>
      </w:r>
      <w:proofErr w:type="spellEnd"/>
      <w:r w:rsidR="00370CD0" w:rsidRPr="00022524">
        <w:t xml:space="preserve"> are referring to one or more thematic objectives), and</w:t>
      </w:r>
      <w:r w:rsidR="00994D68" w:rsidRPr="00022524">
        <w:t xml:space="preserve"> </w:t>
      </w:r>
      <w:r w:rsidR="00370CD0" w:rsidRPr="00022524">
        <w:t>categories of region</w:t>
      </w:r>
      <w:r w:rsidR="00CB71A6" w:rsidRPr="00022524">
        <w:t>s</w:t>
      </w:r>
      <w:r w:rsidR="00994D68" w:rsidRPr="00022524">
        <w:t xml:space="preserve">. </w:t>
      </w:r>
      <w:r w:rsidR="00370CD0" w:rsidRPr="00022524">
        <w:t>Furthermore, an additional analysis was completed categorising programme</w:t>
      </w:r>
      <w:r w:rsidR="00BB58ED">
        <w:t>s along their financial volumes.</w:t>
      </w:r>
    </w:p>
    <w:p w14:paraId="199F4B65" w14:textId="77777777" w:rsidR="00370CD0" w:rsidRPr="00022524" w:rsidRDefault="00370CD0" w:rsidP="00174262">
      <w:pPr>
        <w:pStyle w:val="Body"/>
        <w:pBdr>
          <w:bottom w:val="single" w:sz="4" w:space="3" w:color="004696"/>
        </w:pBdr>
        <w:spacing w:line="216" w:lineRule="exact"/>
        <w:rPr>
          <w:i/>
        </w:rPr>
      </w:pPr>
      <w:bookmarkStart w:id="80" w:name="_Ref426094403"/>
      <w:bookmarkStart w:id="81" w:name="_Toc429671072"/>
      <w:bookmarkStart w:id="82" w:name="_Toc432600873"/>
      <w:r w:rsidRPr="00022524">
        <w:rPr>
          <w:i/>
        </w:rPr>
        <w:t>Use of four categories of indicators in general</w:t>
      </w:r>
      <w:bookmarkEnd w:id="80"/>
      <w:bookmarkEnd w:id="81"/>
      <w:bookmarkEnd w:id="82"/>
    </w:p>
    <w:p w14:paraId="0F1C23C8" w14:textId="2DD3FAF4" w:rsidR="00370CD0" w:rsidRPr="00022524" w:rsidRDefault="00370CD0" w:rsidP="00370CD0">
      <w:pPr>
        <w:pStyle w:val="Body"/>
      </w:pPr>
      <w:r w:rsidRPr="00022524">
        <w:t xml:space="preserve">In total, the 282 programmes </w:t>
      </w:r>
      <w:r w:rsidR="00314D14" w:rsidRPr="00022524">
        <w:t xml:space="preserve">(with 1,565 </w:t>
      </w:r>
      <w:proofErr w:type="spellStart"/>
      <w:r w:rsidR="00DA7557">
        <w:t>PAx</w:t>
      </w:r>
      <w:proofErr w:type="spellEnd"/>
      <w:r w:rsidR="00314D14" w:rsidRPr="00022524">
        <w:t xml:space="preserve">) </w:t>
      </w:r>
      <w:r w:rsidRPr="00022524">
        <w:t>identified around 5,480 indicators for their PF, of which 207 programmes</w:t>
      </w:r>
      <w:r w:rsidR="00314D14" w:rsidRPr="00022524">
        <w:t xml:space="preserve"> (with 1,280 </w:t>
      </w:r>
      <w:proofErr w:type="spellStart"/>
      <w:r w:rsidR="00DA7557">
        <w:t>PAx</w:t>
      </w:r>
      <w:proofErr w:type="spellEnd"/>
      <w:r w:rsidR="00314D14" w:rsidRPr="00022524">
        <w:t>)</w:t>
      </w:r>
      <w:r w:rsidRPr="00022524">
        <w:t xml:space="preserve"> and 4,600 indicators belong to the IGJ objective and 75 programmes</w:t>
      </w:r>
      <w:r w:rsidR="00314D14" w:rsidRPr="00022524">
        <w:t xml:space="preserve"> (with 285 </w:t>
      </w:r>
      <w:proofErr w:type="spellStart"/>
      <w:r w:rsidR="00DA7557">
        <w:t>PAx</w:t>
      </w:r>
      <w:proofErr w:type="spellEnd"/>
      <w:r w:rsidR="00314D14" w:rsidRPr="00022524">
        <w:t>)</w:t>
      </w:r>
      <w:r w:rsidRPr="00022524">
        <w:t xml:space="preserve"> and 880 indicators are covered under the ETC objective. </w:t>
      </w:r>
      <w:r w:rsidR="009C40A3" w:rsidRPr="00022524">
        <w:t xml:space="preserve">The number of indicators per </w:t>
      </w:r>
      <w:proofErr w:type="spellStart"/>
      <w:r w:rsidR="00DA7557">
        <w:t>PAx</w:t>
      </w:r>
      <w:proofErr w:type="spellEnd"/>
      <w:r w:rsidR="009C40A3" w:rsidRPr="00022524">
        <w:t xml:space="preserve"> is a relevant aspect when considering the requirements of Commission Implementing Regulation (EU) No 215/2014, as the number of indicators affects the way how the achievement or serious failure to achieve the milestone </w:t>
      </w:r>
      <w:r w:rsidR="00F135DF">
        <w:t xml:space="preserve"> are</w:t>
      </w:r>
      <w:r w:rsidR="009C40A3" w:rsidRPr="00022524">
        <w:t xml:space="preserve"> </w:t>
      </w:r>
      <w:r w:rsidR="009C40A3">
        <w:t>assessed</w:t>
      </w:r>
      <w:r w:rsidR="009C40A3" w:rsidRPr="00022524">
        <w:t xml:space="preserve"> (Article 6).</w:t>
      </w:r>
      <w:r w:rsidR="00AA778E">
        <w:t xml:space="preserve"> The rules for performance frameworks with only 2 indicators are stricter than for those with 3 or more indicators.</w:t>
      </w:r>
      <w:r w:rsidR="003369EF">
        <w:t xml:space="preserve"> In addition, the output indicator(s) have to represent more than 50% of the allocation of the </w:t>
      </w:r>
      <w:proofErr w:type="spellStart"/>
      <w:r w:rsidR="00DA7557">
        <w:t>PAx</w:t>
      </w:r>
      <w:proofErr w:type="spellEnd"/>
      <w:r w:rsidR="00B44140">
        <w:t>, and this EU requirement may result in an increase of the number of output indicators in the PF in the priority axes which cover many different types of operations</w:t>
      </w:r>
      <w:r w:rsidR="003369EF">
        <w:t>. Bearing those two aspects in mind, the study shows that m</w:t>
      </w:r>
      <w:r w:rsidR="00314D14" w:rsidRPr="00022524">
        <w:t xml:space="preserve">ore than 65% of all </w:t>
      </w:r>
      <w:proofErr w:type="spellStart"/>
      <w:r w:rsidR="00DA7557">
        <w:t>PAx</w:t>
      </w:r>
      <w:proofErr w:type="spellEnd"/>
      <w:r w:rsidR="00314D14" w:rsidRPr="00022524">
        <w:t xml:space="preserve"> (1,025 </w:t>
      </w:r>
      <w:proofErr w:type="spellStart"/>
      <w:r w:rsidR="00DA7557">
        <w:t>PAx</w:t>
      </w:r>
      <w:proofErr w:type="spellEnd"/>
      <w:r w:rsidR="00314D14" w:rsidRPr="00022524">
        <w:t xml:space="preserve"> in absolute numbers) have identified more than 2 indicators for their PF, the remaining 34% of </w:t>
      </w:r>
      <w:proofErr w:type="spellStart"/>
      <w:r w:rsidR="00DA7557">
        <w:t>PAx</w:t>
      </w:r>
      <w:proofErr w:type="spellEnd"/>
      <w:r w:rsidR="00314D14" w:rsidRPr="00022524">
        <w:t xml:space="preserve"> (540 </w:t>
      </w:r>
      <w:proofErr w:type="spellStart"/>
      <w:r w:rsidR="00DA7557">
        <w:t>PAx</w:t>
      </w:r>
      <w:proofErr w:type="spellEnd"/>
      <w:r w:rsidR="00314D14" w:rsidRPr="00022524">
        <w:t xml:space="preserve"> in absolute numbers) have identified 2 indicators for their PF. </w:t>
      </w:r>
      <w:r w:rsidR="00CD3AE6" w:rsidRPr="00022524">
        <w:t>T</w:t>
      </w:r>
      <w:r w:rsidRPr="00022524">
        <w:t xml:space="preserve">he number of indicators </w:t>
      </w:r>
      <w:r w:rsidR="00CD3AE6" w:rsidRPr="00022524">
        <w:t>and</w:t>
      </w:r>
      <w:r w:rsidRPr="00022524">
        <w:t xml:space="preserve"> the frequency of common indicator</w:t>
      </w:r>
      <w:r w:rsidR="00012FB1" w:rsidRPr="00022524">
        <w:t>s</w:t>
      </w:r>
      <w:r w:rsidRPr="00022524">
        <w:t xml:space="preserve"> used </w:t>
      </w:r>
      <w:proofErr w:type="gramStart"/>
      <w:r w:rsidRPr="00022524">
        <w:t>is</w:t>
      </w:r>
      <w:proofErr w:type="gramEnd"/>
      <w:r w:rsidRPr="00022524">
        <w:t xml:space="preserve"> discussed in the sub-chapters below.</w:t>
      </w:r>
      <w:r w:rsidR="00994D68" w:rsidRPr="00022524">
        <w:t xml:space="preserve"> </w:t>
      </w:r>
      <w:r w:rsidRPr="00022524">
        <w:t xml:space="preserve">The following paragraphs provide a first overview of the four categories of indicators in general, raising initial findings on the differences across MS, funds, </w:t>
      </w:r>
      <w:r w:rsidR="003F7B0C" w:rsidRPr="00022524">
        <w:t>categories of regions and types of programmes</w:t>
      </w:r>
      <w:r w:rsidRPr="00022524">
        <w:t xml:space="preserve">. </w:t>
      </w:r>
    </w:p>
    <w:p w14:paraId="2FCAD7E3" w14:textId="384F23C1" w:rsidR="00D54128" w:rsidRDefault="007036CC" w:rsidP="00370CD0">
      <w:pPr>
        <w:pStyle w:val="Body"/>
      </w:pPr>
      <w:r w:rsidRPr="00022524">
        <w:t xml:space="preserve">But </w:t>
      </w:r>
      <w:r w:rsidR="00873380">
        <w:t xml:space="preserve">before this first </w:t>
      </w:r>
      <w:r w:rsidR="00EA1D91">
        <w:t>overview</w:t>
      </w:r>
      <w:r w:rsidRPr="00022524">
        <w:t xml:space="preserve">, the following table and figure give a first insight in the number of programme </w:t>
      </w:r>
      <w:proofErr w:type="spellStart"/>
      <w:r w:rsidR="00DA7557">
        <w:t>PAx</w:t>
      </w:r>
      <w:proofErr w:type="spellEnd"/>
      <w:r w:rsidRPr="00022524">
        <w:t>, differentiated by the</w:t>
      </w:r>
      <w:r w:rsidR="006C1582">
        <w:t>ir</w:t>
      </w:r>
      <w:r w:rsidRPr="00022524">
        <w:t xml:space="preserve"> number of PF indicators per Member State</w:t>
      </w:r>
      <w:r w:rsidR="00D54128">
        <w:t>:</w:t>
      </w:r>
      <w:r w:rsidRPr="00022524">
        <w:t xml:space="preserve"> </w:t>
      </w:r>
    </w:p>
    <w:p w14:paraId="1EAAE797" w14:textId="31E907C0" w:rsidR="00D54128" w:rsidRDefault="005D73B0" w:rsidP="00FC6929">
      <w:pPr>
        <w:pStyle w:val="BulletPoint1"/>
      </w:pPr>
      <w:r>
        <w:t>The illustrations</w:t>
      </w:r>
      <w:r w:rsidR="007036CC" w:rsidRPr="00022524">
        <w:t xml:space="preserve"> show that the majority of </w:t>
      </w:r>
      <w:proofErr w:type="spellStart"/>
      <w:r w:rsidR="00DA7557">
        <w:t>PAx</w:t>
      </w:r>
      <w:proofErr w:type="spellEnd"/>
      <w:r w:rsidR="007036CC" w:rsidRPr="00022524">
        <w:t xml:space="preserve"> have identified more than 2 PF indicators</w:t>
      </w:r>
      <w:r w:rsidR="001835B8">
        <w:t xml:space="preserve">. Especially, Denmark, Luxembourg, Latvia, the Netherlands and Slovenia have only </w:t>
      </w:r>
      <w:proofErr w:type="spellStart"/>
      <w:r w:rsidR="00DA7557">
        <w:t>PAx</w:t>
      </w:r>
      <w:proofErr w:type="spellEnd"/>
      <w:r w:rsidR="001835B8">
        <w:t xml:space="preserve"> with more than 2 PF indicators</w:t>
      </w:r>
      <w:r w:rsidR="001835B8" w:rsidRPr="00022524">
        <w:t>.</w:t>
      </w:r>
      <w:r w:rsidR="007036CC" w:rsidRPr="00022524">
        <w:t xml:space="preserve"> </w:t>
      </w:r>
    </w:p>
    <w:p w14:paraId="6249BDEA" w14:textId="53DB2D49" w:rsidR="007036CC" w:rsidRPr="00022524" w:rsidRDefault="007036CC" w:rsidP="00FC6929">
      <w:pPr>
        <w:pStyle w:val="BulletPoint1"/>
      </w:pPr>
      <w:r w:rsidRPr="00022524">
        <w:t xml:space="preserve">Exceptions are Spain, France and Sweden with a majority of more than 50% of all </w:t>
      </w:r>
      <w:proofErr w:type="spellStart"/>
      <w:r w:rsidR="00DA7557">
        <w:t>PAx</w:t>
      </w:r>
      <w:proofErr w:type="spellEnd"/>
      <w:r w:rsidRPr="00022524">
        <w:t xml:space="preserve"> having maximum two PF indicators in their performance frameworks.</w:t>
      </w:r>
    </w:p>
    <w:p w14:paraId="45956B13" w14:textId="1A652FE0" w:rsidR="00F03461" w:rsidRPr="00022524" w:rsidRDefault="0083058C" w:rsidP="00FC6929">
      <w:pPr>
        <w:pStyle w:val="Table"/>
        <w:rPr>
          <w:sz w:val="18"/>
        </w:rPr>
      </w:pPr>
      <w:r w:rsidRPr="00022524">
        <w:t xml:space="preserve"> </w:t>
      </w:r>
      <w:bookmarkStart w:id="83" w:name="_Toc433979512"/>
      <w:bookmarkStart w:id="84" w:name="_Toc315076379"/>
      <w:r w:rsidR="00F03461" w:rsidRPr="00022524">
        <w:t xml:space="preserve">Number of </w:t>
      </w:r>
      <w:proofErr w:type="spellStart"/>
      <w:r w:rsidR="00DA7557">
        <w:t>PAx</w:t>
      </w:r>
      <w:proofErr w:type="spellEnd"/>
      <w:r w:rsidR="00F03461" w:rsidRPr="00022524">
        <w:t xml:space="preserve"> differentiated by number of PF indicators and Member State</w:t>
      </w:r>
      <w:bookmarkEnd w:id="83"/>
      <w:bookmarkEnd w:id="84"/>
    </w:p>
    <w:tbl>
      <w:tblPr>
        <w:tblW w:w="9129" w:type="dxa"/>
        <w:tblBorders>
          <w:top w:val="single" w:sz="4" w:space="0" w:color="004696"/>
          <w:bottom w:val="single" w:sz="4" w:space="0" w:color="004696"/>
          <w:insideH w:val="single" w:sz="4" w:space="0" w:color="E6E6FA"/>
        </w:tblBorders>
        <w:tblCellMar>
          <w:left w:w="57" w:type="dxa"/>
          <w:right w:w="57" w:type="dxa"/>
        </w:tblCellMar>
        <w:tblLook w:val="0000" w:firstRow="0" w:lastRow="0" w:firstColumn="0" w:lastColumn="0" w:noHBand="0" w:noVBand="0"/>
      </w:tblPr>
      <w:tblGrid>
        <w:gridCol w:w="908"/>
        <w:gridCol w:w="1723"/>
        <w:gridCol w:w="1395"/>
        <w:gridCol w:w="851"/>
        <w:gridCol w:w="1854"/>
        <w:gridCol w:w="1591"/>
        <w:gridCol w:w="807"/>
      </w:tblGrid>
      <w:tr w:rsidR="00F03461" w:rsidRPr="00767075" w14:paraId="6E061891" w14:textId="77777777" w:rsidTr="005B39E4">
        <w:trPr>
          <w:trHeight w:val="20"/>
          <w:tblHeader/>
        </w:trPr>
        <w:tc>
          <w:tcPr>
            <w:tcW w:w="908" w:type="dxa"/>
            <w:vMerge w:val="restart"/>
            <w:tcBorders>
              <w:top w:val="single" w:sz="4" w:space="0" w:color="004696"/>
              <w:bottom w:val="nil"/>
            </w:tcBorders>
            <w:shd w:val="clear" w:color="auto" w:fill="auto"/>
          </w:tcPr>
          <w:p w14:paraId="0BD554FC" w14:textId="77777777" w:rsidR="00F03461" w:rsidRPr="00022524" w:rsidRDefault="00F03461" w:rsidP="005B39E4">
            <w:pPr>
              <w:pStyle w:val="Tabletext"/>
              <w:spacing w:before="18" w:after="18"/>
            </w:pPr>
            <w:r w:rsidRPr="00022524">
              <w:t>Member State</w:t>
            </w:r>
          </w:p>
        </w:tc>
        <w:tc>
          <w:tcPr>
            <w:tcW w:w="8221" w:type="dxa"/>
            <w:gridSpan w:val="6"/>
            <w:tcBorders>
              <w:top w:val="single" w:sz="4" w:space="0" w:color="004696"/>
              <w:bottom w:val="nil"/>
            </w:tcBorders>
          </w:tcPr>
          <w:p w14:paraId="1229F0C3" w14:textId="36EA5C7F" w:rsidR="00F03461" w:rsidRPr="00022524" w:rsidRDefault="00F03461" w:rsidP="005B39E4">
            <w:pPr>
              <w:pStyle w:val="Tabletext"/>
              <w:spacing w:before="18" w:after="18"/>
              <w:jc w:val="center"/>
            </w:pPr>
            <w:r w:rsidRPr="00022524">
              <w:t xml:space="preserve">Number of </w:t>
            </w:r>
            <w:proofErr w:type="spellStart"/>
            <w:r w:rsidR="00DA7557">
              <w:t>PAx</w:t>
            </w:r>
            <w:proofErr w:type="spellEnd"/>
            <w:r w:rsidRPr="00022524">
              <w:t xml:space="preserve"> with PF indicators</w:t>
            </w:r>
          </w:p>
        </w:tc>
      </w:tr>
      <w:tr w:rsidR="00F03461" w:rsidRPr="00022524" w14:paraId="67EED33F" w14:textId="77777777" w:rsidTr="005B39E4">
        <w:trPr>
          <w:trHeight w:val="20"/>
          <w:tblHeader/>
        </w:trPr>
        <w:tc>
          <w:tcPr>
            <w:tcW w:w="908" w:type="dxa"/>
            <w:vMerge/>
            <w:tcBorders>
              <w:top w:val="nil"/>
              <w:bottom w:val="nil"/>
            </w:tcBorders>
            <w:shd w:val="clear" w:color="auto" w:fill="auto"/>
          </w:tcPr>
          <w:p w14:paraId="7AE96790" w14:textId="77777777" w:rsidR="00F03461" w:rsidRPr="00022524" w:rsidRDefault="00F03461" w:rsidP="005B39E4">
            <w:pPr>
              <w:pStyle w:val="Tabletext"/>
              <w:spacing w:before="18" w:after="18"/>
            </w:pPr>
          </w:p>
        </w:tc>
        <w:tc>
          <w:tcPr>
            <w:tcW w:w="3969" w:type="dxa"/>
            <w:gridSpan w:val="3"/>
            <w:tcBorders>
              <w:top w:val="nil"/>
              <w:bottom w:val="nil"/>
            </w:tcBorders>
            <w:shd w:val="clear" w:color="auto" w:fill="auto"/>
          </w:tcPr>
          <w:p w14:paraId="6736E6F0" w14:textId="77777777" w:rsidR="00F03461" w:rsidRPr="00022524" w:rsidRDefault="00F03461" w:rsidP="005B39E4">
            <w:pPr>
              <w:pStyle w:val="Tabletext"/>
              <w:spacing w:before="18" w:after="18"/>
              <w:jc w:val="center"/>
            </w:pPr>
            <w:r w:rsidRPr="00022524">
              <w:t>Absolute numbers</w:t>
            </w:r>
          </w:p>
        </w:tc>
        <w:tc>
          <w:tcPr>
            <w:tcW w:w="4252" w:type="dxa"/>
            <w:gridSpan w:val="3"/>
            <w:tcBorders>
              <w:top w:val="nil"/>
              <w:bottom w:val="nil"/>
            </w:tcBorders>
            <w:shd w:val="clear" w:color="auto" w:fill="auto"/>
          </w:tcPr>
          <w:p w14:paraId="4046671E" w14:textId="77777777" w:rsidR="00F03461" w:rsidRPr="00022524" w:rsidRDefault="00F03461" w:rsidP="005B39E4">
            <w:pPr>
              <w:pStyle w:val="Tabletext"/>
              <w:spacing w:before="18" w:after="18"/>
              <w:jc w:val="center"/>
            </w:pPr>
            <w:r w:rsidRPr="00022524">
              <w:t>In %</w:t>
            </w:r>
          </w:p>
        </w:tc>
      </w:tr>
      <w:tr w:rsidR="00F03461" w:rsidRPr="00022524" w14:paraId="242615C1" w14:textId="77777777" w:rsidTr="005B39E4">
        <w:trPr>
          <w:trHeight w:val="20"/>
          <w:tblHeader/>
        </w:trPr>
        <w:tc>
          <w:tcPr>
            <w:tcW w:w="908" w:type="dxa"/>
            <w:vMerge/>
            <w:tcBorders>
              <w:top w:val="nil"/>
              <w:bottom w:val="nil"/>
            </w:tcBorders>
            <w:shd w:val="clear" w:color="auto" w:fill="auto"/>
          </w:tcPr>
          <w:p w14:paraId="502B0090" w14:textId="77777777" w:rsidR="00F03461" w:rsidRPr="00022524" w:rsidRDefault="00F03461" w:rsidP="005B39E4">
            <w:pPr>
              <w:pStyle w:val="Tabletext"/>
              <w:spacing w:before="18" w:after="18"/>
            </w:pPr>
          </w:p>
        </w:tc>
        <w:tc>
          <w:tcPr>
            <w:tcW w:w="3118" w:type="dxa"/>
            <w:gridSpan w:val="2"/>
            <w:tcBorders>
              <w:top w:val="nil"/>
              <w:bottom w:val="nil"/>
            </w:tcBorders>
            <w:shd w:val="clear" w:color="auto" w:fill="auto"/>
          </w:tcPr>
          <w:p w14:paraId="1CC164A3" w14:textId="57EB4FD9" w:rsidR="00F03461" w:rsidRPr="00022524" w:rsidRDefault="00F03461" w:rsidP="005B39E4">
            <w:pPr>
              <w:pStyle w:val="Tabletext"/>
              <w:spacing w:before="18" w:after="18"/>
              <w:jc w:val="center"/>
            </w:pPr>
            <w:r w:rsidRPr="00022524">
              <w:t xml:space="preserve">Number of </w:t>
            </w:r>
            <w:proofErr w:type="spellStart"/>
            <w:r w:rsidR="00DA7557">
              <w:t>PAx</w:t>
            </w:r>
            <w:proofErr w:type="spellEnd"/>
            <w:r w:rsidRPr="00022524">
              <w:t xml:space="preserve"> with</w:t>
            </w:r>
          </w:p>
        </w:tc>
        <w:tc>
          <w:tcPr>
            <w:tcW w:w="851" w:type="dxa"/>
            <w:tcBorders>
              <w:top w:val="nil"/>
              <w:bottom w:val="nil"/>
            </w:tcBorders>
          </w:tcPr>
          <w:p w14:paraId="423E9044" w14:textId="77777777" w:rsidR="00F03461" w:rsidRPr="00022524" w:rsidRDefault="00F03461" w:rsidP="005B39E4">
            <w:pPr>
              <w:pStyle w:val="Tabletext"/>
              <w:spacing w:before="18" w:after="18"/>
              <w:jc w:val="center"/>
            </w:pPr>
          </w:p>
        </w:tc>
        <w:tc>
          <w:tcPr>
            <w:tcW w:w="3445" w:type="dxa"/>
            <w:gridSpan w:val="2"/>
            <w:tcBorders>
              <w:top w:val="nil"/>
              <w:bottom w:val="nil"/>
            </w:tcBorders>
            <w:shd w:val="clear" w:color="auto" w:fill="auto"/>
          </w:tcPr>
          <w:p w14:paraId="75314C61" w14:textId="79631E41" w:rsidR="00F03461" w:rsidRPr="00022524" w:rsidRDefault="00F03461" w:rsidP="005B39E4">
            <w:pPr>
              <w:pStyle w:val="Tabletext"/>
              <w:spacing w:before="18" w:after="18"/>
              <w:jc w:val="center"/>
            </w:pPr>
            <w:r w:rsidRPr="00022524">
              <w:t xml:space="preserve">Number of </w:t>
            </w:r>
            <w:proofErr w:type="spellStart"/>
            <w:r w:rsidR="00DA7557">
              <w:t>PAx</w:t>
            </w:r>
            <w:proofErr w:type="spellEnd"/>
            <w:r w:rsidRPr="00022524">
              <w:t xml:space="preserve"> with</w:t>
            </w:r>
          </w:p>
        </w:tc>
        <w:tc>
          <w:tcPr>
            <w:tcW w:w="807" w:type="dxa"/>
            <w:tcBorders>
              <w:top w:val="nil"/>
              <w:bottom w:val="nil"/>
            </w:tcBorders>
            <w:shd w:val="clear" w:color="auto" w:fill="auto"/>
          </w:tcPr>
          <w:p w14:paraId="7F4C109B" w14:textId="77777777" w:rsidR="00F03461" w:rsidRPr="00022524" w:rsidRDefault="00F03461" w:rsidP="005B39E4">
            <w:pPr>
              <w:pStyle w:val="Tabletext"/>
              <w:spacing w:before="18" w:after="18"/>
              <w:jc w:val="center"/>
            </w:pPr>
          </w:p>
        </w:tc>
      </w:tr>
      <w:tr w:rsidR="00F03461" w:rsidRPr="00022524" w14:paraId="5F77DBD0" w14:textId="77777777" w:rsidTr="005B39E4">
        <w:trPr>
          <w:trHeight w:val="20"/>
          <w:tblHeader/>
        </w:trPr>
        <w:tc>
          <w:tcPr>
            <w:tcW w:w="908" w:type="dxa"/>
            <w:vMerge/>
            <w:tcBorders>
              <w:top w:val="nil"/>
              <w:bottom w:val="single" w:sz="4" w:space="0" w:color="004696"/>
            </w:tcBorders>
            <w:shd w:val="clear" w:color="auto" w:fill="auto"/>
          </w:tcPr>
          <w:p w14:paraId="641D41F0" w14:textId="77777777" w:rsidR="00F03461" w:rsidRPr="00022524" w:rsidRDefault="00F03461" w:rsidP="005B39E4">
            <w:pPr>
              <w:pStyle w:val="Tabletext"/>
              <w:spacing w:before="18" w:after="18"/>
            </w:pPr>
          </w:p>
        </w:tc>
        <w:tc>
          <w:tcPr>
            <w:tcW w:w="1723" w:type="dxa"/>
            <w:tcBorders>
              <w:top w:val="nil"/>
              <w:bottom w:val="single" w:sz="4" w:space="0" w:color="004696"/>
            </w:tcBorders>
            <w:shd w:val="clear" w:color="auto" w:fill="auto"/>
          </w:tcPr>
          <w:p w14:paraId="51777033" w14:textId="77777777" w:rsidR="00F03461" w:rsidRPr="00022524" w:rsidRDefault="00F03461" w:rsidP="005B39E4">
            <w:pPr>
              <w:pStyle w:val="Tabletext"/>
              <w:spacing w:before="18" w:after="18"/>
              <w:jc w:val="center"/>
            </w:pPr>
            <w:r w:rsidRPr="00022524">
              <w:t>max 2 PF Indicators</w:t>
            </w:r>
          </w:p>
        </w:tc>
        <w:tc>
          <w:tcPr>
            <w:tcW w:w="1395" w:type="dxa"/>
            <w:tcBorders>
              <w:top w:val="nil"/>
              <w:bottom w:val="single" w:sz="4" w:space="0" w:color="004696"/>
            </w:tcBorders>
            <w:shd w:val="clear" w:color="auto" w:fill="auto"/>
          </w:tcPr>
          <w:p w14:paraId="6E183076" w14:textId="77777777" w:rsidR="00F03461" w:rsidRPr="00022524" w:rsidRDefault="00F03461" w:rsidP="005B39E4">
            <w:pPr>
              <w:pStyle w:val="Tabletext"/>
              <w:spacing w:before="18" w:after="18"/>
              <w:jc w:val="center"/>
            </w:pPr>
            <w:r w:rsidRPr="00022524">
              <w:t>more than 2 PF Indicators</w:t>
            </w:r>
          </w:p>
        </w:tc>
        <w:tc>
          <w:tcPr>
            <w:tcW w:w="851" w:type="dxa"/>
            <w:tcBorders>
              <w:top w:val="nil"/>
              <w:bottom w:val="single" w:sz="4" w:space="0" w:color="004696"/>
            </w:tcBorders>
          </w:tcPr>
          <w:p w14:paraId="31081A33" w14:textId="77777777" w:rsidR="00F03461" w:rsidRPr="00022524" w:rsidRDefault="00F03461" w:rsidP="005B39E4">
            <w:pPr>
              <w:pStyle w:val="Tabletext"/>
              <w:spacing w:before="18" w:after="18"/>
              <w:jc w:val="center"/>
            </w:pPr>
            <w:r w:rsidRPr="00022524">
              <w:t>Total</w:t>
            </w:r>
          </w:p>
        </w:tc>
        <w:tc>
          <w:tcPr>
            <w:tcW w:w="1854" w:type="dxa"/>
            <w:tcBorders>
              <w:top w:val="nil"/>
              <w:bottom w:val="single" w:sz="4" w:space="0" w:color="004696"/>
            </w:tcBorders>
            <w:shd w:val="clear" w:color="auto" w:fill="auto"/>
          </w:tcPr>
          <w:p w14:paraId="1EE1EFC5" w14:textId="77777777" w:rsidR="00F03461" w:rsidRPr="00022524" w:rsidRDefault="00F03461" w:rsidP="005B39E4">
            <w:pPr>
              <w:pStyle w:val="Tabletext"/>
              <w:spacing w:before="18" w:after="18"/>
              <w:jc w:val="center"/>
            </w:pPr>
            <w:r w:rsidRPr="00022524">
              <w:t>max 2 PF Indicators</w:t>
            </w:r>
          </w:p>
        </w:tc>
        <w:tc>
          <w:tcPr>
            <w:tcW w:w="1591" w:type="dxa"/>
            <w:tcBorders>
              <w:top w:val="nil"/>
              <w:bottom w:val="single" w:sz="4" w:space="0" w:color="004696"/>
            </w:tcBorders>
          </w:tcPr>
          <w:p w14:paraId="5CB818DA" w14:textId="77777777" w:rsidR="00F03461" w:rsidRPr="00022524" w:rsidRDefault="00F03461" w:rsidP="005B39E4">
            <w:pPr>
              <w:pStyle w:val="Tabletext"/>
              <w:spacing w:before="18" w:after="18"/>
              <w:jc w:val="center"/>
            </w:pPr>
            <w:r w:rsidRPr="00022524">
              <w:t>more than 2 PF Indicators</w:t>
            </w:r>
          </w:p>
        </w:tc>
        <w:tc>
          <w:tcPr>
            <w:tcW w:w="807" w:type="dxa"/>
            <w:tcBorders>
              <w:top w:val="nil"/>
              <w:bottom w:val="single" w:sz="4" w:space="0" w:color="004696"/>
            </w:tcBorders>
            <w:shd w:val="clear" w:color="auto" w:fill="auto"/>
          </w:tcPr>
          <w:p w14:paraId="1D9E5D8E" w14:textId="77777777" w:rsidR="00F03461" w:rsidRPr="00022524" w:rsidRDefault="00F03461" w:rsidP="005B39E4">
            <w:pPr>
              <w:pStyle w:val="Tabletext"/>
              <w:spacing w:before="18" w:after="18"/>
              <w:jc w:val="center"/>
            </w:pPr>
            <w:r w:rsidRPr="00022524">
              <w:t>Total</w:t>
            </w:r>
          </w:p>
        </w:tc>
      </w:tr>
      <w:tr w:rsidR="00F03461" w:rsidRPr="00022524" w14:paraId="4C8B0791" w14:textId="77777777" w:rsidTr="005B39E4">
        <w:trPr>
          <w:trHeight w:val="20"/>
        </w:trPr>
        <w:tc>
          <w:tcPr>
            <w:tcW w:w="908" w:type="dxa"/>
            <w:tcBorders>
              <w:top w:val="single" w:sz="4" w:space="0" w:color="004696"/>
            </w:tcBorders>
            <w:shd w:val="clear" w:color="auto" w:fill="auto"/>
          </w:tcPr>
          <w:p w14:paraId="1438A27E" w14:textId="77777777" w:rsidR="00F03461" w:rsidRPr="00022524" w:rsidRDefault="00F03461" w:rsidP="005B39E4">
            <w:pPr>
              <w:pStyle w:val="Tabletext"/>
              <w:spacing w:before="18" w:after="18"/>
            </w:pPr>
            <w:r w:rsidRPr="00022524">
              <w:t>AT</w:t>
            </w:r>
          </w:p>
        </w:tc>
        <w:tc>
          <w:tcPr>
            <w:tcW w:w="1723" w:type="dxa"/>
            <w:tcBorders>
              <w:top w:val="single" w:sz="4" w:space="0" w:color="004696"/>
            </w:tcBorders>
            <w:shd w:val="clear" w:color="auto" w:fill="auto"/>
          </w:tcPr>
          <w:p w14:paraId="5BBE6CC6" w14:textId="77777777" w:rsidR="00F03461" w:rsidRPr="00022524" w:rsidRDefault="00F03461" w:rsidP="005B39E4">
            <w:pPr>
              <w:pStyle w:val="Tabletext"/>
              <w:spacing w:before="18" w:after="18"/>
              <w:jc w:val="center"/>
            </w:pPr>
            <w:r w:rsidRPr="00022524">
              <w:t>2</w:t>
            </w:r>
          </w:p>
        </w:tc>
        <w:tc>
          <w:tcPr>
            <w:tcW w:w="1395" w:type="dxa"/>
            <w:tcBorders>
              <w:top w:val="single" w:sz="4" w:space="0" w:color="004696"/>
            </w:tcBorders>
            <w:shd w:val="clear" w:color="auto" w:fill="auto"/>
          </w:tcPr>
          <w:p w14:paraId="335FE031" w14:textId="77777777" w:rsidR="00F03461" w:rsidRPr="00022524" w:rsidRDefault="00F03461" w:rsidP="005B39E4">
            <w:pPr>
              <w:pStyle w:val="Tabletext"/>
              <w:spacing w:before="18" w:after="18"/>
              <w:jc w:val="center"/>
            </w:pPr>
            <w:r w:rsidRPr="00022524">
              <w:t>3</w:t>
            </w:r>
          </w:p>
        </w:tc>
        <w:tc>
          <w:tcPr>
            <w:tcW w:w="851" w:type="dxa"/>
            <w:tcBorders>
              <w:top w:val="single" w:sz="4" w:space="0" w:color="004696"/>
            </w:tcBorders>
          </w:tcPr>
          <w:p w14:paraId="00287FBC" w14:textId="77777777" w:rsidR="00F03461" w:rsidRPr="00022524" w:rsidRDefault="00F03461" w:rsidP="005B39E4">
            <w:pPr>
              <w:pStyle w:val="Tabletext"/>
              <w:spacing w:before="18" w:after="18"/>
              <w:jc w:val="center"/>
              <w:rPr>
                <w:b/>
              </w:rPr>
            </w:pPr>
            <w:r w:rsidRPr="00022524">
              <w:rPr>
                <w:b/>
              </w:rPr>
              <w:t>5</w:t>
            </w:r>
          </w:p>
        </w:tc>
        <w:tc>
          <w:tcPr>
            <w:tcW w:w="1854" w:type="dxa"/>
            <w:tcBorders>
              <w:top w:val="single" w:sz="4" w:space="0" w:color="004696"/>
            </w:tcBorders>
            <w:shd w:val="clear" w:color="auto" w:fill="auto"/>
          </w:tcPr>
          <w:p w14:paraId="2CB91129" w14:textId="77777777" w:rsidR="00F03461" w:rsidRPr="00022524" w:rsidRDefault="00F03461" w:rsidP="005B39E4">
            <w:pPr>
              <w:pStyle w:val="Tabletext"/>
              <w:spacing w:before="18" w:after="18"/>
              <w:jc w:val="center"/>
            </w:pPr>
            <w:r w:rsidRPr="00022524">
              <w:t>40</w:t>
            </w:r>
          </w:p>
        </w:tc>
        <w:tc>
          <w:tcPr>
            <w:tcW w:w="1591" w:type="dxa"/>
            <w:tcBorders>
              <w:top w:val="single" w:sz="4" w:space="0" w:color="004696"/>
            </w:tcBorders>
          </w:tcPr>
          <w:p w14:paraId="52D41EC6" w14:textId="77777777" w:rsidR="00F03461" w:rsidRPr="00022524" w:rsidRDefault="00F03461" w:rsidP="005B39E4">
            <w:pPr>
              <w:pStyle w:val="Tabletext"/>
              <w:spacing w:before="18" w:after="18"/>
              <w:jc w:val="center"/>
            </w:pPr>
            <w:r w:rsidRPr="00022524">
              <w:t>60</w:t>
            </w:r>
          </w:p>
        </w:tc>
        <w:tc>
          <w:tcPr>
            <w:tcW w:w="807" w:type="dxa"/>
            <w:tcBorders>
              <w:top w:val="single" w:sz="4" w:space="0" w:color="004696"/>
            </w:tcBorders>
            <w:shd w:val="clear" w:color="auto" w:fill="auto"/>
          </w:tcPr>
          <w:p w14:paraId="2EAD61BB" w14:textId="77777777" w:rsidR="00F03461" w:rsidRPr="00022524" w:rsidRDefault="00F03461" w:rsidP="005B39E4">
            <w:pPr>
              <w:pStyle w:val="Tabletext"/>
              <w:spacing w:before="18" w:after="18"/>
              <w:jc w:val="center"/>
            </w:pPr>
            <w:r w:rsidRPr="00022524">
              <w:t>100</w:t>
            </w:r>
          </w:p>
        </w:tc>
      </w:tr>
      <w:tr w:rsidR="00F03461" w:rsidRPr="00022524" w14:paraId="7DF2E429" w14:textId="77777777" w:rsidTr="005B39E4">
        <w:trPr>
          <w:trHeight w:val="20"/>
        </w:trPr>
        <w:tc>
          <w:tcPr>
            <w:tcW w:w="908" w:type="dxa"/>
            <w:shd w:val="clear" w:color="auto" w:fill="auto"/>
          </w:tcPr>
          <w:p w14:paraId="0CAE2E34" w14:textId="77777777" w:rsidR="00F03461" w:rsidRPr="00022524" w:rsidRDefault="00F03461" w:rsidP="005B39E4">
            <w:pPr>
              <w:pStyle w:val="Tabletext"/>
              <w:spacing w:before="18" w:after="18"/>
            </w:pPr>
            <w:r w:rsidRPr="00022524">
              <w:t>BE</w:t>
            </w:r>
          </w:p>
        </w:tc>
        <w:tc>
          <w:tcPr>
            <w:tcW w:w="1723" w:type="dxa"/>
            <w:shd w:val="clear" w:color="auto" w:fill="auto"/>
          </w:tcPr>
          <w:p w14:paraId="112F4348" w14:textId="77777777" w:rsidR="00F03461" w:rsidRPr="00022524" w:rsidRDefault="00F03461" w:rsidP="005B39E4">
            <w:pPr>
              <w:pStyle w:val="Tabletext"/>
              <w:spacing w:before="18" w:after="18"/>
              <w:jc w:val="center"/>
            </w:pPr>
            <w:r w:rsidRPr="00022524">
              <w:t>6</w:t>
            </w:r>
          </w:p>
        </w:tc>
        <w:tc>
          <w:tcPr>
            <w:tcW w:w="1395" w:type="dxa"/>
            <w:shd w:val="clear" w:color="auto" w:fill="auto"/>
          </w:tcPr>
          <w:p w14:paraId="5D34D215" w14:textId="77777777" w:rsidR="00F03461" w:rsidRPr="00022524" w:rsidRDefault="00F03461" w:rsidP="005B39E4">
            <w:pPr>
              <w:pStyle w:val="Tabletext"/>
              <w:spacing w:before="18" w:after="18"/>
              <w:jc w:val="center"/>
            </w:pPr>
            <w:r w:rsidRPr="00022524">
              <w:t>8</w:t>
            </w:r>
          </w:p>
        </w:tc>
        <w:tc>
          <w:tcPr>
            <w:tcW w:w="851" w:type="dxa"/>
          </w:tcPr>
          <w:p w14:paraId="4E6C60EC" w14:textId="77777777" w:rsidR="00F03461" w:rsidRPr="00022524" w:rsidRDefault="00F03461" w:rsidP="005B39E4">
            <w:pPr>
              <w:pStyle w:val="Tabletext"/>
              <w:spacing w:before="18" w:after="18"/>
              <w:jc w:val="center"/>
              <w:rPr>
                <w:b/>
              </w:rPr>
            </w:pPr>
            <w:r w:rsidRPr="00022524">
              <w:rPr>
                <w:b/>
              </w:rPr>
              <w:t>14</w:t>
            </w:r>
          </w:p>
        </w:tc>
        <w:tc>
          <w:tcPr>
            <w:tcW w:w="1854" w:type="dxa"/>
            <w:shd w:val="clear" w:color="auto" w:fill="auto"/>
          </w:tcPr>
          <w:p w14:paraId="2ECF09CA" w14:textId="77777777" w:rsidR="00F03461" w:rsidRPr="00022524" w:rsidRDefault="00F03461" w:rsidP="005B39E4">
            <w:pPr>
              <w:pStyle w:val="Tabletext"/>
              <w:spacing w:before="18" w:after="18"/>
              <w:jc w:val="center"/>
            </w:pPr>
            <w:r w:rsidRPr="00022524">
              <w:t>43</w:t>
            </w:r>
          </w:p>
        </w:tc>
        <w:tc>
          <w:tcPr>
            <w:tcW w:w="1591" w:type="dxa"/>
          </w:tcPr>
          <w:p w14:paraId="57B74BDE" w14:textId="77777777" w:rsidR="00F03461" w:rsidRPr="00022524" w:rsidRDefault="00F03461" w:rsidP="005B39E4">
            <w:pPr>
              <w:pStyle w:val="Tabletext"/>
              <w:spacing w:before="18" w:after="18"/>
              <w:jc w:val="center"/>
            </w:pPr>
            <w:r w:rsidRPr="00022524">
              <w:t>57</w:t>
            </w:r>
          </w:p>
        </w:tc>
        <w:tc>
          <w:tcPr>
            <w:tcW w:w="807" w:type="dxa"/>
            <w:shd w:val="clear" w:color="auto" w:fill="auto"/>
          </w:tcPr>
          <w:p w14:paraId="2DE67A69" w14:textId="77777777" w:rsidR="00F03461" w:rsidRPr="00022524" w:rsidRDefault="00F03461" w:rsidP="005B39E4">
            <w:pPr>
              <w:pStyle w:val="Tabletext"/>
              <w:spacing w:before="18" w:after="18"/>
              <w:jc w:val="center"/>
            </w:pPr>
            <w:r w:rsidRPr="00022524">
              <w:t>100</w:t>
            </w:r>
          </w:p>
        </w:tc>
      </w:tr>
      <w:tr w:rsidR="00F03461" w:rsidRPr="00022524" w14:paraId="66069293" w14:textId="77777777" w:rsidTr="005B39E4">
        <w:trPr>
          <w:trHeight w:val="20"/>
        </w:trPr>
        <w:tc>
          <w:tcPr>
            <w:tcW w:w="908" w:type="dxa"/>
            <w:shd w:val="clear" w:color="auto" w:fill="auto"/>
          </w:tcPr>
          <w:p w14:paraId="6A27E6D0" w14:textId="77777777" w:rsidR="00F03461" w:rsidRPr="00022524" w:rsidRDefault="00F03461" w:rsidP="005B39E4">
            <w:pPr>
              <w:pStyle w:val="Tabletext"/>
              <w:spacing w:before="18" w:after="18"/>
            </w:pPr>
            <w:r w:rsidRPr="00022524">
              <w:lastRenderedPageBreak/>
              <w:t>BG</w:t>
            </w:r>
          </w:p>
        </w:tc>
        <w:tc>
          <w:tcPr>
            <w:tcW w:w="1723" w:type="dxa"/>
            <w:shd w:val="clear" w:color="auto" w:fill="auto"/>
          </w:tcPr>
          <w:p w14:paraId="17CEA563" w14:textId="77777777" w:rsidR="00F03461" w:rsidRPr="00022524" w:rsidRDefault="00F03461" w:rsidP="005B39E4">
            <w:pPr>
              <w:pStyle w:val="Tabletext"/>
              <w:spacing w:before="18" w:after="18"/>
              <w:jc w:val="center"/>
            </w:pPr>
            <w:r w:rsidRPr="00022524">
              <w:t>9</w:t>
            </w:r>
          </w:p>
        </w:tc>
        <w:tc>
          <w:tcPr>
            <w:tcW w:w="1395" w:type="dxa"/>
            <w:shd w:val="clear" w:color="auto" w:fill="auto"/>
          </w:tcPr>
          <w:p w14:paraId="6DAB890D" w14:textId="77777777" w:rsidR="00F03461" w:rsidRPr="00022524" w:rsidRDefault="00F03461" w:rsidP="005B39E4">
            <w:pPr>
              <w:pStyle w:val="Tabletext"/>
              <w:spacing w:before="18" w:after="18"/>
              <w:jc w:val="center"/>
            </w:pPr>
            <w:r w:rsidRPr="00022524">
              <w:t>14</w:t>
            </w:r>
          </w:p>
        </w:tc>
        <w:tc>
          <w:tcPr>
            <w:tcW w:w="851" w:type="dxa"/>
          </w:tcPr>
          <w:p w14:paraId="68B59980" w14:textId="77777777" w:rsidR="00F03461" w:rsidRPr="00022524" w:rsidRDefault="00F03461" w:rsidP="005B39E4">
            <w:pPr>
              <w:pStyle w:val="Tabletext"/>
              <w:spacing w:before="18" w:after="18"/>
              <w:jc w:val="center"/>
              <w:rPr>
                <w:b/>
              </w:rPr>
            </w:pPr>
            <w:r w:rsidRPr="00022524">
              <w:rPr>
                <w:b/>
              </w:rPr>
              <w:t>23</w:t>
            </w:r>
          </w:p>
        </w:tc>
        <w:tc>
          <w:tcPr>
            <w:tcW w:w="1854" w:type="dxa"/>
            <w:shd w:val="clear" w:color="auto" w:fill="auto"/>
          </w:tcPr>
          <w:p w14:paraId="19CEC55A" w14:textId="77777777" w:rsidR="00F03461" w:rsidRPr="00022524" w:rsidRDefault="00F03461" w:rsidP="005B39E4">
            <w:pPr>
              <w:pStyle w:val="Tabletext"/>
              <w:spacing w:before="18" w:after="18"/>
              <w:jc w:val="center"/>
            </w:pPr>
            <w:r w:rsidRPr="00022524">
              <w:t>39</w:t>
            </w:r>
          </w:p>
        </w:tc>
        <w:tc>
          <w:tcPr>
            <w:tcW w:w="1591" w:type="dxa"/>
          </w:tcPr>
          <w:p w14:paraId="2C75DF38" w14:textId="77777777" w:rsidR="00F03461" w:rsidRPr="00022524" w:rsidRDefault="00F03461" w:rsidP="005B39E4">
            <w:pPr>
              <w:pStyle w:val="Tabletext"/>
              <w:spacing w:before="18" w:after="18"/>
              <w:jc w:val="center"/>
            </w:pPr>
            <w:r w:rsidRPr="00022524">
              <w:t>61</w:t>
            </w:r>
          </w:p>
        </w:tc>
        <w:tc>
          <w:tcPr>
            <w:tcW w:w="807" w:type="dxa"/>
            <w:shd w:val="clear" w:color="auto" w:fill="auto"/>
          </w:tcPr>
          <w:p w14:paraId="410132CC" w14:textId="77777777" w:rsidR="00F03461" w:rsidRPr="00022524" w:rsidRDefault="00F03461" w:rsidP="005B39E4">
            <w:pPr>
              <w:pStyle w:val="Tabletext"/>
              <w:spacing w:before="18" w:after="18"/>
              <w:jc w:val="center"/>
            </w:pPr>
            <w:r w:rsidRPr="00022524">
              <w:t>100</w:t>
            </w:r>
          </w:p>
        </w:tc>
      </w:tr>
      <w:tr w:rsidR="00F03461" w:rsidRPr="00022524" w14:paraId="6CDAB558" w14:textId="77777777" w:rsidTr="005B39E4">
        <w:trPr>
          <w:trHeight w:val="20"/>
        </w:trPr>
        <w:tc>
          <w:tcPr>
            <w:tcW w:w="908" w:type="dxa"/>
            <w:shd w:val="clear" w:color="auto" w:fill="auto"/>
          </w:tcPr>
          <w:p w14:paraId="253202C5" w14:textId="77777777" w:rsidR="00F03461" w:rsidRPr="00022524" w:rsidRDefault="00F03461" w:rsidP="005B39E4">
            <w:pPr>
              <w:pStyle w:val="Tabletext"/>
              <w:spacing w:before="18" w:after="18"/>
            </w:pPr>
            <w:r w:rsidRPr="00022524">
              <w:t>CY</w:t>
            </w:r>
          </w:p>
        </w:tc>
        <w:tc>
          <w:tcPr>
            <w:tcW w:w="1723" w:type="dxa"/>
            <w:shd w:val="clear" w:color="auto" w:fill="auto"/>
          </w:tcPr>
          <w:p w14:paraId="0AA11297" w14:textId="77777777" w:rsidR="00F03461" w:rsidRPr="00022524" w:rsidRDefault="00F03461" w:rsidP="005B39E4">
            <w:pPr>
              <w:pStyle w:val="Tabletext"/>
              <w:spacing w:before="18" w:after="18"/>
              <w:jc w:val="center"/>
            </w:pPr>
            <w:r w:rsidRPr="00022524">
              <w:t>2</w:t>
            </w:r>
          </w:p>
        </w:tc>
        <w:tc>
          <w:tcPr>
            <w:tcW w:w="1395" w:type="dxa"/>
            <w:shd w:val="clear" w:color="auto" w:fill="auto"/>
          </w:tcPr>
          <w:p w14:paraId="6052E838" w14:textId="77777777" w:rsidR="00F03461" w:rsidRPr="00022524" w:rsidRDefault="00F03461" w:rsidP="005B39E4">
            <w:pPr>
              <w:pStyle w:val="Tabletext"/>
              <w:spacing w:before="18" w:after="18"/>
              <w:jc w:val="center"/>
            </w:pPr>
            <w:r w:rsidRPr="00022524">
              <w:t>5</w:t>
            </w:r>
          </w:p>
        </w:tc>
        <w:tc>
          <w:tcPr>
            <w:tcW w:w="851" w:type="dxa"/>
          </w:tcPr>
          <w:p w14:paraId="67A3A37A" w14:textId="77777777" w:rsidR="00F03461" w:rsidRPr="00022524" w:rsidRDefault="00F03461" w:rsidP="005B39E4">
            <w:pPr>
              <w:pStyle w:val="Tabletext"/>
              <w:spacing w:before="18" w:after="18"/>
              <w:jc w:val="center"/>
              <w:rPr>
                <w:b/>
              </w:rPr>
            </w:pPr>
            <w:r w:rsidRPr="00022524">
              <w:rPr>
                <w:b/>
              </w:rPr>
              <w:t>7</w:t>
            </w:r>
          </w:p>
        </w:tc>
        <w:tc>
          <w:tcPr>
            <w:tcW w:w="1854" w:type="dxa"/>
            <w:shd w:val="clear" w:color="auto" w:fill="auto"/>
          </w:tcPr>
          <w:p w14:paraId="0BC3782F" w14:textId="77777777" w:rsidR="00F03461" w:rsidRPr="00022524" w:rsidRDefault="00F03461" w:rsidP="005B39E4">
            <w:pPr>
              <w:pStyle w:val="Tabletext"/>
              <w:spacing w:before="18" w:after="18"/>
              <w:jc w:val="center"/>
            </w:pPr>
            <w:r w:rsidRPr="00022524">
              <w:t>29</w:t>
            </w:r>
          </w:p>
        </w:tc>
        <w:tc>
          <w:tcPr>
            <w:tcW w:w="1591" w:type="dxa"/>
          </w:tcPr>
          <w:p w14:paraId="64E65606" w14:textId="77777777" w:rsidR="00F03461" w:rsidRPr="00022524" w:rsidRDefault="00F03461" w:rsidP="005B39E4">
            <w:pPr>
              <w:pStyle w:val="Tabletext"/>
              <w:spacing w:before="18" w:after="18"/>
              <w:jc w:val="center"/>
            </w:pPr>
            <w:r w:rsidRPr="00022524">
              <w:t>71</w:t>
            </w:r>
          </w:p>
        </w:tc>
        <w:tc>
          <w:tcPr>
            <w:tcW w:w="807" w:type="dxa"/>
            <w:shd w:val="clear" w:color="auto" w:fill="auto"/>
          </w:tcPr>
          <w:p w14:paraId="737F11CC" w14:textId="77777777" w:rsidR="00F03461" w:rsidRPr="00022524" w:rsidRDefault="00F03461" w:rsidP="005B39E4">
            <w:pPr>
              <w:pStyle w:val="Tabletext"/>
              <w:spacing w:before="18" w:after="18"/>
              <w:jc w:val="center"/>
            </w:pPr>
            <w:r w:rsidRPr="00022524">
              <w:t>100</w:t>
            </w:r>
          </w:p>
        </w:tc>
      </w:tr>
      <w:tr w:rsidR="00F03461" w:rsidRPr="00022524" w14:paraId="14159CD5" w14:textId="77777777" w:rsidTr="005B39E4">
        <w:trPr>
          <w:trHeight w:val="20"/>
        </w:trPr>
        <w:tc>
          <w:tcPr>
            <w:tcW w:w="908" w:type="dxa"/>
            <w:shd w:val="clear" w:color="auto" w:fill="auto"/>
          </w:tcPr>
          <w:p w14:paraId="1D6BE316" w14:textId="77777777" w:rsidR="00F03461" w:rsidRPr="00022524" w:rsidRDefault="00F03461" w:rsidP="005B39E4">
            <w:pPr>
              <w:pStyle w:val="Tabletext"/>
              <w:spacing w:before="18" w:after="18"/>
            </w:pPr>
            <w:r w:rsidRPr="00022524">
              <w:t>CZ</w:t>
            </w:r>
          </w:p>
        </w:tc>
        <w:tc>
          <w:tcPr>
            <w:tcW w:w="1723" w:type="dxa"/>
            <w:shd w:val="clear" w:color="auto" w:fill="auto"/>
          </w:tcPr>
          <w:p w14:paraId="4EF38F0B" w14:textId="77777777" w:rsidR="00F03461" w:rsidRPr="00022524" w:rsidRDefault="00F03461" w:rsidP="005B39E4">
            <w:pPr>
              <w:pStyle w:val="Tabletext"/>
              <w:spacing w:before="18" w:after="18"/>
              <w:jc w:val="center"/>
            </w:pPr>
            <w:r w:rsidRPr="00022524">
              <w:t>6</w:t>
            </w:r>
          </w:p>
        </w:tc>
        <w:tc>
          <w:tcPr>
            <w:tcW w:w="1395" w:type="dxa"/>
            <w:shd w:val="clear" w:color="auto" w:fill="auto"/>
          </w:tcPr>
          <w:p w14:paraId="70C380D8" w14:textId="77777777" w:rsidR="00F03461" w:rsidRPr="00022524" w:rsidRDefault="00F03461" w:rsidP="005B39E4">
            <w:pPr>
              <w:pStyle w:val="Tabletext"/>
              <w:spacing w:before="18" w:after="18"/>
              <w:jc w:val="center"/>
            </w:pPr>
            <w:r w:rsidRPr="00022524">
              <w:t>17</w:t>
            </w:r>
          </w:p>
        </w:tc>
        <w:tc>
          <w:tcPr>
            <w:tcW w:w="851" w:type="dxa"/>
          </w:tcPr>
          <w:p w14:paraId="1732D53C" w14:textId="77777777" w:rsidR="00F03461" w:rsidRPr="00022524" w:rsidRDefault="00F03461" w:rsidP="005B39E4">
            <w:pPr>
              <w:pStyle w:val="Tabletext"/>
              <w:spacing w:before="18" w:after="18"/>
              <w:jc w:val="center"/>
              <w:rPr>
                <w:b/>
              </w:rPr>
            </w:pPr>
            <w:r w:rsidRPr="00022524">
              <w:rPr>
                <w:b/>
              </w:rPr>
              <w:t>23</w:t>
            </w:r>
          </w:p>
        </w:tc>
        <w:tc>
          <w:tcPr>
            <w:tcW w:w="1854" w:type="dxa"/>
            <w:shd w:val="clear" w:color="auto" w:fill="auto"/>
          </w:tcPr>
          <w:p w14:paraId="142B0E87" w14:textId="77777777" w:rsidR="00F03461" w:rsidRPr="00022524" w:rsidRDefault="00F03461" w:rsidP="005B39E4">
            <w:pPr>
              <w:pStyle w:val="Tabletext"/>
              <w:spacing w:before="18" w:after="18"/>
              <w:jc w:val="center"/>
            </w:pPr>
            <w:r w:rsidRPr="00022524">
              <w:t>26</w:t>
            </w:r>
          </w:p>
        </w:tc>
        <w:tc>
          <w:tcPr>
            <w:tcW w:w="1591" w:type="dxa"/>
          </w:tcPr>
          <w:p w14:paraId="52D91F91" w14:textId="77777777" w:rsidR="00F03461" w:rsidRPr="00022524" w:rsidRDefault="00F03461" w:rsidP="005B39E4">
            <w:pPr>
              <w:pStyle w:val="Tabletext"/>
              <w:spacing w:before="18" w:after="18"/>
              <w:jc w:val="center"/>
            </w:pPr>
            <w:r w:rsidRPr="00022524">
              <w:t>74</w:t>
            </w:r>
          </w:p>
        </w:tc>
        <w:tc>
          <w:tcPr>
            <w:tcW w:w="807" w:type="dxa"/>
            <w:shd w:val="clear" w:color="auto" w:fill="auto"/>
          </w:tcPr>
          <w:p w14:paraId="6E9CE54D" w14:textId="77777777" w:rsidR="00F03461" w:rsidRPr="00022524" w:rsidRDefault="00F03461" w:rsidP="005B39E4">
            <w:pPr>
              <w:pStyle w:val="Tabletext"/>
              <w:spacing w:before="18" w:after="18"/>
              <w:jc w:val="center"/>
            </w:pPr>
            <w:r w:rsidRPr="00022524">
              <w:t>100</w:t>
            </w:r>
          </w:p>
        </w:tc>
      </w:tr>
      <w:tr w:rsidR="00F03461" w:rsidRPr="00022524" w14:paraId="79E2B9BF" w14:textId="77777777" w:rsidTr="005B39E4">
        <w:trPr>
          <w:trHeight w:val="20"/>
        </w:trPr>
        <w:tc>
          <w:tcPr>
            <w:tcW w:w="908" w:type="dxa"/>
            <w:shd w:val="clear" w:color="auto" w:fill="auto"/>
          </w:tcPr>
          <w:p w14:paraId="1C2E538D" w14:textId="77777777" w:rsidR="00F03461" w:rsidRPr="00022524" w:rsidRDefault="00F03461" w:rsidP="005B39E4">
            <w:pPr>
              <w:pStyle w:val="Tabletext"/>
              <w:spacing w:before="18" w:after="18"/>
            </w:pPr>
            <w:r w:rsidRPr="00022524">
              <w:t>DE</w:t>
            </w:r>
          </w:p>
        </w:tc>
        <w:tc>
          <w:tcPr>
            <w:tcW w:w="1723" w:type="dxa"/>
            <w:shd w:val="clear" w:color="auto" w:fill="auto"/>
          </w:tcPr>
          <w:p w14:paraId="3847F63B" w14:textId="77777777" w:rsidR="00F03461" w:rsidRPr="00022524" w:rsidRDefault="00F03461" w:rsidP="005B39E4">
            <w:pPr>
              <w:pStyle w:val="Tabletext"/>
              <w:spacing w:before="18" w:after="18"/>
              <w:jc w:val="center"/>
            </w:pPr>
            <w:r w:rsidRPr="00022524">
              <w:t>19</w:t>
            </w:r>
          </w:p>
        </w:tc>
        <w:tc>
          <w:tcPr>
            <w:tcW w:w="1395" w:type="dxa"/>
            <w:shd w:val="clear" w:color="auto" w:fill="auto"/>
          </w:tcPr>
          <w:p w14:paraId="3BBDFD24" w14:textId="77777777" w:rsidR="00F03461" w:rsidRPr="00022524" w:rsidRDefault="00F03461" w:rsidP="005B39E4">
            <w:pPr>
              <w:pStyle w:val="Tabletext"/>
              <w:spacing w:before="18" w:after="18"/>
              <w:jc w:val="center"/>
            </w:pPr>
            <w:r w:rsidRPr="00022524">
              <w:t>50</w:t>
            </w:r>
          </w:p>
        </w:tc>
        <w:tc>
          <w:tcPr>
            <w:tcW w:w="851" w:type="dxa"/>
          </w:tcPr>
          <w:p w14:paraId="02A52167" w14:textId="77777777" w:rsidR="00F03461" w:rsidRPr="00022524" w:rsidRDefault="00F03461" w:rsidP="005B39E4">
            <w:pPr>
              <w:pStyle w:val="Tabletext"/>
              <w:spacing w:before="18" w:after="18"/>
              <w:jc w:val="center"/>
              <w:rPr>
                <w:b/>
              </w:rPr>
            </w:pPr>
            <w:r w:rsidRPr="00022524">
              <w:rPr>
                <w:b/>
              </w:rPr>
              <w:t>69</w:t>
            </w:r>
          </w:p>
        </w:tc>
        <w:tc>
          <w:tcPr>
            <w:tcW w:w="1854" w:type="dxa"/>
            <w:shd w:val="clear" w:color="auto" w:fill="auto"/>
          </w:tcPr>
          <w:p w14:paraId="13FF1F4C" w14:textId="77777777" w:rsidR="00F03461" w:rsidRPr="00022524" w:rsidRDefault="00F03461" w:rsidP="005B39E4">
            <w:pPr>
              <w:pStyle w:val="Tabletext"/>
              <w:spacing w:before="18" w:after="18"/>
              <w:jc w:val="center"/>
            </w:pPr>
            <w:r w:rsidRPr="00022524">
              <w:t>28</w:t>
            </w:r>
          </w:p>
        </w:tc>
        <w:tc>
          <w:tcPr>
            <w:tcW w:w="1591" w:type="dxa"/>
          </w:tcPr>
          <w:p w14:paraId="3D6066E7" w14:textId="77777777" w:rsidR="00F03461" w:rsidRPr="00022524" w:rsidRDefault="00F03461" w:rsidP="005B39E4">
            <w:pPr>
              <w:pStyle w:val="Tabletext"/>
              <w:spacing w:before="18" w:after="18"/>
              <w:jc w:val="center"/>
            </w:pPr>
            <w:r w:rsidRPr="00022524">
              <w:t>72</w:t>
            </w:r>
          </w:p>
        </w:tc>
        <w:tc>
          <w:tcPr>
            <w:tcW w:w="807" w:type="dxa"/>
            <w:shd w:val="clear" w:color="auto" w:fill="auto"/>
          </w:tcPr>
          <w:p w14:paraId="3658708E" w14:textId="77777777" w:rsidR="00F03461" w:rsidRPr="00022524" w:rsidRDefault="00F03461" w:rsidP="005B39E4">
            <w:pPr>
              <w:pStyle w:val="Tabletext"/>
              <w:spacing w:before="18" w:after="18"/>
              <w:jc w:val="center"/>
            </w:pPr>
            <w:r w:rsidRPr="00022524">
              <w:t>100</w:t>
            </w:r>
          </w:p>
        </w:tc>
      </w:tr>
      <w:tr w:rsidR="00F03461" w:rsidRPr="00022524" w14:paraId="5BCA2A0A" w14:textId="77777777" w:rsidTr="005B39E4">
        <w:trPr>
          <w:trHeight w:val="20"/>
        </w:trPr>
        <w:tc>
          <w:tcPr>
            <w:tcW w:w="908" w:type="dxa"/>
            <w:shd w:val="clear" w:color="auto" w:fill="auto"/>
          </w:tcPr>
          <w:p w14:paraId="09FCBD24" w14:textId="77777777" w:rsidR="00F03461" w:rsidRPr="00022524" w:rsidRDefault="00F03461" w:rsidP="005B39E4">
            <w:pPr>
              <w:pStyle w:val="Tabletext"/>
              <w:spacing w:before="18" w:after="18"/>
            </w:pPr>
            <w:r w:rsidRPr="00022524">
              <w:t>DK</w:t>
            </w:r>
          </w:p>
        </w:tc>
        <w:tc>
          <w:tcPr>
            <w:tcW w:w="1723" w:type="dxa"/>
            <w:shd w:val="clear" w:color="auto" w:fill="auto"/>
          </w:tcPr>
          <w:p w14:paraId="3FF0BF28" w14:textId="77777777" w:rsidR="00F03461" w:rsidRPr="00022524" w:rsidRDefault="00F03461" w:rsidP="005B39E4">
            <w:pPr>
              <w:pStyle w:val="Tabletext"/>
              <w:spacing w:before="18" w:after="18"/>
              <w:jc w:val="center"/>
            </w:pPr>
            <w:r w:rsidRPr="00022524">
              <w:t>-</w:t>
            </w:r>
          </w:p>
        </w:tc>
        <w:tc>
          <w:tcPr>
            <w:tcW w:w="1395" w:type="dxa"/>
            <w:shd w:val="clear" w:color="auto" w:fill="auto"/>
          </w:tcPr>
          <w:p w14:paraId="11E23A66" w14:textId="77777777" w:rsidR="00F03461" w:rsidRPr="00022524" w:rsidRDefault="00F03461" w:rsidP="005B39E4">
            <w:pPr>
              <w:pStyle w:val="Tabletext"/>
              <w:spacing w:before="18" w:after="18"/>
              <w:jc w:val="center"/>
            </w:pPr>
            <w:r w:rsidRPr="00022524">
              <w:t>4</w:t>
            </w:r>
          </w:p>
        </w:tc>
        <w:tc>
          <w:tcPr>
            <w:tcW w:w="851" w:type="dxa"/>
          </w:tcPr>
          <w:p w14:paraId="2EE71EDE" w14:textId="77777777" w:rsidR="00F03461" w:rsidRPr="00022524" w:rsidRDefault="00F03461" w:rsidP="005B39E4">
            <w:pPr>
              <w:pStyle w:val="Tabletext"/>
              <w:spacing w:before="18" w:after="18"/>
              <w:jc w:val="center"/>
              <w:rPr>
                <w:b/>
              </w:rPr>
            </w:pPr>
            <w:r w:rsidRPr="00022524">
              <w:rPr>
                <w:b/>
              </w:rPr>
              <w:t>4</w:t>
            </w:r>
          </w:p>
        </w:tc>
        <w:tc>
          <w:tcPr>
            <w:tcW w:w="1854" w:type="dxa"/>
            <w:shd w:val="clear" w:color="auto" w:fill="auto"/>
          </w:tcPr>
          <w:p w14:paraId="7397ECE2" w14:textId="77777777" w:rsidR="00F03461" w:rsidRPr="00022524" w:rsidRDefault="00F03461" w:rsidP="005B39E4">
            <w:pPr>
              <w:pStyle w:val="Tabletext"/>
              <w:spacing w:before="18" w:after="18"/>
              <w:jc w:val="center"/>
            </w:pPr>
            <w:r w:rsidRPr="00022524">
              <w:t>-</w:t>
            </w:r>
          </w:p>
        </w:tc>
        <w:tc>
          <w:tcPr>
            <w:tcW w:w="1591" w:type="dxa"/>
          </w:tcPr>
          <w:p w14:paraId="266789D2" w14:textId="77777777" w:rsidR="00F03461" w:rsidRPr="00022524" w:rsidRDefault="00F03461" w:rsidP="005B39E4">
            <w:pPr>
              <w:pStyle w:val="Tabletext"/>
              <w:spacing w:before="18" w:after="18"/>
              <w:jc w:val="center"/>
            </w:pPr>
            <w:r w:rsidRPr="00022524">
              <w:t>100</w:t>
            </w:r>
          </w:p>
        </w:tc>
        <w:tc>
          <w:tcPr>
            <w:tcW w:w="807" w:type="dxa"/>
            <w:shd w:val="clear" w:color="auto" w:fill="auto"/>
          </w:tcPr>
          <w:p w14:paraId="6D1F1088" w14:textId="77777777" w:rsidR="00F03461" w:rsidRPr="00022524" w:rsidRDefault="00F03461" w:rsidP="005B39E4">
            <w:pPr>
              <w:pStyle w:val="Tabletext"/>
              <w:spacing w:before="18" w:after="18"/>
              <w:jc w:val="center"/>
            </w:pPr>
            <w:r w:rsidRPr="00022524">
              <w:t>100</w:t>
            </w:r>
          </w:p>
        </w:tc>
      </w:tr>
      <w:tr w:rsidR="00F03461" w:rsidRPr="00022524" w14:paraId="5DD74301" w14:textId="77777777" w:rsidTr="005B39E4">
        <w:trPr>
          <w:trHeight w:val="20"/>
        </w:trPr>
        <w:tc>
          <w:tcPr>
            <w:tcW w:w="908" w:type="dxa"/>
            <w:shd w:val="clear" w:color="auto" w:fill="auto"/>
          </w:tcPr>
          <w:p w14:paraId="75BBAC8D" w14:textId="77777777" w:rsidR="00F03461" w:rsidRPr="00022524" w:rsidRDefault="00F03461" w:rsidP="005B39E4">
            <w:pPr>
              <w:pStyle w:val="Tabletext"/>
              <w:spacing w:before="18" w:after="18"/>
            </w:pPr>
            <w:r w:rsidRPr="00022524">
              <w:t>EE</w:t>
            </w:r>
          </w:p>
        </w:tc>
        <w:tc>
          <w:tcPr>
            <w:tcW w:w="1723" w:type="dxa"/>
            <w:shd w:val="clear" w:color="auto" w:fill="auto"/>
          </w:tcPr>
          <w:p w14:paraId="3BD7A525" w14:textId="77777777" w:rsidR="00F03461" w:rsidRPr="00022524" w:rsidRDefault="00F03461" w:rsidP="005B39E4">
            <w:pPr>
              <w:pStyle w:val="Tabletext"/>
              <w:spacing w:before="18" w:after="18"/>
              <w:jc w:val="center"/>
            </w:pPr>
            <w:r w:rsidRPr="00022524">
              <w:t>1</w:t>
            </w:r>
          </w:p>
        </w:tc>
        <w:tc>
          <w:tcPr>
            <w:tcW w:w="1395" w:type="dxa"/>
            <w:shd w:val="clear" w:color="auto" w:fill="auto"/>
          </w:tcPr>
          <w:p w14:paraId="5AE74319" w14:textId="77777777" w:rsidR="00F03461" w:rsidRPr="00022524" w:rsidRDefault="00F03461" w:rsidP="005B39E4">
            <w:pPr>
              <w:pStyle w:val="Tabletext"/>
              <w:spacing w:before="18" w:after="18"/>
              <w:jc w:val="center"/>
            </w:pPr>
            <w:r w:rsidRPr="00022524">
              <w:t>11</w:t>
            </w:r>
          </w:p>
        </w:tc>
        <w:tc>
          <w:tcPr>
            <w:tcW w:w="851" w:type="dxa"/>
          </w:tcPr>
          <w:p w14:paraId="7505FAEF" w14:textId="77777777" w:rsidR="00F03461" w:rsidRPr="00022524" w:rsidRDefault="00F03461" w:rsidP="005B39E4">
            <w:pPr>
              <w:pStyle w:val="Tabletext"/>
              <w:spacing w:before="18" w:after="18"/>
              <w:jc w:val="center"/>
              <w:rPr>
                <w:b/>
              </w:rPr>
            </w:pPr>
            <w:r w:rsidRPr="00022524">
              <w:rPr>
                <w:b/>
              </w:rPr>
              <w:t>12</w:t>
            </w:r>
          </w:p>
        </w:tc>
        <w:tc>
          <w:tcPr>
            <w:tcW w:w="1854" w:type="dxa"/>
            <w:shd w:val="clear" w:color="auto" w:fill="auto"/>
          </w:tcPr>
          <w:p w14:paraId="01788F66" w14:textId="77777777" w:rsidR="00F03461" w:rsidRPr="00022524" w:rsidRDefault="00F03461" w:rsidP="005B39E4">
            <w:pPr>
              <w:pStyle w:val="Tabletext"/>
              <w:spacing w:before="18" w:after="18"/>
              <w:jc w:val="center"/>
            </w:pPr>
            <w:r w:rsidRPr="00022524">
              <w:t>8</w:t>
            </w:r>
          </w:p>
        </w:tc>
        <w:tc>
          <w:tcPr>
            <w:tcW w:w="1591" w:type="dxa"/>
          </w:tcPr>
          <w:p w14:paraId="0921F72D" w14:textId="77777777" w:rsidR="00F03461" w:rsidRPr="00022524" w:rsidRDefault="00F03461" w:rsidP="005B39E4">
            <w:pPr>
              <w:pStyle w:val="Tabletext"/>
              <w:spacing w:before="18" w:after="18"/>
              <w:jc w:val="center"/>
            </w:pPr>
            <w:r w:rsidRPr="00022524">
              <w:t>92</w:t>
            </w:r>
          </w:p>
        </w:tc>
        <w:tc>
          <w:tcPr>
            <w:tcW w:w="807" w:type="dxa"/>
            <w:shd w:val="clear" w:color="auto" w:fill="auto"/>
          </w:tcPr>
          <w:p w14:paraId="771438E3" w14:textId="77777777" w:rsidR="00F03461" w:rsidRPr="00022524" w:rsidRDefault="00F03461" w:rsidP="005B39E4">
            <w:pPr>
              <w:pStyle w:val="Tabletext"/>
              <w:spacing w:before="18" w:after="18"/>
              <w:jc w:val="center"/>
            </w:pPr>
            <w:r w:rsidRPr="00022524">
              <w:t>100</w:t>
            </w:r>
          </w:p>
        </w:tc>
      </w:tr>
      <w:tr w:rsidR="00F03461" w:rsidRPr="00022524" w14:paraId="34111CD6" w14:textId="77777777" w:rsidTr="005B39E4">
        <w:trPr>
          <w:trHeight w:val="20"/>
        </w:trPr>
        <w:tc>
          <w:tcPr>
            <w:tcW w:w="908" w:type="dxa"/>
            <w:shd w:val="clear" w:color="auto" w:fill="auto"/>
          </w:tcPr>
          <w:p w14:paraId="26325A34" w14:textId="77777777" w:rsidR="00F03461" w:rsidRPr="00022524" w:rsidRDefault="00F03461" w:rsidP="005B39E4">
            <w:pPr>
              <w:pStyle w:val="Tabletext"/>
              <w:spacing w:before="18" w:after="18"/>
            </w:pPr>
            <w:r w:rsidRPr="00022524">
              <w:t>ES</w:t>
            </w:r>
          </w:p>
        </w:tc>
        <w:tc>
          <w:tcPr>
            <w:tcW w:w="1723" w:type="dxa"/>
            <w:shd w:val="clear" w:color="auto" w:fill="auto"/>
          </w:tcPr>
          <w:p w14:paraId="74BB3263" w14:textId="77777777" w:rsidR="00F03461" w:rsidRPr="00022524" w:rsidRDefault="00F03461" w:rsidP="005B39E4">
            <w:pPr>
              <w:pStyle w:val="Tabletext"/>
              <w:spacing w:before="18" w:after="18"/>
              <w:jc w:val="center"/>
            </w:pPr>
            <w:r w:rsidRPr="00022524">
              <w:t>69</w:t>
            </w:r>
          </w:p>
        </w:tc>
        <w:tc>
          <w:tcPr>
            <w:tcW w:w="1395" w:type="dxa"/>
            <w:shd w:val="clear" w:color="auto" w:fill="auto"/>
          </w:tcPr>
          <w:p w14:paraId="4C88F454" w14:textId="77777777" w:rsidR="00F03461" w:rsidRPr="00022524" w:rsidRDefault="00F03461" w:rsidP="005B39E4">
            <w:pPr>
              <w:pStyle w:val="Tabletext"/>
              <w:spacing w:before="18" w:after="18"/>
              <w:jc w:val="center"/>
            </w:pPr>
            <w:r w:rsidRPr="00022524">
              <w:t>63</w:t>
            </w:r>
          </w:p>
        </w:tc>
        <w:tc>
          <w:tcPr>
            <w:tcW w:w="851" w:type="dxa"/>
          </w:tcPr>
          <w:p w14:paraId="3D1217CD" w14:textId="77777777" w:rsidR="00F03461" w:rsidRPr="00022524" w:rsidRDefault="00F03461" w:rsidP="005B39E4">
            <w:pPr>
              <w:pStyle w:val="Tabletext"/>
              <w:spacing w:before="18" w:after="18"/>
              <w:jc w:val="center"/>
              <w:rPr>
                <w:b/>
              </w:rPr>
            </w:pPr>
            <w:r w:rsidRPr="00022524">
              <w:rPr>
                <w:b/>
              </w:rPr>
              <w:t>132</w:t>
            </w:r>
          </w:p>
        </w:tc>
        <w:tc>
          <w:tcPr>
            <w:tcW w:w="1854" w:type="dxa"/>
            <w:shd w:val="clear" w:color="auto" w:fill="auto"/>
          </w:tcPr>
          <w:p w14:paraId="7A27F2C7" w14:textId="77777777" w:rsidR="00F03461" w:rsidRPr="00022524" w:rsidRDefault="00F03461" w:rsidP="005B39E4">
            <w:pPr>
              <w:pStyle w:val="Tabletext"/>
              <w:spacing w:before="18" w:after="18"/>
              <w:jc w:val="center"/>
            </w:pPr>
            <w:r w:rsidRPr="00022524">
              <w:t>52</w:t>
            </w:r>
          </w:p>
        </w:tc>
        <w:tc>
          <w:tcPr>
            <w:tcW w:w="1591" w:type="dxa"/>
          </w:tcPr>
          <w:p w14:paraId="6999BE4B" w14:textId="77777777" w:rsidR="00F03461" w:rsidRPr="00022524" w:rsidRDefault="00F03461" w:rsidP="005B39E4">
            <w:pPr>
              <w:pStyle w:val="Tabletext"/>
              <w:spacing w:before="18" w:after="18"/>
              <w:jc w:val="center"/>
            </w:pPr>
            <w:r w:rsidRPr="00022524">
              <w:t>48</w:t>
            </w:r>
          </w:p>
        </w:tc>
        <w:tc>
          <w:tcPr>
            <w:tcW w:w="807" w:type="dxa"/>
            <w:shd w:val="clear" w:color="auto" w:fill="auto"/>
          </w:tcPr>
          <w:p w14:paraId="4A2622C8" w14:textId="77777777" w:rsidR="00F03461" w:rsidRPr="00022524" w:rsidRDefault="00F03461" w:rsidP="005B39E4">
            <w:pPr>
              <w:pStyle w:val="Tabletext"/>
              <w:spacing w:before="18" w:after="18"/>
              <w:jc w:val="center"/>
            </w:pPr>
            <w:r w:rsidRPr="00022524">
              <w:t>100</w:t>
            </w:r>
          </w:p>
        </w:tc>
      </w:tr>
      <w:tr w:rsidR="00F03461" w:rsidRPr="00022524" w14:paraId="1FB24C8D" w14:textId="77777777" w:rsidTr="005B39E4">
        <w:trPr>
          <w:trHeight w:val="20"/>
        </w:trPr>
        <w:tc>
          <w:tcPr>
            <w:tcW w:w="908" w:type="dxa"/>
            <w:shd w:val="clear" w:color="auto" w:fill="auto"/>
          </w:tcPr>
          <w:p w14:paraId="0F8C10D7" w14:textId="77777777" w:rsidR="00F03461" w:rsidRPr="00022524" w:rsidRDefault="00F03461" w:rsidP="005B39E4">
            <w:pPr>
              <w:pStyle w:val="Tabletext"/>
              <w:spacing w:before="18" w:after="18"/>
            </w:pPr>
            <w:r w:rsidRPr="00022524">
              <w:t>FI</w:t>
            </w:r>
          </w:p>
        </w:tc>
        <w:tc>
          <w:tcPr>
            <w:tcW w:w="1723" w:type="dxa"/>
            <w:shd w:val="clear" w:color="auto" w:fill="auto"/>
          </w:tcPr>
          <w:p w14:paraId="0B6ECC72" w14:textId="77777777" w:rsidR="00F03461" w:rsidRPr="00022524" w:rsidRDefault="00F03461" w:rsidP="005B39E4">
            <w:pPr>
              <w:pStyle w:val="Tabletext"/>
              <w:spacing w:before="18" w:after="18"/>
              <w:jc w:val="center"/>
            </w:pPr>
            <w:r w:rsidRPr="00022524">
              <w:t>2</w:t>
            </w:r>
          </w:p>
        </w:tc>
        <w:tc>
          <w:tcPr>
            <w:tcW w:w="1395" w:type="dxa"/>
            <w:shd w:val="clear" w:color="auto" w:fill="auto"/>
          </w:tcPr>
          <w:p w14:paraId="34A5D7B4" w14:textId="77777777" w:rsidR="00F03461" w:rsidRPr="00022524" w:rsidRDefault="00F03461" w:rsidP="005B39E4">
            <w:pPr>
              <w:pStyle w:val="Tabletext"/>
              <w:spacing w:before="18" w:after="18"/>
              <w:jc w:val="center"/>
            </w:pPr>
            <w:r w:rsidRPr="00022524">
              <w:t>5</w:t>
            </w:r>
          </w:p>
        </w:tc>
        <w:tc>
          <w:tcPr>
            <w:tcW w:w="851" w:type="dxa"/>
          </w:tcPr>
          <w:p w14:paraId="5950E743" w14:textId="77777777" w:rsidR="00F03461" w:rsidRPr="00022524" w:rsidRDefault="00F03461" w:rsidP="005B39E4">
            <w:pPr>
              <w:pStyle w:val="Tabletext"/>
              <w:spacing w:before="18" w:after="18"/>
              <w:jc w:val="center"/>
              <w:rPr>
                <w:b/>
              </w:rPr>
            </w:pPr>
            <w:r w:rsidRPr="00022524">
              <w:rPr>
                <w:b/>
              </w:rPr>
              <w:t>7</w:t>
            </w:r>
          </w:p>
        </w:tc>
        <w:tc>
          <w:tcPr>
            <w:tcW w:w="1854" w:type="dxa"/>
            <w:shd w:val="clear" w:color="auto" w:fill="auto"/>
          </w:tcPr>
          <w:p w14:paraId="0FC4CB23" w14:textId="77777777" w:rsidR="00F03461" w:rsidRPr="00022524" w:rsidRDefault="00F03461" w:rsidP="005B39E4">
            <w:pPr>
              <w:pStyle w:val="Tabletext"/>
              <w:spacing w:before="18" w:after="18"/>
              <w:jc w:val="center"/>
            </w:pPr>
            <w:r w:rsidRPr="00022524">
              <w:t>29</w:t>
            </w:r>
          </w:p>
        </w:tc>
        <w:tc>
          <w:tcPr>
            <w:tcW w:w="1591" w:type="dxa"/>
          </w:tcPr>
          <w:p w14:paraId="0BB1B05F" w14:textId="77777777" w:rsidR="00F03461" w:rsidRPr="00022524" w:rsidRDefault="00F03461" w:rsidP="005B39E4">
            <w:pPr>
              <w:pStyle w:val="Tabletext"/>
              <w:spacing w:before="18" w:after="18"/>
              <w:jc w:val="center"/>
            </w:pPr>
            <w:r w:rsidRPr="00022524">
              <w:t>71</w:t>
            </w:r>
          </w:p>
        </w:tc>
        <w:tc>
          <w:tcPr>
            <w:tcW w:w="807" w:type="dxa"/>
            <w:shd w:val="clear" w:color="auto" w:fill="auto"/>
          </w:tcPr>
          <w:p w14:paraId="3AC7D7E5" w14:textId="77777777" w:rsidR="00F03461" w:rsidRPr="00022524" w:rsidRDefault="00F03461" w:rsidP="005B39E4">
            <w:pPr>
              <w:pStyle w:val="Tabletext"/>
              <w:spacing w:before="18" w:after="18"/>
              <w:jc w:val="center"/>
            </w:pPr>
            <w:r w:rsidRPr="00022524">
              <w:t>100</w:t>
            </w:r>
          </w:p>
        </w:tc>
      </w:tr>
      <w:tr w:rsidR="00F03461" w:rsidRPr="00022524" w14:paraId="68EA147C" w14:textId="77777777" w:rsidTr="005B39E4">
        <w:trPr>
          <w:trHeight w:val="20"/>
        </w:trPr>
        <w:tc>
          <w:tcPr>
            <w:tcW w:w="908" w:type="dxa"/>
            <w:shd w:val="clear" w:color="auto" w:fill="auto"/>
          </w:tcPr>
          <w:p w14:paraId="162F8754" w14:textId="77777777" w:rsidR="00F03461" w:rsidRPr="00022524" w:rsidRDefault="00F03461" w:rsidP="005B39E4">
            <w:pPr>
              <w:pStyle w:val="Tabletext"/>
              <w:spacing w:before="18" w:after="18"/>
            </w:pPr>
            <w:r w:rsidRPr="00022524">
              <w:t>FR</w:t>
            </w:r>
          </w:p>
        </w:tc>
        <w:tc>
          <w:tcPr>
            <w:tcW w:w="1723" w:type="dxa"/>
            <w:shd w:val="clear" w:color="auto" w:fill="auto"/>
          </w:tcPr>
          <w:p w14:paraId="38676DA5" w14:textId="77777777" w:rsidR="00F03461" w:rsidRPr="00022524" w:rsidRDefault="00F03461" w:rsidP="005B39E4">
            <w:pPr>
              <w:pStyle w:val="Tabletext"/>
              <w:spacing w:before="18" w:after="18"/>
              <w:jc w:val="center"/>
            </w:pPr>
            <w:r w:rsidRPr="00022524">
              <w:t>124</w:t>
            </w:r>
          </w:p>
        </w:tc>
        <w:tc>
          <w:tcPr>
            <w:tcW w:w="1395" w:type="dxa"/>
            <w:shd w:val="clear" w:color="auto" w:fill="auto"/>
          </w:tcPr>
          <w:p w14:paraId="72E61B65" w14:textId="77777777" w:rsidR="00F03461" w:rsidRPr="00022524" w:rsidRDefault="00F03461" w:rsidP="005B39E4">
            <w:pPr>
              <w:pStyle w:val="Tabletext"/>
              <w:spacing w:before="18" w:after="18"/>
              <w:jc w:val="center"/>
            </w:pPr>
            <w:r w:rsidRPr="00022524">
              <w:t>97</w:t>
            </w:r>
          </w:p>
        </w:tc>
        <w:tc>
          <w:tcPr>
            <w:tcW w:w="851" w:type="dxa"/>
          </w:tcPr>
          <w:p w14:paraId="00B5E456" w14:textId="77777777" w:rsidR="00F03461" w:rsidRPr="00022524" w:rsidRDefault="00F03461" w:rsidP="005B39E4">
            <w:pPr>
              <w:pStyle w:val="Tabletext"/>
              <w:spacing w:before="18" w:after="18"/>
              <w:jc w:val="center"/>
              <w:rPr>
                <w:b/>
              </w:rPr>
            </w:pPr>
            <w:r w:rsidRPr="00022524">
              <w:rPr>
                <w:b/>
              </w:rPr>
              <w:t>221</w:t>
            </w:r>
          </w:p>
        </w:tc>
        <w:tc>
          <w:tcPr>
            <w:tcW w:w="1854" w:type="dxa"/>
            <w:shd w:val="clear" w:color="auto" w:fill="auto"/>
          </w:tcPr>
          <w:p w14:paraId="5D05676B" w14:textId="77777777" w:rsidR="00F03461" w:rsidRPr="00022524" w:rsidRDefault="00F03461" w:rsidP="005B39E4">
            <w:pPr>
              <w:pStyle w:val="Tabletext"/>
              <w:spacing w:before="18" w:after="18"/>
              <w:jc w:val="center"/>
            </w:pPr>
            <w:r w:rsidRPr="00022524">
              <w:t>56</w:t>
            </w:r>
          </w:p>
        </w:tc>
        <w:tc>
          <w:tcPr>
            <w:tcW w:w="1591" w:type="dxa"/>
          </w:tcPr>
          <w:p w14:paraId="335D6C35" w14:textId="77777777" w:rsidR="00F03461" w:rsidRPr="00022524" w:rsidRDefault="00F03461" w:rsidP="005B39E4">
            <w:pPr>
              <w:pStyle w:val="Tabletext"/>
              <w:spacing w:before="18" w:after="18"/>
              <w:jc w:val="center"/>
            </w:pPr>
            <w:r w:rsidRPr="00022524">
              <w:t>44</w:t>
            </w:r>
          </w:p>
        </w:tc>
        <w:tc>
          <w:tcPr>
            <w:tcW w:w="807" w:type="dxa"/>
            <w:shd w:val="clear" w:color="auto" w:fill="auto"/>
          </w:tcPr>
          <w:p w14:paraId="220D079F" w14:textId="77777777" w:rsidR="00F03461" w:rsidRPr="00022524" w:rsidRDefault="00F03461" w:rsidP="005B39E4">
            <w:pPr>
              <w:pStyle w:val="Tabletext"/>
              <w:spacing w:before="18" w:after="18"/>
              <w:jc w:val="center"/>
            </w:pPr>
            <w:r w:rsidRPr="00022524">
              <w:t>100</w:t>
            </w:r>
          </w:p>
        </w:tc>
      </w:tr>
      <w:tr w:rsidR="00F03461" w:rsidRPr="00022524" w14:paraId="4621E5A1" w14:textId="77777777" w:rsidTr="005B39E4">
        <w:trPr>
          <w:trHeight w:val="20"/>
        </w:trPr>
        <w:tc>
          <w:tcPr>
            <w:tcW w:w="908" w:type="dxa"/>
            <w:shd w:val="clear" w:color="auto" w:fill="auto"/>
          </w:tcPr>
          <w:p w14:paraId="7720BBF3" w14:textId="77777777" w:rsidR="00F03461" w:rsidRPr="00022524" w:rsidRDefault="00F03461" w:rsidP="005B39E4">
            <w:pPr>
              <w:pStyle w:val="Tabletext"/>
              <w:spacing w:before="18" w:after="18"/>
            </w:pPr>
            <w:r w:rsidRPr="00022524">
              <w:t>GR</w:t>
            </w:r>
          </w:p>
        </w:tc>
        <w:tc>
          <w:tcPr>
            <w:tcW w:w="1723" w:type="dxa"/>
            <w:shd w:val="clear" w:color="auto" w:fill="auto"/>
          </w:tcPr>
          <w:p w14:paraId="3DD7507D" w14:textId="77777777" w:rsidR="00F03461" w:rsidRPr="00022524" w:rsidRDefault="00F03461" w:rsidP="005B39E4">
            <w:pPr>
              <w:pStyle w:val="Tabletext"/>
              <w:spacing w:before="18" w:after="18"/>
              <w:jc w:val="center"/>
            </w:pPr>
            <w:r w:rsidRPr="00022524">
              <w:t>20</w:t>
            </w:r>
          </w:p>
        </w:tc>
        <w:tc>
          <w:tcPr>
            <w:tcW w:w="1395" w:type="dxa"/>
            <w:shd w:val="clear" w:color="auto" w:fill="auto"/>
          </w:tcPr>
          <w:p w14:paraId="0837A4F4" w14:textId="77777777" w:rsidR="00F03461" w:rsidRPr="00022524" w:rsidRDefault="00F03461" w:rsidP="005B39E4">
            <w:pPr>
              <w:pStyle w:val="Tabletext"/>
              <w:spacing w:before="18" w:after="18"/>
              <w:jc w:val="center"/>
            </w:pPr>
            <w:r w:rsidRPr="00022524">
              <w:t>97</w:t>
            </w:r>
          </w:p>
        </w:tc>
        <w:tc>
          <w:tcPr>
            <w:tcW w:w="851" w:type="dxa"/>
          </w:tcPr>
          <w:p w14:paraId="59BFDA70" w14:textId="77777777" w:rsidR="00F03461" w:rsidRPr="00022524" w:rsidRDefault="00F03461" w:rsidP="005B39E4">
            <w:pPr>
              <w:pStyle w:val="Tabletext"/>
              <w:spacing w:before="18" w:after="18"/>
              <w:jc w:val="center"/>
              <w:rPr>
                <w:b/>
              </w:rPr>
            </w:pPr>
            <w:r w:rsidRPr="00022524">
              <w:rPr>
                <w:b/>
              </w:rPr>
              <w:t>117</w:t>
            </w:r>
          </w:p>
        </w:tc>
        <w:tc>
          <w:tcPr>
            <w:tcW w:w="1854" w:type="dxa"/>
            <w:shd w:val="clear" w:color="auto" w:fill="auto"/>
          </w:tcPr>
          <w:p w14:paraId="302BE490" w14:textId="77777777" w:rsidR="00F03461" w:rsidRPr="00022524" w:rsidRDefault="00F03461" w:rsidP="005B39E4">
            <w:pPr>
              <w:pStyle w:val="Tabletext"/>
              <w:spacing w:before="18" w:after="18"/>
              <w:jc w:val="center"/>
            </w:pPr>
            <w:r w:rsidRPr="00022524">
              <w:t>17</w:t>
            </w:r>
          </w:p>
        </w:tc>
        <w:tc>
          <w:tcPr>
            <w:tcW w:w="1591" w:type="dxa"/>
          </w:tcPr>
          <w:p w14:paraId="1EEC350B" w14:textId="77777777" w:rsidR="00F03461" w:rsidRPr="00022524" w:rsidRDefault="00F03461" w:rsidP="005B39E4">
            <w:pPr>
              <w:pStyle w:val="Tabletext"/>
              <w:spacing w:before="18" w:after="18"/>
              <w:jc w:val="center"/>
            </w:pPr>
            <w:r w:rsidRPr="00022524">
              <w:t>83</w:t>
            </w:r>
          </w:p>
        </w:tc>
        <w:tc>
          <w:tcPr>
            <w:tcW w:w="807" w:type="dxa"/>
            <w:shd w:val="clear" w:color="auto" w:fill="auto"/>
          </w:tcPr>
          <w:p w14:paraId="66BB9A78" w14:textId="77777777" w:rsidR="00F03461" w:rsidRPr="00022524" w:rsidRDefault="00F03461" w:rsidP="005B39E4">
            <w:pPr>
              <w:pStyle w:val="Tabletext"/>
              <w:spacing w:before="18" w:after="18"/>
              <w:jc w:val="center"/>
            </w:pPr>
            <w:r w:rsidRPr="00022524">
              <w:t>100</w:t>
            </w:r>
          </w:p>
        </w:tc>
      </w:tr>
      <w:tr w:rsidR="00F03461" w:rsidRPr="00022524" w14:paraId="18AA03A7" w14:textId="77777777" w:rsidTr="005B39E4">
        <w:trPr>
          <w:trHeight w:val="20"/>
        </w:trPr>
        <w:tc>
          <w:tcPr>
            <w:tcW w:w="908" w:type="dxa"/>
            <w:shd w:val="clear" w:color="auto" w:fill="auto"/>
          </w:tcPr>
          <w:p w14:paraId="1D732AE1" w14:textId="77777777" w:rsidR="00F03461" w:rsidRPr="00022524" w:rsidRDefault="00F03461" w:rsidP="005B39E4">
            <w:pPr>
              <w:pStyle w:val="Tabletext"/>
              <w:spacing w:before="18" w:after="18"/>
            </w:pPr>
            <w:r w:rsidRPr="00022524">
              <w:t>HR</w:t>
            </w:r>
          </w:p>
        </w:tc>
        <w:tc>
          <w:tcPr>
            <w:tcW w:w="1723" w:type="dxa"/>
            <w:shd w:val="clear" w:color="auto" w:fill="auto"/>
          </w:tcPr>
          <w:p w14:paraId="6640C7F6" w14:textId="77777777" w:rsidR="00F03461" w:rsidRPr="00022524" w:rsidRDefault="00F03461" w:rsidP="005B39E4">
            <w:pPr>
              <w:pStyle w:val="Tabletext"/>
              <w:spacing w:before="18" w:after="18"/>
              <w:jc w:val="center"/>
            </w:pPr>
            <w:r w:rsidRPr="00022524">
              <w:t>3</w:t>
            </w:r>
          </w:p>
        </w:tc>
        <w:tc>
          <w:tcPr>
            <w:tcW w:w="1395" w:type="dxa"/>
            <w:shd w:val="clear" w:color="auto" w:fill="auto"/>
          </w:tcPr>
          <w:p w14:paraId="5E441A7B" w14:textId="77777777" w:rsidR="00F03461" w:rsidRPr="00022524" w:rsidRDefault="00F03461" w:rsidP="005B39E4">
            <w:pPr>
              <w:pStyle w:val="Tabletext"/>
              <w:spacing w:before="18" w:after="18"/>
              <w:jc w:val="center"/>
            </w:pPr>
            <w:r w:rsidRPr="00022524">
              <w:t>6</w:t>
            </w:r>
          </w:p>
        </w:tc>
        <w:tc>
          <w:tcPr>
            <w:tcW w:w="851" w:type="dxa"/>
          </w:tcPr>
          <w:p w14:paraId="75B8D305" w14:textId="77777777" w:rsidR="00F03461" w:rsidRPr="00022524" w:rsidRDefault="00F03461" w:rsidP="005B39E4">
            <w:pPr>
              <w:pStyle w:val="Tabletext"/>
              <w:spacing w:before="18" w:after="18"/>
              <w:jc w:val="center"/>
              <w:rPr>
                <w:b/>
              </w:rPr>
            </w:pPr>
            <w:r w:rsidRPr="00022524">
              <w:rPr>
                <w:b/>
              </w:rPr>
              <w:t>9</w:t>
            </w:r>
          </w:p>
        </w:tc>
        <w:tc>
          <w:tcPr>
            <w:tcW w:w="1854" w:type="dxa"/>
            <w:shd w:val="clear" w:color="auto" w:fill="auto"/>
          </w:tcPr>
          <w:p w14:paraId="4E846E10" w14:textId="77777777" w:rsidR="00F03461" w:rsidRPr="00022524" w:rsidRDefault="00F03461" w:rsidP="005B39E4">
            <w:pPr>
              <w:pStyle w:val="Tabletext"/>
              <w:spacing w:before="18" w:after="18"/>
              <w:jc w:val="center"/>
            </w:pPr>
            <w:r w:rsidRPr="00022524">
              <w:t>33</w:t>
            </w:r>
          </w:p>
        </w:tc>
        <w:tc>
          <w:tcPr>
            <w:tcW w:w="1591" w:type="dxa"/>
          </w:tcPr>
          <w:p w14:paraId="497F3068" w14:textId="77777777" w:rsidR="00F03461" w:rsidRPr="00022524" w:rsidRDefault="00F03461" w:rsidP="005B39E4">
            <w:pPr>
              <w:pStyle w:val="Tabletext"/>
              <w:spacing w:before="18" w:after="18"/>
              <w:jc w:val="center"/>
            </w:pPr>
            <w:r w:rsidRPr="00022524">
              <w:t>67</w:t>
            </w:r>
          </w:p>
        </w:tc>
        <w:tc>
          <w:tcPr>
            <w:tcW w:w="807" w:type="dxa"/>
            <w:shd w:val="clear" w:color="auto" w:fill="auto"/>
          </w:tcPr>
          <w:p w14:paraId="2F70E265" w14:textId="77777777" w:rsidR="00F03461" w:rsidRPr="00022524" w:rsidRDefault="00F03461" w:rsidP="005B39E4">
            <w:pPr>
              <w:pStyle w:val="Tabletext"/>
              <w:spacing w:before="18" w:after="18"/>
              <w:jc w:val="center"/>
            </w:pPr>
            <w:r w:rsidRPr="00022524">
              <w:t>100</w:t>
            </w:r>
          </w:p>
        </w:tc>
      </w:tr>
      <w:tr w:rsidR="00F03461" w:rsidRPr="00022524" w14:paraId="4794B70D" w14:textId="77777777" w:rsidTr="005B39E4">
        <w:trPr>
          <w:trHeight w:val="20"/>
        </w:trPr>
        <w:tc>
          <w:tcPr>
            <w:tcW w:w="908" w:type="dxa"/>
            <w:shd w:val="clear" w:color="auto" w:fill="auto"/>
          </w:tcPr>
          <w:p w14:paraId="4D5AD1AB" w14:textId="77777777" w:rsidR="00F03461" w:rsidRPr="00022524" w:rsidRDefault="00F03461" w:rsidP="005B39E4">
            <w:pPr>
              <w:pStyle w:val="Tabletext"/>
              <w:spacing w:before="18" w:after="18"/>
            </w:pPr>
            <w:r w:rsidRPr="00022524">
              <w:t>HU</w:t>
            </w:r>
          </w:p>
        </w:tc>
        <w:tc>
          <w:tcPr>
            <w:tcW w:w="1723" w:type="dxa"/>
            <w:shd w:val="clear" w:color="auto" w:fill="auto"/>
          </w:tcPr>
          <w:p w14:paraId="302A6936" w14:textId="77777777" w:rsidR="00F03461" w:rsidRPr="00022524" w:rsidRDefault="00F03461" w:rsidP="005B39E4">
            <w:pPr>
              <w:pStyle w:val="Tabletext"/>
              <w:spacing w:before="18" w:after="18"/>
              <w:jc w:val="center"/>
            </w:pPr>
            <w:r w:rsidRPr="00022524">
              <w:t>22</w:t>
            </w:r>
          </w:p>
        </w:tc>
        <w:tc>
          <w:tcPr>
            <w:tcW w:w="1395" w:type="dxa"/>
            <w:shd w:val="clear" w:color="auto" w:fill="auto"/>
          </w:tcPr>
          <w:p w14:paraId="6612F928" w14:textId="77777777" w:rsidR="00F03461" w:rsidRPr="00022524" w:rsidRDefault="00F03461" w:rsidP="005B39E4">
            <w:pPr>
              <w:pStyle w:val="Tabletext"/>
              <w:spacing w:before="18" w:after="18"/>
              <w:jc w:val="center"/>
            </w:pPr>
            <w:r w:rsidRPr="00022524">
              <w:t>18</w:t>
            </w:r>
          </w:p>
        </w:tc>
        <w:tc>
          <w:tcPr>
            <w:tcW w:w="851" w:type="dxa"/>
          </w:tcPr>
          <w:p w14:paraId="00ED6ABF" w14:textId="77777777" w:rsidR="00F03461" w:rsidRPr="00022524" w:rsidRDefault="00F03461" w:rsidP="005B39E4">
            <w:pPr>
              <w:pStyle w:val="Tabletext"/>
              <w:spacing w:before="18" w:after="18"/>
              <w:jc w:val="center"/>
              <w:rPr>
                <w:b/>
              </w:rPr>
            </w:pPr>
            <w:r w:rsidRPr="00022524">
              <w:rPr>
                <w:b/>
              </w:rPr>
              <w:t>40</w:t>
            </w:r>
          </w:p>
        </w:tc>
        <w:tc>
          <w:tcPr>
            <w:tcW w:w="1854" w:type="dxa"/>
            <w:shd w:val="clear" w:color="auto" w:fill="auto"/>
          </w:tcPr>
          <w:p w14:paraId="2F24D47D" w14:textId="77777777" w:rsidR="00F03461" w:rsidRPr="00022524" w:rsidRDefault="00F03461" w:rsidP="005B39E4">
            <w:pPr>
              <w:pStyle w:val="Tabletext"/>
              <w:spacing w:before="18" w:after="18"/>
              <w:jc w:val="center"/>
            </w:pPr>
            <w:r w:rsidRPr="00022524">
              <w:t>55</w:t>
            </w:r>
          </w:p>
        </w:tc>
        <w:tc>
          <w:tcPr>
            <w:tcW w:w="1591" w:type="dxa"/>
          </w:tcPr>
          <w:p w14:paraId="32F8949B" w14:textId="77777777" w:rsidR="00F03461" w:rsidRPr="00022524" w:rsidRDefault="00F03461" w:rsidP="005B39E4">
            <w:pPr>
              <w:pStyle w:val="Tabletext"/>
              <w:spacing w:before="18" w:after="18"/>
              <w:jc w:val="center"/>
            </w:pPr>
            <w:r w:rsidRPr="00022524">
              <w:t>45</w:t>
            </w:r>
          </w:p>
        </w:tc>
        <w:tc>
          <w:tcPr>
            <w:tcW w:w="807" w:type="dxa"/>
            <w:shd w:val="clear" w:color="auto" w:fill="auto"/>
          </w:tcPr>
          <w:p w14:paraId="0569D172" w14:textId="77777777" w:rsidR="00F03461" w:rsidRPr="00022524" w:rsidRDefault="00F03461" w:rsidP="005B39E4">
            <w:pPr>
              <w:pStyle w:val="Tabletext"/>
              <w:spacing w:before="18" w:after="18"/>
              <w:jc w:val="center"/>
            </w:pPr>
            <w:r w:rsidRPr="00022524">
              <w:t>100</w:t>
            </w:r>
          </w:p>
        </w:tc>
      </w:tr>
      <w:tr w:rsidR="00F03461" w:rsidRPr="00022524" w14:paraId="070172C1" w14:textId="77777777" w:rsidTr="005B39E4">
        <w:trPr>
          <w:trHeight w:val="20"/>
        </w:trPr>
        <w:tc>
          <w:tcPr>
            <w:tcW w:w="908" w:type="dxa"/>
            <w:shd w:val="clear" w:color="auto" w:fill="auto"/>
          </w:tcPr>
          <w:p w14:paraId="2F3F4B7F" w14:textId="77777777" w:rsidR="00F03461" w:rsidRPr="00022524" w:rsidRDefault="00F03461" w:rsidP="005B39E4">
            <w:pPr>
              <w:pStyle w:val="Tabletext"/>
              <w:spacing w:before="18" w:after="18"/>
            </w:pPr>
            <w:r w:rsidRPr="00022524">
              <w:t>IE</w:t>
            </w:r>
          </w:p>
        </w:tc>
        <w:tc>
          <w:tcPr>
            <w:tcW w:w="1723" w:type="dxa"/>
            <w:shd w:val="clear" w:color="auto" w:fill="auto"/>
          </w:tcPr>
          <w:p w14:paraId="2A401A29" w14:textId="77777777" w:rsidR="00F03461" w:rsidRPr="00022524" w:rsidRDefault="00F03461" w:rsidP="005B39E4">
            <w:pPr>
              <w:pStyle w:val="Tabletext"/>
              <w:spacing w:before="18" w:after="18"/>
              <w:jc w:val="center"/>
            </w:pPr>
            <w:r w:rsidRPr="00022524">
              <w:t>5</w:t>
            </w:r>
          </w:p>
        </w:tc>
        <w:tc>
          <w:tcPr>
            <w:tcW w:w="1395" w:type="dxa"/>
            <w:shd w:val="clear" w:color="auto" w:fill="auto"/>
          </w:tcPr>
          <w:p w14:paraId="78385442" w14:textId="77777777" w:rsidR="00F03461" w:rsidRPr="00022524" w:rsidRDefault="00F03461" w:rsidP="005B39E4">
            <w:pPr>
              <w:pStyle w:val="Tabletext"/>
              <w:spacing w:before="18" w:after="18"/>
              <w:jc w:val="center"/>
            </w:pPr>
            <w:r w:rsidRPr="00022524">
              <w:t>5</w:t>
            </w:r>
          </w:p>
        </w:tc>
        <w:tc>
          <w:tcPr>
            <w:tcW w:w="851" w:type="dxa"/>
          </w:tcPr>
          <w:p w14:paraId="24055F1D" w14:textId="77777777" w:rsidR="00F03461" w:rsidRPr="00022524" w:rsidRDefault="00F03461" w:rsidP="005B39E4">
            <w:pPr>
              <w:pStyle w:val="Tabletext"/>
              <w:spacing w:before="18" w:after="18"/>
              <w:jc w:val="center"/>
              <w:rPr>
                <w:b/>
              </w:rPr>
            </w:pPr>
            <w:r w:rsidRPr="00022524">
              <w:rPr>
                <w:b/>
              </w:rPr>
              <w:t>10</w:t>
            </w:r>
          </w:p>
        </w:tc>
        <w:tc>
          <w:tcPr>
            <w:tcW w:w="1854" w:type="dxa"/>
            <w:shd w:val="clear" w:color="auto" w:fill="auto"/>
          </w:tcPr>
          <w:p w14:paraId="7D1EAE2D" w14:textId="77777777" w:rsidR="00F03461" w:rsidRPr="00022524" w:rsidRDefault="00F03461" w:rsidP="005B39E4">
            <w:pPr>
              <w:pStyle w:val="Tabletext"/>
              <w:spacing w:before="18" w:after="18"/>
              <w:jc w:val="center"/>
            </w:pPr>
            <w:r w:rsidRPr="00022524">
              <w:t>50</w:t>
            </w:r>
          </w:p>
        </w:tc>
        <w:tc>
          <w:tcPr>
            <w:tcW w:w="1591" w:type="dxa"/>
          </w:tcPr>
          <w:p w14:paraId="1D0D01F7" w14:textId="77777777" w:rsidR="00F03461" w:rsidRPr="00022524" w:rsidRDefault="00F03461" w:rsidP="005B39E4">
            <w:pPr>
              <w:pStyle w:val="Tabletext"/>
              <w:spacing w:before="18" w:after="18"/>
              <w:jc w:val="center"/>
            </w:pPr>
            <w:r w:rsidRPr="00022524">
              <w:t>50</w:t>
            </w:r>
          </w:p>
        </w:tc>
        <w:tc>
          <w:tcPr>
            <w:tcW w:w="807" w:type="dxa"/>
            <w:shd w:val="clear" w:color="auto" w:fill="auto"/>
          </w:tcPr>
          <w:p w14:paraId="17111FE6" w14:textId="77777777" w:rsidR="00F03461" w:rsidRPr="00022524" w:rsidRDefault="00F03461" w:rsidP="005B39E4">
            <w:pPr>
              <w:pStyle w:val="Tabletext"/>
              <w:spacing w:before="18" w:after="18"/>
              <w:jc w:val="center"/>
            </w:pPr>
            <w:r w:rsidRPr="00022524">
              <w:t>100</w:t>
            </w:r>
          </w:p>
        </w:tc>
      </w:tr>
      <w:tr w:rsidR="00F03461" w:rsidRPr="00022524" w14:paraId="4904E520" w14:textId="77777777" w:rsidTr="005B39E4">
        <w:trPr>
          <w:trHeight w:val="20"/>
        </w:trPr>
        <w:tc>
          <w:tcPr>
            <w:tcW w:w="908" w:type="dxa"/>
            <w:shd w:val="clear" w:color="auto" w:fill="auto"/>
          </w:tcPr>
          <w:p w14:paraId="5D9C126E" w14:textId="77777777" w:rsidR="00F03461" w:rsidRPr="00022524" w:rsidRDefault="00F03461" w:rsidP="005B39E4">
            <w:pPr>
              <w:pStyle w:val="Tabletext"/>
              <w:spacing w:before="18" w:after="18"/>
            </w:pPr>
            <w:r w:rsidRPr="00022524">
              <w:t>IT</w:t>
            </w:r>
          </w:p>
        </w:tc>
        <w:tc>
          <w:tcPr>
            <w:tcW w:w="1723" w:type="dxa"/>
            <w:shd w:val="clear" w:color="auto" w:fill="auto"/>
          </w:tcPr>
          <w:p w14:paraId="477BE844" w14:textId="77777777" w:rsidR="00F03461" w:rsidRPr="00022524" w:rsidRDefault="00F03461" w:rsidP="005B39E4">
            <w:pPr>
              <w:pStyle w:val="Tabletext"/>
              <w:spacing w:before="18" w:after="18"/>
              <w:jc w:val="center"/>
            </w:pPr>
            <w:r w:rsidRPr="00022524">
              <w:t>63</w:t>
            </w:r>
          </w:p>
        </w:tc>
        <w:tc>
          <w:tcPr>
            <w:tcW w:w="1395" w:type="dxa"/>
            <w:shd w:val="clear" w:color="auto" w:fill="auto"/>
          </w:tcPr>
          <w:p w14:paraId="778A5E87" w14:textId="77777777" w:rsidR="00F03461" w:rsidRPr="00022524" w:rsidRDefault="00F03461" w:rsidP="005B39E4">
            <w:pPr>
              <w:pStyle w:val="Tabletext"/>
              <w:spacing w:before="18" w:after="18"/>
              <w:jc w:val="center"/>
            </w:pPr>
            <w:r w:rsidRPr="00022524">
              <w:t>105</w:t>
            </w:r>
          </w:p>
        </w:tc>
        <w:tc>
          <w:tcPr>
            <w:tcW w:w="851" w:type="dxa"/>
          </w:tcPr>
          <w:p w14:paraId="12595B7B" w14:textId="77777777" w:rsidR="00F03461" w:rsidRPr="00022524" w:rsidRDefault="00F03461" w:rsidP="005B39E4">
            <w:pPr>
              <w:pStyle w:val="Tabletext"/>
              <w:spacing w:before="18" w:after="18"/>
              <w:jc w:val="center"/>
              <w:rPr>
                <w:b/>
              </w:rPr>
            </w:pPr>
            <w:r w:rsidRPr="00022524">
              <w:rPr>
                <w:b/>
              </w:rPr>
              <w:t>168</w:t>
            </w:r>
          </w:p>
        </w:tc>
        <w:tc>
          <w:tcPr>
            <w:tcW w:w="1854" w:type="dxa"/>
            <w:shd w:val="clear" w:color="auto" w:fill="auto"/>
          </w:tcPr>
          <w:p w14:paraId="091729AC" w14:textId="77777777" w:rsidR="00F03461" w:rsidRPr="00022524" w:rsidRDefault="00F03461" w:rsidP="005B39E4">
            <w:pPr>
              <w:pStyle w:val="Tabletext"/>
              <w:spacing w:before="18" w:after="18"/>
              <w:jc w:val="center"/>
            </w:pPr>
            <w:r w:rsidRPr="00022524">
              <w:t>38</w:t>
            </w:r>
          </w:p>
        </w:tc>
        <w:tc>
          <w:tcPr>
            <w:tcW w:w="1591" w:type="dxa"/>
          </w:tcPr>
          <w:p w14:paraId="58A6507F" w14:textId="77777777" w:rsidR="00F03461" w:rsidRPr="00022524" w:rsidRDefault="00F03461" w:rsidP="005B39E4">
            <w:pPr>
              <w:pStyle w:val="Tabletext"/>
              <w:spacing w:before="18" w:after="18"/>
              <w:jc w:val="center"/>
            </w:pPr>
            <w:r w:rsidRPr="00022524">
              <w:t>63</w:t>
            </w:r>
          </w:p>
        </w:tc>
        <w:tc>
          <w:tcPr>
            <w:tcW w:w="807" w:type="dxa"/>
            <w:shd w:val="clear" w:color="auto" w:fill="auto"/>
          </w:tcPr>
          <w:p w14:paraId="7F6B0DFF" w14:textId="77777777" w:rsidR="00F03461" w:rsidRPr="00022524" w:rsidRDefault="00F03461" w:rsidP="005B39E4">
            <w:pPr>
              <w:pStyle w:val="Tabletext"/>
              <w:spacing w:before="18" w:after="18"/>
              <w:jc w:val="center"/>
            </w:pPr>
            <w:r w:rsidRPr="00022524">
              <w:t>100</w:t>
            </w:r>
          </w:p>
        </w:tc>
      </w:tr>
      <w:tr w:rsidR="00F03461" w:rsidRPr="00022524" w14:paraId="535DA5A0" w14:textId="77777777" w:rsidTr="005B39E4">
        <w:trPr>
          <w:trHeight w:val="20"/>
        </w:trPr>
        <w:tc>
          <w:tcPr>
            <w:tcW w:w="908" w:type="dxa"/>
            <w:shd w:val="clear" w:color="auto" w:fill="auto"/>
          </w:tcPr>
          <w:p w14:paraId="5BD6CF45" w14:textId="77777777" w:rsidR="00F03461" w:rsidRPr="00022524" w:rsidRDefault="00F03461" w:rsidP="005B39E4">
            <w:pPr>
              <w:pStyle w:val="Tabletext"/>
              <w:spacing w:before="18" w:after="18"/>
            </w:pPr>
            <w:r w:rsidRPr="00022524">
              <w:t>LT</w:t>
            </w:r>
          </w:p>
        </w:tc>
        <w:tc>
          <w:tcPr>
            <w:tcW w:w="1723" w:type="dxa"/>
            <w:shd w:val="clear" w:color="auto" w:fill="auto"/>
          </w:tcPr>
          <w:p w14:paraId="5ADA7151" w14:textId="77777777" w:rsidR="00F03461" w:rsidRPr="00022524" w:rsidRDefault="00F03461" w:rsidP="005B39E4">
            <w:pPr>
              <w:pStyle w:val="Tabletext"/>
              <w:spacing w:before="18" w:after="18"/>
              <w:jc w:val="center"/>
            </w:pPr>
            <w:r w:rsidRPr="00022524">
              <w:t>1</w:t>
            </w:r>
          </w:p>
        </w:tc>
        <w:tc>
          <w:tcPr>
            <w:tcW w:w="1395" w:type="dxa"/>
            <w:shd w:val="clear" w:color="auto" w:fill="auto"/>
          </w:tcPr>
          <w:p w14:paraId="093A15CF" w14:textId="77777777" w:rsidR="00F03461" w:rsidRPr="00022524" w:rsidRDefault="00F03461" w:rsidP="005B39E4">
            <w:pPr>
              <w:pStyle w:val="Tabletext"/>
              <w:spacing w:before="18" w:after="18"/>
              <w:jc w:val="center"/>
            </w:pPr>
            <w:r w:rsidRPr="00022524">
              <w:t>9</w:t>
            </w:r>
          </w:p>
        </w:tc>
        <w:tc>
          <w:tcPr>
            <w:tcW w:w="851" w:type="dxa"/>
          </w:tcPr>
          <w:p w14:paraId="14635076" w14:textId="77777777" w:rsidR="00F03461" w:rsidRPr="00022524" w:rsidRDefault="00F03461" w:rsidP="005B39E4">
            <w:pPr>
              <w:pStyle w:val="Tabletext"/>
              <w:spacing w:before="18" w:after="18"/>
              <w:jc w:val="center"/>
              <w:rPr>
                <w:b/>
              </w:rPr>
            </w:pPr>
            <w:r w:rsidRPr="00022524">
              <w:rPr>
                <w:b/>
              </w:rPr>
              <w:t>10</w:t>
            </w:r>
          </w:p>
        </w:tc>
        <w:tc>
          <w:tcPr>
            <w:tcW w:w="1854" w:type="dxa"/>
            <w:shd w:val="clear" w:color="auto" w:fill="auto"/>
          </w:tcPr>
          <w:p w14:paraId="4112836D" w14:textId="77777777" w:rsidR="00F03461" w:rsidRPr="00022524" w:rsidRDefault="00F03461" w:rsidP="005B39E4">
            <w:pPr>
              <w:pStyle w:val="Tabletext"/>
              <w:spacing w:before="18" w:after="18"/>
              <w:jc w:val="center"/>
            </w:pPr>
            <w:r w:rsidRPr="00022524">
              <w:t>10</w:t>
            </w:r>
          </w:p>
        </w:tc>
        <w:tc>
          <w:tcPr>
            <w:tcW w:w="1591" w:type="dxa"/>
          </w:tcPr>
          <w:p w14:paraId="7E48CE27" w14:textId="77777777" w:rsidR="00F03461" w:rsidRPr="00022524" w:rsidRDefault="00F03461" w:rsidP="005B39E4">
            <w:pPr>
              <w:pStyle w:val="Tabletext"/>
              <w:spacing w:before="18" w:after="18"/>
              <w:jc w:val="center"/>
            </w:pPr>
            <w:r w:rsidRPr="00022524">
              <w:t>90</w:t>
            </w:r>
          </w:p>
        </w:tc>
        <w:tc>
          <w:tcPr>
            <w:tcW w:w="807" w:type="dxa"/>
            <w:shd w:val="clear" w:color="auto" w:fill="auto"/>
          </w:tcPr>
          <w:p w14:paraId="4A199B0A" w14:textId="77777777" w:rsidR="00F03461" w:rsidRPr="00022524" w:rsidRDefault="00F03461" w:rsidP="005B39E4">
            <w:pPr>
              <w:pStyle w:val="Tabletext"/>
              <w:spacing w:before="18" w:after="18"/>
              <w:jc w:val="center"/>
            </w:pPr>
            <w:r w:rsidRPr="00022524">
              <w:t>100</w:t>
            </w:r>
          </w:p>
        </w:tc>
      </w:tr>
      <w:tr w:rsidR="00F03461" w:rsidRPr="00022524" w14:paraId="7D5EB433" w14:textId="77777777" w:rsidTr="005B39E4">
        <w:trPr>
          <w:trHeight w:val="20"/>
        </w:trPr>
        <w:tc>
          <w:tcPr>
            <w:tcW w:w="908" w:type="dxa"/>
            <w:shd w:val="clear" w:color="auto" w:fill="auto"/>
          </w:tcPr>
          <w:p w14:paraId="4AA7C08B" w14:textId="77777777" w:rsidR="00F03461" w:rsidRPr="00022524" w:rsidRDefault="00F03461" w:rsidP="005B39E4">
            <w:pPr>
              <w:pStyle w:val="Tabletext"/>
              <w:spacing w:before="18" w:after="18"/>
            </w:pPr>
            <w:r w:rsidRPr="00022524">
              <w:t>LU</w:t>
            </w:r>
          </w:p>
        </w:tc>
        <w:tc>
          <w:tcPr>
            <w:tcW w:w="1723" w:type="dxa"/>
            <w:shd w:val="clear" w:color="auto" w:fill="auto"/>
          </w:tcPr>
          <w:p w14:paraId="20927109" w14:textId="77777777" w:rsidR="00F03461" w:rsidRPr="00022524" w:rsidRDefault="00F03461" w:rsidP="005B39E4">
            <w:pPr>
              <w:pStyle w:val="Tabletext"/>
              <w:spacing w:before="18" w:after="18"/>
              <w:jc w:val="center"/>
            </w:pPr>
            <w:r w:rsidRPr="00022524">
              <w:t>-</w:t>
            </w:r>
          </w:p>
        </w:tc>
        <w:tc>
          <w:tcPr>
            <w:tcW w:w="1395" w:type="dxa"/>
            <w:shd w:val="clear" w:color="auto" w:fill="auto"/>
          </w:tcPr>
          <w:p w14:paraId="2D072643" w14:textId="77777777" w:rsidR="00F03461" w:rsidRPr="00022524" w:rsidRDefault="00F03461" w:rsidP="005B39E4">
            <w:pPr>
              <w:pStyle w:val="Tabletext"/>
              <w:spacing w:before="18" w:after="18"/>
              <w:jc w:val="center"/>
            </w:pPr>
            <w:r w:rsidRPr="00022524">
              <w:t>2</w:t>
            </w:r>
          </w:p>
        </w:tc>
        <w:tc>
          <w:tcPr>
            <w:tcW w:w="851" w:type="dxa"/>
          </w:tcPr>
          <w:p w14:paraId="06539077" w14:textId="77777777" w:rsidR="00F03461" w:rsidRPr="00022524" w:rsidRDefault="00F03461" w:rsidP="005B39E4">
            <w:pPr>
              <w:pStyle w:val="Tabletext"/>
              <w:spacing w:before="18" w:after="18"/>
              <w:jc w:val="center"/>
              <w:rPr>
                <w:b/>
              </w:rPr>
            </w:pPr>
            <w:r w:rsidRPr="00022524">
              <w:rPr>
                <w:b/>
              </w:rPr>
              <w:t>2</w:t>
            </w:r>
          </w:p>
        </w:tc>
        <w:tc>
          <w:tcPr>
            <w:tcW w:w="1854" w:type="dxa"/>
            <w:shd w:val="clear" w:color="auto" w:fill="auto"/>
          </w:tcPr>
          <w:p w14:paraId="4ED9DA94" w14:textId="77777777" w:rsidR="00F03461" w:rsidRPr="00022524" w:rsidRDefault="00F03461" w:rsidP="005B39E4">
            <w:pPr>
              <w:pStyle w:val="Tabletext"/>
              <w:spacing w:before="18" w:after="18"/>
              <w:jc w:val="center"/>
            </w:pPr>
            <w:r w:rsidRPr="00022524">
              <w:t>-</w:t>
            </w:r>
          </w:p>
        </w:tc>
        <w:tc>
          <w:tcPr>
            <w:tcW w:w="1591" w:type="dxa"/>
          </w:tcPr>
          <w:p w14:paraId="16A34632" w14:textId="77777777" w:rsidR="00F03461" w:rsidRPr="00022524" w:rsidRDefault="00F03461" w:rsidP="005B39E4">
            <w:pPr>
              <w:pStyle w:val="Tabletext"/>
              <w:spacing w:before="18" w:after="18"/>
              <w:jc w:val="center"/>
            </w:pPr>
            <w:r w:rsidRPr="00022524">
              <w:t>100</w:t>
            </w:r>
          </w:p>
        </w:tc>
        <w:tc>
          <w:tcPr>
            <w:tcW w:w="807" w:type="dxa"/>
            <w:shd w:val="clear" w:color="auto" w:fill="auto"/>
          </w:tcPr>
          <w:p w14:paraId="10C8AB42" w14:textId="77777777" w:rsidR="00F03461" w:rsidRPr="00022524" w:rsidRDefault="00F03461" w:rsidP="005B39E4">
            <w:pPr>
              <w:pStyle w:val="Tabletext"/>
              <w:spacing w:before="18" w:after="18"/>
              <w:jc w:val="center"/>
            </w:pPr>
            <w:r w:rsidRPr="00022524">
              <w:t>100</w:t>
            </w:r>
          </w:p>
        </w:tc>
      </w:tr>
      <w:tr w:rsidR="00F03461" w:rsidRPr="00022524" w14:paraId="50015550" w14:textId="77777777" w:rsidTr="005B39E4">
        <w:trPr>
          <w:trHeight w:val="20"/>
        </w:trPr>
        <w:tc>
          <w:tcPr>
            <w:tcW w:w="908" w:type="dxa"/>
            <w:shd w:val="clear" w:color="auto" w:fill="auto"/>
          </w:tcPr>
          <w:p w14:paraId="353415B1" w14:textId="77777777" w:rsidR="00F03461" w:rsidRPr="00022524" w:rsidRDefault="00F03461" w:rsidP="005B39E4">
            <w:pPr>
              <w:pStyle w:val="Tabletext"/>
              <w:spacing w:before="18" w:after="18"/>
            </w:pPr>
            <w:r w:rsidRPr="00022524">
              <w:t>LV</w:t>
            </w:r>
          </w:p>
        </w:tc>
        <w:tc>
          <w:tcPr>
            <w:tcW w:w="1723" w:type="dxa"/>
            <w:shd w:val="clear" w:color="auto" w:fill="auto"/>
          </w:tcPr>
          <w:p w14:paraId="2A31093C" w14:textId="77777777" w:rsidR="00F03461" w:rsidRPr="00022524" w:rsidRDefault="00F03461" w:rsidP="005B39E4">
            <w:pPr>
              <w:pStyle w:val="Tabletext"/>
              <w:spacing w:before="18" w:after="18"/>
              <w:jc w:val="center"/>
            </w:pPr>
            <w:r w:rsidRPr="00022524">
              <w:t>-</w:t>
            </w:r>
          </w:p>
        </w:tc>
        <w:tc>
          <w:tcPr>
            <w:tcW w:w="1395" w:type="dxa"/>
            <w:shd w:val="clear" w:color="auto" w:fill="auto"/>
          </w:tcPr>
          <w:p w14:paraId="363C05C9" w14:textId="77777777" w:rsidR="00F03461" w:rsidRPr="00022524" w:rsidRDefault="00F03461" w:rsidP="005B39E4">
            <w:pPr>
              <w:pStyle w:val="Tabletext"/>
              <w:spacing w:before="18" w:after="18"/>
              <w:jc w:val="center"/>
            </w:pPr>
            <w:r w:rsidRPr="00022524">
              <w:t>9</w:t>
            </w:r>
          </w:p>
        </w:tc>
        <w:tc>
          <w:tcPr>
            <w:tcW w:w="851" w:type="dxa"/>
          </w:tcPr>
          <w:p w14:paraId="37B6B255" w14:textId="77777777" w:rsidR="00F03461" w:rsidRPr="00022524" w:rsidRDefault="00F03461" w:rsidP="005B39E4">
            <w:pPr>
              <w:pStyle w:val="Tabletext"/>
              <w:spacing w:before="18" w:after="18"/>
              <w:jc w:val="center"/>
              <w:rPr>
                <w:b/>
              </w:rPr>
            </w:pPr>
            <w:r w:rsidRPr="00022524">
              <w:rPr>
                <w:b/>
              </w:rPr>
              <w:t>9</w:t>
            </w:r>
          </w:p>
        </w:tc>
        <w:tc>
          <w:tcPr>
            <w:tcW w:w="1854" w:type="dxa"/>
            <w:shd w:val="clear" w:color="auto" w:fill="auto"/>
          </w:tcPr>
          <w:p w14:paraId="76E43733" w14:textId="77777777" w:rsidR="00F03461" w:rsidRPr="00022524" w:rsidRDefault="00F03461" w:rsidP="005B39E4">
            <w:pPr>
              <w:pStyle w:val="Tabletext"/>
              <w:spacing w:before="18" w:after="18"/>
              <w:jc w:val="center"/>
            </w:pPr>
            <w:r w:rsidRPr="00022524">
              <w:t>-</w:t>
            </w:r>
          </w:p>
        </w:tc>
        <w:tc>
          <w:tcPr>
            <w:tcW w:w="1591" w:type="dxa"/>
          </w:tcPr>
          <w:p w14:paraId="2C2694F1" w14:textId="77777777" w:rsidR="00F03461" w:rsidRPr="00022524" w:rsidRDefault="00F03461" w:rsidP="005B39E4">
            <w:pPr>
              <w:pStyle w:val="Tabletext"/>
              <w:spacing w:before="18" w:after="18"/>
              <w:jc w:val="center"/>
            </w:pPr>
            <w:r w:rsidRPr="00022524">
              <w:t>100</w:t>
            </w:r>
          </w:p>
        </w:tc>
        <w:tc>
          <w:tcPr>
            <w:tcW w:w="807" w:type="dxa"/>
            <w:shd w:val="clear" w:color="auto" w:fill="auto"/>
          </w:tcPr>
          <w:p w14:paraId="5F2CAD4D" w14:textId="77777777" w:rsidR="00F03461" w:rsidRPr="00022524" w:rsidRDefault="00F03461" w:rsidP="005B39E4">
            <w:pPr>
              <w:pStyle w:val="Tabletext"/>
              <w:spacing w:before="18" w:after="18"/>
              <w:jc w:val="center"/>
            </w:pPr>
            <w:r w:rsidRPr="00022524">
              <w:t>100</w:t>
            </w:r>
          </w:p>
        </w:tc>
      </w:tr>
      <w:tr w:rsidR="00F03461" w:rsidRPr="00022524" w14:paraId="43B96B46" w14:textId="77777777" w:rsidTr="005B39E4">
        <w:trPr>
          <w:trHeight w:val="20"/>
        </w:trPr>
        <w:tc>
          <w:tcPr>
            <w:tcW w:w="908" w:type="dxa"/>
            <w:shd w:val="clear" w:color="auto" w:fill="auto"/>
          </w:tcPr>
          <w:p w14:paraId="5E32BEF1" w14:textId="77777777" w:rsidR="00F03461" w:rsidRPr="00022524" w:rsidRDefault="00F03461" w:rsidP="005B39E4">
            <w:pPr>
              <w:pStyle w:val="Tabletext"/>
              <w:spacing w:before="18" w:after="18"/>
            </w:pPr>
            <w:r w:rsidRPr="00022524">
              <w:t>MT</w:t>
            </w:r>
          </w:p>
        </w:tc>
        <w:tc>
          <w:tcPr>
            <w:tcW w:w="1723" w:type="dxa"/>
            <w:shd w:val="clear" w:color="auto" w:fill="auto"/>
          </w:tcPr>
          <w:p w14:paraId="5BD41E6F" w14:textId="77777777" w:rsidR="00F03461" w:rsidRPr="00022524" w:rsidRDefault="00F03461" w:rsidP="005B39E4">
            <w:pPr>
              <w:pStyle w:val="Tabletext"/>
              <w:spacing w:before="18" w:after="18"/>
              <w:jc w:val="center"/>
            </w:pPr>
            <w:r w:rsidRPr="00022524">
              <w:t>5</w:t>
            </w:r>
          </w:p>
        </w:tc>
        <w:tc>
          <w:tcPr>
            <w:tcW w:w="1395" w:type="dxa"/>
            <w:shd w:val="clear" w:color="auto" w:fill="auto"/>
          </w:tcPr>
          <w:p w14:paraId="73A05DF7" w14:textId="77777777" w:rsidR="00F03461" w:rsidRPr="00022524" w:rsidRDefault="00F03461" w:rsidP="005B39E4">
            <w:pPr>
              <w:pStyle w:val="Tabletext"/>
              <w:spacing w:before="18" w:after="18"/>
              <w:jc w:val="center"/>
            </w:pPr>
            <w:r w:rsidRPr="00022524">
              <w:t>6</w:t>
            </w:r>
          </w:p>
        </w:tc>
        <w:tc>
          <w:tcPr>
            <w:tcW w:w="851" w:type="dxa"/>
          </w:tcPr>
          <w:p w14:paraId="6A41BE2B" w14:textId="77777777" w:rsidR="00F03461" w:rsidRPr="00022524" w:rsidRDefault="00F03461" w:rsidP="005B39E4">
            <w:pPr>
              <w:pStyle w:val="Tabletext"/>
              <w:spacing w:before="18" w:after="18"/>
              <w:jc w:val="center"/>
              <w:rPr>
                <w:b/>
              </w:rPr>
            </w:pPr>
            <w:r w:rsidRPr="00022524">
              <w:rPr>
                <w:b/>
              </w:rPr>
              <w:t>11</w:t>
            </w:r>
          </w:p>
        </w:tc>
        <w:tc>
          <w:tcPr>
            <w:tcW w:w="1854" w:type="dxa"/>
            <w:shd w:val="clear" w:color="auto" w:fill="auto"/>
          </w:tcPr>
          <w:p w14:paraId="7729781F" w14:textId="77777777" w:rsidR="00F03461" w:rsidRPr="00022524" w:rsidRDefault="00F03461" w:rsidP="005B39E4">
            <w:pPr>
              <w:pStyle w:val="Tabletext"/>
              <w:spacing w:before="18" w:after="18"/>
              <w:jc w:val="center"/>
            </w:pPr>
            <w:r w:rsidRPr="00022524">
              <w:t>45</w:t>
            </w:r>
          </w:p>
        </w:tc>
        <w:tc>
          <w:tcPr>
            <w:tcW w:w="1591" w:type="dxa"/>
          </w:tcPr>
          <w:p w14:paraId="0CF22ACF" w14:textId="77777777" w:rsidR="00F03461" w:rsidRPr="00022524" w:rsidRDefault="00F03461" w:rsidP="005B39E4">
            <w:pPr>
              <w:pStyle w:val="Tabletext"/>
              <w:spacing w:before="18" w:after="18"/>
              <w:jc w:val="center"/>
            </w:pPr>
            <w:r w:rsidRPr="00022524">
              <w:t>55</w:t>
            </w:r>
          </w:p>
        </w:tc>
        <w:tc>
          <w:tcPr>
            <w:tcW w:w="807" w:type="dxa"/>
            <w:shd w:val="clear" w:color="auto" w:fill="auto"/>
          </w:tcPr>
          <w:p w14:paraId="41611041" w14:textId="77777777" w:rsidR="00F03461" w:rsidRPr="00022524" w:rsidRDefault="00F03461" w:rsidP="005B39E4">
            <w:pPr>
              <w:pStyle w:val="Tabletext"/>
              <w:spacing w:before="18" w:after="18"/>
              <w:jc w:val="center"/>
            </w:pPr>
            <w:r w:rsidRPr="00022524">
              <w:t>100</w:t>
            </w:r>
          </w:p>
        </w:tc>
      </w:tr>
      <w:tr w:rsidR="00F03461" w:rsidRPr="00022524" w14:paraId="52C47C11" w14:textId="77777777" w:rsidTr="005B39E4">
        <w:trPr>
          <w:trHeight w:val="20"/>
        </w:trPr>
        <w:tc>
          <w:tcPr>
            <w:tcW w:w="908" w:type="dxa"/>
            <w:shd w:val="clear" w:color="auto" w:fill="auto"/>
          </w:tcPr>
          <w:p w14:paraId="3B553838" w14:textId="77777777" w:rsidR="00F03461" w:rsidRPr="00022524" w:rsidRDefault="00F03461" w:rsidP="005B39E4">
            <w:pPr>
              <w:pStyle w:val="Tabletext"/>
              <w:spacing w:before="18" w:after="18"/>
            </w:pPr>
            <w:r w:rsidRPr="00022524">
              <w:t>NL</w:t>
            </w:r>
          </w:p>
        </w:tc>
        <w:tc>
          <w:tcPr>
            <w:tcW w:w="1723" w:type="dxa"/>
            <w:shd w:val="clear" w:color="auto" w:fill="auto"/>
          </w:tcPr>
          <w:p w14:paraId="4F5A8360" w14:textId="77777777" w:rsidR="00F03461" w:rsidRPr="00022524" w:rsidRDefault="00F03461" w:rsidP="005B39E4">
            <w:pPr>
              <w:pStyle w:val="Tabletext"/>
              <w:spacing w:before="18" w:after="18"/>
              <w:jc w:val="center"/>
            </w:pPr>
            <w:r w:rsidRPr="00022524">
              <w:t>-</w:t>
            </w:r>
          </w:p>
        </w:tc>
        <w:tc>
          <w:tcPr>
            <w:tcW w:w="1395" w:type="dxa"/>
            <w:shd w:val="clear" w:color="auto" w:fill="auto"/>
          </w:tcPr>
          <w:p w14:paraId="5E6EDB35" w14:textId="77777777" w:rsidR="00F03461" w:rsidRPr="00022524" w:rsidRDefault="00F03461" w:rsidP="005B39E4">
            <w:pPr>
              <w:pStyle w:val="Tabletext"/>
              <w:spacing w:before="18" w:after="18"/>
              <w:jc w:val="center"/>
            </w:pPr>
            <w:r w:rsidRPr="00022524">
              <w:t>10</w:t>
            </w:r>
          </w:p>
        </w:tc>
        <w:tc>
          <w:tcPr>
            <w:tcW w:w="851" w:type="dxa"/>
          </w:tcPr>
          <w:p w14:paraId="5DDC5838" w14:textId="77777777" w:rsidR="00F03461" w:rsidRPr="00022524" w:rsidRDefault="00F03461" w:rsidP="005B39E4">
            <w:pPr>
              <w:pStyle w:val="Tabletext"/>
              <w:spacing w:before="18" w:after="18"/>
              <w:jc w:val="center"/>
              <w:rPr>
                <w:b/>
              </w:rPr>
            </w:pPr>
            <w:r w:rsidRPr="00022524">
              <w:rPr>
                <w:b/>
              </w:rPr>
              <w:t>10</w:t>
            </w:r>
          </w:p>
        </w:tc>
        <w:tc>
          <w:tcPr>
            <w:tcW w:w="1854" w:type="dxa"/>
            <w:shd w:val="clear" w:color="auto" w:fill="auto"/>
          </w:tcPr>
          <w:p w14:paraId="69313F9F" w14:textId="77777777" w:rsidR="00F03461" w:rsidRPr="00022524" w:rsidRDefault="00F03461" w:rsidP="005B39E4">
            <w:pPr>
              <w:pStyle w:val="Tabletext"/>
              <w:spacing w:before="18" w:after="18"/>
              <w:jc w:val="center"/>
            </w:pPr>
            <w:r w:rsidRPr="00022524">
              <w:t>-</w:t>
            </w:r>
          </w:p>
        </w:tc>
        <w:tc>
          <w:tcPr>
            <w:tcW w:w="1591" w:type="dxa"/>
          </w:tcPr>
          <w:p w14:paraId="2162AA74" w14:textId="77777777" w:rsidR="00F03461" w:rsidRPr="00022524" w:rsidRDefault="00F03461" w:rsidP="005B39E4">
            <w:pPr>
              <w:pStyle w:val="Tabletext"/>
              <w:spacing w:before="18" w:after="18"/>
              <w:jc w:val="center"/>
            </w:pPr>
            <w:r w:rsidRPr="00022524">
              <w:t>100</w:t>
            </w:r>
          </w:p>
        </w:tc>
        <w:tc>
          <w:tcPr>
            <w:tcW w:w="807" w:type="dxa"/>
            <w:shd w:val="clear" w:color="auto" w:fill="auto"/>
          </w:tcPr>
          <w:p w14:paraId="6131E8FF" w14:textId="77777777" w:rsidR="00F03461" w:rsidRPr="00022524" w:rsidRDefault="00F03461" w:rsidP="005B39E4">
            <w:pPr>
              <w:pStyle w:val="Tabletext"/>
              <w:spacing w:before="18" w:after="18"/>
              <w:jc w:val="center"/>
            </w:pPr>
            <w:r w:rsidRPr="00022524">
              <w:t>100</w:t>
            </w:r>
          </w:p>
        </w:tc>
      </w:tr>
      <w:tr w:rsidR="00F03461" w:rsidRPr="00022524" w14:paraId="62F5BB1E" w14:textId="77777777" w:rsidTr="005B39E4">
        <w:trPr>
          <w:trHeight w:val="20"/>
        </w:trPr>
        <w:tc>
          <w:tcPr>
            <w:tcW w:w="908" w:type="dxa"/>
            <w:shd w:val="clear" w:color="auto" w:fill="auto"/>
          </w:tcPr>
          <w:p w14:paraId="56D87490" w14:textId="77777777" w:rsidR="00F03461" w:rsidRPr="00022524" w:rsidRDefault="00F03461" w:rsidP="005B39E4">
            <w:pPr>
              <w:pStyle w:val="Tabletext"/>
              <w:spacing w:before="18" w:after="18"/>
            </w:pPr>
            <w:r w:rsidRPr="00022524">
              <w:t>PL</w:t>
            </w:r>
          </w:p>
        </w:tc>
        <w:tc>
          <w:tcPr>
            <w:tcW w:w="1723" w:type="dxa"/>
            <w:shd w:val="clear" w:color="auto" w:fill="auto"/>
          </w:tcPr>
          <w:p w14:paraId="48FC90BA" w14:textId="77777777" w:rsidR="00F03461" w:rsidRPr="00022524" w:rsidRDefault="00F03461" w:rsidP="005B39E4">
            <w:pPr>
              <w:pStyle w:val="Tabletext"/>
              <w:spacing w:before="18" w:after="18"/>
              <w:jc w:val="center"/>
            </w:pPr>
            <w:r w:rsidRPr="00022524">
              <w:t>57</w:t>
            </w:r>
          </w:p>
        </w:tc>
        <w:tc>
          <w:tcPr>
            <w:tcW w:w="1395" w:type="dxa"/>
            <w:shd w:val="clear" w:color="auto" w:fill="auto"/>
          </w:tcPr>
          <w:p w14:paraId="1C49164D" w14:textId="77777777" w:rsidR="00F03461" w:rsidRPr="00022524" w:rsidRDefault="00F03461" w:rsidP="005B39E4">
            <w:pPr>
              <w:pStyle w:val="Tabletext"/>
              <w:spacing w:before="18" w:after="18"/>
              <w:jc w:val="center"/>
            </w:pPr>
            <w:r w:rsidRPr="00022524">
              <w:t>128</w:t>
            </w:r>
          </w:p>
        </w:tc>
        <w:tc>
          <w:tcPr>
            <w:tcW w:w="851" w:type="dxa"/>
          </w:tcPr>
          <w:p w14:paraId="3AE93C93" w14:textId="77777777" w:rsidR="00F03461" w:rsidRPr="00022524" w:rsidRDefault="00F03461" w:rsidP="005B39E4">
            <w:pPr>
              <w:pStyle w:val="Tabletext"/>
              <w:spacing w:before="18" w:after="18"/>
              <w:jc w:val="center"/>
              <w:rPr>
                <w:b/>
              </w:rPr>
            </w:pPr>
            <w:r w:rsidRPr="00022524">
              <w:rPr>
                <w:b/>
              </w:rPr>
              <w:t>185</w:t>
            </w:r>
          </w:p>
        </w:tc>
        <w:tc>
          <w:tcPr>
            <w:tcW w:w="1854" w:type="dxa"/>
            <w:shd w:val="clear" w:color="auto" w:fill="auto"/>
          </w:tcPr>
          <w:p w14:paraId="20C59A83" w14:textId="77777777" w:rsidR="00F03461" w:rsidRPr="00022524" w:rsidRDefault="00F03461" w:rsidP="005B39E4">
            <w:pPr>
              <w:pStyle w:val="Tabletext"/>
              <w:spacing w:before="18" w:after="18"/>
              <w:jc w:val="center"/>
            </w:pPr>
            <w:r w:rsidRPr="00022524">
              <w:t>31</w:t>
            </w:r>
          </w:p>
        </w:tc>
        <w:tc>
          <w:tcPr>
            <w:tcW w:w="1591" w:type="dxa"/>
          </w:tcPr>
          <w:p w14:paraId="57C55587" w14:textId="77777777" w:rsidR="00F03461" w:rsidRPr="00022524" w:rsidRDefault="00F03461" w:rsidP="005B39E4">
            <w:pPr>
              <w:pStyle w:val="Tabletext"/>
              <w:spacing w:before="18" w:after="18"/>
              <w:jc w:val="center"/>
            </w:pPr>
            <w:r w:rsidRPr="00022524">
              <w:t>69</w:t>
            </w:r>
          </w:p>
        </w:tc>
        <w:tc>
          <w:tcPr>
            <w:tcW w:w="807" w:type="dxa"/>
            <w:shd w:val="clear" w:color="auto" w:fill="auto"/>
          </w:tcPr>
          <w:p w14:paraId="486EEFE3" w14:textId="77777777" w:rsidR="00F03461" w:rsidRPr="00022524" w:rsidRDefault="00F03461" w:rsidP="005B39E4">
            <w:pPr>
              <w:pStyle w:val="Tabletext"/>
              <w:spacing w:before="18" w:after="18"/>
              <w:jc w:val="center"/>
            </w:pPr>
            <w:r w:rsidRPr="00022524">
              <w:t>100</w:t>
            </w:r>
          </w:p>
        </w:tc>
      </w:tr>
      <w:tr w:rsidR="00F03461" w:rsidRPr="00022524" w14:paraId="05D0AE00" w14:textId="77777777" w:rsidTr="005B39E4">
        <w:trPr>
          <w:trHeight w:val="20"/>
        </w:trPr>
        <w:tc>
          <w:tcPr>
            <w:tcW w:w="908" w:type="dxa"/>
            <w:shd w:val="clear" w:color="auto" w:fill="auto"/>
          </w:tcPr>
          <w:p w14:paraId="08185E12" w14:textId="77777777" w:rsidR="00F03461" w:rsidRPr="00022524" w:rsidRDefault="00F03461" w:rsidP="005B39E4">
            <w:pPr>
              <w:pStyle w:val="Tabletext"/>
              <w:spacing w:before="18" w:after="18"/>
            </w:pPr>
            <w:r w:rsidRPr="00022524">
              <w:t>PT</w:t>
            </w:r>
          </w:p>
        </w:tc>
        <w:tc>
          <w:tcPr>
            <w:tcW w:w="1723" w:type="dxa"/>
            <w:shd w:val="clear" w:color="auto" w:fill="auto"/>
          </w:tcPr>
          <w:p w14:paraId="29DD88CB" w14:textId="77777777" w:rsidR="00F03461" w:rsidRPr="00022524" w:rsidRDefault="00F03461" w:rsidP="005B39E4">
            <w:pPr>
              <w:pStyle w:val="Tabletext"/>
              <w:spacing w:before="18" w:after="18"/>
              <w:jc w:val="center"/>
            </w:pPr>
            <w:r w:rsidRPr="00022524">
              <w:t>7</w:t>
            </w:r>
          </w:p>
        </w:tc>
        <w:tc>
          <w:tcPr>
            <w:tcW w:w="1395" w:type="dxa"/>
            <w:shd w:val="clear" w:color="auto" w:fill="auto"/>
          </w:tcPr>
          <w:p w14:paraId="32D5ACB0" w14:textId="77777777" w:rsidR="00F03461" w:rsidRPr="00022524" w:rsidRDefault="00F03461" w:rsidP="005B39E4">
            <w:pPr>
              <w:pStyle w:val="Tabletext"/>
              <w:spacing w:before="18" w:after="18"/>
              <w:jc w:val="center"/>
            </w:pPr>
            <w:r w:rsidRPr="00022524">
              <w:t>67</w:t>
            </w:r>
          </w:p>
        </w:tc>
        <w:tc>
          <w:tcPr>
            <w:tcW w:w="851" w:type="dxa"/>
          </w:tcPr>
          <w:p w14:paraId="4A4EA6B7" w14:textId="77777777" w:rsidR="00F03461" w:rsidRPr="00022524" w:rsidRDefault="00F03461" w:rsidP="005B39E4">
            <w:pPr>
              <w:pStyle w:val="Tabletext"/>
              <w:spacing w:before="18" w:after="18"/>
              <w:jc w:val="center"/>
              <w:rPr>
                <w:b/>
              </w:rPr>
            </w:pPr>
            <w:r w:rsidRPr="00022524">
              <w:rPr>
                <w:b/>
              </w:rPr>
              <w:t>74</w:t>
            </w:r>
          </w:p>
        </w:tc>
        <w:tc>
          <w:tcPr>
            <w:tcW w:w="1854" w:type="dxa"/>
            <w:shd w:val="clear" w:color="auto" w:fill="auto"/>
          </w:tcPr>
          <w:p w14:paraId="465E9EF6" w14:textId="77777777" w:rsidR="00F03461" w:rsidRPr="00022524" w:rsidRDefault="00F03461" w:rsidP="005B39E4">
            <w:pPr>
              <w:pStyle w:val="Tabletext"/>
              <w:spacing w:before="18" w:after="18"/>
              <w:jc w:val="center"/>
            </w:pPr>
            <w:r w:rsidRPr="00022524">
              <w:t>9</w:t>
            </w:r>
          </w:p>
        </w:tc>
        <w:tc>
          <w:tcPr>
            <w:tcW w:w="1591" w:type="dxa"/>
          </w:tcPr>
          <w:p w14:paraId="37050D19" w14:textId="77777777" w:rsidR="00F03461" w:rsidRPr="00022524" w:rsidRDefault="00F03461" w:rsidP="005B39E4">
            <w:pPr>
              <w:pStyle w:val="Tabletext"/>
              <w:spacing w:before="18" w:after="18"/>
              <w:jc w:val="center"/>
            </w:pPr>
            <w:r w:rsidRPr="00022524">
              <w:t>91</w:t>
            </w:r>
          </w:p>
        </w:tc>
        <w:tc>
          <w:tcPr>
            <w:tcW w:w="807" w:type="dxa"/>
            <w:shd w:val="clear" w:color="auto" w:fill="auto"/>
          </w:tcPr>
          <w:p w14:paraId="57D447BB" w14:textId="77777777" w:rsidR="00F03461" w:rsidRPr="00022524" w:rsidRDefault="00F03461" w:rsidP="005B39E4">
            <w:pPr>
              <w:pStyle w:val="Tabletext"/>
              <w:spacing w:before="18" w:after="18"/>
              <w:jc w:val="center"/>
            </w:pPr>
            <w:r w:rsidRPr="00022524">
              <w:t>100</w:t>
            </w:r>
          </w:p>
        </w:tc>
      </w:tr>
      <w:tr w:rsidR="00F03461" w:rsidRPr="00022524" w14:paraId="16CDD455" w14:textId="77777777" w:rsidTr="005B39E4">
        <w:trPr>
          <w:trHeight w:val="20"/>
        </w:trPr>
        <w:tc>
          <w:tcPr>
            <w:tcW w:w="908" w:type="dxa"/>
            <w:shd w:val="clear" w:color="auto" w:fill="auto"/>
          </w:tcPr>
          <w:p w14:paraId="31AFDA0B" w14:textId="77777777" w:rsidR="00F03461" w:rsidRPr="00022524" w:rsidRDefault="00F03461" w:rsidP="005B39E4">
            <w:pPr>
              <w:pStyle w:val="Tabletext"/>
              <w:spacing w:before="18" w:after="18"/>
            </w:pPr>
            <w:r w:rsidRPr="00022524">
              <w:t>RO</w:t>
            </w:r>
          </w:p>
        </w:tc>
        <w:tc>
          <w:tcPr>
            <w:tcW w:w="1723" w:type="dxa"/>
            <w:shd w:val="clear" w:color="auto" w:fill="auto"/>
          </w:tcPr>
          <w:p w14:paraId="424C99A2" w14:textId="77777777" w:rsidR="00F03461" w:rsidRPr="00022524" w:rsidRDefault="00F03461" w:rsidP="005B39E4">
            <w:pPr>
              <w:pStyle w:val="Tabletext"/>
              <w:spacing w:before="18" w:after="18"/>
              <w:jc w:val="center"/>
            </w:pPr>
            <w:r w:rsidRPr="00022524">
              <w:t>2</w:t>
            </w:r>
          </w:p>
        </w:tc>
        <w:tc>
          <w:tcPr>
            <w:tcW w:w="1395" w:type="dxa"/>
            <w:shd w:val="clear" w:color="auto" w:fill="auto"/>
          </w:tcPr>
          <w:p w14:paraId="0FAEBA31" w14:textId="77777777" w:rsidR="00F03461" w:rsidRPr="00022524" w:rsidRDefault="00F03461" w:rsidP="005B39E4">
            <w:pPr>
              <w:pStyle w:val="Tabletext"/>
              <w:spacing w:before="18" w:after="18"/>
              <w:jc w:val="center"/>
            </w:pPr>
            <w:r w:rsidRPr="00022524">
              <w:t>19</w:t>
            </w:r>
          </w:p>
        </w:tc>
        <w:tc>
          <w:tcPr>
            <w:tcW w:w="851" w:type="dxa"/>
          </w:tcPr>
          <w:p w14:paraId="3D299137" w14:textId="77777777" w:rsidR="00F03461" w:rsidRPr="00022524" w:rsidRDefault="00F03461" w:rsidP="005B39E4">
            <w:pPr>
              <w:pStyle w:val="Tabletext"/>
              <w:spacing w:before="18" w:after="18"/>
              <w:jc w:val="center"/>
              <w:rPr>
                <w:b/>
              </w:rPr>
            </w:pPr>
            <w:r w:rsidRPr="00022524">
              <w:rPr>
                <w:b/>
              </w:rPr>
              <w:t>21</w:t>
            </w:r>
          </w:p>
        </w:tc>
        <w:tc>
          <w:tcPr>
            <w:tcW w:w="1854" w:type="dxa"/>
            <w:shd w:val="clear" w:color="auto" w:fill="auto"/>
          </w:tcPr>
          <w:p w14:paraId="7EB4B348" w14:textId="77777777" w:rsidR="00F03461" w:rsidRPr="00022524" w:rsidRDefault="00F03461" w:rsidP="005B39E4">
            <w:pPr>
              <w:pStyle w:val="Tabletext"/>
              <w:spacing w:before="18" w:after="18"/>
              <w:jc w:val="center"/>
            </w:pPr>
            <w:r w:rsidRPr="00022524">
              <w:t>10</w:t>
            </w:r>
          </w:p>
        </w:tc>
        <w:tc>
          <w:tcPr>
            <w:tcW w:w="1591" w:type="dxa"/>
          </w:tcPr>
          <w:p w14:paraId="754EDC38" w14:textId="77777777" w:rsidR="00F03461" w:rsidRPr="00022524" w:rsidRDefault="00F03461" w:rsidP="005B39E4">
            <w:pPr>
              <w:pStyle w:val="Tabletext"/>
              <w:spacing w:before="18" w:after="18"/>
              <w:jc w:val="center"/>
            </w:pPr>
            <w:r w:rsidRPr="00022524">
              <w:t>90</w:t>
            </w:r>
          </w:p>
        </w:tc>
        <w:tc>
          <w:tcPr>
            <w:tcW w:w="807" w:type="dxa"/>
            <w:shd w:val="clear" w:color="auto" w:fill="auto"/>
          </w:tcPr>
          <w:p w14:paraId="6D635557" w14:textId="77777777" w:rsidR="00F03461" w:rsidRPr="00022524" w:rsidRDefault="00F03461" w:rsidP="005B39E4">
            <w:pPr>
              <w:pStyle w:val="Tabletext"/>
              <w:spacing w:before="18" w:after="18"/>
              <w:jc w:val="center"/>
            </w:pPr>
            <w:r w:rsidRPr="00022524">
              <w:t>100</w:t>
            </w:r>
          </w:p>
        </w:tc>
      </w:tr>
      <w:tr w:rsidR="00F03461" w:rsidRPr="00022524" w14:paraId="0E608793" w14:textId="77777777" w:rsidTr="005B39E4">
        <w:trPr>
          <w:trHeight w:val="20"/>
        </w:trPr>
        <w:tc>
          <w:tcPr>
            <w:tcW w:w="908" w:type="dxa"/>
            <w:shd w:val="clear" w:color="auto" w:fill="auto"/>
          </w:tcPr>
          <w:p w14:paraId="71577FBE" w14:textId="77777777" w:rsidR="00F03461" w:rsidRPr="00022524" w:rsidRDefault="00F03461" w:rsidP="005B39E4">
            <w:pPr>
              <w:pStyle w:val="Tabletext"/>
              <w:spacing w:before="18" w:after="18"/>
            </w:pPr>
            <w:r w:rsidRPr="00022524">
              <w:t>SE</w:t>
            </w:r>
          </w:p>
        </w:tc>
        <w:tc>
          <w:tcPr>
            <w:tcW w:w="1723" w:type="dxa"/>
            <w:shd w:val="clear" w:color="auto" w:fill="auto"/>
          </w:tcPr>
          <w:p w14:paraId="44CC8513" w14:textId="77777777" w:rsidR="00F03461" w:rsidRPr="00022524" w:rsidRDefault="00F03461" w:rsidP="005B39E4">
            <w:pPr>
              <w:pStyle w:val="Tabletext"/>
              <w:spacing w:before="18" w:after="18"/>
              <w:jc w:val="center"/>
            </w:pPr>
            <w:r w:rsidRPr="00022524">
              <w:t>25</w:t>
            </w:r>
          </w:p>
        </w:tc>
        <w:tc>
          <w:tcPr>
            <w:tcW w:w="1395" w:type="dxa"/>
            <w:shd w:val="clear" w:color="auto" w:fill="auto"/>
          </w:tcPr>
          <w:p w14:paraId="7519F6DA" w14:textId="77777777" w:rsidR="00F03461" w:rsidRPr="00022524" w:rsidRDefault="00F03461" w:rsidP="005B39E4">
            <w:pPr>
              <w:pStyle w:val="Tabletext"/>
              <w:spacing w:before="18" w:after="18"/>
              <w:jc w:val="center"/>
            </w:pPr>
            <w:r w:rsidRPr="00022524">
              <w:t>10</w:t>
            </w:r>
          </w:p>
        </w:tc>
        <w:tc>
          <w:tcPr>
            <w:tcW w:w="851" w:type="dxa"/>
          </w:tcPr>
          <w:p w14:paraId="001FF7F2" w14:textId="77777777" w:rsidR="00F03461" w:rsidRPr="00022524" w:rsidRDefault="00F03461" w:rsidP="005B39E4">
            <w:pPr>
              <w:pStyle w:val="Tabletext"/>
              <w:spacing w:before="18" w:after="18"/>
              <w:jc w:val="center"/>
              <w:rPr>
                <w:b/>
              </w:rPr>
            </w:pPr>
            <w:r w:rsidRPr="00022524">
              <w:rPr>
                <w:b/>
              </w:rPr>
              <w:t>35</w:t>
            </w:r>
          </w:p>
        </w:tc>
        <w:tc>
          <w:tcPr>
            <w:tcW w:w="1854" w:type="dxa"/>
            <w:shd w:val="clear" w:color="auto" w:fill="auto"/>
          </w:tcPr>
          <w:p w14:paraId="65779E02" w14:textId="77777777" w:rsidR="00F03461" w:rsidRPr="00022524" w:rsidRDefault="00F03461" w:rsidP="005B39E4">
            <w:pPr>
              <w:pStyle w:val="Tabletext"/>
              <w:spacing w:before="18" w:after="18"/>
              <w:jc w:val="center"/>
            </w:pPr>
            <w:r w:rsidRPr="00022524">
              <w:t>71</w:t>
            </w:r>
          </w:p>
        </w:tc>
        <w:tc>
          <w:tcPr>
            <w:tcW w:w="1591" w:type="dxa"/>
          </w:tcPr>
          <w:p w14:paraId="38F59B2E" w14:textId="77777777" w:rsidR="00F03461" w:rsidRPr="00022524" w:rsidRDefault="00F03461" w:rsidP="005B39E4">
            <w:pPr>
              <w:pStyle w:val="Tabletext"/>
              <w:spacing w:before="18" w:after="18"/>
              <w:jc w:val="center"/>
            </w:pPr>
            <w:r w:rsidRPr="00022524">
              <w:t>29</w:t>
            </w:r>
          </w:p>
        </w:tc>
        <w:tc>
          <w:tcPr>
            <w:tcW w:w="807" w:type="dxa"/>
            <w:shd w:val="clear" w:color="auto" w:fill="auto"/>
          </w:tcPr>
          <w:p w14:paraId="414EFD84" w14:textId="77777777" w:rsidR="00F03461" w:rsidRPr="00022524" w:rsidRDefault="00F03461" w:rsidP="005B39E4">
            <w:pPr>
              <w:pStyle w:val="Tabletext"/>
              <w:spacing w:before="18" w:after="18"/>
              <w:jc w:val="center"/>
            </w:pPr>
            <w:r w:rsidRPr="00022524">
              <w:t>100</w:t>
            </w:r>
          </w:p>
        </w:tc>
      </w:tr>
      <w:tr w:rsidR="00F03461" w:rsidRPr="00022524" w14:paraId="2BD5BCCA" w14:textId="77777777" w:rsidTr="005B39E4">
        <w:trPr>
          <w:trHeight w:val="20"/>
        </w:trPr>
        <w:tc>
          <w:tcPr>
            <w:tcW w:w="908" w:type="dxa"/>
            <w:shd w:val="clear" w:color="auto" w:fill="auto"/>
          </w:tcPr>
          <w:p w14:paraId="283DC4FB" w14:textId="77777777" w:rsidR="00F03461" w:rsidRPr="00022524" w:rsidRDefault="00F03461" w:rsidP="005B39E4">
            <w:pPr>
              <w:pStyle w:val="Tabletext"/>
              <w:spacing w:before="18" w:after="18"/>
            </w:pPr>
            <w:r w:rsidRPr="00022524">
              <w:t>SI</w:t>
            </w:r>
          </w:p>
        </w:tc>
        <w:tc>
          <w:tcPr>
            <w:tcW w:w="1723" w:type="dxa"/>
            <w:shd w:val="clear" w:color="auto" w:fill="auto"/>
          </w:tcPr>
          <w:p w14:paraId="64BA9BF6" w14:textId="77777777" w:rsidR="00F03461" w:rsidRPr="00022524" w:rsidRDefault="00F03461" w:rsidP="005B39E4">
            <w:pPr>
              <w:pStyle w:val="Tabletext"/>
              <w:spacing w:before="18" w:after="18"/>
              <w:jc w:val="center"/>
            </w:pPr>
            <w:r w:rsidRPr="00022524">
              <w:t>-</w:t>
            </w:r>
          </w:p>
        </w:tc>
        <w:tc>
          <w:tcPr>
            <w:tcW w:w="1395" w:type="dxa"/>
            <w:shd w:val="clear" w:color="auto" w:fill="auto"/>
          </w:tcPr>
          <w:p w14:paraId="65FE10D8" w14:textId="77777777" w:rsidR="00F03461" w:rsidRPr="00022524" w:rsidRDefault="00F03461" w:rsidP="005B39E4">
            <w:pPr>
              <w:pStyle w:val="Tabletext"/>
              <w:spacing w:before="18" w:after="18"/>
              <w:jc w:val="center"/>
            </w:pPr>
            <w:r w:rsidRPr="00022524">
              <w:t>11</w:t>
            </w:r>
          </w:p>
        </w:tc>
        <w:tc>
          <w:tcPr>
            <w:tcW w:w="851" w:type="dxa"/>
          </w:tcPr>
          <w:p w14:paraId="5ED91E8F" w14:textId="77777777" w:rsidR="00F03461" w:rsidRPr="00022524" w:rsidRDefault="00F03461" w:rsidP="005B39E4">
            <w:pPr>
              <w:pStyle w:val="Tabletext"/>
              <w:spacing w:before="18" w:after="18"/>
              <w:jc w:val="center"/>
              <w:rPr>
                <w:b/>
              </w:rPr>
            </w:pPr>
            <w:r w:rsidRPr="00022524">
              <w:rPr>
                <w:b/>
              </w:rPr>
              <w:t>11</w:t>
            </w:r>
          </w:p>
        </w:tc>
        <w:tc>
          <w:tcPr>
            <w:tcW w:w="1854" w:type="dxa"/>
            <w:shd w:val="clear" w:color="auto" w:fill="auto"/>
          </w:tcPr>
          <w:p w14:paraId="4A7649F6" w14:textId="77777777" w:rsidR="00F03461" w:rsidRPr="00022524" w:rsidRDefault="00F03461" w:rsidP="005B39E4">
            <w:pPr>
              <w:pStyle w:val="Tabletext"/>
              <w:spacing w:before="18" w:after="18"/>
              <w:jc w:val="center"/>
            </w:pPr>
            <w:r w:rsidRPr="00022524">
              <w:t>-</w:t>
            </w:r>
          </w:p>
        </w:tc>
        <w:tc>
          <w:tcPr>
            <w:tcW w:w="1591" w:type="dxa"/>
          </w:tcPr>
          <w:p w14:paraId="37003F6E" w14:textId="77777777" w:rsidR="00F03461" w:rsidRPr="00022524" w:rsidRDefault="00F03461" w:rsidP="005B39E4">
            <w:pPr>
              <w:pStyle w:val="Tabletext"/>
              <w:spacing w:before="18" w:after="18"/>
              <w:jc w:val="center"/>
            </w:pPr>
            <w:r w:rsidRPr="00022524">
              <w:t>100</w:t>
            </w:r>
          </w:p>
        </w:tc>
        <w:tc>
          <w:tcPr>
            <w:tcW w:w="807" w:type="dxa"/>
            <w:shd w:val="clear" w:color="auto" w:fill="auto"/>
          </w:tcPr>
          <w:p w14:paraId="1F8E295E" w14:textId="77777777" w:rsidR="00F03461" w:rsidRPr="00022524" w:rsidRDefault="00F03461" w:rsidP="005B39E4">
            <w:pPr>
              <w:pStyle w:val="Tabletext"/>
              <w:spacing w:before="18" w:after="18"/>
              <w:jc w:val="center"/>
            </w:pPr>
            <w:r w:rsidRPr="00022524">
              <w:t>100</w:t>
            </w:r>
          </w:p>
        </w:tc>
      </w:tr>
      <w:tr w:rsidR="00F03461" w:rsidRPr="00022524" w14:paraId="4B40A8BB" w14:textId="77777777" w:rsidTr="005B39E4">
        <w:trPr>
          <w:trHeight w:val="20"/>
        </w:trPr>
        <w:tc>
          <w:tcPr>
            <w:tcW w:w="908" w:type="dxa"/>
            <w:shd w:val="clear" w:color="auto" w:fill="auto"/>
          </w:tcPr>
          <w:p w14:paraId="41B8495B" w14:textId="77777777" w:rsidR="00F03461" w:rsidRPr="00022524" w:rsidRDefault="00F03461" w:rsidP="005B39E4">
            <w:pPr>
              <w:pStyle w:val="Tabletext"/>
              <w:spacing w:before="18" w:after="18"/>
            </w:pPr>
            <w:r w:rsidRPr="00022524">
              <w:t>SK</w:t>
            </w:r>
          </w:p>
        </w:tc>
        <w:tc>
          <w:tcPr>
            <w:tcW w:w="1723" w:type="dxa"/>
            <w:shd w:val="clear" w:color="auto" w:fill="auto"/>
          </w:tcPr>
          <w:p w14:paraId="55E2F5D5" w14:textId="77777777" w:rsidR="00F03461" w:rsidRPr="00022524" w:rsidRDefault="00F03461" w:rsidP="005B39E4">
            <w:pPr>
              <w:pStyle w:val="Tabletext"/>
              <w:spacing w:before="18" w:after="18"/>
              <w:jc w:val="center"/>
            </w:pPr>
            <w:r w:rsidRPr="00022524">
              <w:t>5</w:t>
            </w:r>
          </w:p>
        </w:tc>
        <w:tc>
          <w:tcPr>
            <w:tcW w:w="1395" w:type="dxa"/>
            <w:shd w:val="clear" w:color="auto" w:fill="auto"/>
          </w:tcPr>
          <w:p w14:paraId="7EFDDB0B" w14:textId="77777777" w:rsidR="00F03461" w:rsidRPr="00022524" w:rsidRDefault="00F03461" w:rsidP="005B39E4">
            <w:pPr>
              <w:pStyle w:val="Tabletext"/>
              <w:spacing w:before="18" w:after="18"/>
              <w:jc w:val="center"/>
            </w:pPr>
            <w:r w:rsidRPr="00022524">
              <w:t>21</w:t>
            </w:r>
          </w:p>
        </w:tc>
        <w:tc>
          <w:tcPr>
            <w:tcW w:w="851" w:type="dxa"/>
          </w:tcPr>
          <w:p w14:paraId="6BC94010" w14:textId="77777777" w:rsidR="00F03461" w:rsidRPr="00022524" w:rsidRDefault="00F03461" w:rsidP="005B39E4">
            <w:pPr>
              <w:pStyle w:val="Tabletext"/>
              <w:spacing w:before="18" w:after="18"/>
              <w:jc w:val="center"/>
              <w:rPr>
                <w:b/>
              </w:rPr>
            </w:pPr>
            <w:r w:rsidRPr="00022524">
              <w:rPr>
                <w:b/>
              </w:rPr>
              <w:t>26</w:t>
            </w:r>
          </w:p>
        </w:tc>
        <w:tc>
          <w:tcPr>
            <w:tcW w:w="1854" w:type="dxa"/>
            <w:shd w:val="clear" w:color="auto" w:fill="auto"/>
          </w:tcPr>
          <w:p w14:paraId="22AB8473" w14:textId="77777777" w:rsidR="00F03461" w:rsidRPr="00022524" w:rsidRDefault="00F03461" w:rsidP="005B39E4">
            <w:pPr>
              <w:pStyle w:val="Tabletext"/>
              <w:spacing w:before="18" w:after="18"/>
              <w:jc w:val="center"/>
            </w:pPr>
            <w:r w:rsidRPr="00022524">
              <w:t>19</w:t>
            </w:r>
          </w:p>
        </w:tc>
        <w:tc>
          <w:tcPr>
            <w:tcW w:w="1591" w:type="dxa"/>
          </w:tcPr>
          <w:p w14:paraId="2904F324" w14:textId="77777777" w:rsidR="00F03461" w:rsidRPr="00022524" w:rsidRDefault="00F03461" w:rsidP="005B39E4">
            <w:pPr>
              <w:pStyle w:val="Tabletext"/>
              <w:spacing w:before="18" w:after="18"/>
              <w:jc w:val="center"/>
            </w:pPr>
            <w:r w:rsidRPr="00022524">
              <w:t>81</w:t>
            </w:r>
          </w:p>
        </w:tc>
        <w:tc>
          <w:tcPr>
            <w:tcW w:w="807" w:type="dxa"/>
            <w:shd w:val="clear" w:color="auto" w:fill="auto"/>
          </w:tcPr>
          <w:p w14:paraId="3DF06ADE" w14:textId="77777777" w:rsidR="00F03461" w:rsidRPr="00022524" w:rsidRDefault="00F03461" w:rsidP="005B39E4">
            <w:pPr>
              <w:pStyle w:val="Tabletext"/>
              <w:spacing w:before="18" w:after="18"/>
              <w:jc w:val="center"/>
            </w:pPr>
            <w:r w:rsidRPr="00022524">
              <w:t>100</w:t>
            </w:r>
          </w:p>
        </w:tc>
      </w:tr>
      <w:tr w:rsidR="00F03461" w:rsidRPr="00022524" w14:paraId="2F7BC8AC" w14:textId="77777777" w:rsidTr="005B39E4">
        <w:trPr>
          <w:trHeight w:val="20"/>
        </w:trPr>
        <w:tc>
          <w:tcPr>
            <w:tcW w:w="908" w:type="dxa"/>
            <w:shd w:val="clear" w:color="auto" w:fill="auto"/>
          </w:tcPr>
          <w:p w14:paraId="0A95DEDC" w14:textId="77777777" w:rsidR="00F03461" w:rsidRPr="00022524" w:rsidRDefault="00F03461" w:rsidP="005B39E4">
            <w:pPr>
              <w:pStyle w:val="Tabletext"/>
              <w:spacing w:before="18" w:after="18"/>
            </w:pPr>
            <w:r w:rsidRPr="00022524">
              <w:t>UK</w:t>
            </w:r>
          </w:p>
        </w:tc>
        <w:tc>
          <w:tcPr>
            <w:tcW w:w="1723" w:type="dxa"/>
            <w:shd w:val="clear" w:color="auto" w:fill="auto"/>
          </w:tcPr>
          <w:p w14:paraId="329357FE" w14:textId="77777777" w:rsidR="00F03461" w:rsidRPr="00022524" w:rsidRDefault="00F03461" w:rsidP="005B39E4">
            <w:pPr>
              <w:pStyle w:val="Tabletext"/>
              <w:spacing w:before="18" w:after="18"/>
              <w:jc w:val="center"/>
            </w:pPr>
            <w:r w:rsidRPr="00022524">
              <w:t>1</w:t>
            </w:r>
          </w:p>
        </w:tc>
        <w:tc>
          <w:tcPr>
            <w:tcW w:w="1395" w:type="dxa"/>
            <w:shd w:val="clear" w:color="auto" w:fill="auto"/>
          </w:tcPr>
          <w:p w14:paraId="59A37C58" w14:textId="77777777" w:rsidR="00F03461" w:rsidRPr="00022524" w:rsidRDefault="00F03461" w:rsidP="005B39E4">
            <w:pPr>
              <w:pStyle w:val="Tabletext"/>
              <w:spacing w:before="18" w:after="18"/>
              <w:jc w:val="center"/>
            </w:pPr>
            <w:r w:rsidRPr="00022524">
              <w:t>24</w:t>
            </w:r>
          </w:p>
        </w:tc>
        <w:tc>
          <w:tcPr>
            <w:tcW w:w="851" w:type="dxa"/>
          </w:tcPr>
          <w:p w14:paraId="6FE62A56" w14:textId="77777777" w:rsidR="00F03461" w:rsidRPr="00022524" w:rsidRDefault="00F03461" w:rsidP="005B39E4">
            <w:pPr>
              <w:pStyle w:val="Tabletext"/>
              <w:spacing w:before="18" w:after="18"/>
              <w:jc w:val="center"/>
              <w:rPr>
                <w:b/>
              </w:rPr>
            </w:pPr>
            <w:r w:rsidRPr="00022524">
              <w:rPr>
                <w:b/>
              </w:rPr>
              <w:t>25</w:t>
            </w:r>
          </w:p>
        </w:tc>
        <w:tc>
          <w:tcPr>
            <w:tcW w:w="1854" w:type="dxa"/>
            <w:shd w:val="clear" w:color="auto" w:fill="auto"/>
          </w:tcPr>
          <w:p w14:paraId="6BF3146F" w14:textId="77777777" w:rsidR="00F03461" w:rsidRPr="00022524" w:rsidRDefault="00F03461" w:rsidP="005B39E4">
            <w:pPr>
              <w:pStyle w:val="Tabletext"/>
              <w:spacing w:before="18" w:after="18"/>
              <w:jc w:val="center"/>
            </w:pPr>
            <w:r w:rsidRPr="00022524">
              <w:t>4</w:t>
            </w:r>
          </w:p>
        </w:tc>
        <w:tc>
          <w:tcPr>
            <w:tcW w:w="1591" w:type="dxa"/>
          </w:tcPr>
          <w:p w14:paraId="6763D571" w14:textId="77777777" w:rsidR="00F03461" w:rsidRPr="00022524" w:rsidRDefault="00F03461" w:rsidP="005B39E4">
            <w:pPr>
              <w:pStyle w:val="Tabletext"/>
              <w:spacing w:before="18" w:after="18"/>
              <w:jc w:val="center"/>
            </w:pPr>
            <w:r w:rsidRPr="00022524">
              <w:t>96</w:t>
            </w:r>
          </w:p>
        </w:tc>
        <w:tc>
          <w:tcPr>
            <w:tcW w:w="807" w:type="dxa"/>
            <w:shd w:val="clear" w:color="auto" w:fill="auto"/>
          </w:tcPr>
          <w:p w14:paraId="7C003846" w14:textId="77777777" w:rsidR="00F03461" w:rsidRPr="00022524" w:rsidRDefault="00F03461" w:rsidP="005B39E4">
            <w:pPr>
              <w:pStyle w:val="Tabletext"/>
              <w:spacing w:before="18" w:after="18"/>
              <w:jc w:val="center"/>
            </w:pPr>
            <w:r w:rsidRPr="00022524">
              <w:t>100</w:t>
            </w:r>
          </w:p>
        </w:tc>
      </w:tr>
      <w:tr w:rsidR="00F03461" w:rsidRPr="00022524" w14:paraId="381D4805" w14:textId="77777777" w:rsidTr="005B39E4">
        <w:trPr>
          <w:trHeight w:val="20"/>
        </w:trPr>
        <w:tc>
          <w:tcPr>
            <w:tcW w:w="908" w:type="dxa"/>
            <w:shd w:val="clear" w:color="auto" w:fill="auto"/>
          </w:tcPr>
          <w:p w14:paraId="3ACE300C" w14:textId="77777777" w:rsidR="00F03461" w:rsidRPr="00022524" w:rsidRDefault="00F03461" w:rsidP="005B39E4">
            <w:pPr>
              <w:pStyle w:val="Tabletext"/>
              <w:spacing w:before="18" w:after="18"/>
            </w:pPr>
            <w:r w:rsidRPr="00022524">
              <w:t>ETC</w:t>
            </w:r>
          </w:p>
        </w:tc>
        <w:tc>
          <w:tcPr>
            <w:tcW w:w="1723" w:type="dxa"/>
            <w:shd w:val="clear" w:color="auto" w:fill="auto"/>
          </w:tcPr>
          <w:p w14:paraId="131613BB" w14:textId="77777777" w:rsidR="00F03461" w:rsidRPr="00022524" w:rsidRDefault="00F03461" w:rsidP="005B39E4">
            <w:pPr>
              <w:pStyle w:val="Tabletext"/>
              <w:spacing w:before="18" w:after="18"/>
              <w:jc w:val="center"/>
            </w:pPr>
            <w:r w:rsidRPr="00022524">
              <w:t>84</w:t>
            </w:r>
          </w:p>
        </w:tc>
        <w:tc>
          <w:tcPr>
            <w:tcW w:w="1395" w:type="dxa"/>
            <w:shd w:val="clear" w:color="auto" w:fill="auto"/>
          </w:tcPr>
          <w:p w14:paraId="50FF9877" w14:textId="77777777" w:rsidR="00F03461" w:rsidRPr="00022524" w:rsidRDefault="00F03461" w:rsidP="005B39E4">
            <w:pPr>
              <w:pStyle w:val="Tabletext"/>
              <w:spacing w:before="18" w:after="18"/>
              <w:jc w:val="center"/>
            </w:pPr>
            <w:r w:rsidRPr="00022524">
              <w:t>201</w:t>
            </w:r>
          </w:p>
        </w:tc>
        <w:tc>
          <w:tcPr>
            <w:tcW w:w="851" w:type="dxa"/>
          </w:tcPr>
          <w:p w14:paraId="7888FB86" w14:textId="77777777" w:rsidR="00F03461" w:rsidRPr="00022524" w:rsidRDefault="00F03461" w:rsidP="005B39E4">
            <w:pPr>
              <w:pStyle w:val="Tabletext"/>
              <w:spacing w:before="18" w:after="18"/>
              <w:jc w:val="center"/>
              <w:rPr>
                <w:b/>
              </w:rPr>
            </w:pPr>
            <w:r w:rsidRPr="00022524">
              <w:rPr>
                <w:b/>
              </w:rPr>
              <w:t>285</w:t>
            </w:r>
          </w:p>
        </w:tc>
        <w:tc>
          <w:tcPr>
            <w:tcW w:w="1854" w:type="dxa"/>
            <w:shd w:val="clear" w:color="auto" w:fill="auto"/>
          </w:tcPr>
          <w:p w14:paraId="3A262BE8" w14:textId="77777777" w:rsidR="00F03461" w:rsidRPr="00022524" w:rsidRDefault="00F03461" w:rsidP="005B39E4">
            <w:pPr>
              <w:pStyle w:val="Tabletext"/>
              <w:spacing w:before="18" w:after="18"/>
              <w:jc w:val="center"/>
            </w:pPr>
            <w:r w:rsidRPr="00022524">
              <w:t>29</w:t>
            </w:r>
          </w:p>
        </w:tc>
        <w:tc>
          <w:tcPr>
            <w:tcW w:w="1591" w:type="dxa"/>
          </w:tcPr>
          <w:p w14:paraId="656F303B" w14:textId="77777777" w:rsidR="00F03461" w:rsidRPr="00022524" w:rsidRDefault="00F03461" w:rsidP="005B39E4">
            <w:pPr>
              <w:pStyle w:val="Tabletext"/>
              <w:spacing w:before="18" w:after="18"/>
              <w:jc w:val="center"/>
            </w:pPr>
            <w:r w:rsidRPr="00022524">
              <w:t>71</w:t>
            </w:r>
          </w:p>
        </w:tc>
        <w:tc>
          <w:tcPr>
            <w:tcW w:w="807" w:type="dxa"/>
            <w:shd w:val="clear" w:color="auto" w:fill="auto"/>
          </w:tcPr>
          <w:p w14:paraId="759A362D" w14:textId="77777777" w:rsidR="00F03461" w:rsidRPr="00022524" w:rsidRDefault="00F03461" w:rsidP="005B39E4">
            <w:pPr>
              <w:pStyle w:val="Tabletext"/>
              <w:spacing w:before="18" w:after="18"/>
              <w:jc w:val="center"/>
            </w:pPr>
            <w:r w:rsidRPr="00022524">
              <w:t>100</w:t>
            </w:r>
          </w:p>
        </w:tc>
      </w:tr>
    </w:tbl>
    <w:p w14:paraId="6819D19F" w14:textId="77777777" w:rsidR="000A38F3" w:rsidRPr="00022524" w:rsidRDefault="000A38F3" w:rsidP="000A38F3">
      <w:pPr>
        <w:pStyle w:val="Source"/>
      </w:pPr>
      <w:r w:rsidRPr="00022524">
        <w:t xml:space="preserve">Source: Database on performance indicators. 2016. </w:t>
      </w:r>
    </w:p>
    <w:p w14:paraId="5660C267" w14:textId="0423D88A" w:rsidR="006221CB" w:rsidRPr="00022524" w:rsidRDefault="000A38F3" w:rsidP="000A38F3">
      <w:pPr>
        <w:pStyle w:val="Body"/>
      </w:pPr>
      <w:r w:rsidRPr="00022524">
        <w:t>The following figure</w:t>
      </w:r>
      <w:r w:rsidR="00D54128">
        <w:t xml:space="preserve"> </w:t>
      </w:r>
      <w:r w:rsidR="001835B8">
        <w:t xml:space="preserve">represents the findings graphically, showing </w:t>
      </w:r>
      <w:r w:rsidR="001835B8" w:rsidRPr="001835B8">
        <w:t xml:space="preserve">the share of </w:t>
      </w:r>
      <w:proofErr w:type="spellStart"/>
      <w:r w:rsidR="00DA7557">
        <w:t>PAx</w:t>
      </w:r>
      <w:proofErr w:type="spellEnd"/>
      <w:r w:rsidR="001835B8" w:rsidRPr="001835B8">
        <w:t xml:space="preserve"> with max. </w:t>
      </w:r>
      <w:proofErr w:type="gramStart"/>
      <w:r w:rsidR="001835B8" w:rsidRPr="001835B8">
        <w:t xml:space="preserve">2 PF indicators (blue stripe) and the share of </w:t>
      </w:r>
      <w:proofErr w:type="spellStart"/>
      <w:r w:rsidR="00DA7557">
        <w:t>PAx</w:t>
      </w:r>
      <w:proofErr w:type="spellEnd"/>
      <w:r w:rsidR="001835B8" w:rsidRPr="001835B8">
        <w:t xml:space="preserve"> with more than 2 PF i</w:t>
      </w:r>
      <w:r w:rsidR="001835B8">
        <w:t>ndicators (green stripe) per MS.</w:t>
      </w:r>
      <w:proofErr w:type="gramEnd"/>
      <w:r w:rsidR="001835B8">
        <w:t xml:space="preserve"> </w:t>
      </w:r>
      <w:r w:rsidR="001835B8" w:rsidRPr="001835B8">
        <w:t xml:space="preserve"> The absolute numbers of </w:t>
      </w:r>
      <w:proofErr w:type="spellStart"/>
      <w:r w:rsidR="00DA7557">
        <w:t>PAx</w:t>
      </w:r>
      <w:proofErr w:type="spellEnd"/>
      <w:r w:rsidR="001835B8" w:rsidRPr="001835B8">
        <w:t xml:space="preserve"> per category are shown on each stripe.</w:t>
      </w:r>
      <w:r w:rsidR="001835B8">
        <w:t xml:space="preserve"> </w:t>
      </w:r>
      <w:proofErr w:type="spellStart"/>
      <w:r w:rsidR="00DA7557">
        <w:t>PAxPAx</w:t>
      </w:r>
      <w:proofErr w:type="spellEnd"/>
    </w:p>
    <w:p w14:paraId="590EDA69" w14:textId="6E36E67E" w:rsidR="006221CB" w:rsidRPr="00022524" w:rsidRDefault="00DA7557" w:rsidP="00EF0A14">
      <w:pPr>
        <w:pStyle w:val="Figure"/>
      </w:pPr>
      <w:bookmarkStart w:id="85" w:name="_Toc448146044"/>
      <w:proofErr w:type="spellStart"/>
      <w:r>
        <w:lastRenderedPageBreak/>
        <w:t>PAx</w:t>
      </w:r>
      <w:proofErr w:type="spellEnd"/>
      <w:r w:rsidR="006221CB" w:rsidRPr="00022524">
        <w:t xml:space="preserve"> with 2 or more PF indicators per Member State – share &amp; absolute figures</w:t>
      </w:r>
      <w:bookmarkEnd w:id="85"/>
      <w:r w:rsidR="006221CB" w:rsidRPr="00022524">
        <w:t xml:space="preserve"> </w:t>
      </w:r>
    </w:p>
    <w:p w14:paraId="29DDC4B0" w14:textId="77777777" w:rsidR="006221CB" w:rsidRPr="00022524" w:rsidRDefault="006221CB" w:rsidP="006221CB">
      <w:pPr>
        <w:pStyle w:val="Abbildung"/>
        <w:rPr>
          <w:lang w:val="en-GB"/>
        </w:rPr>
      </w:pPr>
      <w:r w:rsidRPr="00022524">
        <w:rPr>
          <w:lang w:val="en-GB"/>
        </w:rPr>
        <w:t xml:space="preserve"> </w:t>
      </w:r>
      <w:r w:rsidRPr="00022524">
        <w:rPr>
          <w:lang w:val="en-GB" w:eastAsia="en-GB"/>
        </w:rPr>
        <w:drawing>
          <wp:inline distT="0" distB="0" distL="0" distR="0" wp14:anchorId="0C03EEEA" wp14:editId="0DF14D38">
            <wp:extent cx="5715000" cy="3725545"/>
            <wp:effectExtent l="0" t="0" r="0" b="8255"/>
            <wp:docPr id="1" name="Picture 1" descr="/Users/phani/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phani/Desktop/Picture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725545"/>
                    </a:xfrm>
                    <a:prstGeom prst="rect">
                      <a:avLst/>
                    </a:prstGeom>
                    <a:noFill/>
                    <a:ln>
                      <a:noFill/>
                    </a:ln>
                  </pic:spPr>
                </pic:pic>
              </a:graphicData>
            </a:graphic>
          </wp:inline>
        </w:drawing>
      </w:r>
    </w:p>
    <w:p w14:paraId="3BCF65E9" w14:textId="77777777" w:rsidR="004D2121" w:rsidRPr="00797148" w:rsidRDefault="006221CB" w:rsidP="00173B1E">
      <w:pPr>
        <w:pStyle w:val="Source"/>
      </w:pPr>
      <w:r w:rsidRPr="00797148">
        <w:t xml:space="preserve">Source: Database on performance indicators. 2016. </w:t>
      </w:r>
    </w:p>
    <w:p w14:paraId="3AFDC428" w14:textId="37F7106C" w:rsidR="00006061" w:rsidRPr="00797148" w:rsidRDefault="00006061" w:rsidP="00C7239F">
      <w:pPr>
        <w:rPr>
          <w:lang w:val="en-GB"/>
        </w:rPr>
      </w:pPr>
    </w:p>
    <w:p w14:paraId="7F553A99" w14:textId="7D37C17E" w:rsidR="00370CD0" w:rsidRPr="00006061" w:rsidRDefault="00370CD0" w:rsidP="00006061">
      <w:pPr>
        <w:pStyle w:val="Body"/>
        <w:rPr>
          <w:i/>
        </w:rPr>
      </w:pPr>
      <w:bookmarkStart w:id="86" w:name="_Toc433973101"/>
      <w:r w:rsidRPr="00006061">
        <w:rPr>
          <w:i/>
        </w:rPr>
        <w:t>Output indicators</w:t>
      </w:r>
      <w:bookmarkEnd w:id="86"/>
    </w:p>
    <w:p w14:paraId="51247DEC" w14:textId="75E5B579" w:rsidR="00380B80" w:rsidRDefault="00B71989" w:rsidP="00B71989">
      <w:pPr>
        <w:pStyle w:val="Body"/>
        <w:spacing w:after="120"/>
      </w:pPr>
      <w:r w:rsidRPr="00022524">
        <w:t xml:space="preserve">PF output indicators are selected by the MS from among the indicators already chosen for the programme. In order to capture the crucial information on the progress of a </w:t>
      </w:r>
      <w:proofErr w:type="spellStart"/>
      <w:r w:rsidR="00DA7557">
        <w:t>PAx</w:t>
      </w:r>
      <w:proofErr w:type="spellEnd"/>
      <w:r w:rsidRPr="00022524">
        <w:t xml:space="preserve">, the aim is to relate the selected indicators to operations representing the majority of the resources allocated to the </w:t>
      </w:r>
      <w:proofErr w:type="spellStart"/>
      <w:r w:rsidR="00DA7557">
        <w:t>PAx</w:t>
      </w:r>
      <w:proofErr w:type="spellEnd"/>
      <w:r w:rsidR="002F1FC2">
        <w:t xml:space="preserve"> and – in case of the ERDF and the Cohesion Fund – to reflect the outputs expected to be delivered by fully implemented operations. </w:t>
      </w:r>
    </w:p>
    <w:p w14:paraId="03B5F333" w14:textId="086FD41A" w:rsidR="00B71989" w:rsidRPr="00022524" w:rsidRDefault="00B71989" w:rsidP="00B71989">
      <w:pPr>
        <w:pStyle w:val="Body"/>
        <w:spacing w:after="120"/>
      </w:pPr>
      <w:r w:rsidRPr="00022524">
        <w:t xml:space="preserve">The following figure presents an overview per EU MS and the number of </w:t>
      </w:r>
      <w:proofErr w:type="spellStart"/>
      <w:r w:rsidR="00DA7557">
        <w:t>PAx</w:t>
      </w:r>
      <w:proofErr w:type="spellEnd"/>
      <w:r w:rsidR="00996792" w:rsidRPr="00022524">
        <w:t xml:space="preserve"> (share and absolute figure) </w:t>
      </w:r>
      <w:r w:rsidRPr="00022524">
        <w:t xml:space="preserve">which refer to a.) </w:t>
      </w:r>
      <w:proofErr w:type="gramStart"/>
      <w:r w:rsidRPr="00022524">
        <w:t>no</w:t>
      </w:r>
      <w:proofErr w:type="gramEnd"/>
      <w:r w:rsidRPr="00022524">
        <w:t xml:space="preserve"> output indicator,</w:t>
      </w:r>
      <w:r w:rsidR="005D56DB">
        <w:rPr>
          <w:rStyle w:val="FootnoteReference"/>
        </w:rPr>
        <w:footnoteReference w:id="22"/>
      </w:r>
      <w:r w:rsidRPr="00022524">
        <w:t xml:space="preserve"> b.) </w:t>
      </w:r>
      <w:proofErr w:type="gramStart"/>
      <w:r w:rsidRPr="00022524">
        <w:t>1 output indicator, c.)</w:t>
      </w:r>
      <w:proofErr w:type="gramEnd"/>
      <w:r w:rsidRPr="00022524">
        <w:t xml:space="preserve"> 2 output indicators, d.) </w:t>
      </w:r>
      <w:proofErr w:type="gramStart"/>
      <w:r w:rsidRPr="00022524">
        <w:t>3 output indicators, e.)</w:t>
      </w:r>
      <w:proofErr w:type="gramEnd"/>
      <w:r w:rsidRPr="00022524">
        <w:t xml:space="preserve"> </w:t>
      </w:r>
      <w:proofErr w:type="gramStart"/>
      <w:r w:rsidRPr="00022524">
        <w:t>4 output indicator, f.)</w:t>
      </w:r>
      <w:proofErr w:type="gramEnd"/>
      <w:r w:rsidRPr="00022524">
        <w:t xml:space="preserve"> 5 output indicators, and g.) </w:t>
      </w:r>
      <w:proofErr w:type="gramStart"/>
      <w:r w:rsidRPr="00022524">
        <w:t>more</w:t>
      </w:r>
      <w:proofErr w:type="gramEnd"/>
      <w:r w:rsidRPr="00022524">
        <w:t xml:space="preserve"> than 5 output indicators.</w:t>
      </w:r>
    </w:p>
    <w:p w14:paraId="763FA97D" w14:textId="2BF55EAD" w:rsidR="00B71989" w:rsidRPr="00022524" w:rsidRDefault="00B71989" w:rsidP="00B71989">
      <w:pPr>
        <w:pStyle w:val="Body"/>
      </w:pPr>
    </w:p>
    <w:p w14:paraId="035628EF" w14:textId="6635A254" w:rsidR="0083058C" w:rsidRPr="00022524" w:rsidRDefault="00DA7557" w:rsidP="0083058C">
      <w:pPr>
        <w:pStyle w:val="Figure"/>
      </w:pPr>
      <w:bookmarkStart w:id="87" w:name="_Toc448146045"/>
      <w:proofErr w:type="spellStart"/>
      <w:r>
        <w:lastRenderedPageBreak/>
        <w:t>PAx</w:t>
      </w:r>
      <w:proofErr w:type="spellEnd"/>
      <w:r w:rsidR="0083058C" w:rsidRPr="00022524">
        <w:t xml:space="preserve"> with number of output indicators – share &amp; absolute figures</w:t>
      </w:r>
      <w:bookmarkEnd w:id="87"/>
    </w:p>
    <w:p w14:paraId="1B6D0A81" w14:textId="063223A0" w:rsidR="0083058C" w:rsidRPr="00022524" w:rsidRDefault="0083058C" w:rsidP="0083058C">
      <w:pPr>
        <w:pStyle w:val="Abbildung"/>
        <w:rPr>
          <w:lang w:val="en-GB"/>
        </w:rPr>
      </w:pPr>
      <w:r w:rsidRPr="00022524">
        <w:rPr>
          <w:lang w:val="en-GB" w:eastAsia="en-GB"/>
        </w:rPr>
        <w:drawing>
          <wp:inline distT="0" distB="0" distL="0" distR="0" wp14:anchorId="7D2C1862" wp14:editId="1FB06CE7">
            <wp:extent cx="5715000" cy="3725545"/>
            <wp:effectExtent l="0" t="0" r="0" b="8255"/>
            <wp:docPr id="18" name="Picture 3" descr="/Users/phani/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phani/Desktop/Pictur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725545"/>
                    </a:xfrm>
                    <a:prstGeom prst="rect">
                      <a:avLst/>
                    </a:prstGeom>
                    <a:noFill/>
                    <a:ln>
                      <a:noFill/>
                    </a:ln>
                  </pic:spPr>
                </pic:pic>
              </a:graphicData>
            </a:graphic>
          </wp:inline>
        </w:drawing>
      </w:r>
    </w:p>
    <w:p w14:paraId="3FFC938F" w14:textId="43AE289B" w:rsidR="00E734E4" w:rsidRDefault="0083058C" w:rsidP="00547633">
      <w:pPr>
        <w:pStyle w:val="Body"/>
        <w:jc w:val="left"/>
        <w:rPr>
          <w:sz w:val="16"/>
        </w:rPr>
      </w:pPr>
      <w:r w:rsidRPr="00022524">
        <w:t xml:space="preserve">Source: Database on performance indicators. 2016. </w:t>
      </w:r>
    </w:p>
    <w:p w14:paraId="284F7C00" w14:textId="06855E93" w:rsidR="00A3674A" w:rsidRPr="00022524" w:rsidDel="00E734E4" w:rsidRDefault="00A3674A" w:rsidP="00A3674A">
      <w:pPr>
        <w:pStyle w:val="Body"/>
      </w:pPr>
      <w:r w:rsidRPr="00022524" w:rsidDel="00E734E4">
        <w:t>The analysis of programmes shows that output indicators are the most frequently used category of indicators</w:t>
      </w:r>
      <w:r w:rsidRPr="00022524" w:rsidDel="00E734E4">
        <w:rPr>
          <w:rStyle w:val="FootnoteReference"/>
        </w:rPr>
        <w:footnoteReference w:id="23"/>
      </w:r>
      <w:r w:rsidRPr="00022524" w:rsidDel="00E734E4">
        <w:t xml:space="preserve">: Taking a closer look at the level of programme </w:t>
      </w:r>
      <w:proofErr w:type="spellStart"/>
      <w:r w:rsidR="00DA7557">
        <w:t>PAx</w:t>
      </w:r>
      <w:proofErr w:type="spellEnd"/>
      <w:r w:rsidRPr="00022524" w:rsidDel="00E734E4">
        <w:t xml:space="preserve"> shows:</w:t>
      </w:r>
    </w:p>
    <w:p w14:paraId="0C54DC10" w14:textId="17BB851F" w:rsidR="00A3674A" w:rsidRPr="00022524" w:rsidDel="00E734E4" w:rsidRDefault="00A3674A" w:rsidP="00A3674A">
      <w:pPr>
        <w:pStyle w:val="BulletPoint1"/>
      </w:pPr>
      <w:r w:rsidRPr="00022524" w:rsidDel="00E734E4">
        <w:t xml:space="preserve">Approximately 45% of all </w:t>
      </w:r>
      <w:proofErr w:type="spellStart"/>
      <w:r w:rsidR="00DA7557">
        <w:t>PAx</w:t>
      </w:r>
      <w:proofErr w:type="spellEnd"/>
      <w:r w:rsidRPr="00022524" w:rsidDel="00E734E4">
        <w:t xml:space="preserve"> of IGJ programmes (569 </w:t>
      </w:r>
      <w:proofErr w:type="spellStart"/>
      <w:r w:rsidR="00DA7557">
        <w:t>PAx</w:t>
      </w:r>
      <w:proofErr w:type="spellEnd"/>
      <w:r w:rsidRPr="00022524" w:rsidDel="00E734E4">
        <w:t xml:space="preserve"> in absolute values) have identified one output indicator only for their PF; the remaining 55% of </w:t>
      </w:r>
      <w:proofErr w:type="spellStart"/>
      <w:r w:rsidR="00DA7557">
        <w:t>PAx</w:t>
      </w:r>
      <w:proofErr w:type="spellEnd"/>
      <w:r w:rsidRPr="00022524" w:rsidDel="00E734E4">
        <w:t xml:space="preserve"> identified from 2 to 18 output indicators in their PF (</w:t>
      </w:r>
      <w:r>
        <w:t xml:space="preserve">the latter case is </w:t>
      </w:r>
      <w:r w:rsidRPr="00022524" w:rsidDel="00E734E4">
        <w:t>a complex priority axis).</w:t>
      </w:r>
    </w:p>
    <w:p w14:paraId="2E8B1BA8" w14:textId="0E4DA4B4" w:rsidR="00A3674A" w:rsidRPr="00022524" w:rsidDel="00E734E4" w:rsidRDefault="00A3674A" w:rsidP="00A3674A">
      <w:pPr>
        <w:pStyle w:val="BulletPoint1"/>
      </w:pPr>
      <w:r w:rsidRPr="00022524" w:rsidDel="00E734E4">
        <w:t xml:space="preserve">For ERDF programmes, 50% of </w:t>
      </w:r>
      <w:proofErr w:type="spellStart"/>
      <w:r w:rsidR="00DA7557">
        <w:t>PAx</w:t>
      </w:r>
      <w:proofErr w:type="spellEnd"/>
      <w:r w:rsidRPr="00022524" w:rsidDel="00E734E4">
        <w:t xml:space="preserve"> identified 1 output indicator for their PF, around 30% of </w:t>
      </w:r>
      <w:proofErr w:type="spellStart"/>
      <w:r w:rsidR="00DA7557">
        <w:t>PAx</w:t>
      </w:r>
      <w:proofErr w:type="spellEnd"/>
      <w:r w:rsidRPr="00022524" w:rsidDel="00E734E4">
        <w:t xml:space="preserve"> identified 2 PF output indicators and the remaining 20% of </w:t>
      </w:r>
      <w:proofErr w:type="spellStart"/>
      <w:r w:rsidR="00DA7557">
        <w:t>PAx</w:t>
      </w:r>
      <w:proofErr w:type="spellEnd"/>
      <w:r w:rsidRPr="00022524" w:rsidDel="00E734E4">
        <w:t xml:space="preserve"> identified no output indicator or 3 to 9 PF output indicators. For the CF funded programme, 67% of </w:t>
      </w:r>
      <w:proofErr w:type="spellStart"/>
      <w:r w:rsidR="00DA7557">
        <w:t>PAx</w:t>
      </w:r>
      <w:proofErr w:type="spellEnd"/>
      <w:r w:rsidRPr="00022524" w:rsidDel="00E734E4">
        <w:t xml:space="preserve"> identified 2 PF output indicators and 33% of </w:t>
      </w:r>
      <w:proofErr w:type="spellStart"/>
      <w:r w:rsidR="00DA7557">
        <w:t>PAx</w:t>
      </w:r>
      <w:proofErr w:type="spellEnd"/>
      <w:r w:rsidRPr="00022524" w:rsidDel="00E734E4">
        <w:t xml:space="preserve"> identified 3 PF output indicators. </w:t>
      </w:r>
    </w:p>
    <w:p w14:paraId="29B0C2F4" w14:textId="3495E741" w:rsidR="00A3674A" w:rsidRPr="00022524" w:rsidDel="00E734E4" w:rsidRDefault="00A3674A" w:rsidP="00A3674A">
      <w:pPr>
        <w:pStyle w:val="Body"/>
      </w:pPr>
      <w:r w:rsidRPr="00022524" w:rsidDel="00E734E4">
        <w:t xml:space="preserve">When taking a closer look at the level of </w:t>
      </w:r>
      <w:proofErr w:type="spellStart"/>
      <w:r w:rsidR="00DA7557">
        <w:t>PAx</w:t>
      </w:r>
      <w:proofErr w:type="spellEnd"/>
      <w:r w:rsidRPr="00022524" w:rsidDel="00E734E4">
        <w:t>, the following gets visible:</w:t>
      </w:r>
    </w:p>
    <w:p w14:paraId="7D33CE56" w14:textId="328BEA1B" w:rsidR="00A3674A" w:rsidRPr="00022524" w:rsidDel="00E734E4" w:rsidRDefault="00A3674A" w:rsidP="00A3674A">
      <w:pPr>
        <w:pStyle w:val="BulletPoint1"/>
      </w:pPr>
      <w:r w:rsidRPr="00022524" w:rsidDel="00E734E4">
        <w:t xml:space="preserve">Approximately 46% of all </w:t>
      </w:r>
      <w:proofErr w:type="spellStart"/>
      <w:r w:rsidR="00DA7557">
        <w:t>PAx</w:t>
      </w:r>
      <w:proofErr w:type="spellEnd"/>
      <w:r w:rsidRPr="00022524" w:rsidDel="00E734E4">
        <w:t xml:space="preserve"> of ETC programmes (132 </w:t>
      </w:r>
      <w:proofErr w:type="spellStart"/>
      <w:r w:rsidR="00DA7557">
        <w:t>PAx</w:t>
      </w:r>
      <w:proofErr w:type="spellEnd"/>
      <w:r w:rsidRPr="00022524" w:rsidDel="00E734E4">
        <w:t xml:space="preserve"> in absolute values) have identified one output indicator only for their PF – going in line with findings from the IGJ programmes; the remaining 54% of </w:t>
      </w:r>
      <w:proofErr w:type="spellStart"/>
      <w:r w:rsidR="00DA7557">
        <w:t>PAx</w:t>
      </w:r>
      <w:proofErr w:type="spellEnd"/>
      <w:r w:rsidRPr="00022524" w:rsidDel="00E734E4">
        <w:t xml:space="preserve"> identified from 2 to 7 (1 </w:t>
      </w:r>
      <w:proofErr w:type="spellStart"/>
      <w:r w:rsidR="00DA7557">
        <w:t>PAx</w:t>
      </w:r>
      <w:proofErr w:type="spellEnd"/>
      <w:r w:rsidRPr="00022524" w:rsidDel="00E734E4">
        <w:t xml:space="preserve">) output indicators in their PF. </w:t>
      </w:r>
    </w:p>
    <w:p w14:paraId="477FAA92" w14:textId="00BEC131" w:rsidR="00A3674A" w:rsidRPr="00022524" w:rsidDel="00E734E4" w:rsidRDefault="00A3674A" w:rsidP="00A3674A">
      <w:pPr>
        <w:pStyle w:val="BulletPoint1"/>
      </w:pPr>
      <w:r w:rsidRPr="00022524" w:rsidDel="00E734E4">
        <w:t xml:space="preserve">Only 3 </w:t>
      </w:r>
      <w:proofErr w:type="spellStart"/>
      <w:r w:rsidR="00DA7557">
        <w:t>PAx</w:t>
      </w:r>
      <w:proofErr w:type="spellEnd"/>
      <w:r w:rsidRPr="00022524" w:rsidDel="00E734E4">
        <w:t xml:space="preserve"> (2 OPs</w:t>
      </w:r>
      <w:r w:rsidRPr="00022524" w:rsidDel="00E734E4">
        <w:rPr>
          <w:rStyle w:val="FootnoteReference"/>
        </w:rPr>
        <w:footnoteReference w:id="24"/>
      </w:r>
      <w:r w:rsidRPr="00022524" w:rsidDel="00E734E4">
        <w:t xml:space="preserve">) out of the set of 285 </w:t>
      </w:r>
      <w:proofErr w:type="spellStart"/>
      <w:r w:rsidR="00DA7557">
        <w:t>PAx</w:t>
      </w:r>
      <w:proofErr w:type="spellEnd"/>
      <w:r w:rsidRPr="00022524" w:rsidDel="00E734E4">
        <w:t xml:space="preserve"> of ETC programmes in total have not identified any output indicators, but use key implementation steps instead.</w:t>
      </w:r>
    </w:p>
    <w:p w14:paraId="07BF85B9" w14:textId="118DE35F" w:rsidR="00A3674A" w:rsidRDefault="00A3674A" w:rsidP="00A3674A">
      <w:pPr>
        <w:pStyle w:val="Body"/>
        <w:spacing w:after="120"/>
      </w:pPr>
      <w:r>
        <w:t>O</w:t>
      </w:r>
      <w:r w:rsidRPr="00022524" w:rsidDel="00E734E4">
        <w:t xml:space="preserve">n average, there </w:t>
      </w:r>
      <w:proofErr w:type="gramStart"/>
      <w:r w:rsidRPr="00022524" w:rsidDel="00E734E4">
        <w:t>are</w:t>
      </w:r>
      <w:proofErr w:type="gramEnd"/>
      <w:r w:rsidRPr="00022524" w:rsidDel="00E734E4">
        <w:t xml:space="preserve"> more output indicators in PF related to certain thematic objectives. Indeed, thematically, PF output indicators are frequently used for fund-specific investment priorities (IP) in the field of research, technological development and innovation (thematic objective (TO) 1), as well as in the area of low-carbon economy (TO4), with a specific focus on energy efficiency, smart energy management and renewable energy use in public infrastructure (IP 4c). Furthermore, PF output indicators frequently refer to the aspect of SME competitiveness (TO3), focusing especially on the promotion of entrepreneurship (IP 3a) and SME capacity (IP 3d). </w:t>
      </w:r>
      <w:r w:rsidR="00843FF8">
        <w:t>Further details on the distribution are provided in Annex (p.36, figure 31).</w:t>
      </w:r>
    </w:p>
    <w:p w14:paraId="39B48E6A" w14:textId="77777777" w:rsidR="00006061" w:rsidRDefault="00006061">
      <w:pPr>
        <w:pStyle w:val="Body"/>
        <w:spacing w:after="120"/>
        <w:rPr>
          <w:sz w:val="16"/>
        </w:rPr>
        <w:sectPr w:rsidR="00006061" w:rsidSect="008E6313">
          <w:pgSz w:w="11907" w:h="16839" w:code="9"/>
          <w:pgMar w:top="851" w:right="1418" w:bottom="851" w:left="1418" w:header="567" w:footer="567" w:gutter="0"/>
          <w:pgNumType w:start="1"/>
          <w:cols w:space="720"/>
          <w:titlePg/>
          <w:docGrid w:linePitch="326"/>
        </w:sectPr>
      </w:pPr>
    </w:p>
    <w:p w14:paraId="2D5A23B5" w14:textId="6F9E1005" w:rsidR="00AB1020" w:rsidRPr="00022524" w:rsidRDefault="00AB1020" w:rsidP="00AB1020">
      <w:pPr>
        <w:pStyle w:val="Figure"/>
      </w:pPr>
      <w:bookmarkStart w:id="88" w:name="_Toc448146046"/>
      <w:r w:rsidRPr="00022524">
        <w:lastRenderedPageBreak/>
        <w:t>Fund-specific IPs and the use of programme-specific vs. common output indicators (IGJ programmes) – share &amp; absolute figures</w:t>
      </w:r>
      <w:bookmarkEnd w:id="88"/>
    </w:p>
    <w:p w14:paraId="76189E89" w14:textId="3B23DF94" w:rsidR="00AB1020" w:rsidRPr="00022524" w:rsidRDefault="00AB1020" w:rsidP="00AB1020">
      <w:pPr>
        <w:pStyle w:val="Abbildung"/>
        <w:rPr>
          <w:lang w:val="en-GB"/>
        </w:rPr>
      </w:pPr>
      <w:r w:rsidRPr="00022524">
        <w:rPr>
          <w:lang w:val="en-GB"/>
        </w:rPr>
        <w:t xml:space="preserve"> </w:t>
      </w:r>
      <w:r w:rsidRPr="00022524">
        <w:rPr>
          <w:lang w:val="en-GB" w:eastAsia="en-GB"/>
        </w:rPr>
        <w:drawing>
          <wp:inline distT="0" distB="0" distL="0" distR="0" wp14:anchorId="4E4E92CA" wp14:editId="055650D8">
            <wp:extent cx="8038214" cy="5208385"/>
            <wp:effectExtent l="0" t="0" r="1270" b="0"/>
            <wp:docPr id="9" name="Picture 9" descr="/Users/phani/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phani/Desktop/Pictur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048643" cy="5215143"/>
                    </a:xfrm>
                    <a:prstGeom prst="rect">
                      <a:avLst/>
                    </a:prstGeom>
                    <a:noFill/>
                    <a:ln>
                      <a:noFill/>
                    </a:ln>
                  </pic:spPr>
                </pic:pic>
              </a:graphicData>
            </a:graphic>
          </wp:inline>
        </w:drawing>
      </w:r>
    </w:p>
    <w:p w14:paraId="2EDCF8A6" w14:textId="45D6C7FB" w:rsidR="00006061" w:rsidRDefault="00AB1020" w:rsidP="00006061">
      <w:pPr>
        <w:pStyle w:val="Source"/>
        <w:sectPr w:rsidR="00006061" w:rsidSect="00006061">
          <w:footerReference w:type="first" r:id="rId36"/>
          <w:pgSz w:w="16839" w:h="11907" w:orient="landscape" w:code="9"/>
          <w:pgMar w:top="1418" w:right="851" w:bottom="1418" w:left="851" w:header="567" w:footer="567" w:gutter="0"/>
          <w:cols w:space="720"/>
          <w:titlePg/>
          <w:docGrid w:linePitch="326"/>
        </w:sectPr>
      </w:pPr>
      <w:r w:rsidRPr="00022524">
        <w:t xml:space="preserve">Source: Database on performance indicators. 2016. </w:t>
      </w:r>
    </w:p>
    <w:p w14:paraId="311AB713" w14:textId="77777777" w:rsidR="00370CD0" w:rsidRPr="00022524" w:rsidRDefault="00370CD0" w:rsidP="00355EDC">
      <w:pPr>
        <w:pStyle w:val="Body"/>
        <w:rPr>
          <w:i/>
        </w:rPr>
      </w:pPr>
      <w:r w:rsidRPr="00022524">
        <w:rPr>
          <w:i/>
        </w:rPr>
        <w:lastRenderedPageBreak/>
        <w:t>Common output indicators</w:t>
      </w:r>
    </w:p>
    <w:p w14:paraId="68EE281F" w14:textId="7711636E" w:rsidR="00370CD0" w:rsidRPr="00022524" w:rsidRDefault="00370CD0" w:rsidP="00994D68">
      <w:pPr>
        <w:pStyle w:val="Body"/>
        <w:spacing w:line="216" w:lineRule="exact"/>
      </w:pPr>
      <w:r w:rsidRPr="00022524">
        <w:t>Whereas the above discussion cove</w:t>
      </w:r>
      <w:r w:rsidR="00012FB1" w:rsidRPr="00022524">
        <w:t>rs both common and programme-</w:t>
      </w:r>
      <w:r w:rsidRPr="00022524">
        <w:t xml:space="preserve">specific output indicators, the following analysis focuses on common indicators. Common output indicators for the ERDF, the CF as well as the ESF are frequently used for the PF of </w:t>
      </w:r>
      <w:r w:rsidR="00012FB1" w:rsidRPr="00022524">
        <w:t xml:space="preserve">the </w:t>
      </w:r>
      <w:r w:rsidRPr="00022524">
        <w:t>MS. Taking a closer look at output indicators in the EU (the average across all analysed programmes</w:t>
      </w:r>
      <w:r w:rsidR="00567BFA">
        <w:t>, see below figure</w:t>
      </w:r>
      <w:r w:rsidRPr="00022524">
        <w:t xml:space="preserve">), what becomes notable is that common output indicators and programme-specific indicators are used equally. When studying the level of EU MS, one can see that </w:t>
      </w:r>
    </w:p>
    <w:p w14:paraId="13860D66" w14:textId="77777777" w:rsidR="00370CD0" w:rsidRPr="00022524" w:rsidRDefault="00370CD0" w:rsidP="00370CD0">
      <w:pPr>
        <w:pStyle w:val="BulletPoint1"/>
      </w:pPr>
      <w:r w:rsidRPr="00022524">
        <w:t>Austria, Denmark and Luxembourg mainly use common output indicators in their PF; all MS have a share of 75% to 88% of all output indicators being common. Furthermore</w:t>
      </w:r>
      <w:r w:rsidR="00A060D7" w:rsidRPr="00022524">
        <w:t xml:space="preserve"> </w:t>
      </w:r>
      <w:r w:rsidR="005402C4" w:rsidRPr="00022524">
        <w:t xml:space="preserve">in </w:t>
      </w:r>
      <w:r w:rsidRPr="00022524">
        <w:t>Spain, Greece, Croatia, the Netherlands, Sweden and the United Kingdom more than 60% of all PF output indicators are common;</w:t>
      </w:r>
    </w:p>
    <w:p w14:paraId="18BCB742" w14:textId="77777777" w:rsidR="00370CD0" w:rsidRPr="00022524" w:rsidRDefault="00370CD0" w:rsidP="00370CD0">
      <w:pPr>
        <w:pStyle w:val="BulletPoint1"/>
      </w:pPr>
      <w:proofErr w:type="gramStart"/>
      <w:r w:rsidRPr="00022524">
        <w:t>on</w:t>
      </w:r>
      <w:proofErr w:type="gramEnd"/>
      <w:r w:rsidRPr="00022524">
        <w:t xml:space="preserve"> the contrary, an extremely low level of common output indicators is used in Estonia and Poland; in both cases the MS share of common output indicators ranges below 30% of all PF output indicators.</w:t>
      </w:r>
    </w:p>
    <w:p w14:paraId="673FBA22" w14:textId="77777777" w:rsidR="00857AC7" w:rsidRPr="00022524" w:rsidRDefault="00857AC7" w:rsidP="00EF0A14">
      <w:pPr>
        <w:pStyle w:val="Figure"/>
      </w:pPr>
      <w:bookmarkStart w:id="89" w:name="_Toc448146047"/>
      <w:r w:rsidRPr="00022524">
        <w:t>Common output indicators and programme-specific output indicators per Member State – share &amp; absolute figures</w:t>
      </w:r>
      <w:bookmarkEnd w:id="89"/>
    </w:p>
    <w:p w14:paraId="12D4A10B" w14:textId="77777777" w:rsidR="00857AC7" w:rsidRPr="00022524" w:rsidRDefault="00857AC7" w:rsidP="00857AC7">
      <w:pPr>
        <w:pStyle w:val="Abbildung"/>
        <w:rPr>
          <w:lang w:val="en-GB"/>
        </w:rPr>
      </w:pPr>
      <w:r w:rsidRPr="00022524">
        <w:rPr>
          <w:lang w:val="en-GB"/>
        </w:rPr>
        <w:t xml:space="preserve"> </w:t>
      </w:r>
      <w:r w:rsidRPr="00022524">
        <w:rPr>
          <w:lang w:val="en-GB" w:eastAsia="en-GB"/>
        </w:rPr>
        <w:drawing>
          <wp:inline distT="0" distB="0" distL="0" distR="0" wp14:anchorId="71BCC440" wp14:editId="71C1B69F">
            <wp:extent cx="5715000" cy="3725545"/>
            <wp:effectExtent l="0" t="0" r="0" b="8255"/>
            <wp:docPr id="20" name="Picture 20" descr="/Users/phani/Desktop/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phani/Desktop/Picture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3725545"/>
                    </a:xfrm>
                    <a:prstGeom prst="rect">
                      <a:avLst/>
                    </a:prstGeom>
                    <a:noFill/>
                    <a:ln>
                      <a:noFill/>
                    </a:ln>
                  </pic:spPr>
                </pic:pic>
              </a:graphicData>
            </a:graphic>
          </wp:inline>
        </w:drawing>
      </w:r>
    </w:p>
    <w:p w14:paraId="0232CBB0" w14:textId="5BC2C8EA" w:rsidR="00857AC7" w:rsidRPr="00022524" w:rsidRDefault="00857AC7" w:rsidP="00857AC7">
      <w:pPr>
        <w:pStyle w:val="Source"/>
        <w:rPr>
          <w:sz w:val="18"/>
          <w:szCs w:val="20"/>
        </w:rPr>
      </w:pPr>
      <w:r w:rsidRPr="00022524">
        <w:t xml:space="preserve">Source: Database on performance indicators. 2016. </w:t>
      </w:r>
    </w:p>
    <w:p w14:paraId="1ACF111B" w14:textId="77777777" w:rsidR="00370CD0" w:rsidRPr="00022524" w:rsidRDefault="00370CD0" w:rsidP="00370CD0">
      <w:pPr>
        <w:pStyle w:val="Body"/>
        <w:spacing w:after="120" w:line="216" w:lineRule="exact"/>
      </w:pPr>
      <w:r w:rsidRPr="00022524">
        <w:t>The review of the use of common indicators per type of region shows the following:</w:t>
      </w:r>
    </w:p>
    <w:p w14:paraId="14D00025" w14:textId="77777777" w:rsidR="00012FB1" w:rsidRPr="00022524" w:rsidRDefault="00370CD0" w:rsidP="00012FB1">
      <w:pPr>
        <w:pStyle w:val="BulletPoint1"/>
      </w:pPr>
      <w:r w:rsidRPr="00022524">
        <w:t>Programmes for single regions show a higher share of</w:t>
      </w:r>
      <w:r w:rsidR="00012FB1" w:rsidRPr="00022524">
        <w:t xml:space="preserve"> common output indicators (53%) </w:t>
      </w:r>
      <w:r w:rsidR="00E4485F" w:rsidRPr="00022524">
        <w:t>than programmes for multi-</w:t>
      </w:r>
      <w:r w:rsidRPr="00022524">
        <w:t xml:space="preserve">regions (43% of output indicators are common output indicators). </w:t>
      </w:r>
    </w:p>
    <w:p w14:paraId="0AA23BEC" w14:textId="77777777" w:rsidR="00370CD0" w:rsidRPr="00022524" w:rsidRDefault="00370CD0" w:rsidP="00012FB1">
      <w:pPr>
        <w:pStyle w:val="BulletPoint1"/>
      </w:pPr>
      <w:r w:rsidRPr="00022524">
        <w:t>In more detail: Programmes covering more developed regions, and regions in transition, use common output indicators to a greater extent: for both types of regions common output indicators represent 60% of all PF output indicators;</w:t>
      </w:r>
      <w:r w:rsidR="00012FB1" w:rsidRPr="00022524">
        <w:t xml:space="preserve"> </w:t>
      </w:r>
      <w:r w:rsidRPr="00022524">
        <w:t>these are quite different from programmes covering less developed regions and those programmes which refer to more than one category of region (i.e. multi</w:t>
      </w:r>
      <w:r w:rsidR="00E4485F" w:rsidRPr="00022524">
        <w:t>-</w:t>
      </w:r>
      <w:r w:rsidRPr="00022524">
        <w:t>region programmes), which use a lower share of common output indicators: only 45% of all PF output indicators are common output indicators.</w:t>
      </w:r>
    </w:p>
    <w:p w14:paraId="0CE19438" w14:textId="1036361D" w:rsidR="00C07734" w:rsidRDefault="00D654E9" w:rsidP="00D654E9">
      <w:pPr>
        <w:pStyle w:val="Body"/>
      </w:pPr>
      <w:r w:rsidRPr="00022524">
        <w:t>A</w:t>
      </w:r>
      <w:r w:rsidR="00C07734" w:rsidRPr="00022524">
        <w:t xml:space="preserve">nalysing the use of common output indicator per fund-specific investment priority, the high share of common output indicators used in the programmes’ performance frameworks can be also confirmed at this level (55% of all output indicators referring to an IP are common ones). Additionally it </w:t>
      </w:r>
      <w:r w:rsidRPr="00022524">
        <w:t>shows</w:t>
      </w:r>
      <w:r w:rsidR="00C07734" w:rsidRPr="00022524">
        <w:t xml:space="preserve"> that out of the set of 74 fund-specific IPs to which indicators of the analysed programmes refer to, 35 IPs are mainly covered by common output indicators (&gt;50% of all output </w:t>
      </w:r>
      <w:r w:rsidR="00C07734" w:rsidRPr="00022524">
        <w:lastRenderedPageBreak/>
        <w:t>indicators being common ones).</w:t>
      </w:r>
      <w:r w:rsidR="00E357AC">
        <w:t xml:space="preserve"> </w:t>
      </w:r>
      <w:r w:rsidR="00E357AC" w:rsidRPr="001F6039">
        <w:t>IPs which are mainly (i.e. more than 80% of all PF output indicators are common ones) covered by common output indicators are IPs under TO3, TO4 and TO7 (for details see following figure); as well as selected ones under TO8 and TO9. To IPs 4i, 4ii, 4iv, 4v, 8a, 8vii and 9c only common output indicators are referring to (no programme-specific indicators at all).</w:t>
      </w:r>
      <w:r w:rsidR="00843FF8">
        <w:t xml:space="preserve"> Further details on the use of programme-specific and common output indicators are provided in Annex (p.38, figure 34).</w:t>
      </w:r>
    </w:p>
    <w:p w14:paraId="44FFE6C2" w14:textId="77777777" w:rsidR="00370CD0" w:rsidRPr="00022524" w:rsidRDefault="00370CD0" w:rsidP="00012FB1">
      <w:pPr>
        <w:pStyle w:val="Body"/>
      </w:pPr>
      <w:r w:rsidRPr="00022524">
        <w:t>The analysis of ETC programmes shows that nearly one quarter of the output indicators selected for the PF of ETC programmes are common output indicators. Furthermore, mainly ERDF funded ETC programmes</w:t>
      </w:r>
      <w:r w:rsidR="00012FB1" w:rsidRPr="00022524">
        <w:t>, which are the majority of ETC programmes,</w:t>
      </w:r>
      <w:r w:rsidRPr="00022524">
        <w:t xml:space="preserve"> use common output indicators for their PF, as just one programme funded from the combination of ERDF and IPA</w:t>
      </w:r>
      <w:r w:rsidR="003167AE" w:rsidRPr="00022524">
        <w:t xml:space="preserve"> </w:t>
      </w:r>
      <w:r w:rsidRPr="00022524">
        <w:t xml:space="preserve">(e) uses common output indicators too; the other programmes funded from the combination of ERDF and </w:t>
      </w:r>
      <w:proofErr w:type="gramStart"/>
      <w:r w:rsidRPr="00022524">
        <w:t>IPA(</w:t>
      </w:r>
      <w:proofErr w:type="gramEnd"/>
      <w:r w:rsidRPr="00022524">
        <w:t>e), respectively, from the combination of ERDF and ENI and the combination of ERDF, IPA(e) and ENI use no common output indicators at all. This finding is in line with the fact that mainly INTERREG V-A programmes use common output indicators (26% of all output indicators being common ones), INTERREG V-B programmes use a relatively low share of common indicators (14% of all outputs) and INTERREG V-C programmes do not use common indicators at all. For ETC programmes, no strong differences for the categories of regions are recognisable as the situation for programmes focusing on single regions is similar to those programmes focusing on more than one category of regions: those ETC programmes which are explicitly referring to either more developed or outermost and northern sparsely populated regions use a slightly higher share of common output indicators (33% of all PF output indicators).</w:t>
      </w:r>
    </w:p>
    <w:p w14:paraId="28448615" w14:textId="77777777" w:rsidR="00370CD0" w:rsidRPr="00022524" w:rsidRDefault="00370CD0" w:rsidP="00096F14">
      <w:pPr>
        <w:pStyle w:val="Body"/>
        <w:outlineLvl w:val="0"/>
        <w:rPr>
          <w:i/>
        </w:rPr>
      </w:pPr>
      <w:bookmarkStart w:id="90" w:name="_Toc433973102"/>
      <w:r w:rsidRPr="00022524">
        <w:rPr>
          <w:i/>
        </w:rPr>
        <w:t>Programme-specific output indicators</w:t>
      </w:r>
      <w:bookmarkEnd w:id="90"/>
    </w:p>
    <w:p w14:paraId="67D892CB" w14:textId="77777777" w:rsidR="00370CD0" w:rsidRPr="00022524" w:rsidRDefault="00370CD0" w:rsidP="00370CD0">
      <w:pPr>
        <w:pStyle w:val="Body"/>
        <w:spacing w:after="120"/>
      </w:pPr>
      <w:r w:rsidRPr="00022524">
        <w:t>When reviewing programme-specific indicators, i.e. output indicators which are neither common ERDF/CF output indicators nor common ESF output indicators, the analysis shows the following situation:</w:t>
      </w:r>
    </w:p>
    <w:p w14:paraId="7A84544D" w14:textId="77777777" w:rsidR="00C015DD" w:rsidRPr="00022524" w:rsidRDefault="00C015DD" w:rsidP="00C015DD">
      <w:pPr>
        <w:pStyle w:val="BulletPoint1"/>
        <w:ind w:left="527" w:hanging="357"/>
      </w:pPr>
      <w:r w:rsidRPr="00022524">
        <w:t xml:space="preserve">Programme-specific output indicators are used by nearly all analysed programmes; </w:t>
      </w:r>
    </w:p>
    <w:p w14:paraId="41A31704" w14:textId="77777777" w:rsidR="00C015DD" w:rsidRPr="00022524" w:rsidRDefault="00C015DD" w:rsidP="00C015DD">
      <w:pPr>
        <w:pStyle w:val="BulletPoint1"/>
        <w:ind w:left="527" w:hanging="357"/>
      </w:pPr>
      <w:r w:rsidRPr="00022524">
        <w:t xml:space="preserve">Twelve of the programmes included in the analysis so far are missing programme-specific output indicators, and use only common ones; </w:t>
      </w:r>
    </w:p>
    <w:p w14:paraId="28B6D6D6" w14:textId="77777777" w:rsidR="00C015DD" w:rsidRPr="00022524" w:rsidRDefault="005402C4" w:rsidP="00C015DD">
      <w:pPr>
        <w:pStyle w:val="BulletPoint1"/>
        <w:ind w:left="527" w:hanging="357"/>
      </w:pPr>
      <w:r w:rsidRPr="00022524">
        <w:t>I</w:t>
      </w:r>
      <w:r w:rsidR="00C015DD" w:rsidRPr="00022524">
        <w:t xml:space="preserve">n line with the findings </w:t>
      </w:r>
      <w:r w:rsidRPr="00022524">
        <w:t>presented</w:t>
      </w:r>
      <w:r w:rsidR="00C015DD" w:rsidRPr="00022524">
        <w:t xml:space="preserve"> above, Estonia and Poland and Slovenia show a very high level of programme-specific output indicators, representing more than 70% of all output indicators identified for the PF; </w:t>
      </w:r>
    </w:p>
    <w:p w14:paraId="095C962E" w14:textId="77777777" w:rsidR="00C015DD" w:rsidRPr="00022524" w:rsidRDefault="00C015DD" w:rsidP="00C015DD">
      <w:pPr>
        <w:pStyle w:val="BulletPoint1"/>
        <w:ind w:left="527" w:hanging="357"/>
      </w:pPr>
      <w:r w:rsidRPr="00022524">
        <w:t xml:space="preserve">Furthermore Slovakia and Portugal show high levels of programme-specific output indicators, with more than 60% of programme-specific output indicators, well above the EU-average of 50% of output indicators being programme-specific ones. </w:t>
      </w:r>
    </w:p>
    <w:p w14:paraId="3FFA0C4C" w14:textId="77777777" w:rsidR="00370CD0" w:rsidRPr="00022524" w:rsidRDefault="00370CD0" w:rsidP="00370CD0">
      <w:pPr>
        <w:pStyle w:val="Body"/>
        <w:keepNext/>
        <w:spacing w:after="120"/>
      </w:pPr>
      <w:r w:rsidRPr="00022524">
        <w:t>The review of the use of common indicators per type of region shows the following:</w:t>
      </w:r>
    </w:p>
    <w:p w14:paraId="76B6922D" w14:textId="77777777" w:rsidR="00370CD0" w:rsidRPr="00022524" w:rsidRDefault="00370CD0" w:rsidP="00C015DD">
      <w:pPr>
        <w:pStyle w:val="BulletPoint1"/>
        <w:spacing w:after="0"/>
        <w:ind w:left="567"/>
        <w:contextualSpacing w:val="0"/>
      </w:pPr>
      <w:r w:rsidRPr="00022524">
        <w:t xml:space="preserve">Multi-region programmes use programme-specific output indicators to a </w:t>
      </w:r>
      <w:r w:rsidR="00E4485F" w:rsidRPr="00022524">
        <w:t xml:space="preserve">higher extent than single </w:t>
      </w:r>
      <w:r w:rsidRPr="00022524">
        <w:t>region programmes (57% of all output indicators vs. 47%). In more detail, this means:</w:t>
      </w:r>
    </w:p>
    <w:p w14:paraId="5512CEFE" w14:textId="77777777" w:rsidR="00370CD0" w:rsidRPr="00022524" w:rsidRDefault="005402C4" w:rsidP="00C015DD">
      <w:pPr>
        <w:pStyle w:val="BulletPoint2"/>
        <w:ind w:left="851"/>
      </w:pPr>
      <w:r w:rsidRPr="00022524">
        <w:t>Single –region p</w:t>
      </w:r>
      <w:r w:rsidR="00370CD0" w:rsidRPr="00022524">
        <w:t xml:space="preserve">rogrammes covering </w:t>
      </w:r>
      <w:r w:rsidR="0084359A" w:rsidRPr="00022524">
        <w:t xml:space="preserve">either </w:t>
      </w:r>
      <w:r w:rsidR="00370CD0" w:rsidRPr="00022524">
        <w:t xml:space="preserve">more developed regions </w:t>
      </w:r>
      <w:r w:rsidR="0084359A" w:rsidRPr="00022524">
        <w:t xml:space="preserve">or </w:t>
      </w:r>
      <w:r w:rsidR="00370CD0" w:rsidRPr="00022524">
        <w:t xml:space="preserve">regions in transition use programme-specific output indicators to a lesser extent: for both types of regions </w:t>
      </w:r>
      <w:r w:rsidR="00A060D7" w:rsidRPr="00022524">
        <w:t xml:space="preserve">around </w:t>
      </w:r>
      <w:r w:rsidR="00370CD0" w:rsidRPr="00022524">
        <w:t>40% of all PF output indicators are programme-specific.</w:t>
      </w:r>
    </w:p>
    <w:p w14:paraId="4D9BCFD9" w14:textId="77777777" w:rsidR="00370CD0" w:rsidRPr="00022524" w:rsidRDefault="00370CD0" w:rsidP="00C015DD">
      <w:pPr>
        <w:pStyle w:val="BulletPoint2"/>
        <w:ind w:left="851"/>
      </w:pPr>
      <w:r w:rsidRPr="00022524">
        <w:t>Programmes covering less developed regions and those programmes which refer to more than one</w:t>
      </w:r>
      <w:r w:rsidR="00E4485F" w:rsidRPr="00022524">
        <w:t xml:space="preserve"> category of region (i.e. multi-</w:t>
      </w:r>
      <w:r w:rsidRPr="00022524">
        <w:t xml:space="preserve">region programmes) use a higher share of programme-specific output indicators: </w:t>
      </w:r>
      <w:r w:rsidR="00A060D7" w:rsidRPr="00022524">
        <w:t xml:space="preserve">around </w:t>
      </w:r>
      <w:r w:rsidRPr="00022524">
        <w:t>55% of all PF output indicators are programme-specific.</w:t>
      </w:r>
    </w:p>
    <w:p w14:paraId="6D818F0C" w14:textId="77777777" w:rsidR="00C07734" w:rsidRPr="00022524" w:rsidRDefault="00C07734" w:rsidP="00FA7483">
      <w:pPr>
        <w:pStyle w:val="Body"/>
      </w:pPr>
      <w:r w:rsidRPr="00022524">
        <w:t xml:space="preserve">Comparing the use of programme-specific output indicators per fund-specific investment priority, shows that </w:t>
      </w:r>
      <w:r w:rsidR="00044F76" w:rsidRPr="00022524">
        <w:t>o</w:t>
      </w:r>
      <w:r w:rsidRPr="00022524">
        <w:t>ut of the set of 74 fund-specific IPs to which PF indicators are referring to, 39 IPs are mainly covered by programme-specific output indicators (&gt;50% of all output indicators being programme-specific ones).</w:t>
      </w:r>
    </w:p>
    <w:p w14:paraId="1E59A9AF" w14:textId="77777777" w:rsidR="00370CD0" w:rsidRPr="00022524" w:rsidRDefault="00370CD0" w:rsidP="00370CD0">
      <w:pPr>
        <w:pStyle w:val="Body"/>
      </w:pPr>
      <w:r w:rsidRPr="00022524">
        <w:t xml:space="preserve">The analysis of ETC programmes highlights the importance of programme-specific indicators for the PF. It is apparent that programmes funded from the combination of ERDF and ENI, ERDF and IPA(e), as well as ERDF, IPA(e) and ENI, programme-specific output indicators are mostly relevant as in these cases, there is an absence of common output indicators (for details please see above). These findings correspond with the high share of programme-specific indicators used for INTERREG V-C and INTERREG V-B programmes. For ETC programmes, only minor differences for the categories of regions are visible as the share of programme-specific indicators is quite high for all types of regions, although remaining at a lower level </w:t>
      </w:r>
      <w:r w:rsidR="00012FB1" w:rsidRPr="00022524">
        <w:t>for</w:t>
      </w:r>
      <w:r w:rsidRPr="00022524">
        <w:t xml:space="preserve"> those programmes focusing especially on more developed and northern sparsely populated regions.</w:t>
      </w:r>
    </w:p>
    <w:p w14:paraId="70CF6ED2" w14:textId="77777777" w:rsidR="00A060D7" w:rsidRPr="00022524" w:rsidRDefault="00A060D7" w:rsidP="00370CD0">
      <w:pPr>
        <w:pStyle w:val="Body"/>
      </w:pPr>
      <w:r w:rsidRPr="00022524">
        <w:lastRenderedPageBreak/>
        <w:t>Summarising, when concluding the use of common and programme-specific output indicators, the higher share of common output indicators in Austria, Belgium, Bulgaria, Germany, Denmark, Spain, France, Greece, Croatia, Italy, the Netherlands, Sweden and the UK gets evident. In all other MS and ETC programmes, programme-specific output indicators represent a higher share of PF output indicators in total.</w:t>
      </w:r>
    </w:p>
    <w:p w14:paraId="60DB5CBB" w14:textId="77777777" w:rsidR="00370CD0" w:rsidRPr="00022524" w:rsidRDefault="00370CD0" w:rsidP="00096F14">
      <w:pPr>
        <w:pStyle w:val="Zwischenberschrift"/>
        <w:outlineLvl w:val="0"/>
      </w:pPr>
      <w:bookmarkStart w:id="91" w:name="_Toc433973103"/>
      <w:r w:rsidRPr="00022524">
        <w:t>Financial indicators</w:t>
      </w:r>
      <w:bookmarkEnd w:id="91"/>
    </w:p>
    <w:p w14:paraId="5A81683E" w14:textId="2AEE8860" w:rsidR="00AA7C5A" w:rsidRPr="00022524" w:rsidRDefault="00EF4EC4" w:rsidP="00A700CE">
      <w:pPr>
        <w:pStyle w:val="Body"/>
      </w:pPr>
      <w:r w:rsidRPr="00022524">
        <w:t>In line with the regulatory requirements</w:t>
      </w:r>
      <w:r w:rsidR="00370CD0" w:rsidRPr="00022524">
        <w:t xml:space="preserve">, there </w:t>
      </w:r>
      <w:r w:rsidRPr="00022524">
        <w:t>is</w:t>
      </w:r>
      <w:r w:rsidR="00370CD0" w:rsidRPr="00022524">
        <w:t xml:space="preserve"> one financial indicator per </w:t>
      </w:r>
      <w:r w:rsidR="00A600CB" w:rsidRPr="00022524">
        <w:t>performance framework</w:t>
      </w:r>
      <w:r w:rsidR="00F66349" w:rsidRPr="00022524">
        <w:t xml:space="preserve"> </w:t>
      </w:r>
      <w:r w:rsidR="00A600CB" w:rsidRPr="00022524">
        <w:t xml:space="preserve">(when the </w:t>
      </w:r>
      <w:proofErr w:type="spellStart"/>
      <w:r w:rsidR="00DA7557">
        <w:t>PAx</w:t>
      </w:r>
      <w:proofErr w:type="spellEnd"/>
      <w:r w:rsidR="00A600CB" w:rsidRPr="00022524">
        <w:t xml:space="preserve"> covers more than one Fund or more than one category of regions, each of them has its own PF) </w:t>
      </w:r>
      <w:r w:rsidR="00370CD0" w:rsidRPr="00022524">
        <w:t xml:space="preserve">and the indicator should relate to the total amount of eligible expenditure entered into the accounting system of the </w:t>
      </w:r>
      <w:r w:rsidR="00D73381">
        <w:t>c</w:t>
      </w:r>
      <w:r w:rsidR="00370CD0" w:rsidRPr="00022524">
        <w:t xml:space="preserve">ertifying </w:t>
      </w:r>
      <w:r w:rsidR="00D73381">
        <w:t>a</w:t>
      </w:r>
      <w:r w:rsidR="00370CD0" w:rsidRPr="00022524">
        <w:t xml:space="preserve">uthority (CA); i.e. the total amount of expenditure incurred by beneficiaries and paid </w:t>
      </w:r>
      <w:r w:rsidR="00537761" w:rsidRPr="00022524">
        <w:t>in the implementing operations</w:t>
      </w:r>
      <w:r w:rsidR="00370CD0" w:rsidRPr="00022524">
        <w:t xml:space="preserve">. </w:t>
      </w:r>
    </w:p>
    <w:p w14:paraId="5913D3C1" w14:textId="1BF2858C" w:rsidR="00AA7C5A" w:rsidRPr="00022524" w:rsidRDefault="00370CD0" w:rsidP="00A700CE">
      <w:pPr>
        <w:pStyle w:val="Body"/>
      </w:pPr>
      <w:r w:rsidRPr="00022524">
        <w:t xml:space="preserve">The analysis shows that financial indicators are the second </w:t>
      </w:r>
      <w:r w:rsidR="00C07734" w:rsidRPr="00022524">
        <w:t xml:space="preserve">often </w:t>
      </w:r>
      <w:r w:rsidR="00955F37" w:rsidRPr="00022524">
        <w:t>used</w:t>
      </w:r>
      <w:r w:rsidRPr="00022524">
        <w:t xml:space="preserve"> type of indicators for the programmes’ performance frameworks. </w:t>
      </w:r>
      <w:r w:rsidR="00AA7C5A" w:rsidRPr="00022524">
        <w:t xml:space="preserve">When taking a closer look at the level of programme </w:t>
      </w:r>
      <w:proofErr w:type="spellStart"/>
      <w:r w:rsidR="00DA7557">
        <w:t>PAx</w:t>
      </w:r>
      <w:proofErr w:type="spellEnd"/>
      <w:r w:rsidR="00AA7C5A" w:rsidRPr="00022524">
        <w:t>, the following gets visible:</w:t>
      </w:r>
    </w:p>
    <w:p w14:paraId="68AF8946" w14:textId="41FA07F4" w:rsidR="00AA7C5A" w:rsidRPr="00022524" w:rsidRDefault="00AA7C5A" w:rsidP="00AA7C5A">
      <w:pPr>
        <w:pStyle w:val="BulletPoint1"/>
        <w:ind w:left="527" w:hanging="357"/>
      </w:pPr>
      <w:r w:rsidRPr="00022524">
        <w:t xml:space="preserve">All </w:t>
      </w:r>
      <w:proofErr w:type="spellStart"/>
      <w:r w:rsidR="00DA7557">
        <w:t>PAx</w:t>
      </w:r>
      <w:proofErr w:type="spellEnd"/>
      <w:r w:rsidRPr="00022524">
        <w:t xml:space="preserve"> have identified at least one financial indicator as part of their performance framework, which is in line with the regulatory requirements. </w:t>
      </w:r>
    </w:p>
    <w:p w14:paraId="31322D6E" w14:textId="6D6C16D2" w:rsidR="00AA7C5A" w:rsidRPr="00022524" w:rsidRDefault="00AA7C5A" w:rsidP="00AA7C5A">
      <w:pPr>
        <w:pStyle w:val="BulletPoint1"/>
        <w:ind w:left="527" w:hanging="357"/>
      </w:pPr>
      <w:r w:rsidRPr="00022524">
        <w:t xml:space="preserve">1,097 </w:t>
      </w:r>
      <w:proofErr w:type="spellStart"/>
      <w:r w:rsidR="00DA7557">
        <w:t>PAx</w:t>
      </w:r>
      <w:proofErr w:type="spellEnd"/>
      <w:r w:rsidRPr="00022524">
        <w:t xml:space="preserve"> in absolute numbers, representing more than 85% of all IGJ </w:t>
      </w:r>
      <w:proofErr w:type="spellStart"/>
      <w:r w:rsidR="00DA7557">
        <w:t>PAx</w:t>
      </w:r>
      <w:proofErr w:type="spellEnd"/>
      <w:r w:rsidRPr="00022524">
        <w:t>, have identified one financial indicator only.</w:t>
      </w:r>
    </w:p>
    <w:p w14:paraId="6D05971F" w14:textId="66B46F99" w:rsidR="00AA7C5A" w:rsidRPr="00022524" w:rsidRDefault="00AA7C5A" w:rsidP="00AA7C5A">
      <w:pPr>
        <w:pStyle w:val="BulletPoint1"/>
        <w:ind w:left="527" w:hanging="357"/>
      </w:pPr>
      <w:r w:rsidRPr="00022524">
        <w:t xml:space="preserve">There are 182 </w:t>
      </w:r>
      <w:proofErr w:type="spellStart"/>
      <w:r w:rsidR="00DA7557">
        <w:t>PAx</w:t>
      </w:r>
      <w:proofErr w:type="spellEnd"/>
      <w:r w:rsidRPr="00022524">
        <w:t xml:space="preserve"> in 56 OPs where more than one financial indicator can be found in the PF.</w:t>
      </w:r>
    </w:p>
    <w:p w14:paraId="0A836904" w14:textId="332A1D6B" w:rsidR="00370CD0" w:rsidRPr="00022524" w:rsidRDefault="00C07734" w:rsidP="00E46572">
      <w:pPr>
        <w:pStyle w:val="Body"/>
      </w:pPr>
      <w:r w:rsidRPr="00022524">
        <w:t xml:space="preserve">For all ETC </w:t>
      </w:r>
      <w:proofErr w:type="spellStart"/>
      <w:r w:rsidR="00DA7557">
        <w:t>PAx</w:t>
      </w:r>
      <w:proofErr w:type="spellEnd"/>
      <w:r w:rsidRPr="00022524">
        <w:t xml:space="preserve">, one financial indicator was identified for the performance frameworks. </w:t>
      </w:r>
    </w:p>
    <w:p w14:paraId="206635F0" w14:textId="71B76DBB" w:rsidR="00AB0B28" w:rsidRPr="00022524" w:rsidRDefault="00AB0B28" w:rsidP="00AB0B28">
      <w:pPr>
        <w:pStyle w:val="Body"/>
        <w:spacing w:after="120"/>
      </w:pPr>
      <w:r w:rsidRPr="00022524">
        <w:t xml:space="preserve">The following figure provides an overview per EU MS and the number of </w:t>
      </w:r>
      <w:proofErr w:type="spellStart"/>
      <w:r w:rsidR="00DA7557">
        <w:t>PAx</w:t>
      </w:r>
      <w:proofErr w:type="spellEnd"/>
      <w:r w:rsidRPr="00022524">
        <w:t xml:space="preserve"> which refer to a) no financial indicator, b) 1 financial indicator, c) 2 financial indicators, d) 3 financial indicators, e) 4 financial indicator, f) 5 financial indicators, and g) more than 5 financial indicators.</w:t>
      </w:r>
    </w:p>
    <w:p w14:paraId="0C2FEC44" w14:textId="77777777" w:rsidR="00AB0B28" w:rsidRPr="00022524" w:rsidRDefault="00AB0B28" w:rsidP="00AB0B28">
      <w:pPr>
        <w:pStyle w:val="Figure"/>
        <w:numPr>
          <w:ilvl w:val="0"/>
          <w:numId w:val="0"/>
        </w:numPr>
        <w:ind w:left="993"/>
      </w:pPr>
    </w:p>
    <w:p w14:paraId="2587A966" w14:textId="24F9934D" w:rsidR="00AB0B28" w:rsidRPr="00022524" w:rsidRDefault="00AB0B28" w:rsidP="00AB0B28">
      <w:pPr>
        <w:pStyle w:val="Figure"/>
      </w:pPr>
      <w:bookmarkStart w:id="92" w:name="_Toc448146048"/>
      <w:r w:rsidRPr="00022524">
        <w:t xml:space="preserve">Share of </w:t>
      </w:r>
      <w:proofErr w:type="spellStart"/>
      <w:r w:rsidR="00DA7557">
        <w:t>PAx</w:t>
      </w:r>
      <w:proofErr w:type="spellEnd"/>
      <w:r w:rsidRPr="00022524">
        <w:t xml:space="preserve"> with number of financial indicators</w:t>
      </w:r>
      <w:bookmarkEnd w:id="92"/>
    </w:p>
    <w:p w14:paraId="607A6679" w14:textId="690DB32C" w:rsidR="00AB0B28" w:rsidRPr="00022524" w:rsidRDefault="00AB0B28" w:rsidP="00AB0B28">
      <w:pPr>
        <w:pStyle w:val="Body"/>
        <w:rPr>
          <w:sz w:val="16"/>
        </w:rPr>
      </w:pPr>
      <w:r w:rsidRPr="00022524">
        <w:rPr>
          <w:noProof/>
          <w:lang w:eastAsia="en-GB"/>
        </w:rPr>
        <w:drawing>
          <wp:inline distT="0" distB="0" distL="0" distR="0" wp14:anchorId="52BA278B" wp14:editId="4A8BD570">
            <wp:extent cx="5760085" cy="3710102"/>
            <wp:effectExtent l="0" t="0" r="0" b="5080"/>
            <wp:docPr id="2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a:picLocks noChangeAspect="1" noChangeArrowheads="1"/>
                    </pic:cNvPicPr>
                  </pic:nvPicPr>
                  <pic:blipFill>
                    <a:blip r:embed="rId38"/>
                    <a:srcRect/>
                    <a:stretch>
                      <a:fillRect/>
                    </a:stretch>
                  </pic:blipFill>
                  <pic:spPr bwMode="auto">
                    <a:xfrm>
                      <a:off x="0" y="0"/>
                      <a:ext cx="5760085" cy="3710102"/>
                    </a:xfrm>
                    <a:prstGeom prst="rect">
                      <a:avLst/>
                    </a:prstGeom>
                    <a:noFill/>
                    <a:ln w="9525">
                      <a:noFill/>
                      <a:miter lim="800000"/>
                      <a:headEnd/>
                      <a:tailEnd/>
                    </a:ln>
                  </pic:spPr>
                </pic:pic>
              </a:graphicData>
            </a:graphic>
          </wp:inline>
        </w:drawing>
      </w:r>
      <w:r w:rsidRPr="00022524">
        <w:rPr>
          <w:sz w:val="16"/>
        </w:rPr>
        <w:t xml:space="preserve">Source: Database on performance indicators. 2016. </w:t>
      </w:r>
      <w:proofErr w:type="spellStart"/>
      <w:r w:rsidR="00DA7557">
        <w:rPr>
          <w:sz w:val="16"/>
        </w:rPr>
        <w:t>PAx</w:t>
      </w:r>
      <w:proofErr w:type="spellEnd"/>
    </w:p>
    <w:p w14:paraId="6E606F87" w14:textId="77777777" w:rsidR="00370CD0" w:rsidRPr="00022524" w:rsidRDefault="00370CD0" w:rsidP="00994D68">
      <w:pPr>
        <w:pStyle w:val="Body"/>
      </w:pPr>
      <w:r w:rsidRPr="00022524">
        <w:t>Generally, financial indicators represent 33% of all PF indicators in EU-average, i.e. financial indicators are the second most often used indicator for the PF, as is illustrated above. The analysis of MS specifics shows</w:t>
      </w:r>
    </w:p>
    <w:p w14:paraId="04A38D46" w14:textId="77777777" w:rsidR="00370CD0" w:rsidRPr="00022524" w:rsidRDefault="00370CD0" w:rsidP="00370CD0">
      <w:pPr>
        <w:pStyle w:val="BulletPoint1"/>
      </w:pPr>
      <w:r w:rsidRPr="00022524">
        <w:lastRenderedPageBreak/>
        <w:t xml:space="preserve">a generally high </w:t>
      </w:r>
      <w:r w:rsidR="00AE7399" w:rsidRPr="00022524">
        <w:t xml:space="preserve">share </w:t>
      </w:r>
      <w:r w:rsidRPr="00022524">
        <w:t>of financial indicators in the MS PF – i.e. financial indicator representing a high share on all PF indicators – of Austria, Denmark and Sweden with financial indicators representing more than 40% of all PF indicators identified;</w:t>
      </w:r>
    </w:p>
    <w:p w14:paraId="7CB71E7F" w14:textId="77777777" w:rsidR="00370CD0" w:rsidRPr="00022524" w:rsidRDefault="00370CD0" w:rsidP="00873380">
      <w:pPr>
        <w:pStyle w:val="BulletPoint1"/>
      </w:pPr>
      <w:r w:rsidRPr="00022524">
        <w:t xml:space="preserve">Estonia and Greece in particular, but also Lithuania, Latvia, Portugal and Romania, show a share of financial indicators below the EU level, i.e. less than 30% of their indicators are financial indicators across all categories of funding. </w:t>
      </w:r>
    </w:p>
    <w:p w14:paraId="1819FBFB" w14:textId="7FB92576" w:rsidR="00370CD0" w:rsidRPr="00022524" w:rsidRDefault="00075427" w:rsidP="00370CD0">
      <w:pPr>
        <w:pStyle w:val="Body"/>
      </w:pPr>
      <w:r w:rsidRPr="00022524">
        <w:t>However</w:t>
      </w:r>
      <w:r w:rsidR="00AA7C5A" w:rsidRPr="00022524">
        <w:t xml:space="preserve"> </w:t>
      </w:r>
      <w:proofErr w:type="spellStart"/>
      <w:r w:rsidR="00DA7557">
        <w:t>PAx</w:t>
      </w:r>
      <w:proofErr w:type="spellEnd"/>
      <w:r w:rsidR="00AA7C5A" w:rsidRPr="00022524">
        <w:t xml:space="preserve"> referring to more than one category of region</w:t>
      </w:r>
      <w:r w:rsidRPr="00022524">
        <w:t xml:space="preserve"> or combining more than one Fund</w:t>
      </w:r>
      <w:r w:rsidR="00AA7C5A" w:rsidRPr="00022524">
        <w:t xml:space="preserve"> </w:t>
      </w:r>
      <w:r w:rsidRPr="00022524">
        <w:t xml:space="preserve">have </w:t>
      </w:r>
      <w:r w:rsidR="00AA7C5A" w:rsidRPr="00022524">
        <w:t xml:space="preserve">more than 1 financial indicator, </w:t>
      </w:r>
      <w:r w:rsidRPr="00022524">
        <w:t>as in such cases</w:t>
      </w:r>
      <w:r w:rsidR="00AA7C5A" w:rsidRPr="00022524">
        <w:t xml:space="preserve"> each of the fund / category of region has its own performance framework</w:t>
      </w:r>
      <w:r w:rsidR="00370CD0" w:rsidRPr="00022524">
        <w:t xml:space="preserve">. </w:t>
      </w:r>
    </w:p>
    <w:p w14:paraId="37E479D1" w14:textId="77777777" w:rsidR="00370CD0" w:rsidRPr="00022524" w:rsidRDefault="00370CD0" w:rsidP="00096F14">
      <w:pPr>
        <w:pStyle w:val="Zwischenberschrift"/>
        <w:outlineLvl w:val="0"/>
      </w:pPr>
      <w:bookmarkStart w:id="93" w:name="_Toc433973104"/>
      <w:r w:rsidRPr="00022524">
        <w:t>Key implementation steps</w:t>
      </w:r>
      <w:bookmarkEnd w:id="93"/>
    </w:p>
    <w:p w14:paraId="53221227" w14:textId="1BBC8CD4" w:rsidR="006668ED" w:rsidRPr="00022524" w:rsidRDefault="00370CD0" w:rsidP="00A700CE">
      <w:pPr>
        <w:pStyle w:val="Body"/>
      </w:pPr>
      <w:r w:rsidRPr="00022524">
        <w:t>Key implementation steps</w:t>
      </w:r>
      <w:r w:rsidR="004645DC">
        <w:t xml:space="preserve"> can be used as milestones only, </w:t>
      </w:r>
      <w:r w:rsidR="004645DC" w:rsidRPr="00022524">
        <w:t>because by the end of the programming period, outputs should be available, and key implementation steps are not intended as final programme targets</w:t>
      </w:r>
      <w:r w:rsidR="004645DC" w:rsidRPr="00022524">
        <w:rPr>
          <w:rStyle w:val="FootnoteReference"/>
        </w:rPr>
        <w:footnoteReference w:id="25"/>
      </w:r>
      <w:r w:rsidRPr="00022524">
        <w:t xml:space="preserve"> </w:t>
      </w:r>
      <w:r w:rsidR="004645DC">
        <w:t xml:space="preserve">They </w:t>
      </w:r>
      <w:r w:rsidR="00F06E9A">
        <w:t>should</w:t>
      </w:r>
      <w:r w:rsidR="00F06E9A" w:rsidRPr="00022524">
        <w:t xml:space="preserve"> </w:t>
      </w:r>
      <w:r w:rsidRPr="00022524">
        <w:t>be used in cases where no measureable output is expected by the end of 2018</w:t>
      </w:r>
      <w:r w:rsidR="00F06E9A">
        <w:t xml:space="preserve"> A</w:t>
      </w:r>
      <w:r w:rsidR="00D158F1" w:rsidRPr="00022524">
        <w:t>s</w:t>
      </w:r>
      <w:r w:rsidR="00F06E9A">
        <w:t xml:space="preserve"> defined</w:t>
      </w:r>
      <w:r w:rsidR="00D158F1" w:rsidRPr="00022524">
        <w:t xml:space="preserve"> in</w:t>
      </w:r>
      <w:r w:rsidR="00F06E9A">
        <w:t xml:space="preserve"> Article 5(4) of</w:t>
      </w:r>
      <w:r w:rsidR="00D158F1" w:rsidRPr="00022524">
        <w:t xml:space="preserve"> the Commission Implementing Regulation (EU) No 215/2014, key implementation steps “shall be an important stage in the implementation of operations under a priority, whose completion is verifiable and may be expressed by a number or percentage”</w:t>
      </w:r>
      <w:r w:rsidRPr="00022524">
        <w:t>..</w:t>
      </w:r>
      <w:r w:rsidR="00994D68" w:rsidRPr="00022524">
        <w:t xml:space="preserve"> </w:t>
      </w:r>
    </w:p>
    <w:p w14:paraId="3A2AEE72" w14:textId="07C361A2" w:rsidR="005027C9" w:rsidRPr="00022524" w:rsidRDefault="00A76DFE" w:rsidP="00A700CE">
      <w:pPr>
        <w:pStyle w:val="Body"/>
      </w:pPr>
      <w:r w:rsidRPr="00022524">
        <w:t>K</w:t>
      </w:r>
      <w:r w:rsidR="00370CD0" w:rsidRPr="00022524">
        <w:t xml:space="preserve">ey implementation steps </w:t>
      </w:r>
      <w:r w:rsidRPr="00022524">
        <w:t>are applied diversely</w:t>
      </w:r>
      <w:r w:rsidR="00370CD0" w:rsidRPr="00022524">
        <w:t xml:space="preserve"> across the EU. Generally, this category of indicators was not used very often by the programmes </w:t>
      </w:r>
      <w:r w:rsidR="00C07734" w:rsidRPr="00022524">
        <w:t xml:space="preserve">and </w:t>
      </w:r>
      <w:proofErr w:type="spellStart"/>
      <w:r w:rsidR="00DA7557">
        <w:t>PAx</w:t>
      </w:r>
      <w:proofErr w:type="spellEnd"/>
      <w:r w:rsidR="00C07734" w:rsidRPr="00022524">
        <w:t xml:space="preserve"> (for 75% of all </w:t>
      </w:r>
      <w:proofErr w:type="spellStart"/>
      <w:r w:rsidR="00DA7557">
        <w:t>PAx</w:t>
      </w:r>
      <w:proofErr w:type="spellEnd"/>
      <w:r w:rsidR="00C07734" w:rsidRPr="00022524">
        <w:t xml:space="preserve"> no key implementation step was identified) for the PF</w:t>
      </w:r>
      <w:r w:rsidRPr="00022524">
        <w:t xml:space="preserve">. </w:t>
      </w:r>
      <w:r w:rsidR="00E86C96" w:rsidRPr="00022524">
        <w:t>F</w:t>
      </w:r>
      <w:r w:rsidRPr="00022524">
        <w:t>or</w:t>
      </w:r>
      <w:r w:rsidR="00370CD0" w:rsidRPr="00022524">
        <w:t xml:space="preserve"> </w:t>
      </w:r>
      <w:r w:rsidR="00A700CE" w:rsidRPr="00022524">
        <w:t xml:space="preserve">some </w:t>
      </w:r>
      <w:r w:rsidR="00370CD0" w:rsidRPr="00022524">
        <w:t>programmes</w:t>
      </w:r>
      <w:r w:rsidR="0022215C" w:rsidRPr="00022524">
        <w:t xml:space="preserve">, </w:t>
      </w:r>
      <w:proofErr w:type="spellStart"/>
      <w:r w:rsidR="00DA7557">
        <w:t>PAx</w:t>
      </w:r>
      <w:proofErr w:type="spellEnd"/>
      <w:r w:rsidR="00370CD0" w:rsidRPr="00022524">
        <w:t xml:space="preserve"> and MS key implementation steps represent an important indicator category</w:t>
      </w:r>
      <w:r w:rsidR="005027C9" w:rsidRPr="00022524">
        <w:t>:</w:t>
      </w:r>
      <w:r w:rsidR="00370CD0" w:rsidRPr="00022524">
        <w:t xml:space="preserve"> </w:t>
      </w:r>
    </w:p>
    <w:p w14:paraId="09169F0D" w14:textId="77777777" w:rsidR="005027C9" w:rsidRPr="00022524" w:rsidRDefault="00420798" w:rsidP="00FC6929">
      <w:pPr>
        <w:pStyle w:val="BulletPoint1"/>
      </w:pPr>
      <w:r w:rsidRPr="00022524">
        <w:t xml:space="preserve">MS with a high share of KIS (&gt;20% of all PF indicators) are Greece, Lithuania, the Netherlands, Romania and the UK. </w:t>
      </w:r>
    </w:p>
    <w:p w14:paraId="11958DB2" w14:textId="77777777" w:rsidR="005027C9" w:rsidRPr="00022524" w:rsidRDefault="00420798" w:rsidP="00FC6929">
      <w:pPr>
        <w:pStyle w:val="BulletPoint1"/>
      </w:pPr>
      <w:r w:rsidRPr="00022524">
        <w:t xml:space="preserve">Especially national programmes show an increased share of key implementations steps in their PF (on average: 15% of all PF indicators). </w:t>
      </w:r>
    </w:p>
    <w:p w14:paraId="3D27549A" w14:textId="04EF9C29" w:rsidR="005027C9" w:rsidRPr="00022524" w:rsidRDefault="00C07734" w:rsidP="00FC6929">
      <w:pPr>
        <w:pStyle w:val="BulletPoint1"/>
      </w:pPr>
      <w:r w:rsidRPr="00022524">
        <w:t xml:space="preserve">In total, 397 </w:t>
      </w:r>
      <w:proofErr w:type="spellStart"/>
      <w:r w:rsidR="00DA7557">
        <w:t>PAx</w:t>
      </w:r>
      <w:proofErr w:type="spellEnd"/>
      <w:r w:rsidRPr="00022524">
        <w:t xml:space="preserve"> (IGJ: 315 </w:t>
      </w:r>
      <w:proofErr w:type="spellStart"/>
      <w:r w:rsidR="00DA7557">
        <w:t>PAx</w:t>
      </w:r>
      <w:proofErr w:type="spellEnd"/>
      <w:r w:rsidRPr="00022524">
        <w:t xml:space="preserve">; ETC: 82 </w:t>
      </w:r>
      <w:proofErr w:type="spellStart"/>
      <w:r w:rsidR="00DA7557">
        <w:t>PAx</w:t>
      </w:r>
      <w:proofErr w:type="spellEnd"/>
      <w:r w:rsidRPr="00022524">
        <w:t xml:space="preserve">) out of the total of 1,565 </w:t>
      </w:r>
      <w:proofErr w:type="spellStart"/>
      <w:r w:rsidR="00DA7557">
        <w:t>PAx</w:t>
      </w:r>
      <w:proofErr w:type="spellEnd"/>
      <w:r w:rsidRPr="00022524">
        <w:t xml:space="preserve"> with a PF, have identified key implementation steps in their PF. 15% of all </w:t>
      </w:r>
      <w:proofErr w:type="spellStart"/>
      <w:r w:rsidR="00DA7557">
        <w:t>PAx</w:t>
      </w:r>
      <w:proofErr w:type="spellEnd"/>
      <w:r w:rsidRPr="00022524">
        <w:t xml:space="preserve"> of IGJ programmes have identified one key implementation step, while 22% of all </w:t>
      </w:r>
      <w:proofErr w:type="spellStart"/>
      <w:r w:rsidR="00DA7557">
        <w:t>PAx</w:t>
      </w:r>
      <w:proofErr w:type="spellEnd"/>
      <w:r w:rsidRPr="00022524">
        <w:t xml:space="preserve"> of the ETC programmes have identified one key implementation step in their performance framework. </w:t>
      </w:r>
    </w:p>
    <w:p w14:paraId="5D1F4A18" w14:textId="7CC6BEFB" w:rsidR="006668ED" w:rsidRPr="00022524" w:rsidRDefault="00D158F1" w:rsidP="00A700CE">
      <w:pPr>
        <w:pStyle w:val="Body"/>
      </w:pPr>
      <w:r w:rsidRPr="00022524">
        <w:t xml:space="preserve">The identification of one or two key implementation steps per </w:t>
      </w:r>
      <w:proofErr w:type="spellStart"/>
      <w:r w:rsidR="00DA7557">
        <w:t>PAx</w:t>
      </w:r>
      <w:proofErr w:type="spellEnd"/>
      <w:r w:rsidRPr="00022524">
        <w:t xml:space="preserve"> is the most commonly used practice in Europe. Only a few PFs selected between three and four key implementation steps per </w:t>
      </w:r>
      <w:proofErr w:type="spellStart"/>
      <w:r w:rsidR="00DA7557">
        <w:t>PAx</w:t>
      </w:r>
      <w:proofErr w:type="spellEnd"/>
      <w:r w:rsidR="00C07734" w:rsidRPr="00022524">
        <w:t>. More than 5 (up to 18</w:t>
      </w:r>
      <w:r w:rsidR="00C07734" w:rsidRPr="00022524">
        <w:rPr>
          <w:rStyle w:val="FootnoteReference"/>
        </w:rPr>
        <w:footnoteReference w:id="26"/>
      </w:r>
      <w:r w:rsidR="00C07734" w:rsidRPr="00022524">
        <w:t>) key implementation steps were only used occasionally.</w:t>
      </w:r>
      <w:r w:rsidR="00A700CE" w:rsidRPr="00022524">
        <w:t xml:space="preserve"> </w:t>
      </w:r>
    </w:p>
    <w:p w14:paraId="17022B99" w14:textId="299CAF10" w:rsidR="005027C9" w:rsidRPr="00022524" w:rsidRDefault="005027C9" w:rsidP="003B062D">
      <w:pPr>
        <w:pStyle w:val="Body"/>
        <w:spacing w:after="120"/>
      </w:pPr>
      <w:r w:rsidRPr="00022524">
        <w:t xml:space="preserve">The following figure provides an overview per EU MS and the number of </w:t>
      </w:r>
      <w:proofErr w:type="spellStart"/>
      <w:r w:rsidR="00DA7557">
        <w:t>PAx</w:t>
      </w:r>
      <w:proofErr w:type="spellEnd"/>
      <w:r w:rsidRPr="00022524">
        <w:t xml:space="preserve"> which refer to a) no key implementation step, b) 1 key implementation step, c) 2 key implementation steps, d) 3 key implementation step, e) 4 key implementation steps, f) 5 key implementation steps, and g) more than 5 key implementation steps. The figure underlines the above finding of the importance of KIS in the performance frameworks of Greece, Lithuania, the Netherlands, Romania and the UK.</w:t>
      </w:r>
    </w:p>
    <w:p w14:paraId="119098E7" w14:textId="6B9DDBBB" w:rsidR="000105ED" w:rsidRPr="00C55CB9" w:rsidRDefault="000105ED">
      <w:pPr>
        <w:spacing w:after="0"/>
        <w:jc w:val="left"/>
        <w:rPr>
          <w:rFonts w:ascii="Verdana" w:hAnsi="Verdana"/>
          <w:b/>
          <w:color w:val="000000" w:themeColor="text1"/>
          <w:sz w:val="16"/>
          <w:highlight w:val="lightGray"/>
          <w:lang w:val="en-GB"/>
        </w:rPr>
      </w:pPr>
      <w:bookmarkStart w:id="94" w:name="_Toc314943831"/>
      <w:r w:rsidRPr="00797148">
        <w:rPr>
          <w:highlight w:val="lightGray"/>
          <w:lang w:val="en-GB"/>
        </w:rPr>
        <w:br w:type="page"/>
      </w:r>
    </w:p>
    <w:p w14:paraId="7BD3F009" w14:textId="77777777" w:rsidR="000105ED" w:rsidRDefault="000105ED" w:rsidP="0050283B">
      <w:pPr>
        <w:pStyle w:val="Figure"/>
        <w:numPr>
          <w:ilvl w:val="0"/>
          <w:numId w:val="0"/>
        </w:numPr>
        <w:sectPr w:rsidR="000105ED" w:rsidSect="00315841">
          <w:headerReference w:type="first" r:id="rId39"/>
          <w:pgSz w:w="11907" w:h="16839" w:code="9"/>
          <w:pgMar w:top="851" w:right="1418" w:bottom="851" w:left="1418" w:header="567" w:footer="567" w:gutter="0"/>
          <w:cols w:space="720"/>
          <w:titlePg/>
          <w:docGrid w:linePitch="326"/>
        </w:sectPr>
      </w:pPr>
    </w:p>
    <w:p w14:paraId="146A5217" w14:textId="14DAC537" w:rsidR="00EA3DAA" w:rsidRPr="00022524" w:rsidRDefault="00DA7557" w:rsidP="00977E97">
      <w:pPr>
        <w:pStyle w:val="Figure"/>
      </w:pPr>
      <w:bookmarkStart w:id="95" w:name="_Toc448146049"/>
      <w:proofErr w:type="spellStart"/>
      <w:r>
        <w:lastRenderedPageBreak/>
        <w:t>PAx</w:t>
      </w:r>
      <w:proofErr w:type="spellEnd"/>
      <w:r w:rsidR="00EA3DAA" w:rsidRPr="00022524">
        <w:t xml:space="preserve"> with number of key implementation steps</w:t>
      </w:r>
      <w:bookmarkEnd w:id="94"/>
      <w:r w:rsidR="00EA3DAA" w:rsidRPr="00022524">
        <w:t xml:space="preserve"> – share &amp; absolute figures</w:t>
      </w:r>
      <w:bookmarkEnd w:id="95"/>
    </w:p>
    <w:p w14:paraId="4DDBE7E3" w14:textId="77777777" w:rsidR="00EA3DAA" w:rsidRPr="00022524" w:rsidRDefault="00EA3DAA" w:rsidP="00EA3DAA">
      <w:pPr>
        <w:pStyle w:val="Abbildung"/>
        <w:rPr>
          <w:lang w:val="en-GB"/>
        </w:rPr>
      </w:pPr>
      <w:r w:rsidRPr="00022524">
        <w:rPr>
          <w:lang w:val="en-GB"/>
        </w:rPr>
        <w:t xml:space="preserve"> </w:t>
      </w:r>
      <w:r w:rsidRPr="00022524">
        <w:rPr>
          <w:lang w:val="en-GB" w:eastAsia="en-GB"/>
        </w:rPr>
        <w:drawing>
          <wp:inline distT="0" distB="0" distL="0" distR="0" wp14:anchorId="33B2D21A" wp14:editId="245A64F8">
            <wp:extent cx="7502776" cy="4890976"/>
            <wp:effectExtent l="0" t="0" r="3175" b="5080"/>
            <wp:docPr id="13" name="Picture 13" descr="/Users/phani/Desktop/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phani/Desktop/Picture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11143" cy="4896431"/>
                    </a:xfrm>
                    <a:prstGeom prst="rect">
                      <a:avLst/>
                    </a:prstGeom>
                    <a:noFill/>
                    <a:ln>
                      <a:noFill/>
                    </a:ln>
                  </pic:spPr>
                </pic:pic>
              </a:graphicData>
            </a:graphic>
          </wp:inline>
        </w:drawing>
      </w:r>
    </w:p>
    <w:p w14:paraId="085BDDC3" w14:textId="3AE051DD" w:rsidR="00EA3DAA" w:rsidRPr="00022524" w:rsidRDefault="00EA3DAA" w:rsidP="00EA3DAA">
      <w:pPr>
        <w:pStyle w:val="Source"/>
      </w:pPr>
      <w:r w:rsidRPr="00022524">
        <w:t xml:space="preserve">Source: Database on performance indicators. 2016. </w:t>
      </w:r>
    </w:p>
    <w:p w14:paraId="7411B95C" w14:textId="77777777" w:rsidR="000105ED" w:rsidRDefault="000105ED" w:rsidP="00994D68">
      <w:pPr>
        <w:pStyle w:val="Body"/>
      </w:pPr>
    </w:p>
    <w:p w14:paraId="2F4FB920" w14:textId="77777777" w:rsidR="00153D1D" w:rsidRDefault="00153D1D" w:rsidP="00994D68">
      <w:pPr>
        <w:pStyle w:val="Body"/>
        <w:sectPr w:rsidR="00153D1D" w:rsidSect="00153D1D">
          <w:pgSz w:w="16839" w:h="11907" w:orient="landscape" w:code="9"/>
          <w:pgMar w:top="1418" w:right="851" w:bottom="1418" w:left="851" w:header="567" w:footer="567" w:gutter="0"/>
          <w:cols w:space="720"/>
          <w:titlePg/>
          <w:docGrid w:linePitch="326"/>
        </w:sectPr>
      </w:pPr>
    </w:p>
    <w:p w14:paraId="475743B4" w14:textId="73468964" w:rsidR="00370CD0" w:rsidRPr="00022524" w:rsidRDefault="00370CD0" w:rsidP="00994D68">
      <w:pPr>
        <w:pStyle w:val="Body"/>
      </w:pPr>
      <w:r w:rsidRPr="00022524">
        <w:lastRenderedPageBreak/>
        <w:t xml:space="preserve">In absolute terms, the highest number of key implementation steps was identified for Greece (M2) </w:t>
      </w:r>
      <w:proofErr w:type="gramStart"/>
      <w:r w:rsidRPr="00022524">
        <w:t>with 106 key implementation</w:t>
      </w:r>
      <w:proofErr w:type="gramEnd"/>
      <w:r w:rsidRPr="00022524">
        <w:t xml:space="preserve"> </w:t>
      </w:r>
      <w:r w:rsidR="003167AE" w:rsidRPr="00022524">
        <w:t>across</w:t>
      </w:r>
      <w:r w:rsidRPr="00022524">
        <w:t xml:space="preserve"> all programmes. Whereas, in relative terms Bulgaria showed the highest number of key implementation steps, with 4.0 per </w:t>
      </w:r>
      <w:proofErr w:type="spellStart"/>
      <w:r w:rsidR="00DA7557">
        <w:t>PAx</w:t>
      </w:r>
      <w:proofErr w:type="spellEnd"/>
      <w:r w:rsidRPr="00022524">
        <w:t xml:space="preserve"> (M2). </w:t>
      </w:r>
    </w:p>
    <w:p w14:paraId="79CD1D44" w14:textId="40258A4B" w:rsidR="00433412" w:rsidRPr="00022524" w:rsidRDefault="00433412" w:rsidP="00433412">
      <w:pPr>
        <w:pStyle w:val="Body"/>
      </w:pPr>
      <w:r w:rsidRPr="00022524">
        <w:t xml:space="preserve">With regard to the use of key implementation steps across thematic objectives, 14% </w:t>
      </w:r>
      <w:r w:rsidR="00443372" w:rsidRPr="00022524">
        <w:t>of the key implementation steps</w:t>
      </w:r>
      <w:r w:rsidR="00234561" w:rsidRPr="00022524">
        <w:t xml:space="preserve"> of the analysed programmes</w:t>
      </w:r>
      <w:r w:rsidR="00443372" w:rsidRPr="00022524">
        <w:t xml:space="preserve"> are linked </w:t>
      </w:r>
      <w:r w:rsidRPr="00022524">
        <w:t>to TO6</w:t>
      </w:r>
      <w:r w:rsidRPr="00022524">
        <w:rPr>
          <w:rStyle w:val="FootnoteReference"/>
        </w:rPr>
        <w:footnoteReference w:id="27"/>
      </w:r>
      <w:r w:rsidRPr="00022524">
        <w:t>, 12% to TO4</w:t>
      </w:r>
      <w:r w:rsidRPr="00022524">
        <w:rPr>
          <w:rStyle w:val="FootnoteReference"/>
        </w:rPr>
        <w:footnoteReference w:id="28"/>
      </w:r>
      <w:r w:rsidRPr="00022524">
        <w:t>, 12% to TO7</w:t>
      </w:r>
      <w:r w:rsidRPr="00022524">
        <w:rPr>
          <w:rStyle w:val="FootnoteReference"/>
        </w:rPr>
        <w:footnoteReference w:id="29"/>
      </w:r>
      <w:r w:rsidRPr="00022524">
        <w:t xml:space="preserve"> and 10% to TO1</w:t>
      </w:r>
      <w:r w:rsidRPr="00022524">
        <w:rPr>
          <w:rStyle w:val="FootnoteReference"/>
        </w:rPr>
        <w:footnoteReference w:id="30"/>
      </w:r>
      <w:r w:rsidRPr="00022524">
        <w:t>. A rather low share of key implementation steps fall under the remaining T</w:t>
      </w:r>
      <w:r w:rsidR="00874B12">
        <w:t>O</w:t>
      </w:r>
      <w:r w:rsidRPr="00022524">
        <w:t xml:space="preserve">s. </w:t>
      </w:r>
      <w:r w:rsidR="00443372" w:rsidRPr="00022524">
        <w:t xml:space="preserve">Besides, 27% of the key implementation steps of the analysed programmes are linked to </w:t>
      </w:r>
      <w:proofErr w:type="spellStart"/>
      <w:r w:rsidR="00DA7557">
        <w:t>PAx</w:t>
      </w:r>
      <w:proofErr w:type="spellEnd"/>
      <w:r w:rsidR="00443372" w:rsidRPr="00022524">
        <w:t xml:space="preserve"> referring to more than one thematic objectives (category “multi”). </w:t>
      </w:r>
    </w:p>
    <w:p w14:paraId="2AA85B63" w14:textId="3A7B0999" w:rsidR="004B2CE6" w:rsidRPr="00022524" w:rsidRDefault="002D1315" w:rsidP="00433412">
      <w:pPr>
        <w:pStyle w:val="Body"/>
      </w:pPr>
      <w:r w:rsidRPr="00022524">
        <w:t xml:space="preserve">The following figure illustrates the proportion of key implementation steps per thematic objective. It got evident that especially for </w:t>
      </w:r>
      <w:proofErr w:type="spellStart"/>
      <w:r w:rsidR="00DA7557">
        <w:t>PAx</w:t>
      </w:r>
      <w:proofErr w:type="spellEnd"/>
      <w:r w:rsidRPr="00022524">
        <w:t xml:space="preserve"> under TO7</w:t>
      </w:r>
      <w:r w:rsidRPr="00022524">
        <w:rPr>
          <w:rStyle w:val="FootnoteReference"/>
        </w:rPr>
        <w:footnoteReference w:id="31"/>
      </w:r>
      <w:r w:rsidRPr="00022524">
        <w:t xml:space="preserve"> key implementation steps make 19% of all PF indicators identified for the performance framework of the </w:t>
      </w:r>
      <w:proofErr w:type="spellStart"/>
      <w:r w:rsidR="00DA7557">
        <w:t>PAx</w:t>
      </w:r>
      <w:proofErr w:type="spellEnd"/>
      <w:r w:rsidRPr="00022524">
        <w:t xml:space="preserve">. </w:t>
      </w:r>
    </w:p>
    <w:p w14:paraId="4CE8A17A" w14:textId="011DE01E" w:rsidR="00EA3DAA" w:rsidRPr="00022524" w:rsidRDefault="00EA3DAA" w:rsidP="00EF0A14">
      <w:pPr>
        <w:pStyle w:val="Figure"/>
      </w:pPr>
      <w:bookmarkStart w:id="96" w:name="_Toc448146050"/>
      <w:r w:rsidRPr="00022524">
        <w:t>Share of key implementation step</w:t>
      </w:r>
      <w:r w:rsidR="002D1315" w:rsidRPr="00022524">
        <w:t>s</w:t>
      </w:r>
      <w:r w:rsidRPr="00022524">
        <w:t xml:space="preserve"> per thematic objective</w:t>
      </w:r>
      <w:bookmarkEnd w:id="96"/>
    </w:p>
    <w:p w14:paraId="1387B531" w14:textId="77777777" w:rsidR="00EA3DAA" w:rsidRPr="00022524" w:rsidRDefault="00EA3DAA" w:rsidP="00EA3DAA">
      <w:pPr>
        <w:pStyle w:val="Abbildung"/>
        <w:rPr>
          <w:lang w:val="en-GB"/>
        </w:rPr>
      </w:pPr>
      <w:r w:rsidRPr="00022524">
        <w:rPr>
          <w:lang w:val="en-GB"/>
        </w:rPr>
        <w:t xml:space="preserve"> </w:t>
      </w:r>
      <w:r w:rsidRPr="00022524">
        <w:rPr>
          <w:lang w:val="en-GB" w:eastAsia="en-GB"/>
        </w:rPr>
        <w:drawing>
          <wp:inline distT="0" distB="0" distL="0" distR="0" wp14:anchorId="3548DA97" wp14:editId="46F6B097">
            <wp:extent cx="5715000" cy="3725545"/>
            <wp:effectExtent l="0" t="0" r="0" b="8255"/>
            <wp:docPr id="16" name="Picture 16" descr="/Users/phani/Desktop/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phani/Desktop/Picture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725545"/>
                    </a:xfrm>
                    <a:prstGeom prst="rect">
                      <a:avLst/>
                    </a:prstGeom>
                    <a:noFill/>
                    <a:ln>
                      <a:noFill/>
                    </a:ln>
                  </pic:spPr>
                </pic:pic>
              </a:graphicData>
            </a:graphic>
          </wp:inline>
        </w:drawing>
      </w:r>
    </w:p>
    <w:p w14:paraId="583ED38B" w14:textId="64C80213" w:rsidR="00EA3DAA" w:rsidRPr="00022524" w:rsidRDefault="00EA3DAA" w:rsidP="00EA3DAA">
      <w:pPr>
        <w:pStyle w:val="Source"/>
      </w:pPr>
      <w:r w:rsidRPr="00022524">
        <w:t xml:space="preserve">Source: Database on performance indicators. 2016. Note: </w:t>
      </w:r>
      <w:proofErr w:type="spellStart"/>
      <w:r w:rsidR="00DA7557">
        <w:t>PAx</w:t>
      </w:r>
      <w:proofErr w:type="spellEnd"/>
    </w:p>
    <w:p w14:paraId="7D4664EB" w14:textId="2BEBC1C8" w:rsidR="00433412" w:rsidRPr="00022524" w:rsidRDefault="00433412" w:rsidP="00433412">
      <w:pPr>
        <w:pStyle w:val="Body"/>
      </w:pPr>
      <w:r w:rsidRPr="00022524">
        <w:t xml:space="preserve">Key implementation steps are used for a variety of different aspects and it is difficult to categorise them into common categories as their precise names, definitions and units of measurement are not standardised. A rough analysis of the names and units of measurements used most frequently for key implementation steps shows clearly that about </w:t>
      </w:r>
      <w:r w:rsidR="00C77F7D" w:rsidRPr="00022524">
        <w:t xml:space="preserve">a quarter </w:t>
      </w:r>
      <w:r w:rsidRPr="00022524">
        <w:t>of them relate in one way or the other to the number of approved or contracted projects or operations. Getting projects or operations up and running is thus clearly the most common feature among key implementation steps. Other aspects for which key implementation steps are used more often relate to ‘enterprises’ (e.g. number of enterprises receiving support). About 9% of the key implementation steps can be linked to ‘enterprises’. This is followed by key implementation steps linked to ‘km’ of infrastructure (</w:t>
      </w:r>
      <w:r w:rsidR="000426C8">
        <w:pgNum/>
      </w:r>
      <w:r w:rsidR="003B062D">
        <w:t xml:space="preserve"> </w:t>
      </w:r>
      <w:r w:rsidR="00FC3C1B">
        <w:t>approx.</w:t>
      </w:r>
      <w:r w:rsidRPr="00022524">
        <w:t xml:space="preserve"> 7%). </w:t>
      </w:r>
      <w:r w:rsidR="00C77F7D" w:rsidRPr="00022524">
        <w:t>These categories of KIS – i.e. referring to ‘enterprises’ and ‘km’ – are akin to output indicators, but measure outputs in relation to selected but not fully implemented operations.</w:t>
      </w:r>
      <w:r w:rsidR="00741279" w:rsidRPr="00022524">
        <w:t xml:space="preserve"> </w:t>
      </w:r>
      <w:r w:rsidRPr="00022524">
        <w:t>Furthermore, about 2% are linked to the amount of expenditure in EUR.</w:t>
      </w:r>
      <w:r w:rsidR="00C95E99">
        <w:t xml:space="preserve"> </w:t>
      </w:r>
      <w:r w:rsidR="00C95E99" w:rsidRPr="00B67D2A">
        <w:t>This will only be true for the situations where milestone for output indicat</w:t>
      </w:r>
      <w:r w:rsidR="00C95E99">
        <w:t xml:space="preserve">or = 0, which is not </w:t>
      </w:r>
      <w:r w:rsidR="00C95E99" w:rsidRPr="00B67D2A">
        <w:t>a</w:t>
      </w:r>
      <w:r w:rsidR="00C95E99">
        <w:t>l</w:t>
      </w:r>
      <w:r w:rsidR="00C95E99" w:rsidRPr="00B67D2A">
        <w:t>ways the case.</w:t>
      </w:r>
      <w:r w:rsidRPr="00022524">
        <w:t xml:space="preserve"> Probably at the same level – but more difficult to assess due to lacking detail on the meaning of key </w:t>
      </w:r>
      <w:r w:rsidRPr="00022524">
        <w:lastRenderedPageBreak/>
        <w:t>implementation steps – are aspects such as the development or implementation of strategies and agreements.</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BE3717" w:rsidRPr="00767075" w14:paraId="2E471A92" w14:textId="77777777" w:rsidTr="00BE3717">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109A7B04" w14:textId="77777777" w:rsidR="00E41A34" w:rsidRPr="00022524" w:rsidRDefault="00E41A34" w:rsidP="00E41A34">
            <w:pPr>
              <w:pStyle w:val="Body"/>
              <w:keepNext/>
              <w:spacing w:before="120" w:after="60"/>
              <w:rPr>
                <w:b/>
                <w:color w:val="004696"/>
                <w:szCs w:val="18"/>
              </w:rPr>
            </w:pPr>
            <w:r w:rsidRPr="00022524">
              <w:rPr>
                <w:b/>
                <w:color w:val="004696"/>
                <w:szCs w:val="18"/>
              </w:rPr>
              <w:t>Example OP 2014GR16M2OP001/ Competitiveness, Entrepreneurship and Innovation</w:t>
            </w:r>
          </w:p>
          <w:p w14:paraId="116E14CF" w14:textId="024BFB58" w:rsidR="009E3E3A" w:rsidRPr="00022524" w:rsidRDefault="009E3E3A" w:rsidP="009E3E3A">
            <w:pPr>
              <w:pStyle w:val="Body"/>
              <w:keepNext/>
              <w:spacing w:before="120" w:after="60"/>
              <w:rPr>
                <w:color w:val="auto"/>
              </w:rPr>
            </w:pPr>
            <w:r w:rsidRPr="00022524">
              <w:rPr>
                <w:color w:val="auto"/>
              </w:rPr>
              <w:t xml:space="preserve">The programme identified the following key implementation steps as milestone “Approved project for </w:t>
            </w:r>
            <w:r w:rsidR="00AE6EC8" w:rsidRPr="00022524">
              <w:rPr>
                <w:color w:val="auto"/>
              </w:rPr>
              <w:t xml:space="preserve">common indicator </w:t>
            </w:r>
            <w:r w:rsidRPr="00022524">
              <w:rPr>
                <w:color w:val="auto"/>
              </w:rPr>
              <w:t xml:space="preserve">02 Number of enterprises receiving grants”, which complemented the common ERDF output indicator “Number of enterprises receiving grants” implying finalised projects (for final target measurement). Thus following suit the project implementation cycle of the </w:t>
            </w:r>
            <w:r w:rsidR="00AE6EC8" w:rsidRPr="00022524">
              <w:rPr>
                <w:color w:val="auto"/>
              </w:rPr>
              <w:t>programme</w:t>
            </w:r>
            <w:r w:rsidRPr="00022524">
              <w:rPr>
                <w:color w:val="auto"/>
              </w:rPr>
              <w:t>.</w:t>
            </w:r>
          </w:p>
          <w:p w14:paraId="47210032" w14:textId="77777777" w:rsidR="00BE3717" w:rsidRPr="00022524" w:rsidRDefault="00BE3717" w:rsidP="00BE3717">
            <w:pPr>
              <w:pStyle w:val="Body"/>
              <w:keepNext/>
              <w:spacing w:before="120" w:after="60"/>
              <w:rPr>
                <w:b/>
                <w:color w:val="004696"/>
                <w:szCs w:val="18"/>
              </w:rPr>
            </w:pPr>
            <w:r w:rsidRPr="00022524">
              <w:rPr>
                <w:b/>
                <w:color w:val="004696"/>
                <w:szCs w:val="18"/>
              </w:rPr>
              <w:t>Example OP 2014TC16RFCB022/INTERREG V-A Greece-Bulgaria</w:t>
            </w:r>
          </w:p>
          <w:p w14:paraId="58116471" w14:textId="77777777" w:rsidR="00BE3717" w:rsidRPr="00022524" w:rsidRDefault="00BE3717" w:rsidP="00277C75">
            <w:pPr>
              <w:pStyle w:val="Body"/>
              <w:spacing w:before="60" w:after="60"/>
              <w:rPr>
                <w:color w:val="auto"/>
              </w:rPr>
            </w:pPr>
            <w:r w:rsidRPr="00022524">
              <w:rPr>
                <w:color w:val="auto"/>
              </w:rPr>
              <w:t>The programme identified the following key implementation step as</w:t>
            </w:r>
            <w:r w:rsidR="003167AE" w:rsidRPr="00022524">
              <w:rPr>
                <w:color w:val="auto"/>
              </w:rPr>
              <w:t xml:space="preserve"> a</w:t>
            </w:r>
            <w:r w:rsidRPr="00022524">
              <w:rPr>
                <w:color w:val="auto"/>
              </w:rPr>
              <w:t xml:space="preserve"> milestone “Projects with at least one signed Contract of technical – construction works sub-projects”, </w:t>
            </w:r>
            <w:r w:rsidR="00277C75" w:rsidRPr="00022524">
              <w:rPr>
                <w:color w:val="auto"/>
              </w:rPr>
              <w:t xml:space="preserve">which </w:t>
            </w:r>
            <w:r w:rsidRPr="00022524">
              <w:rPr>
                <w:color w:val="auto"/>
              </w:rPr>
              <w:t>complemented the common ERDF output indicator “Total length of newly built roads, of which: TEN-T” (for final target measurement).</w:t>
            </w:r>
          </w:p>
        </w:tc>
      </w:tr>
    </w:tbl>
    <w:p w14:paraId="78D30C82" w14:textId="77777777" w:rsidR="00370CD0" w:rsidRPr="00022524" w:rsidRDefault="00370CD0" w:rsidP="00833189">
      <w:pPr>
        <w:pStyle w:val="Body"/>
        <w:spacing w:before="360"/>
      </w:pPr>
      <w:r w:rsidRPr="00022524">
        <w:t xml:space="preserve">At the MS level, the analysis of the share of key implementation steps in relation to all PF indicators shows that: </w:t>
      </w:r>
    </w:p>
    <w:p w14:paraId="5393BD47" w14:textId="38716308" w:rsidR="00370CD0" w:rsidRPr="00022524" w:rsidRDefault="00277C75" w:rsidP="00370CD0">
      <w:pPr>
        <w:pStyle w:val="BulletPoint1"/>
      </w:pPr>
      <w:r w:rsidRPr="00022524">
        <w:t>T</w:t>
      </w:r>
      <w:r w:rsidR="00370CD0" w:rsidRPr="00022524">
        <w:t xml:space="preserve">he Netherlands and the United Kingdom show values well above the EU-average with around 30% of all PF indicators being key implementation steps; </w:t>
      </w:r>
      <w:r w:rsidR="0020318C" w:rsidRPr="00022524">
        <w:t xml:space="preserve">this goes in line with the above finding of these countries showing high shares of </w:t>
      </w:r>
      <w:proofErr w:type="spellStart"/>
      <w:r w:rsidR="00DA7557">
        <w:t>PAx</w:t>
      </w:r>
      <w:proofErr w:type="spellEnd"/>
      <w:r w:rsidR="0020318C" w:rsidRPr="00022524">
        <w:t xml:space="preserve"> with 1 or more key implementation steps in their PF.</w:t>
      </w:r>
    </w:p>
    <w:p w14:paraId="65D135EA" w14:textId="77777777" w:rsidR="00370CD0" w:rsidRPr="00022524" w:rsidRDefault="00370CD0" w:rsidP="00370CD0">
      <w:pPr>
        <w:pStyle w:val="BulletPoint1"/>
      </w:pPr>
      <w:proofErr w:type="gramStart"/>
      <w:r w:rsidRPr="00022524">
        <w:t>on</w:t>
      </w:r>
      <w:proofErr w:type="gramEnd"/>
      <w:r w:rsidRPr="00022524">
        <w:t xml:space="preserve"> the contrary no key implementation steps at all were identified for Austria, the Czech Republic, Denmark, Estonia, Finland and Luxembourg.</w:t>
      </w:r>
    </w:p>
    <w:p w14:paraId="260E4C25" w14:textId="77777777" w:rsidR="00370CD0" w:rsidRPr="00022524" w:rsidRDefault="00370CD0" w:rsidP="00370CD0">
      <w:pPr>
        <w:pStyle w:val="Body"/>
        <w:spacing w:after="120"/>
      </w:pPr>
      <w:r w:rsidRPr="00022524">
        <w:t xml:space="preserve">The </w:t>
      </w:r>
      <w:r w:rsidR="00BE3717" w:rsidRPr="00022524">
        <w:t>assessment</w:t>
      </w:r>
      <w:r w:rsidRPr="00022524">
        <w:t xml:space="preserve"> of the use of key implementation steps per type of region shows the following situation:</w:t>
      </w:r>
    </w:p>
    <w:p w14:paraId="0D8BDDC5" w14:textId="77777777" w:rsidR="00370CD0" w:rsidRPr="00022524" w:rsidRDefault="00370CD0" w:rsidP="00370CD0">
      <w:pPr>
        <w:pStyle w:val="BulletPoint1"/>
      </w:pPr>
      <w:r w:rsidRPr="00022524">
        <w:t>Programmes focusing on a single region and those focusing on more than one type of regions show a similar situation of key implementation steps (approx. 12%).</w:t>
      </w:r>
    </w:p>
    <w:p w14:paraId="49C77621" w14:textId="77777777" w:rsidR="00370CD0" w:rsidRPr="00022524" w:rsidRDefault="00370CD0" w:rsidP="00370CD0">
      <w:pPr>
        <w:pStyle w:val="BulletPoint1"/>
      </w:pPr>
      <w:r w:rsidRPr="00022524">
        <w:t xml:space="preserve">Programmes focusing on more developed regions show a very low level of key implementation steps (7% of all PF indicators), </w:t>
      </w:r>
    </w:p>
    <w:p w14:paraId="040BA63C" w14:textId="77777777" w:rsidR="00370CD0" w:rsidRPr="00022524" w:rsidRDefault="00370CD0" w:rsidP="00370CD0">
      <w:pPr>
        <w:pStyle w:val="BulletPoint1"/>
      </w:pPr>
      <w:proofErr w:type="gramStart"/>
      <w:r w:rsidRPr="00022524">
        <w:t>whereas</w:t>
      </w:r>
      <w:proofErr w:type="gramEnd"/>
      <w:r w:rsidRPr="00022524">
        <w:t xml:space="preserve"> particularly less developed regions show values above the average (15% of PF indicators being key implementation steps). </w:t>
      </w:r>
    </w:p>
    <w:p w14:paraId="4DF501E5" w14:textId="77777777" w:rsidR="00370CD0" w:rsidRPr="00022524" w:rsidRDefault="00370CD0" w:rsidP="00370CD0">
      <w:pPr>
        <w:pStyle w:val="Body"/>
        <w:spacing w:after="120"/>
      </w:pPr>
      <w:r w:rsidRPr="00022524">
        <w:t xml:space="preserve">ETC programmes show, on average, a share of PF key implementation steps ranging within the EU-average of IGJ programmes (12% of all PF indicators of ETC programmes are key implementation steps), although a clear difference between the funds is visible: </w:t>
      </w:r>
    </w:p>
    <w:p w14:paraId="4B568D93" w14:textId="77777777" w:rsidR="00370CD0" w:rsidRPr="00022524" w:rsidRDefault="00370CD0" w:rsidP="00370CD0">
      <w:pPr>
        <w:pStyle w:val="BulletPoint1"/>
      </w:pPr>
      <w:r w:rsidRPr="00022524">
        <w:t xml:space="preserve">While ERDF programmes have identified 12% of their PF indicators as key implementation steps, </w:t>
      </w:r>
    </w:p>
    <w:p w14:paraId="52822302" w14:textId="77777777" w:rsidR="00370CD0" w:rsidRPr="00022524" w:rsidRDefault="00370CD0" w:rsidP="00370CD0">
      <w:pPr>
        <w:pStyle w:val="BulletPoint1"/>
      </w:pPr>
      <w:r w:rsidRPr="00022524">
        <w:t xml:space="preserve">a third of the PF indicators of the programme funded by ERDF and ENI and the programme funded by ERDF, IPA(e) and ENI in combination are key implementation steps, but </w:t>
      </w:r>
    </w:p>
    <w:p w14:paraId="6585DF10" w14:textId="77777777" w:rsidR="00370CD0" w:rsidRPr="00022524" w:rsidRDefault="00370CD0" w:rsidP="00370CD0">
      <w:pPr>
        <w:pStyle w:val="BulletPoint1"/>
      </w:pPr>
      <w:proofErr w:type="gramStart"/>
      <w:r w:rsidRPr="00022524">
        <w:t>the</w:t>
      </w:r>
      <w:proofErr w:type="gramEnd"/>
      <w:r w:rsidRPr="00022524">
        <w:t xml:space="preserve"> programmes funded from the ERDF and IPA(e) have not identified any PF key implementation steps.</w:t>
      </w:r>
    </w:p>
    <w:p w14:paraId="5BCB52C2" w14:textId="77777777" w:rsidR="00370CD0" w:rsidRPr="00022524" w:rsidRDefault="00370CD0" w:rsidP="00370CD0">
      <w:pPr>
        <w:pStyle w:val="Body"/>
      </w:pPr>
      <w:r w:rsidRPr="00022524">
        <w:t>Furthermore</w:t>
      </w:r>
      <w:r w:rsidR="004D1370" w:rsidRPr="00022524">
        <w:t>,</w:t>
      </w:r>
      <w:r w:rsidRPr="00022524">
        <w:t xml:space="preserve"> the analysis </w:t>
      </w:r>
      <w:r w:rsidR="003167AE" w:rsidRPr="00022524">
        <w:t xml:space="preserve">emphasises </w:t>
      </w:r>
      <w:r w:rsidRPr="00022524">
        <w:t>an increased importance of key implementation steps for INTERREG V-C programmes, since more than 15% of these PF indicators are key implementation steps.</w:t>
      </w:r>
      <w:r w:rsidR="00994D68" w:rsidRPr="00022524">
        <w:t xml:space="preserve"> </w:t>
      </w:r>
      <w:r w:rsidR="003167AE" w:rsidRPr="00022524">
        <w:t xml:space="preserve">Additionally, </w:t>
      </w:r>
      <w:r w:rsidRPr="00022524">
        <w:t>for ETC programmes no differences in the use of key implementation steps between programmes for sin</w:t>
      </w:r>
      <w:r w:rsidR="00E4485F" w:rsidRPr="00022524">
        <w:t>gle regions and those for multi-</w:t>
      </w:r>
      <w:r w:rsidRPr="00022524">
        <w:t>regions are identifiable. At the regional level, ETC programmes intended for more developed regions do not use any key implementation steps</w:t>
      </w:r>
      <w:r w:rsidR="003167AE" w:rsidRPr="00022524">
        <w:t>. Finally,</w:t>
      </w:r>
      <w:r w:rsidRPr="00022524">
        <w:t xml:space="preserve"> key implementation steps are less important for programmes covering regions in transition. </w:t>
      </w:r>
    </w:p>
    <w:p w14:paraId="3FB426B9" w14:textId="565B8F42" w:rsidR="00FC7929" w:rsidRDefault="00336CAA" w:rsidP="009638B3">
      <w:pPr>
        <w:pStyle w:val="Body"/>
        <w:spacing w:after="120"/>
      </w:pPr>
      <w:r w:rsidRPr="00022524">
        <w:t xml:space="preserve">Thematically, PF key implementation </w:t>
      </w:r>
      <w:r w:rsidR="00A76DFE" w:rsidRPr="00022524">
        <w:t xml:space="preserve">steps </w:t>
      </w:r>
      <w:r w:rsidRPr="00022524">
        <w:t>are frequently used for</w:t>
      </w:r>
      <w:r w:rsidR="00215BBC" w:rsidRPr="00022524">
        <w:t xml:space="preserve"> </w:t>
      </w:r>
      <w:proofErr w:type="spellStart"/>
      <w:r w:rsidR="00DA7557">
        <w:t>PAx</w:t>
      </w:r>
      <w:proofErr w:type="spellEnd"/>
      <w:r w:rsidR="00215BBC" w:rsidRPr="00022524">
        <w:t xml:space="preserve"> following</w:t>
      </w:r>
      <w:r w:rsidRPr="00022524">
        <w:t xml:space="preserve"> fund-specific </w:t>
      </w:r>
      <w:r w:rsidR="00D5452D" w:rsidRPr="00022524">
        <w:t>IPs</w:t>
      </w:r>
      <w:r w:rsidRPr="00022524">
        <w:t xml:space="preserve"> in the field of research, technological development and innovation (</w:t>
      </w:r>
      <w:r w:rsidR="00D5452D" w:rsidRPr="00022524">
        <w:t>TO</w:t>
      </w:r>
      <w:r w:rsidRPr="00022524">
        <w:t>1)</w:t>
      </w:r>
      <w:r w:rsidR="00A76DFE" w:rsidRPr="00022524">
        <w:t xml:space="preserve">. </w:t>
      </w:r>
      <w:proofErr w:type="gramStart"/>
      <w:r w:rsidR="00A76DFE" w:rsidRPr="00022524">
        <w:t>I</w:t>
      </w:r>
      <w:r w:rsidRPr="00022524">
        <w:t>n line with the findings for output indicators and emphasising the importance of the innovation aspect in the funding programmes.</w:t>
      </w:r>
      <w:proofErr w:type="gramEnd"/>
      <w:r w:rsidRPr="00022524">
        <w:t xml:space="preserve"> This concentration on innovation and research is also visible for ETC programmes</w:t>
      </w:r>
      <w:r w:rsidR="00215BBC" w:rsidRPr="00022524">
        <w:t xml:space="preserve"> and their </w:t>
      </w:r>
      <w:proofErr w:type="spellStart"/>
      <w:r w:rsidR="00DA7557">
        <w:t>PAx</w:t>
      </w:r>
      <w:proofErr w:type="spellEnd"/>
      <w:r w:rsidRPr="00022524">
        <w:t xml:space="preserve">. </w:t>
      </w:r>
      <w:r w:rsidR="003167AE" w:rsidRPr="00022524">
        <w:t>Key</w:t>
      </w:r>
      <w:r w:rsidR="00D5452D" w:rsidRPr="00022524">
        <w:t xml:space="preserve"> implementation steps show a similar focus </w:t>
      </w:r>
      <w:r w:rsidR="003167AE" w:rsidRPr="00022524">
        <w:t>i</w:t>
      </w:r>
      <w:r w:rsidR="00D5452D" w:rsidRPr="00022524">
        <w:t>n the area of low-carbon economy (TO4), with a specific focus on energy efficiency, smart energy management and renewable energy use in public infrastructure (IP 4c).</w:t>
      </w:r>
      <w:r w:rsidR="00843FF8">
        <w:t xml:space="preserve"> Further details on the number of PF key implementation steps and fund-specific investment priorities are provided in Annex (p.40, figure 38). </w:t>
      </w:r>
      <w:bookmarkStart w:id="97" w:name="_Toc433973105"/>
    </w:p>
    <w:p w14:paraId="135D1B7E" w14:textId="5E175210" w:rsidR="00370CD0" w:rsidRPr="00022524" w:rsidRDefault="00370CD0" w:rsidP="00096F14">
      <w:pPr>
        <w:pStyle w:val="Body"/>
        <w:outlineLvl w:val="0"/>
        <w:rPr>
          <w:b/>
        </w:rPr>
      </w:pPr>
      <w:r w:rsidRPr="00022524">
        <w:rPr>
          <w:b/>
        </w:rPr>
        <w:t>Result indicators</w:t>
      </w:r>
      <w:bookmarkEnd w:id="97"/>
    </w:p>
    <w:p w14:paraId="75F45C74" w14:textId="77777777" w:rsidR="00A565DC" w:rsidRPr="00022524" w:rsidRDefault="00277C75" w:rsidP="00A9423A">
      <w:pPr>
        <w:pStyle w:val="Body"/>
        <w:spacing w:after="120"/>
      </w:pPr>
      <w:r w:rsidRPr="00022524">
        <w:lastRenderedPageBreak/>
        <w:t>T</w:t>
      </w:r>
      <w:r w:rsidR="00370CD0" w:rsidRPr="00022524">
        <w:t>his category of indicators is not</w:t>
      </w:r>
      <w:r w:rsidR="0030731E" w:rsidRPr="00022524">
        <w:t xml:space="preserve"> recommended</w:t>
      </w:r>
      <w:r w:rsidR="00370CD0" w:rsidRPr="00022524">
        <w:t xml:space="preserve"> for the PF </w:t>
      </w:r>
      <w:r w:rsidR="00B475C5" w:rsidRPr="00022524">
        <w:t xml:space="preserve">for ERDF and CF programmes </w:t>
      </w:r>
      <w:r w:rsidR="00370CD0" w:rsidRPr="00022524">
        <w:t xml:space="preserve">because </w:t>
      </w:r>
      <w:r w:rsidR="006E08B0" w:rsidRPr="00022524">
        <w:t xml:space="preserve">it would be difficult to </w:t>
      </w:r>
      <w:r w:rsidR="00370CD0" w:rsidRPr="00022524">
        <w:t>disentangle policy effects from the effects of external factors. For the ESF</w:t>
      </w:r>
      <w:r w:rsidR="00463317" w:rsidRPr="00022524">
        <w:t xml:space="preserve"> result indicators may be used.</w:t>
      </w:r>
      <w:r w:rsidR="00994D68" w:rsidRPr="00022524">
        <w:t xml:space="preserve"> </w:t>
      </w:r>
    </w:p>
    <w:p w14:paraId="3A8BCA5F" w14:textId="6EAE36F4" w:rsidR="00370CD0" w:rsidRPr="00022524" w:rsidRDefault="00B475C5" w:rsidP="00A9423A">
      <w:pPr>
        <w:pStyle w:val="Body"/>
        <w:spacing w:after="120"/>
      </w:pPr>
      <w:r w:rsidRPr="00022524">
        <w:t>No r</w:t>
      </w:r>
      <w:r w:rsidR="00B31ADB" w:rsidRPr="00022524">
        <w:t xml:space="preserve">esult indicators were applied by MS in the ERDF and CF programmes analysed. Exceptions are the priority axes featuring ESF funding and / or YEI, where result indicators are included to match them: </w:t>
      </w:r>
    </w:p>
    <w:p w14:paraId="1FDF7EA6" w14:textId="26D01F3C" w:rsidR="00370CD0" w:rsidRPr="00022524" w:rsidRDefault="00370CD0" w:rsidP="00370CD0">
      <w:pPr>
        <w:pStyle w:val="BulletPoint1"/>
      </w:pPr>
      <w:r w:rsidRPr="00022524">
        <w:t>Bulgaria defined two result indicators for its OP “Science and Education for Smart Growth” (funded by the combination of ERDF and ESF)</w:t>
      </w:r>
      <w:r w:rsidR="00D50256" w:rsidRPr="00022524">
        <w:t xml:space="preserve"> for the </w:t>
      </w:r>
      <w:proofErr w:type="spellStart"/>
      <w:r w:rsidR="00DA7557">
        <w:t>PAx</w:t>
      </w:r>
      <w:proofErr w:type="spellEnd"/>
      <w:r w:rsidR="00D50256" w:rsidRPr="00022524">
        <w:t xml:space="preserve"> of “Education and lifelong learning”</w:t>
      </w:r>
      <w:r w:rsidR="0097481D" w:rsidRPr="00022524">
        <w:t xml:space="preserve"> (ESF-funded)</w:t>
      </w:r>
      <w:r w:rsidRPr="00022524">
        <w:t xml:space="preserve">, </w:t>
      </w:r>
    </w:p>
    <w:p w14:paraId="5C0A5B81" w14:textId="6DA93AA8" w:rsidR="00370CD0" w:rsidRPr="00022524" w:rsidRDefault="00370CD0" w:rsidP="00370CD0">
      <w:pPr>
        <w:pStyle w:val="BulletPoint1"/>
      </w:pPr>
      <w:r w:rsidRPr="00022524">
        <w:t>Hungary defined three result indicators for its OP “Territorial and settlement development OP” (funded by the combination of ERDF and ESF)</w:t>
      </w:r>
      <w:r w:rsidR="00D50256" w:rsidRPr="00022524">
        <w:t xml:space="preserve"> for the </w:t>
      </w:r>
      <w:r w:rsidR="0097481D" w:rsidRPr="00022524">
        <w:t xml:space="preserve">ESF-funded </w:t>
      </w:r>
      <w:proofErr w:type="spellStart"/>
      <w:r w:rsidR="00DA7557">
        <w:t>PAx</w:t>
      </w:r>
      <w:proofErr w:type="spellEnd"/>
      <w:r w:rsidR="00D50256" w:rsidRPr="00022524">
        <w:t xml:space="preserve"> of “Human resource developments at local and county level, inducing employment and social cooperation”, “Sustainable urban development in cities with county rights” and “Community-led local development (CLLD)”</w:t>
      </w:r>
      <w:r w:rsidRPr="00022524">
        <w:t>,</w:t>
      </w:r>
    </w:p>
    <w:p w14:paraId="14653C5B" w14:textId="520A7B9D" w:rsidR="00370CD0" w:rsidRPr="00022524" w:rsidRDefault="00370CD0" w:rsidP="00370CD0">
      <w:pPr>
        <w:pStyle w:val="BulletPoint1"/>
      </w:pPr>
      <w:r w:rsidRPr="00022524">
        <w:t>3 programmes in France (funded by the combination of ERDF, ESF and YEI) and the combination of ERDF and ESF</w:t>
      </w:r>
      <w:r w:rsidR="007419AE" w:rsidRPr="00022524">
        <w:rPr>
          <w:rStyle w:val="FootnoteReference"/>
        </w:rPr>
        <w:footnoteReference w:id="32"/>
      </w:r>
      <w:r w:rsidRPr="00022524">
        <w:t>) selected 6 result indicators. The programme 2014FR16M0OP008 “Regional programme Picardie 2014-2020” even identified common result indicator 10 “Participants in continued education, training programmes leading to a qualification, an apprenticeship or a traineeship 6 months after leaving”</w:t>
      </w:r>
      <w:r w:rsidR="00D50256" w:rsidRPr="00022524">
        <w:t xml:space="preserve"> for the </w:t>
      </w:r>
      <w:proofErr w:type="spellStart"/>
      <w:r w:rsidR="00DA7557">
        <w:t>PAx</w:t>
      </w:r>
      <w:proofErr w:type="spellEnd"/>
      <w:r w:rsidR="00D50256" w:rsidRPr="00022524">
        <w:t xml:space="preserve"> “Enhance employability of Picardy's youth through lifelong learning and skill acquisition”</w:t>
      </w:r>
      <w:r w:rsidR="007419AE" w:rsidRPr="00022524">
        <w:t xml:space="preserve"> (</w:t>
      </w:r>
      <w:proofErr w:type="spellStart"/>
      <w:r w:rsidR="00DA7557">
        <w:t>PAx</w:t>
      </w:r>
      <w:proofErr w:type="spellEnd"/>
      <w:r w:rsidR="007419AE" w:rsidRPr="00022524">
        <w:t xml:space="preserve"> funded from YEI)</w:t>
      </w:r>
      <w:r w:rsidR="00D50256" w:rsidRPr="00022524">
        <w:t>.</w:t>
      </w:r>
      <w:r w:rsidRPr="00022524">
        <w:t xml:space="preserve"> </w:t>
      </w:r>
    </w:p>
    <w:p w14:paraId="0AC93665" w14:textId="0E381DD5" w:rsidR="00370CD0" w:rsidRPr="00022524" w:rsidRDefault="00370CD0" w:rsidP="00370CD0">
      <w:pPr>
        <w:pStyle w:val="BulletPoint1"/>
      </w:pPr>
      <w:r w:rsidRPr="00022524">
        <w:t>ETC programmes did not use any result indicators in their PF at all.</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4F06D3" w:rsidRPr="00767075" w14:paraId="0019E347" w14:textId="77777777" w:rsidTr="00966F6B">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6438712B" w14:textId="77777777" w:rsidR="004F06D3" w:rsidRPr="00022524" w:rsidRDefault="004F06D3" w:rsidP="00966F6B">
            <w:pPr>
              <w:pStyle w:val="Body"/>
              <w:spacing w:before="60" w:after="60"/>
              <w:rPr>
                <w:b/>
                <w:color w:val="004696"/>
                <w:szCs w:val="18"/>
              </w:rPr>
            </w:pPr>
            <w:r w:rsidRPr="00022524">
              <w:rPr>
                <w:b/>
                <w:color w:val="004696"/>
                <w:szCs w:val="18"/>
              </w:rPr>
              <w:t>Selection of indicators for the performance framework</w:t>
            </w:r>
          </w:p>
          <w:p w14:paraId="645A6C77" w14:textId="77777777" w:rsidR="004F06D3" w:rsidRPr="00022524" w:rsidRDefault="004F06D3" w:rsidP="004F06D3">
            <w:pPr>
              <w:pStyle w:val="Body"/>
              <w:rPr>
                <w:color w:val="000000" w:themeColor="text1"/>
              </w:rPr>
            </w:pPr>
            <w:r w:rsidRPr="00022524">
              <w:rPr>
                <w:color w:val="auto"/>
              </w:rPr>
              <w:t>Setting up a methodology for the selection of indicators and setting of milestones and targets for the performance framework was stated as rather not difficult by 39% of the OPs in the web-survey, 36</w:t>
            </w:r>
            <w:r w:rsidRPr="00022524">
              <w:rPr>
                <w:color w:val="000000" w:themeColor="text1"/>
              </w:rPr>
              <w:t xml:space="preserve">% indicated to have had little difficulties, 20% had a lot of difficulties and 6% did not have any difficulties at all. </w:t>
            </w:r>
          </w:p>
          <w:p w14:paraId="7BFFF601" w14:textId="77777777" w:rsidR="006B46E7" w:rsidRPr="00022524" w:rsidRDefault="006B46E7" w:rsidP="00EF0A14">
            <w:pPr>
              <w:pStyle w:val="Figure"/>
            </w:pPr>
            <w:bookmarkStart w:id="98" w:name="_Toc448146051"/>
            <w:r w:rsidRPr="00022524">
              <w:t>Did you have particular difficulty with establishing a methodology and criteria to select indicators for the performance framework?</w:t>
            </w:r>
            <w:bookmarkEnd w:id="98"/>
          </w:p>
          <w:p w14:paraId="258D9055" w14:textId="77777777" w:rsidR="006B46E7" w:rsidRPr="00022524" w:rsidRDefault="006B46E7" w:rsidP="006B46E7">
            <w:pPr>
              <w:pStyle w:val="Abbildung"/>
              <w:rPr>
                <w:color w:val="auto"/>
                <w:lang w:val="en-GB"/>
              </w:rPr>
            </w:pPr>
            <w:r w:rsidRPr="00022524">
              <w:rPr>
                <w:lang w:val="en-GB" w:eastAsia="en-GB"/>
              </w:rPr>
              <w:drawing>
                <wp:inline distT="0" distB="0" distL="0" distR="0" wp14:anchorId="00E1739D" wp14:editId="641D10F2">
                  <wp:extent cx="2562329" cy="1692634"/>
                  <wp:effectExtent l="0" t="0" r="9421" b="0"/>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20580" t="18618" b="6610"/>
                          <a:stretch/>
                        </pic:blipFill>
                        <pic:spPr bwMode="auto">
                          <a:xfrm>
                            <a:off x="0" y="0"/>
                            <a:ext cx="2562329" cy="1692634"/>
                          </a:xfrm>
                          <a:prstGeom prst="rect">
                            <a:avLst/>
                          </a:prstGeom>
                          <a:noFill/>
                          <a:ln>
                            <a:noFill/>
                          </a:ln>
                          <a:extLst>
                            <a:ext uri="{53640926-AAD7-44D8-BBD7-CCE9431645EC}">
                              <a14:shadowObscured xmlns:a14="http://schemas.microsoft.com/office/drawing/2010/main"/>
                            </a:ext>
                          </a:extLst>
                        </pic:spPr>
                      </pic:pic>
                    </a:graphicData>
                  </a:graphic>
                </wp:inline>
              </w:drawing>
            </w:r>
            <w:r w:rsidRPr="00022524">
              <w:rPr>
                <w:color w:val="auto"/>
                <w:lang w:val="en-GB"/>
              </w:rPr>
              <w:t xml:space="preserve"> </w:t>
            </w:r>
          </w:p>
          <w:p w14:paraId="42E6CC0B" w14:textId="77777777" w:rsidR="006B46E7" w:rsidRPr="00022524" w:rsidRDefault="006B46E7" w:rsidP="006B46E7">
            <w:pPr>
              <w:pStyle w:val="Source"/>
              <w:rPr>
                <w:color w:val="auto"/>
              </w:rPr>
            </w:pPr>
            <w:r w:rsidRPr="00022524">
              <w:rPr>
                <w:color w:val="auto"/>
              </w:rPr>
              <w:t xml:space="preserve">Source: web-survey on performance frameworks 2015 </w:t>
            </w:r>
          </w:p>
          <w:p w14:paraId="2B2EA08F" w14:textId="77777777" w:rsidR="004F06D3" w:rsidRPr="00022524" w:rsidRDefault="004F06D3" w:rsidP="004F06D3">
            <w:pPr>
              <w:pStyle w:val="Body"/>
              <w:rPr>
                <w:color w:val="auto"/>
              </w:rPr>
            </w:pPr>
            <w:r w:rsidRPr="00022524">
              <w:rPr>
                <w:color w:val="auto"/>
              </w:rPr>
              <w:t xml:space="preserve">When grouping the findings by programme type, the results indicate that ETC (and in particular </w:t>
            </w:r>
            <w:proofErr w:type="spellStart"/>
            <w:r w:rsidRPr="00022524">
              <w:rPr>
                <w:color w:val="auto"/>
              </w:rPr>
              <w:t>cross-border</w:t>
            </w:r>
            <w:proofErr w:type="spellEnd"/>
            <w:r w:rsidRPr="00022524">
              <w:rPr>
                <w:color w:val="auto"/>
              </w:rPr>
              <w:t xml:space="preserve">) programmes had somewhat greater difficulties establishing a methodology for selecting indicators for their performance frameworks than IGJ programmes. Among the IGJ programmes, in particular single-fund programmes and national programmes seem to have more difficulties with establishing the performance framework than do other types of programmes. </w:t>
            </w:r>
            <w:r w:rsidR="00D679D1" w:rsidRPr="00022524">
              <w:rPr>
                <w:color w:val="auto"/>
              </w:rPr>
              <w:t xml:space="preserve">The lower number of national programmes might bias this. Representatives from national programmes in Estonia, Hungary, Romania, Slovakia and Slovenia indicated to have experienced a lot of challenges setting up frameworks. These are all programmes with less history in developing indicators. </w:t>
            </w:r>
            <w:r w:rsidRPr="00022524">
              <w:rPr>
                <w:color w:val="auto"/>
              </w:rPr>
              <w:t xml:space="preserve">It appears that OPs in Romania, France, the Netherlands, Estonia, Slovenia and Bulgaria experienced challenges with indicator selection. On the other hand, the results suggest that OPs in the UK and Denmark had no difficulties at all. Overall, the interviews confirm that the elaboration of the performance framework, including the selection of indicators, was largely based on past experience (largely referring to the work on indicators conducted during the previous programme period and not necessarily explicitly to past experience with performance frameworks. Differentiating by programme type shows that there are only minor differences in how milestones and targets were reported to have been set (findings of the web-survey). In all cases previous </w:t>
            </w:r>
            <w:r w:rsidRPr="00022524">
              <w:rPr>
                <w:color w:val="auto"/>
              </w:rPr>
              <w:lastRenderedPageBreak/>
              <w:t>experience was felt to be the most important factor. Previous experience was most often indicated in transnational cooperation programmes (45%) and least often indicated in national programmes and multi-thematic programmes (30%).</w:t>
            </w:r>
          </w:p>
          <w:p w14:paraId="60FF338D" w14:textId="77777777" w:rsidR="00D81FAB" w:rsidRPr="00022524" w:rsidRDefault="00D81FAB" w:rsidP="00EF0A14">
            <w:pPr>
              <w:pStyle w:val="Figure"/>
            </w:pPr>
            <w:bookmarkStart w:id="99" w:name="_Toc448146052"/>
            <w:r w:rsidRPr="00022524">
              <w:t>How have the milestones and targets been set?</w:t>
            </w:r>
            <w:bookmarkEnd w:id="99"/>
            <w:r w:rsidRPr="00022524">
              <w:t xml:space="preserve"> </w:t>
            </w:r>
          </w:p>
          <w:p w14:paraId="3969A2A8" w14:textId="77777777" w:rsidR="00D81FAB" w:rsidRPr="00022524" w:rsidRDefault="00D81FAB" w:rsidP="00D81FAB">
            <w:pPr>
              <w:pStyle w:val="Abbildung"/>
              <w:rPr>
                <w:color w:val="auto"/>
                <w:lang w:val="en-GB"/>
              </w:rPr>
            </w:pPr>
            <w:r w:rsidRPr="00022524">
              <w:rPr>
                <w:lang w:val="en-GB" w:eastAsia="en-GB"/>
              </w:rPr>
              <w:drawing>
                <wp:inline distT="0" distB="0" distL="0" distR="0" wp14:anchorId="4A1FF59F" wp14:editId="471EB4AB">
                  <wp:extent cx="5688413" cy="1848896"/>
                  <wp:effectExtent l="19050" t="0" r="0" b="0"/>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l="1222" t="13540" b="2895"/>
                          <a:stretch/>
                        </pic:blipFill>
                        <pic:spPr bwMode="auto">
                          <a:xfrm>
                            <a:off x="0" y="0"/>
                            <a:ext cx="5688413" cy="1848896"/>
                          </a:xfrm>
                          <a:prstGeom prst="rect">
                            <a:avLst/>
                          </a:prstGeom>
                          <a:noFill/>
                          <a:ln>
                            <a:noFill/>
                          </a:ln>
                          <a:extLst>
                            <a:ext uri="{53640926-AAD7-44D8-BBD7-CCE9431645EC}">
                              <a14:shadowObscured xmlns:a14="http://schemas.microsoft.com/office/drawing/2010/main"/>
                            </a:ext>
                          </a:extLst>
                        </pic:spPr>
                      </pic:pic>
                    </a:graphicData>
                  </a:graphic>
                </wp:inline>
              </w:drawing>
            </w:r>
            <w:r w:rsidRPr="00022524">
              <w:rPr>
                <w:color w:val="auto"/>
                <w:lang w:val="en-GB"/>
              </w:rPr>
              <w:t xml:space="preserve"> </w:t>
            </w:r>
          </w:p>
          <w:p w14:paraId="2491D93B" w14:textId="77777777" w:rsidR="00D81FAB" w:rsidRPr="00022524" w:rsidRDefault="00D81FAB" w:rsidP="00D81FAB">
            <w:pPr>
              <w:pStyle w:val="Source"/>
              <w:rPr>
                <w:color w:val="auto"/>
              </w:rPr>
            </w:pPr>
            <w:r w:rsidRPr="00022524">
              <w:rPr>
                <w:color w:val="auto"/>
              </w:rPr>
              <w:t xml:space="preserve">Source: web-survey on performance frameworks 2015 </w:t>
            </w:r>
          </w:p>
          <w:p w14:paraId="0A4769E1" w14:textId="77777777" w:rsidR="00176029" w:rsidRPr="00022524" w:rsidRDefault="004F06D3" w:rsidP="004F06D3">
            <w:pPr>
              <w:pStyle w:val="Body"/>
              <w:rPr>
                <w:color w:val="auto"/>
              </w:rPr>
            </w:pPr>
            <w:r w:rsidRPr="00022524">
              <w:rPr>
                <w:color w:val="auto"/>
              </w:rPr>
              <w:t>In addition</w:t>
            </w:r>
            <w:r w:rsidR="004D1370" w:rsidRPr="00022524">
              <w:rPr>
                <w:color w:val="auto"/>
              </w:rPr>
              <w:t>,</w:t>
            </w:r>
            <w:r w:rsidRPr="00022524">
              <w:rPr>
                <w:color w:val="auto"/>
              </w:rPr>
              <w:t xml:space="preserve"> there are various cases w</w:t>
            </w:r>
            <w:r w:rsidR="00CC0947" w:rsidRPr="00022524">
              <w:rPr>
                <w:color w:val="auto"/>
              </w:rPr>
              <w:t>h</w:t>
            </w:r>
            <w:r w:rsidRPr="00022524">
              <w:rPr>
                <w:color w:val="auto"/>
              </w:rPr>
              <w:t>ere calculations</w:t>
            </w:r>
            <w:r w:rsidRPr="00022524">
              <w:rPr>
                <w:bCs/>
                <w:color w:val="auto"/>
              </w:rPr>
              <w:t>/</w:t>
            </w:r>
            <w:r w:rsidRPr="00022524">
              <w:rPr>
                <w:color w:val="auto"/>
              </w:rPr>
              <w:t>models</w:t>
            </w:r>
            <w:r w:rsidR="00AE7399" w:rsidRPr="00022524">
              <w:rPr>
                <w:color w:val="auto"/>
              </w:rPr>
              <w:t>, taking into account the number of funding years and allocated financial resources</w:t>
            </w:r>
            <w:r w:rsidRPr="00022524">
              <w:rPr>
                <w:color w:val="auto"/>
              </w:rPr>
              <w:t xml:space="preserve"> were developed – </w:t>
            </w:r>
            <w:r w:rsidR="00CC0947" w:rsidRPr="00022524">
              <w:rPr>
                <w:color w:val="auto"/>
              </w:rPr>
              <w:t xml:space="preserve">the </w:t>
            </w:r>
            <w:r w:rsidRPr="00022524">
              <w:rPr>
                <w:color w:val="auto"/>
              </w:rPr>
              <w:t>second most important factor for almost all types of programmes as indicated in the web-survey, e.g.</w:t>
            </w:r>
            <w:r w:rsidR="00D679D1" w:rsidRPr="00022524">
              <w:rPr>
                <w:color w:val="auto"/>
              </w:rPr>
              <w:t xml:space="preserve"> </w:t>
            </w:r>
            <w:r w:rsidRPr="00022524">
              <w:rPr>
                <w:color w:val="auto"/>
              </w:rPr>
              <w:t xml:space="preserve">France or Portugal. Whereas in most cases these models were elaborated at </w:t>
            </w:r>
            <w:r w:rsidR="00634B15" w:rsidRPr="00022524">
              <w:rPr>
                <w:color w:val="auto"/>
              </w:rPr>
              <w:t xml:space="preserve">the </w:t>
            </w:r>
            <w:r w:rsidRPr="00022524">
              <w:rPr>
                <w:color w:val="auto"/>
              </w:rPr>
              <w:t xml:space="preserve">programme level, in France a national model was elaborated to be applied </w:t>
            </w:r>
            <w:r w:rsidR="00634B15" w:rsidRPr="00022524">
              <w:rPr>
                <w:color w:val="auto"/>
              </w:rPr>
              <w:t xml:space="preserve">across </w:t>
            </w:r>
            <w:r w:rsidRPr="00022524">
              <w:rPr>
                <w:color w:val="auto"/>
              </w:rPr>
              <w:t xml:space="preserve">all ERDF and ESF programmes. The principle components of the models were stated to be primarily based on past experience (analysis of 2007-13 OPs, financial resources and timing). In some cases (e.g. France) unit costs were also taken into account. Calculations and models show the highest indications present in </w:t>
            </w:r>
            <w:proofErr w:type="spellStart"/>
            <w:r w:rsidRPr="00022524">
              <w:rPr>
                <w:color w:val="auto"/>
              </w:rPr>
              <w:t>cross-border</w:t>
            </w:r>
            <w:proofErr w:type="spellEnd"/>
            <w:r w:rsidRPr="00022524">
              <w:rPr>
                <w:color w:val="auto"/>
              </w:rPr>
              <w:t xml:space="preserve"> programmes (29%), multi-thematic and multi-category programmes (28%) and regional programmes (27%). Only with transnational programmes were internal discussions (25%) indicated as more important than modelling (20%). For all other programme types internal discussions were indicated as the third most important input to setting milestones and targets (20% – 25%). </w:t>
            </w:r>
            <w:r w:rsidR="00634B15" w:rsidRPr="00022524">
              <w:rPr>
                <w:color w:val="auto"/>
              </w:rPr>
              <w:t>T</w:t>
            </w:r>
            <w:r w:rsidRPr="00022524">
              <w:rPr>
                <w:color w:val="auto"/>
              </w:rPr>
              <w:t>he cases of the selection of indicators also involved broader discussions with partners and focus groups, intermediate bodies and regional actors were invited to make suggestions on indicators and target values for the performance framework (e.g. Mainland Finland OP). Focus group discussions were organised to receive input from partners and stakeholders. In some cases, the broader discussion also involved collecting information from other Member States</w:t>
            </w:r>
            <w:r w:rsidRPr="00022524">
              <w:rPr>
                <w:bCs/>
                <w:color w:val="auto"/>
              </w:rPr>
              <w:t>.</w:t>
            </w:r>
            <w:r w:rsidRPr="00022524">
              <w:rPr>
                <w:color w:val="auto"/>
              </w:rPr>
              <w:t xml:space="preserve"> This was the case for the </w:t>
            </w:r>
            <w:proofErr w:type="spellStart"/>
            <w:r w:rsidRPr="00022524">
              <w:rPr>
                <w:color w:val="auto"/>
              </w:rPr>
              <w:t>Åland</w:t>
            </w:r>
            <w:proofErr w:type="spellEnd"/>
            <w:r w:rsidRPr="00022524">
              <w:rPr>
                <w:color w:val="auto"/>
              </w:rPr>
              <w:t xml:space="preserve"> OP, the Lithuanian OP and the French model at the national level.</w:t>
            </w:r>
            <w:r w:rsidR="00176029" w:rsidRPr="00022524">
              <w:rPr>
                <w:color w:val="auto"/>
              </w:rPr>
              <w:t xml:space="preserve"> </w:t>
            </w:r>
          </w:p>
          <w:p w14:paraId="70B58E1D" w14:textId="08999726" w:rsidR="004F06D3" w:rsidRPr="00022524" w:rsidRDefault="003958FA" w:rsidP="00F477A1">
            <w:pPr>
              <w:pStyle w:val="Body"/>
            </w:pPr>
            <w:r w:rsidRPr="00022524">
              <w:rPr>
                <w:color w:val="auto"/>
              </w:rPr>
              <w:t>The</w:t>
            </w:r>
            <w:r w:rsidR="004F06D3" w:rsidRPr="00022524">
              <w:rPr>
                <w:color w:val="auto"/>
              </w:rPr>
              <w:t xml:space="preserve"> responsible persons for elaborating the performance frameworks for the </w:t>
            </w:r>
            <w:proofErr w:type="gramStart"/>
            <w:r w:rsidR="004F06D3" w:rsidRPr="00022524">
              <w:rPr>
                <w:color w:val="auto"/>
              </w:rPr>
              <w:t>interviews,</w:t>
            </w:r>
            <w:proofErr w:type="gramEnd"/>
            <w:r w:rsidR="004F06D3" w:rsidRPr="00022524">
              <w:rPr>
                <w:color w:val="auto"/>
              </w:rPr>
              <w:t xml:space="preserve"> generally </w:t>
            </w:r>
            <w:r w:rsidRPr="00022524">
              <w:rPr>
                <w:color w:val="auto"/>
              </w:rPr>
              <w:t xml:space="preserve">self-reported </w:t>
            </w:r>
            <w:r w:rsidR="004F06D3" w:rsidRPr="00022524">
              <w:rPr>
                <w:color w:val="auto"/>
              </w:rPr>
              <w:t>a positive opinion on the selection of PF indicators</w:t>
            </w:r>
            <w:r w:rsidRPr="00022524">
              <w:rPr>
                <w:color w:val="auto"/>
              </w:rPr>
              <w:t xml:space="preserve">. In line with the </w:t>
            </w:r>
            <w:r w:rsidR="004F06D3" w:rsidRPr="00022524">
              <w:rPr>
                <w:color w:val="auto"/>
              </w:rPr>
              <w:t>opinion that the PF is certainly encouraging MS towards result orientation and clear and verifiable targets and can act as a valuable innovation to better define indicators and targets. On the other hand</w:t>
            </w:r>
            <w:r w:rsidRPr="00022524">
              <w:rPr>
                <w:color w:val="auto"/>
              </w:rPr>
              <w:t>,</w:t>
            </w:r>
            <w:r w:rsidR="004F06D3" w:rsidRPr="00022524">
              <w:rPr>
                <w:color w:val="auto"/>
              </w:rPr>
              <w:t xml:space="preserve"> some caveats and concerns were mentioned by different interviewees</w:t>
            </w:r>
            <w:r w:rsidRPr="00022524">
              <w:rPr>
                <w:color w:val="auto"/>
              </w:rPr>
              <w:t>. Some mentioned that the</w:t>
            </w:r>
            <w:r w:rsidR="004F06D3" w:rsidRPr="00022524">
              <w:rPr>
                <w:color w:val="auto"/>
              </w:rPr>
              <w:t xml:space="preserve"> PF indicator orientation long term development perspectives may be lost and that targets will generally be set to</w:t>
            </w:r>
            <w:r w:rsidR="00B475C5" w:rsidRPr="00022524">
              <w:rPr>
                <w:color w:val="auto"/>
              </w:rPr>
              <w:t>o</w:t>
            </w:r>
            <w:r w:rsidR="004F06D3" w:rsidRPr="00022524">
              <w:rPr>
                <w:color w:val="auto"/>
              </w:rPr>
              <w:t xml:space="preserve"> low in order to avoid loss of funds – thus levelling down the performance of the ESI funds. </w:t>
            </w:r>
          </w:p>
        </w:tc>
      </w:tr>
    </w:tbl>
    <w:p w14:paraId="7765FEBD" w14:textId="573F951C" w:rsidR="00370CD0" w:rsidRPr="00022524" w:rsidRDefault="00370CD0" w:rsidP="00153D1D">
      <w:pPr>
        <w:pStyle w:val="Body"/>
        <w:spacing w:before="240"/>
      </w:pPr>
      <w:r w:rsidRPr="00022524">
        <w:lastRenderedPageBreak/>
        <w:t xml:space="preserve">Concluding, </w:t>
      </w:r>
      <w:r w:rsidR="00B24A7F" w:rsidRPr="00022524">
        <w:t xml:space="preserve">the analysis of the four categories of indicators shows that </w:t>
      </w:r>
      <w:r w:rsidRPr="00022524">
        <w:t xml:space="preserve">output indicators are the most frequently used </w:t>
      </w:r>
      <w:r w:rsidR="00B24A7F" w:rsidRPr="00022524">
        <w:t xml:space="preserve">indicator </w:t>
      </w:r>
      <w:r w:rsidRPr="00022524">
        <w:t>category</w:t>
      </w:r>
      <w:r w:rsidR="001B3E24">
        <w:t>, w</w:t>
      </w:r>
      <w:r w:rsidRPr="00022524">
        <w:t xml:space="preserve">hile financial indicators are the second most </w:t>
      </w:r>
      <w:r w:rsidR="00C0509B" w:rsidRPr="00022524">
        <w:t xml:space="preserve">often used </w:t>
      </w:r>
      <w:r w:rsidRPr="00022524">
        <w:t>type of indicator for the programmes’ performance frameworks</w:t>
      </w:r>
      <w:r w:rsidR="001B3E24">
        <w:t xml:space="preserve"> and</w:t>
      </w:r>
      <w:r w:rsidRPr="00022524">
        <w:t xml:space="preserve"> key implementation steps </w:t>
      </w:r>
      <w:r w:rsidR="006A14A0" w:rsidRPr="00022524">
        <w:t xml:space="preserve">were </w:t>
      </w:r>
      <w:r w:rsidRPr="00022524">
        <w:t xml:space="preserve">used </w:t>
      </w:r>
      <w:r w:rsidR="006A14A0" w:rsidRPr="00022524">
        <w:t xml:space="preserve">to </w:t>
      </w:r>
      <w:proofErr w:type="spellStart"/>
      <w:r w:rsidR="006A14A0" w:rsidRPr="00022524">
        <w:t>a</w:t>
      </w:r>
      <w:proofErr w:type="spellEnd"/>
      <w:r w:rsidR="001B3E24">
        <w:t xml:space="preserve"> even</w:t>
      </w:r>
      <w:r w:rsidR="006A14A0" w:rsidRPr="00022524">
        <w:t xml:space="preserve"> lesser extent, mainly </w:t>
      </w:r>
      <w:r w:rsidRPr="00022524">
        <w:t>in cases where no measureable output is expected by the end of 2018.  Result indicators are generally not applied by most of the MS</w:t>
      </w:r>
      <w:r w:rsidR="00994D68" w:rsidRPr="00022524">
        <w:t>, in line with EC recommendations for ERDF and CF</w:t>
      </w:r>
      <w:r w:rsidRPr="00022524">
        <w:t>.</w:t>
      </w:r>
    </w:p>
    <w:p w14:paraId="1EEA7FD7" w14:textId="77777777" w:rsidR="00370CD0" w:rsidRPr="00022524" w:rsidRDefault="00370CD0" w:rsidP="00096F14">
      <w:pPr>
        <w:pStyle w:val="Body"/>
        <w:pBdr>
          <w:bottom w:val="single" w:sz="4" w:space="3" w:color="004696"/>
        </w:pBdr>
        <w:spacing w:line="216" w:lineRule="exact"/>
        <w:outlineLvl w:val="0"/>
        <w:rPr>
          <w:i/>
        </w:rPr>
      </w:pPr>
      <w:bookmarkStart w:id="100" w:name="_Ref426094407"/>
      <w:bookmarkStart w:id="101" w:name="_Toc429671073"/>
      <w:bookmarkStart w:id="102" w:name="_Toc432600874"/>
      <w:bookmarkStart w:id="103" w:name="_Toc433973106"/>
      <w:r w:rsidRPr="00022524">
        <w:rPr>
          <w:i/>
        </w:rPr>
        <w:t>Use of four categories of indicators per MS</w:t>
      </w:r>
      <w:bookmarkEnd w:id="100"/>
      <w:bookmarkEnd w:id="101"/>
      <w:bookmarkEnd w:id="102"/>
      <w:bookmarkEnd w:id="103"/>
    </w:p>
    <w:p w14:paraId="3CF28E72" w14:textId="77777777" w:rsidR="00153D1D" w:rsidRDefault="00153D1D" w:rsidP="00EF0A14">
      <w:pPr>
        <w:pStyle w:val="Figure"/>
        <w:sectPr w:rsidR="00153D1D" w:rsidSect="00315841">
          <w:headerReference w:type="first" r:id="rId44"/>
          <w:pgSz w:w="11907" w:h="16839" w:code="9"/>
          <w:pgMar w:top="851" w:right="1418" w:bottom="851" w:left="1418" w:header="567" w:footer="567" w:gutter="0"/>
          <w:cols w:space="720"/>
          <w:titlePg/>
          <w:docGrid w:linePitch="326"/>
        </w:sectPr>
      </w:pPr>
      <w:bookmarkStart w:id="104" w:name="_Toc314943833"/>
    </w:p>
    <w:p w14:paraId="4CE973C8" w14:textId="404F7A04" w:rsidR="003B3499" w:rsidRPr="00022524" w:rsidRDefault="003B3499" w:rsidP="00EF0A14">
      <w:pPr>
        <w:pStyle w:val="Figure"/>
      </w:pPr>
      <w:bookmarkStart w:id="105" w:name="_Toc448146053"/>
      <w:r w:rsidRPr="00022524">
        <w:lastRenderedPageBreak/>
        <w:t>PF indicator types per MS &amp; ETC</w:t>
      </w:r>
      <w:bookmarkEnd w:id="104"/>
      <w:r w:rsidRPr="00022524">
        <w:t xml:space="preserve"> – share &amp; absolute figures</w:t>
      </w:r>
      <w:bookmarkEnd w:id="105"/>
    </w:p>
    <w:p w14:paraId="330BA616" w14:textId="77777777" w:rsidR="003B3499" w:rsidRPr="00022524" w:rsidRDefault="003B3499" w:rsidP="003B3499">
      <w:pPr>
        <w:pStyle w:val="Abbildung"/>
        <w:rPr>
          <w:lang w:val="en-GB"/>
        </w:rPr>
      </w:pPr>
      <w:r w:rsidRPr="00022524">
        <w:rPr>
          <w:lang w:val="en-GB" w:eastAsia="en-GB"/>
        </w:rPr>
        <w:drawing>
          <wp:inline distT="0" distB="0" distL="0" distR="0" wp14:anchorId="0005F125" wp14:editId="0CA86A3C">
            <wp:extent cx="7600640" cy="4954772"/>
            <wp:effectExtent l="0" t="0" r="635" b="0"/>
            <wp:docPr id="17" name="Picture 17" descr="/Users/phani/Desktop/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hani/Desktop/Picture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16360" cy="4965020"/>
                    </a:xfrm>
                    <a:prstGeom prst="rect">
                      <a:avLst/>
                    </a:prstGeom>
                    <a:noFill/>
                    <a:ln>
                      <a:noFill/>
                    </a:ln>
                  </pic:spPr>
                </pic:pic>
              </a:graphicData>
            </a:graphic>
          </wp:inline>
        </w:drawing>
      </w:r>
    </w:p>
    <w:p w14:paraId="60EF5915" w14:textId="73C3DAF2" w:rsidR="003B3499" w:rsidRDefault="003B3499" w:rsidP="003B3499">
      <w:pPr>
        <w:pStyle w:val="Source"/>
      </w:pPr>
      <w:r w:rsidRPr="00022524">
        <w:t xml:space="preserve">Source: Database on performance indicators. 2016. </w:t>
      </w:r>
    </w:p>
    <w:p w14:paraId="29B19F75" w14:textId="77777777" w:rsidR="00153D1D" w:rsidRDefault="00153D1D" w:rsidP="00153D1D">
      <w:pPr>
        <w:pStyle w:val="Body"/>
        <w:spacing w:after="120"/>
      </w:pPr>
    </w:p>
    <w:p w14:paraId="1E3F0E6B" w14:textId="77777777" w:rsidR="00153D1D" w:rsidRDefault="00153D1D" w:rsidP="00153D1D">
      <w:pPr>
        <w:pStyle w:val="Body"/>
        <w:spacing w:after="120"/>
        <w:sectPr w:rsidR="00153D1D" w:rsidSect="00153D1D">
          <w:pgSz w:w="16839" w:h="11907" w:orient="landscape" w:code="9"/>
          <w:pgMar w:top="1418" w:right="851" w:bottom="1418" w:left="851" w:header="567" w:footer="567" w:gutter="0"/>
          <w:cols w:space="720"/>
          <w:titlePg/>
          <w:docGrid w:linePitch="326"/>
        </w:sectPr>
      </w:pPr>
    </w:p>
    <w:p w14:paraId="7872B666" w14:textId="595B5BD0" w:rsidR="00C0212A" w:rsidRPr="00022524" w:rsidRDefault="00C0212A" w:rsidP="00153D1D">
      <w:pPr>
        <w:pStyle w:val="Body"/>
        <w:spacing w:after="120"/>
      </w:pPr>
      <w:r w:rsidRPr="00022524">
        <w:lastRenderedPageBreak/>
        <w:t xml:space="preserve">When comparing the approaches of the different MS, the following situation becomes evident according to indicator categories, which is also highlighted in </w:t>
      </w:r>
      <w:r w:rsidR="00153D1D" w:rsidRPr="00022524">
        <w:t xml:space="preserve">the </w:t>
      </w:r>
      <w:r w:rsidR="009A7F5A">
        <w:t xml:space="preserve">previous </w:t>
      </w:r>
      <w:r w:rsidR="00153D1D" w:rsidRPr="00022524">
        <w:t>figure</w:t>
      </w:r>
      <w:r>
        <w:t>:</w:t>
      </w:r>
    </w:p>
    <w:p w14:paraId="59395238" w14:textId="20DE20D8" w:rsidR="00370CD0" w:rsidRPr="00022524" w:rsidRDefault="00370CD0" w:rsidP="00370CD0">
      <w:pPr>
        <w:pStyle w:val="BulletPoint1"/>
      </w:pPr>
      <w:r w:rsidRPr="00022524">
        <w:t>Estonia, Finland and Luxembourg show a</w:t>
      </w:r>
      <w:r w:rsidR="00FC1A5A" w:rsidRPr="00022524">
        <w:t>n</w:t>
      </w:r>
      <w:r w:rsidRPr="00022524">
        <w:t xml:space="preserve"> </w:t>
      </w:r>
      <w:r w:rsidR="00FC1A5A" w:rsidRPr="00022524">
        <w:t xml:space="preserve">above the EU average </w:t>
      </w:r>
      <w:r w:rsidRPr="00022524">
        <w:t xml:space="preserve">share of output indicators </w:t>
      </w:r>
      <w:r w:rsidR="00C8297C" w:rsidRPr="00022524">
        <w:t xml:space="preserve">(in line with </w:t>
      </w:r>
      <w:proofErr w:type="spellStart"/>
      <w:r w:rsidR="00DA7557">
        <w:t>PAx</w:t>
      </w:r>
      <w:proofErr w:type="spellEnd"/>
      <w:r w:rsidR="00C8297C" w:rsidRPr="00022524">
        <w:t xml:space="preserve"> that identified more than 1 output indicator for their PF)</w:t>
      </w:r>
      <w:r w:rsidR="00FC1A5A" w:rsidRPr="00022524">
        <w:t>.</w:t>
      </w:r>
    </w:p>
    <w:p w14:paraId="07141526" w14:textId="77777777" w:rsidR="00370CD0" w:rsidRPr="00022524" w:rsidRDefault="003958FA" w:rsidP="00370CD0">
      <w:pPr>
        <w:pStyle w:val="BulletPoint1"/>
      </w:pPr>
      <w:r w:rsidRPr="00022524">
        <w:t>L</w:t>
      </w:r>
      <w:r w:rsidR="00370CD0" w:rsidRPr="00022524">
        <w:t xml:space="preserve">ow figures of output indicators are visible for the Netherlands and the UK. Additionally, Romania and Sweden also show a lower share of output indicators in comparison with the EU-average; the lower share of output indicators in the Netherlands and the United Kingdom corresponds to a share of key implementation steps that are above the EU average. The use of key implementation steps is based on </w:t>
      </w:r>
      <w:r w:rsidRPr="00022524">
        <w:t xml:space="preserve">the </w:t>
      </w:r>
      <w:r w:rsidR="00370CD0" w:rsidRPr="00022524">
        <w:t>indicator milestone need to be based on actual, and not projected, realisation. Therefore Member States partly selected key implementation steps for their performance frameworks. The Netherlands, especially, show a specific distribution of different categories of PF indicators (33% output indicators, 33% financial indicators, 33% key implementation steps).</w:t>
      </w:r>
    </w:p>
    <w:p w14:paraId="287C0E60" w14:textId="77777777" w:rsidR="00370CD0" w:rsidRPr="00022524" w:rsidRDefault="00482D6E" w:rsidP="00370CD0">
      <w:pPr>
        <w:pStyle w:val="BulletPoint1"/>
      </w:pPr>
      <w:r w:rsidRPr="00022524">
        <w:t>A</w:t>
      </w:r>
      <w:r w:rsidR="00370CD0" w:rsidRPr="00022524">
        <w:t>part from countries not using key implementation steps at all, such as Austria, the Czech Republic, Denmark, Estonia, Finland and Luxembourg</w:t>
      </w:r>
      <w:r w:rsidR="00C8297C" w:rsidRPr="00022524">
        <w:t xml:space="preserve"> (all with a clear focus on (common) output indicators)</w:t>
      </w:r>
      <w:r w:rsidR="00370CD0" w:rsidRPr="00022524">
        <w:t>, countries namely Greece, Lithuania, Latvia and Romania also show shares of key implementation steps that ar</w:t>
      </w:r>
      <w:r w:rsidR="00FC1A5A" w:rsidRPr="00022524">
        <w:t>e slightly above the EU average.</w:t>
      </w:r>
    </w:p>
    <w:p w14:paraId="3A403BDD" w14:textId="77777777" w:rsidR="00370CD0" w:rsidRPr="00022524" w:rsidRDefault="006A14A0" w:rsidP="00370CD0">
      <w:pPr>
        <w:pStyle w:val="BulletPoint1"/>
      </w:pPr>
      <w:r w:rsidRPr="00022524">
        <w:t xml:space="preserve">In </w:t>
      </w:r>
      <w:r w:rsidR="00370CD0" w:rsidRPr="00022524">
        <w:t xml:space="preserve">Austria, Belgium, Denmark, Ireland and Sweden, a </w:t>
      </w:r>
      <w:r w:rsidRPr="00022524">
        <w:t xml:space="preserve">proportion </w:t>
      </w:r>
      <w:r w:rsidR="00370CD0" w:rsidRPr="00022524">
        <w:t>of financial indicators above the EU</w:t>
      </w:r>
      <w:r w:rsidR="00FC1A5A" w:rsidRPr="00022524">
        <w:t xml:space="preserve"> average are </w:t>
      </w:r>
      <w:r w:rsidRPr="00022524">
        <w:t>to be observed, being based in the application of complex priorities</w:t>
      </w:r>
      <w:r w:rsidR="00FC1A5A" w:rsidRPr="00022524">
        <w:t>.</w:t>
      </w:r>
    </w:p>
    <w:p w14:paraId="4D454F99" w14:textId="77777777" w:rsidR="00370CD0" w:rsidRPr="00022524" w:rsidRDefault="003958FA" w:rsidP="00370CD0">
      <w:pPr>
        <w:pStyle w:val="BulletPoint1"/>
      </w:pPr>
      <w:r w:rsidRPr="00022524">
        <w:t>Result</w:t>
      </w:r>
      <w:r w:rsidR="00370CD0" w:rsidRPr="00022524">
        <w:t xml:space="preserve"> indicators ar</w:t>
      </w:r>
      <w:r w:rsidR="006D2B53" w:rsidRPr="00022524">
        <w:t>e only used in Bulgaria, France and Hungary</w:t>
      </w:r>
      <w:r w:rsidR="00370CD0" w:rsidRPr="00022524">
        <w:t>, but to a very small extent.</w:t>
      </w:r>
    </w:p>
    <w:p w14:paraId="770B70E7" w14:textId="42D51B45" w:rsidR="00C8297C" w:rsidRPr="00022524" w:rsidRDefault="00C8297C" w:rsidP="00C8297C">
      <w:pPr>
        <w:pStyle w:val="BulletPoint1"/>
      </w:pPr>
      <w:r w:rsidRPr="00022524">
        <w:t xml:space="preserve">The majority of MS show </w:t>
      </w:r>
      <w:proofErr w:type="spellStart"/>
      <w:r w:rsidR="00DA7557">
        <w:t>PAx</w:t>
      </w:r>
      <w:proofErr w:type="spellEnd"/>
      <w:r w:rsidRPr="00022524">
        <w:t xml:space="preserve"> for which more than 2 PF indicators were identified; exceptions are France, Hungary and Sweden (higher share of </w:t>
      </w:r>
      <w:proofErr w:type="spellStart"/>
      <w:r w:rsidR="00DA7557">
        <w:t>PAx</w:t>
      </w:r>
      <w:proofErr w:type="spellEnd"/>
      <w:r w:rsidRPr="00022524">
        <w:t xml:space="preserve"> up to 2 PF indicators, than </w:t>
      </w:r>
      <w:proofErr w:type="spellStart"/>
      <w:r w:rsidR="00DA7557">
        <w:t>PAx</w:t>
      </w:r>
      <w:proofErr w:type="spellEnd"/>
      <w:r w:rsidRPr="00022524">
        <w:t xml:space="preserve"> with more than 2 PF indicators).</w:t>
      </w:r>
    </w:p>
    <w:p w14:paraId="64D0A35D" w14:textId="77777777" w:rsidR="00370CD0" w:rsidRPr="00022524" w:rsidRDefault="00370CD0" w:rsidP="00174262">
      <w:pPr>
        <w:pStyle w:val="Body"/>
        <w:pBdr>
          <w:bottom w:val="single" w:sz="4" w:space="3" w:color="004696"/>
        </w:pBdr>
        <w:spacing w:line="216" w:lineRule="exact"/>
        <w:rPr>
          <w:i/>
        </w:rPr>
      </w:pPr>
      <w:bookmarkStart w:id="106" w:name="_Toc432335089"/>
      <w:bookmarkStart w:id="107" w:name="_Toc432346730"/>
      <w:bookmarkStart w:id="108" w:name="_Toc432401872"/>
      <w:bookmarkStart w:id="109" w:name="_Toc432401947"/>
      <w:bookmarkStart w:id="110" w:name="_Toc432408751"/>
      <w:bookmarkStart w:id="111" w:name="_Ref426094572"/>
      <w:bookmarkStart w:id="112" w:name="_Toc429671078"/>
      <w:bookmarkStart w:id="113" w:name="_Toc432600879"/>
      <w:bookmarkEnd w:id="106"/>
      <w:bookmarkEnd w:id="107"/>
      <w:bookmarkEnd w:id="108"/>
      <w:bookmarkEnd w:id="109"/>
      <w:bookmarkEnd w:id="110"/>
      <w:r w:rsidRPr="00022524">
        <w:rPr>
          <w:i/>
        </w:rPr>
        <w:t>Use of four categories of indicators across programmes of different financial volumes (IGJ and ETC programmes)</w:t>
      </w:r>
      <w:bookmarkEnd w:id="111"/>
      <w:bookmarkEnd w:id="112"/>
      <w:bookmarkEnd w:id="113"/>
    </w:p>
    <w:p w14:paraId="3F99D539" w14:textId="183EF262" w:rsidR="00D83D06" w:rsidRPr="00022524" w:rsidRDefault="00CE3A93" w:rsidP="00FC1A5A">
      <w:pPr>
        <w:pStyle w:val="Body"/>
        <w:spacing w:after="120"/>
      </w:pPr>
      <w:r w:rsidRPr="00022524">
        <w:t xml:space="preserve">The analysis of IGJ programmes with different financial funding – i.e. those with </w:t>
      </w:r>
      <w:r w:rsidR="00370CD0" w:rsidRPr="00022524">
        <w:t xml:space="preserve">up to 500,000,000 Euro (Category a), </w:t>
      </w:r>
      <w:r w:rsidRPr="00022524">
        <w:t>p</w:t>
      </w:r>
      <w:r w:rsidR="00370CD0" w:rsidRPr="00022524">
        <w:t xml:space="preserve">rogrammes with financial funding ranging between 500,000,000 and 3,000,000,000 Euro (Category b), </w:t>
      </w:r>
      <w:r w:rsidRPr="00022524">
        <w:t xml:space="preserve">and those with </w:t>
      </w:r>
      <w:r w:rsidR="00370CD0" w:rsidRPr="00022524">
        <w:t>more than 3,000,00</w:t>
      </w:r>
      <w:r w:rsidRPr="00022524">
        <w:t>0,000 Euro funding (Category c) – does not show</w:t>
      </w:r>
      <w:r w:rsidR="00370CD0" w:rsidRPr="00022524">
        <w:t xml:space="preserve"> major differences concerning the use of indicator categories for the three types of programmes. Only those programmes with increased financial volumes (category c) show an enlarged share of key implementation steps used for their PF than the other two types of programmes. </w:t>
      </w:r>
    </w:p>
    <w:p w14:paraId="0B95B85D" w14:textId="77777777" w:rsidR="00370CD0" w:rsidRPr="00022524" w:rsidRDefault="00370CD0" w:rsidP="00F070EF">
      <w:pPr>
        <w:pStyle w:val="Body"/>
        <w:spacing w:after="120"/>
      </w:pPr>
      <w:r w:rsidRPr="00022524">
        <w:t>The 75 ETC programmes were categorised as follows:</w:t>
      </w:r>
      <w:r w:rsidR="00CE3A93" w:rsidRPr="00022524">
        <w:t xml:space="preserve"> </w:t>
      </w:r>
      <w:r w:rsidRPr="00022524">
        <w:t xml:space="preserve">Programmes with financial funding up to 100,000,000 Euro (Category a), </w:t>
      </w:r>
      <w:r w:rsidR="00CE3A93" w:rsidRPr="00022524">
        <w:t xml:space="preserve">those </w:t>
      </w:r>
      <w:r w:rsidRPr="00022524">
        <w:t xml:space="preserve">with financial funding between 100,000,000 and 300,000,000 Euro (Category b), </w:t>
      </w:r>
      <w:r w:rsidR="00CE3A93" w:rsidRPr="00022524">
        <w:t>and programmes</w:t>
      </w:r>
      <w:r w:rsidRPr="00022524">
        <w:t xml:space="preserve"> with financial funding with more than</w:t>
      </w:r>
      <w:r w:rsidR="00CE3A93" w:rsidRPr="00022524">
        <w:t xml:space="preserve"> 300,000,000 Euro (Category c). </w:t>
      </w:r>
      <w:r w:rsidRPr="00022524">
        <w:t xml:space="preserve">When </w:t>
      </w:r>
      <w:r w:rsidR="00EC729B" w:rsidRPr="00022524">
        <w:t>examining</w:t>
      </w:r>
      <w:r w:rsidRPr="00022524">
        <w:t xml:space="preserve"> the use of the four categories of indicators the following picture becomes evident: </w:t>
      </w:r>
    </w:p>
    <w:p w14:paraId="09CE744C" w14:textId="77777777" w:rsidR="00370CD0" w:rsidRPr="00022524" w:rsidRDefault="00370CD0" w:rsidP="00370CD0">
      <w:pPr>
        <w:pStyle w:val="BulletPoint1"/>
      </w:pPr>
      <w:r w:rsidRPr="00022524">
        <w:t xml:space="preserve">While programmes of categories a and b </w:t>
      </w:r>
      <w:r w:rsidR="00D371B9" w:rsidRPr="00022524">
        <w:t xml:space="preserve">demonstrate </w:t>
      </w:r>
      <w:r w:rsidRPr="00022524">
        <w:t xml:space="preserve">a similar distribution of indicator categories, going in line with the EU ETC average, category c programmes show a lower share of output indicators of 42% (EU ETC: 56%) and a relatively high share of key implementation steps </w:t>
      </w:r>
      <w:r w:rsidR="00D371B9" w:rsidRPr="00022524">
        <w:t xml:space="preserve">of </w:t>
      </w:r>
      <w:r w:rsidRPr="00022524">
        <w:t>28% of all PF indicators (EU ETC: 12%</w:t>
      </w:r>
      <w:r w:rsidR="00D371B9" w:rsidRPr="00022524">
        <w:t>) -</w:t>
      </w:r>
      <w:r w:rsidR="003C3747" w:rsidRPr="00022524">
        <w:t xml:space="preserve"> in line with findings from IGJ programmes</w:t>
      </w:r>
      <w:r w:rsidRPr="00022524">
        <w:t>.</w:t>
      </w:r>
    </w:p>
    <w:p w14:paraId="5050370A" w14:textId="77777777" w:rsidR="00370CD0" w:rsidRPr="00022524" w:rsidRDefault="00370CD0" w:rsidP="00370CD0">
      <w:pPr>
        <w:pStyle w:val="BulletPoint1"/>
      </w:pPr>
      <w:r w:rsidRPr="00022524">
        <w:t>Category a-programmes show a significantly higher share of common output indicators: 28% of all output indicators are common ones; on the contrary: category c programme use common indicators to a much smaller extent of 17% (EU ETC: 23%).</w:t>
      </w:r>
    </w:p>
    <w:p w14:paraId="305C53A6" w14:textId="77777777" w:rsidR="00370CD0" w:rsidRPr="00022524" w:rsidRDefault="00370CD0" w:rsidP="00370CD0">
      <w:pPr>
        <w:pStyle w:val="BulletPoint1"/>
      </w:pPr>
      <w:r w:rsidRPr="00022524">
        <w:t>Financial indicators of all categories cover a similar share of 30% of all PF indicators.</w:t>
      </w:r>
    </w:p>
    <w:p w14:paraId="6101D90D" w14:textId="77777777" w:rsidR="00370CD0" w:rsidRPr="00022524" w:rsidRDefault="00370CD0" w:rsidP="00370CD0">
      <w:pPr>
        <w:pStyle w:val="BulletPoint1"/>
      </w:pPr>
      <w:r w:rsidRPr="00022524">
        <w:t>Result indicators are not relevant at all.</w:t>
      </w:r>
    </w:p>
    <w:p w14:paraId="1EF0A815" w14:textId="36782BA6" w:rsidR="00EC729B" w:rsidRPr="00022524" w:rsidRDefault="00EC729B" w:rsidP="00EC729B">
      <w:pPr>
        <w:pStyle w:val="Body"/>
      </w:pPr>
      <w:bookmarkStart w:id="114" w:name="_Toc432335094"/>
      <w:bookmarkStart w:id="115" w:name="_Toc432346735"/>
      <w:bookmarkStart w:id="116" w:name="_Toc432401877"/>
      <w:bookmarkStart w:id="117" w:name="_Toc432401952"/>
      <w:bookmarkStart w:id="118" w:name="_Toc432408756"/>
      <w:bookmarkStart w:id="119" w:name="_Toc432335095"/>
      <w:bookmarkStart w:id="120" w:name="_Toc432346736"/>
      <w:bookmarkStart w:id="121" w:name="_Toc432401878"/>
      <w:bookmarkStart w:id="122" w:name="_Toc432401953"/>
      <w:bookmarkStart w:id="123" w:name="_Toc432408757"/>
      <w:bookmarkStart w:id="124" w:name="_Ref426110094"/>
      <w:bookmarkStart w:id="125" w:name="_Toc427649645"/>
      <w:bookmarkStart w:id="126" w:name="_Toc429671080"/>
      <w:bookmarkStart w:id="127" w:name="_Toc432600881"/>
      <w:bookmarkEnd w:id="114"/>
      <w:bookmarkEnd w:id="115"/>
      <w:bookmarkEnd w:id="116"/>
      <w:bookmarkEnd w:id="117"/>
      <w:bookmarkEnd w:id="118"/>
      <w:bookmarkEnd w:id="119"/>
      <w:bookmarkEnd w:id="120"/>
      <w:bookmarkEnd w:id="121"/>
      <w:bookmarkEnd w:id="122"/>
      <w:bookmarkEnd w:id="123"/>
      <w:r w:rsidRPr="00022524">
        <w:t xml:space="preserve">Concluding, a relatively high share of key implementation steps for those programmes with increase funding (IGJ and ETC category c) is visible. </w:t>
      </w:r>
      <w:r w:rsidR="0066110E" w:rsidRPr="00022524">
        <w:t>Generally, ETC programmes of category c, i.e. highest funding, show a lower</w:t>
      </w:r>
      <w:r w:rsidR="005C4940">
        <w:t xml:space="preserve"> overall</w:t>
      </w:r>
      <w:r w:rsidR="0066110E" w:rsidRPr="00022524">
        <w:t xml:space="preserve"> share of output indicators</w:t>
      </w:r>
      <w:r w:rsidR="005C4940">
        <w:t>, because the key implementation steps were used more often.</w:t>
      </w:r>
      <w:r w:rsidR="005C4940" w:rsidRPr="00022524" w:rsidDel="005C4940">
        <w:t xml:space="preserve"> </w:t>
      </w:r>
    </w:p>
    <w:p w14:paraId="116CF7BC" w14:textId="77777777" w:rsidR="00750033" w:rsidRPr="00022524" w:rsidRDefault="00750033">
      <w:pPr>
        <w:spacing w:after="0"/>
        <w:jc w:val="left"/>
        <w:rPr>
          <w:rFonts w:ascii="Verdana" w:hAnsi="Verdana"/>
          <w:b/>
          <w:sz w:val="20"/>
          <w:lang w:val="en-GB"/>
        </w:rPr>
      </w:pPr>
      <w:bookmarkStart w:id="128" w:name="_Ref433223945"/>
      <w:bookmarkStart w:id="129" w:name="_Toc433973107"/>
      <w:bookmarkStart w:id="130" w:name="_Toc433973196"/>
      <w:r w:rsidRPr="00022524">
        <w:rPr>
          <w:lang w:val="en-GB"/>
        </w:rPr>
        <w:br w:type="page"/>
      </w:r>
    </w:p>
    <w:p w14:paraId="1C68B36D" w14:textId="77777777" w:rsidR="00370CD0" w:rsidRPr="00022524" w:rsidRDefault="00370CD0" w:rsidP="00A0452B">
      <w:pPr>
        <w:pStyle w:val="Heading2"/>
      </w:pPr>
      <w:bookmarkStart w:id="131" w:name="_Toc448144112"/>
      <w:r w:rsidRPr="00022524">
        <w:lastRenderedPageBreak/>
        <w:t>Appropriateness of milestones and targets (according to Annex II of Regulation (EU) No 1303/2013)</w:t>
      </w:r>
      <w:bookmarkEnd w:id="124"/>
      <w:bookmarkEnd w:id="125"/>
      <w:bookmarkEnd w:id="126"/>
      <w:bookmarkEnd w:id="127"/>
      <w:bookmarkEnd w:id="128"/>
      <w:bookmarkEnd w:id="129"/>
      <w:bookmarkEnd w:id="130"/>
      <w:bookmarkEnd w:id="131"/>
    </w:p>
    <w:p w14:paraId="77B8250D" w14:textId="0161FF94" w:rsidR="00370CD0" w:rsidRPr="00022524" w:rsidRDefault="00370CD0" w:rsidP="00370CD0">
      <w:pPr>
        <w:pStyle w:val="Body"/>
        <w:spacing w:after="120"/>
      </w:pPr>
      <w:r w:rsidRPr="00022524">
        <w:t>A second step in providing a synthesis of how the provisions relating to the performance framework are reflected in the programmes and how the requirements from Regulation (EU) No 1303/2013 in relation to milestone and target setting were taken into account</w:t>
      </w:r>
      <w:r w:rsidR="00450931" w:rsidRPr="00022524">
        <w:t xml:space="preserve"> is the </w:t>
      </w:r>
      <w:r w:rsidRPr="00022524">
        <w:t>assessment of the establishment of milestones and targets for the four categories of indicators, with a specific focus on common output indicators and financial indicators</w:t>
      </w:r>
      <w:r w:rsidR="00D371B9" w:rsidRPr="00022524">
        <w:t>.</w:t>
      </w:r>
      <w:r w:rsidRPr="00022524">
        <w:t xml:space="preserve"> </w:t>
      </w:r>
      <w:r w:rsidR="00D371B9" w:rsidRPr="00022524">
        <w:t>T</w:t>
      </w:r>
      <w:r w:rsidRPr="00022524">
        <w:t xml:space="preserve">his assessment follows the Annex II criteria of Regulation (EU) No 1303/2013. The </w:t>
      </w:r>
      <w:r w:rsidR="00CF5F41" w:rsidRPr="00022524">
        <w:t>indicator evaluation</w:t>
      </w:r>
      <w:r w:rsidRPr="00022524">
        <w:t xml:space="preserve"> along these criteria is based on the judgment of the </w:t>
      </w:r>
      <w:r w:rsidR="00CF5F41" w:rsidRPr="00022524">
        <w:t xml:space="preserve">study’s </w:t>
      </w:r>
      <w:r w:rsidRPr="00022524">
        <w:t>national experts</w:t>
      </w:r>
      <w:r w:rsidR="00CF5F41" w:rsidRPr="00022524">
        <w:t xml:space="preserve">, </w:t>
      </w:r>
      <w:r w:rsidR="004C0100" w:rsidRPr="00022524">
        <w:t>who</w:t>
      </w:r>
      <w:r w:rsidR="00CF5F41" w:rsidRPr="00022524">
        <w:t xml:space="preserve"> did the assessment of appropriateness of milestones and targets following a standardised guidance</w:t>
      </w:r>
      <w:r w:rsidRPr="00022524">
        <w:rPr>
          <w:rStyle w:val="FootnoteReference"/>
        </w:rPr>
        <w:footnoteReference w:id="33"/>
      </w:r>
      <w:r w:rsidRPr="00022524">
        <w:t>.</w:t>
      </w:r>
      <w:r w:rsidR="004D1370" w:rsidRPr="00022524">
        <w:t xml:space="preserve"> Additionally, </w:t>
      </w:r>
      <w:r w:rsidR="00024D2B" w:rsidRPr="00022524">
        <w:t xml:space="preserve">findings from the interviews and the </w:t>
      </w:r>
      <w:r w:rsidR="006317A3" w:rsidRPr="00022524">
        <w:t>web-survey</w:t>
      </w:r>
      <w:r w:rsidR="00024D2B" w:rsidRPr="00022524">
        <w:t xml:space="preserve"> are integrated in the following discussion where relevant.</w:t>
      </w:r>
      <w:r w:rsidRPr="00022524">
        <w:t xml:space="preserve"> The following aspects are described in detail</w:t>
      </w:r>
      <w:r w:rsidR="006436C9">
        <w:t>, based on the information available at the time of the preparation of the report</w:t>
      </w:r>
      <w:r w:rsidRPr="00022524">
        <w:t>:</w:t>
      </w:r>
    </w:p>
    <w:p w14:paraId="6E72565C" w14:textId="77777777" w:rsidR="00370CD0" w:rsidRPr="00022524" w:rsidRDefault="00370CD0" w:rsidP="00370CD0">
      <w:pPr>
        <w:pStyle w:val="BulletPoint1"/>
      </w:pPr>
      <w:r w:rsidRPr="00022524">
        <w:t>The general findings on milestones and targets, i.e. the complete picture of the financial and output indicators’ milestones and targets of IGJ and ETC programmes in accordance with the Annex II criteria, are illustrated.</w:t>
      </w:r>
    </w:p>
    <w:p w14:paraId="33680454" w14:textId="77777777" w:rsidR="00370CD0" w:rsidRPr="00022524" w:rsidRDefault="00370CD0" w:rsidP="00370CD0">
      <w:pPr>
        <w:pStyle w:val="BulletPoint1"/>
      </w:pPr>
      <w:r w:rsidRPr="00022524">
        <w:t>Furthermore</w:t>
      </w:r>
      <w:r w:rsidR="004D1370" w:rsidRPr="00022524">
        <w:t>,</w:t>
      </w:r>
      <w:r w:rsidRPr="00022524">
        <w:t xml:space="preserve"> the categories of common output indicators (ERDF/CF and ESF) of IGJ programmes are analysed, including a reflection on the appropriate level for milestones taking into account the rhythm of delivery of outputs in different intervention areas, as thematically illustrated by the common indicators.</w:t>
      </w:r>
    </w:p>
    <w:p w14:paraId="387ADC90" w14:textId="4D49EB10" w:rsidR="00370CD0" w:rsidRPr="001D333C" w:rsidRDefault="00370CD0" w:rsidP="00370CD0">
      <w:pPr>
        <w:pStyle w:val="BulletPoint1"/>
      </w:pPr>
      <w:r w:rsidRPr="00022524">
        <w:t xml:space="preserve">Finally, for financial indicators a reflection on the level for milestones, taking account of the </w:t>
      </w:r>
      <w:r w:rsidRPr="005428CA">
        <w:t>rhythm of delivery of outputs in different intervention areas</w:t>
      </w:r>
      <w:r w:rsidR="00D24666" w:rsidRPr="005428CA">
        <w:t xml:space="preserve"> </w:t>
      </w:r>
      <w:r w:rsidRPr="005428CA">
        <w:t>is included.</w:t>
      </w:r>
    </w:p>
    <w:p w14:paraId="6BC125D1" w14:textId="6B9ABD56" w:rsidR="00FF3DEF" w:rsidRPr="005428CA" w:rsidRDefault="000D4C6C" w:rsidP="001164FA">
      <w:pPr>
        <w:pStyle w:val="Body"/>
      </w:pPr>
      <w:r>
        <w:t>T</w:t>
      </w:r>
      <w:r w:rsidR="001164FA" w:rsidRPr="005428CA">
        <w:t xml:space="preserve">he national experts’ judgement – i.e. the assessment of the appropriateness of milestones and targets – is partly based on programme documents which were not yet adopted when analysing them. Furthermore, methodologies were not available for all programmes. The results of this assessment </w:t>
      </w:r>
      <w:r w:rsidR="00824218" w:rsidRPr="005428CA">
        <w:t xml:space="preserve">therefore </w:t>
      </w:r>
      <w:r w:rsidR="001164FA" w:rsidRPr="005428CA">
        <w:t xml:space="preserve">illustrate a </w:t>
      </w:r>
      <w:r>
        <w:t>general overview</w:t>
      </w:r>
      <w:r w:rsidR="001164FA" w:rsidRPr="005428CA">
        <w:t>.</w:t>
      </w:r>
      <w:r w:rsidR="00A438A9" w:rsidRPr="005428CA">
        <w:t xml:space="preserve"> </w:t>
      </w:r>
      <w:r w:rsidR="00824218" w:rsidRPr="005428CA">
        <w:t>The overview en</w:t>
      </w:r>
      <w:r w:rsidR="00FF3DEF" w:rsidRPr="005428CA">
        <w:t>compassed the examination of mi</w:t>
      </w:r>
      <w:r w:rsidR="00824218" w:rsidRPr="005428CA">
        <w:t>l</w:t>
      </w:r>
      <w:r w:rsidR="00FF3DEF" w:rsidRPr="005428CA">
        <w:t>e</w:t>
      </w:r>
      <w:r w:rsidR="00824218" w:rsidRPr="005428CA">
        <w:t>stones and targets,</w:t>
      </w:r>
      <w:r w:rsidR="00FF3DEF" w:rsidRPr="005428CA">
        <w:t xml:space="preserve"> in particular, whether they are: realistic, achievable on the progress of a priority; relevant and necessary for monitoring the progress of the programmes</w:t>
      </w:r>
      <w:r w:rsidR="00FF3DEF" w:rsidRPr="001D333C">
        <w:t xml:space="preserve">; </w:t>
      </w:r>
      <w:r w:rsidR="00FF3DEF" w:rsidRPr="005428CA">
        <w:t xml:space="preserve">consistent with the nature and character of the specific objectives of the </w:t>
      </w:r>
      <w:proofErr w:type="spellStart"/>
      <w:r w:rsidR="00FF3DEF" w:rsidRPr="005428CA">
        <w:t>PAx</w:t>
      </w:r>
      <w:proofErr w:type="spellEnd"/>
      <w:r w:rsidR="00FF3DEF" w:rsidRPr="005428CA">
        <w:t xml:space="preserve">; transparent, with objectively verifiable targets and the source data identified; verifiable, without imposing a disproportionate administrative burden; and whether the indicator’s milestones and targets are consistent across programmes. </w:t>
      </w:r>
    </w:p>
    <w:p w14:paraId="06AB5E36" w14:textId="7281DE8A" w:rsidR="00824218" w:rsidRPr="005428CA" w:rsidRDefault="00FF3DEF" w:rsidP="001164FA">
      <w:pPr>
        <w:pStyle w:val="Body"/>
      </w:pPr>
      <w:r w:rsidRPr="005428CA">
        <w:t xml:space="preserve">Based on the review </w:t>
      </w:r>
      <w:r w:rsidR="005428CA" w:rsidRPr="005428CA">
        <w:t xml:space="preserve">of these potential problematic issues, it appears that no serious problems have been detected. It is noteworthy to stress that the seriousness of the issue is considered in terms of </w:t>
      </w:r>
      <w:r w:rsidR="00967E7B">
        <w:t>not meeting EU regulative framework</w:t>
      </w:r>
      <w:r w:rsidR="005428CA" w:rsidRPr="005428CA">
        <w:t>. Furthermore, the review only seeks to provide an outline of the situation. Indeed, a more in-depth examination would exceed the scope of this study.</w:t>
      </w:r>
    </w:p>
    <w:p w14:paraId="5C6C562E" w14:textId="7BA3ED1B" w:rsidR="00370CD0" w:rsidRPr="00022524" w:rsidRDefault="00370CD0" w:rsidP="009F7864">
      <w:pPr>
        <w:pStyle w:val="Heading3"/>
        <w:rPr>
          <w:lang w:val="en-GB"/>
        </w:rPr>
      </w:pPr>
      <w:bookmarkStart w:id="132" w:name="_Toc429671081"/>
      <w:bookmarkStart w:id="133" w:name="_Toc432600882"/>
      <w:bookmarkStart w:id="134" w:name="_Toc433973108"/>
      <w:bookmarkStart w:id="135" w:name="_Toc448144113"/>
      <w:r w:rsidRPr="00022524">
        <w:rPr>
          <w:lang w:val="en-GB"/>
        </w:rPr>
        <w:t>General findings on milestones and target</w:t>
      </w:r>
      <w:bookmarkEnd w:id="132"/>
      <w:bookmarkEnd w:id="133"/>
      <w:bookmarkEnd w:id="134"/>
      <w:r w:rsidR="00B8474C">
        <w:rPr>
          <w:lang w:val="en-GB"/>
        </w:rPr>
        <w:t>s</w:t>
      </w:r>
      <w:bookmarkEnd w:id="135"/>
    </w:p>
    <w:p w14:paraId="433302B2" w14:textId="77777777" w:rsidR="00370CD0" w:rsidRPr="00022524" w:rsidRDefault="00606F50" w:rsidP="00370CD0">
      <w:pPr>
        <w:pStyle w:val="Body"/>
      </w:pPr>
      <w:r w:rsidRPr="00022524">
        <w:t>The</w:t>
      </w:r>
      <w:r w:rsidR="006317A3" w:rsidRPr="00022524">
        <w:t xml:space="preserve"> web-survey</w:t>
      </w:r>
      <w:r w:rsidRPr="00022524">
        <w:t xml:space="preserve"> respondents </w:t>
      </w:r>
      <w:r w:rsidR="0083670B" w:rsidRPr="00022524">
        <w:t xml:space="preserve">that expressed difficulties in establishing a methodology for indicator selection have indicated more difficulties </w:t>
      </w:r>
      <w:r w:rsidRPr="00022524">
        <w:t xml:space="preserve">meeting the requirements of Annex II of </w:t>
      </w:r>
      <w:r w:rsidR="0036404E" w:rsidRPr="00022524">
        <w:t xml:space="preserve">Regulation (EU) No 1303/2013 </w:t>
      </w:r>
      <w:r w:rsidRPr="00022524">
        <w:t xml:space="preserve">for the milestones and targets. Most programmes indicated that it was </w:t>
      </w:r>
      <w:r w:rsidR="00450931" w:rsidRPr="00022524">
        <w:t>"</w:t>
      </w:r>
      <w:r w:rsidRPr="00022524">
        <w:t>somewhat</w:t>
      </w:r>
      <w:r w:rsidR="00450931" w:rsidRPr="00022524">
        <w:t>"</w:t>
      </w:r>
      <w:r w:rsidRPr="00022524">
        <w:t xml:space="preserve"> difficult meeting these requirements.</w:t>
      </w:r>
      <w:r w:rsidR="00C31B15" w:rsidRPr="00022524">
        <w:t xml:space="preserve"> </w:t>
      </w:r>
      <w:r w:rsidR="0036138A" w:rsidRPr="00022524">
        <w:t xml:space="preserve">Generally, the interviewees did not see any </w:t>
      </w:r>
      <w:r w:rsidR="00C31B15" w:rsidRPr="00022524">
        <w:t>specific chall</w:t>
      </w:r>
      <w:r w:rsidR="0036404E" w:rsidRPr="00022524">
        <w:t>enges</w:t>
      </w:r>
      <w:r w:rsidR="0036138A" w:rsidRPr="00022524">
        <w:t xml:space="preserve"> linked to the requirements of Annex II, neither concerning</w:t>
      </w:r>
      <w:r w:rsidR="00C31B15" w:rsidRPr="00022524">
        <w:t xml:space="preserve"> the use of common output indicators</w:t>
      </w:r>
      <w:r w:rsidR="009E789E" w:rsidRPr="00022524">
        <w:t>,</w:t>
      </w:r>
      <w:r w:rsidR="00C31B15" w:rsidRPr="00022524">
        <w:t xml:space="preserve"> </w:t>
      </w:r>
      <w:r w:rsidR="0036138A" w:rsidRPr="00022524">
        <w:t>n</w:t>
      </w:r>
      <w:r w:rsidR="00C31B15" w:rsidRPr="00022524">
        <w:t xml:space="preserve">or the </w:t>
      </w:r>
      <w:r w:rsidR="009E789E" w:rsidRPr="00022524">
        <w:t xml:space="preserve">general </w:t>
      </w:r>
      <w:r w:rsidR="00C31B15" w:rsidRPr="00022524">
        <w:t>compact design of the performance framework</w:t>
      </w:r>
      <w:r w:rsidR="00E73BBB" w:rsidRPr="00022524">
        <w:t xml:space="preserve"> (i.e. simple system of indicators and reduction to the essentials)</w:t>
      </w:r>
      <w:r w:rsidR="00C31B15" w:rsidRPr="00022524">
        <w:t>.</w:t>
      </w:r>
    </w:p>
    <w:p w14:paraId="16FB344B" w14:textId="77777777" w:rsidR="00370CD0" w:rsidRPr="00022524" w:rsidRDefault="00370CD0" w:rsidP="00096F14">
      <w:pPr>
        <w:pStyle w:val="Zwischenberschrift"/>
        <w:outlineLvl w:val="0"/>
      </w:pPr>
      <w:bookmarkStart w:id="136" w:name="_Toc433973109"/>
      <w:r w:rsidRPr="00022524">
        <w:t>Review of</w:t>
      </w:r>
      <w:r w:rsidR="00EC729B" w:rsidRPr="00022524">
        <w:t xml:space="preserve"> IGJ programmes</w:t>
      </w:r>
      <w:bookmarkEnd w:id="136"/>
    </w:p>
    <w:p w14:paraId="3E11DB9E" w14:textId="77777777" w:rsidR="00370CD0" w:rsidRPr="00022524" w:rsidRDefault="00370CD0" w:rsidP="00370CD0">
      <w:pPr>
        <w:pStyle w:val="Body"/>
        <w:spacing w:after="120"/>
      </w:pPr>
      <w:r w:rsidRPr="00022524">
        <w:t xml:space="preserve">When reviewing if milestones and targets are </w:t>
      </w:r>
      <w:r w:rsidRPr="00022524">
        <w:rPr>
          <w:i/>
        </w:rPr>
        <w:t>realistic, achievable on the progress of a priority</w:t>
      </w:r>
      <w:r w:rsidR="00B57589" w:rsidRPr="00022524">
        <w:rPr>
          <w:i/>
        </w:rPr>
        <w:t>:</w:t>
      </w:r>
      <w:r w:rsidR="000749B7" w:rsidRPr="00022524">
        <w:t xml:space="preserve"> </w:t>
      </w:r>
    </w:p>
    <w:p w14:paraId="4E2302FB" w14:textId="3193595F" w:rsidR="00370CD0" w:rsidRPr="0050283B" w:rsidRDefault="00B57589" w:rsidP="00EA7EB8">
      <w:pPr>
        <w:pStyle w:val="BulletPoint1"/>
      </w:pPr>
      <w:r w:rsidRPr="00022524">
        <w:t>F</w:t>
      </w:r>
      <w:r w:rsidR="00370CD0" w:rsidRPr="00022524">
        <w:t xml:space="preserve">or all output indicators included in the database it becomes evident that for </w:t>
      </w:r>
      <w:r w:rsidR="00EA7EB8" w:rsidRPr="00022524">
        <w:t>the vast majority</w:t>
      </w:r>
      <w:r w:rsidR="00510853" w:rsidRPr="00022524">
        <w:t xml:space="preserve"> </w:t>
      </w:r>
      <w:r w:rsidR="00370CD0" w:rsidRPr="00022524">
        <w:t>of the PF output indicators</w:t>
      </w:r>
      <w:r w:rsidR="00EA7EB8" w:rsidRPr="00022524">
        <w:t xml:space="preserve"> (</w:t>
      </w:r>
      <w:r w:rsidR="009B7E44">
        <w:t xml:space="preserve">at least </w:t>
      </w:r>
      <w:r w:rsidR="00EA7EB8" w:rsidRPr="0050283B">
        <w:t>82%)</w:t>
      </w:r>
      <w:r w:rsidR="00370CD0" w:rsidRPr="0050283B">
        <w:t>, milestones and targets were considered realistic and achievable</w:t>
      </w:r>
      <w:r w:rsidRPr="0050283B">
        <w:t>.</w:t>
      </w:r>
      <w:r w:rsidR="00370CD0" w:rsidRPr="0050283B">
        <w:t xml:space="preserve"> </w:t>
      </w:r>
      <w:r w:rsidRPr="0050283B">
        <w:t>F</w:t>
      </w:r>
      <w:r w:rsidR="00370CD0" w:rsidRPr="004C6A1F">
        <w:t xml:space="preserve">or the remaining </w:t>
      </w:r>
      <w:r w:rsidR="00EA7EB8" w:rsidRPr="006031EE">
        <w:t>ones</w:t>
      </w:r>
      <w:r w:rsidR="00370CD0" w:rsidRPr="006031EE">
        <w:t xml:space="preserve"> it is unclear if milestones and targets met this criterion. </w:t>
      </w:r>
      <w:r w:rsidR="00EA7EB8" w:rsidRPr="000B2281">
        <w:t>The assessment of financial indicators resembles the one of</w:t>
      </w:r>
      <w:r w:rsidR="009E789E" w:rsidRPr="000B2281">
        <w:t xml:space="preserve"> the</w:t>
      </w:r>
      <w:r w:rsidR="00EA7EB8" w:rsidRPr="00D24666">
        <w:t xml:space="preserve"> output indicators, though ranging at a certainly higher level (</w:t>
      </w:r>
      <w:r w:rsidR="00F462A6" w:rsidRPr="00D24666">
        <w:t>at least</w:t>
      </w:r>
      <w:r w:rsidR="00F462A6" w:rsidRPr="00B74C92">
        <w:t xml:space="preserve"> </w:t>
      </w:r>
      <w:r w:rsidR="00370CD0" w:rsidRPr="00B74C92">
        <w:t>85%</w:t>
      </w:r>
      <w:r w:rsidR="00EA7EB8" w:rsidRPr="00C55CB9">
        <w:t xml:space="preserve"> of financial indicators considered realistic and achievable</w:t>
      </w:r>
      <w:r w:rsidR="00370CD0" w:rsidRPr="0012604D">
        <w:t>)</w:t>
      </w:r>
      <w:r w:rsidR="00EA7EB8" w:rsidRPr="0012604D">
        <w:t>.</w:t>
      </w:r>
    </w:p>
    <w:p w14:paraId="30363512" w14:textId="0CF4054C" w:rsidR="00370CD0" w:rsidRPr="0050283B" w:rsidRDefault="00370CD0" w:rsidP="00370CD0">
      <w:pPr>
        <w:pStyle w:val="BulletPoint1"/>
      </w:pPr>
      <w:r w:rsidRPr="0050283B">
        <w:t>When going into detail on output indicators, the results show that the programme-specific output indicators are identified as being a bit clearer (</w:t>
      </w:r>
      <w:r w:rsidR="00716EA3" w:rsidRPr="006031EE">
        <w:t>at least</w:t>
      </w:r>
      <w:r w:rsidR="00716EA3" w:rsidRPr="0050283B">
        <w:t xml:space="preserve"> </w:t>
      </w:r>
      <w:r w:rsidRPr="0050283B">
        <w:t>83%) than common output indicators (</w:t>
      </w:r>
      <w:r w:rsidR="00716EA3" w:rsidRPr="006031EE">
        <w:t>at least</w:t>
      </w:r>
      <w:r w:rsidR="00716EA3" w:rsidRPr="0050283B">
        <w:t xml:space="preserve"> </w:t>
      </w:r>
      <w:r w:rsidRPr="0050283B">
        <w:t xml:space="preserve">81%). </w:t>
      </w:r>
    </w:p>
    <w:p w14:paraId="2A9EBDDF" w14:textId="7CD86547" w:rsidR="00370CD0" w:rsidRPr="0012604D" w:rsidRDefault="00370CD0" w:rsidP="00370CD0">
      <w:pPr>
        <w:pStyle w:val="BulletPoint1"/>
      </w:pPr>
      <w:r w:rsidRPr="0050283B">
        <w:lastRenderedPageBreak/>
        <w:t xml:space="preserve">Particularly </w:t>
      </w:r>
      <w:r w:rsidR="00D50256" w:rsidRPr="0050283B">
        <w:t xml:space="preserve">those </w:t>
      </w:r>
      <w:proofErr w:type="spellStart"/>
      <w:r w:rsidR="00DA7557" w:rsidRPr="0050283B">
        <w:t>PAx</w:t>
      </w:r>
      <w:proofErr w:type="spellEnd"/>
      <w:r w:rsidR="00D50256" w:rsidRPr="004C6A1F">
        <w:t xml:space="preserve"> </w:t>
      </w:r>
      <w:r w:rsidRPr="006031EE">
        <w:t>funded from the CF and the combination of ERDF, CF and ESF (M3) show milestones and targets of output and financial indicators which are all deemed as</w:t>
      </w:r>
      <w:r w:rsidR="009E789E" w:rsidRPr="000B2281">
        <w:t xml:space="preserve"> being realistic and achievable. P</w:t>
      </w:r>
      <w:r w:rsidRPr="00D24666">
        <w:t>rogrammes funded from the combination of ERDF and CF (M0) show very clear financial indicators, while some of the o</w:t>
      </w:r>
      <w:r w:rsidR="009E789E" w:rsidRPr="00B74C92">
        <w:t>utput indicators remain unclear</w:t>
      </w:r>
      <w:r w:rsidRPr="0012604D">
        <w:t xml:space="preserve">. </w:t>
      </w:r>
    </w:p>
    <w:p w14:paraId="26E6CEAF" w14:textId="14B257D8" w:rsidR="00370CD0" w:rsidRPr="00022524" w:rsidRDefault="00370CD0" w:rsidP="00370CD0">
      <w:pPr>
        <w:pStyle w:val="BulletPoint1"/>
      </w:pPr>
      <w:r w:rsidRPr="0012604D">
        <w:t>The same holds true for those national programmes which are especially focusing on sustainable growth, and those programmes w</w:t>
      </w:r>
      <w:r w:rsidRPr="0050283B">
        <w:t xml:space="preserve">hich </w:t>
      </w:r>
      <w:proofErr w:type="spellStart"/>
      <w:r w:rsidR="00DA7557" w:rsidRPr="0050283B">
        <w:t>PAx</w:t>
      </w:r>
      <w:proofErr w:type="spellEnd"/>
      <w:r w:rsidRPr="00022524">
        <w:t xml:space="preserve"> all refer to more than one thematic objective only.</w:t>
      </w:r>
    </w:p>
    <w:p w14:paraId="7F93CBAA" w14:textId="77777777" w:rsidR="00483A20" w:rsidRPr="00022524" w:rsidRDefault="00483A20" w:rsidP="00483A20">
      <w:pPr>
        <w:pStyle w:val="BulletPoint1"/>
      </w:pPr>
      <w:r w:rsidRPr="00022524">
        <w:t>Following the</w:t>
      </w:r>
      <w:r w:rsidR="006317A3" w:rsidRPr="00022524">
        <w:t xml:space="preserve"> web-survey</w:t>
      </w:r>
      <w:r w:rsidRPr="00022524">
        <w:t xml:space="preserve"> findings it can be seen that setting realistic targets was more of a challenge for transnational cooperation programmes (followed by </w:t>
      </w:r>
      <w:proofErr w:type="spellStart"/>
      <w:r w:rsidRPr="00022524">
        <w:t>cross-border</w:t>
      </w:r>
      <w:proofErr w:type="spellEnd"/>
      <w:r w:rsidRPr="00022524">
        <w:t xml:space="preserve"> programmes and single fund programmes)</w:t>
      </w:r>
      <w:r w:rsidR="008851EE" w:rsidRPr="00022524">
        <w:t>.</w:t>
      </w:r>
    </w:p>
    <w:p w14:paraId="63F92C85" w14:textId="77777777" w:rsidR="008851EE" w:rsidRPr="0050283B" w:rsidRDefault="008851EE" w:rsidP="00483A20">
      <w:pPr>
        <w:pStyle w:val="BulletPoint1"/>
      </w:pPr>
      <w:r w:rsidRPr="00022524">
        <w:t xml:space="preserve">Based on the interview findings, the stakeholders of Croatia mentioned that achieving </w:t>
      </w:r>
      <w:r w:rsidR="0036404E" w:rsidRPr="00022524">
        <w:t xml:space="preserve">this </w:t>
      </w:r>
      <w:r w:rsidR="0036404E" w:rsidRPr="0050283B">
        <w:t>criterion</w:t>
      </w:r>
      <w:r w:rsidRPr="0050283B">
        <w:t xml:space="preserve"> was a challenge for the programme.</w:t>
      </w:r>
    </w:p>
    <w:p w14:paraId="692DDC94" w14:textId="3B2F3D0C" w:rsidR="00370CD0" w:rsidRPr="0050283B" w:rsidRDefault="00716EA3" w:rsidP="00370CD0">
      <w:pPr>
        <w:pStyle w:val="Body"/>
        <w:spacing w:after="120"/>
      </w:pPr>
      <w:r w:rsidRPr="0050283B">
        <w:t xml:space="preserve">At least </w:t>
      </w:r>
      <w:r w:rsidR="00370CD0" w:rsidRPr="0050283B">
        <w:t>89% of the output indicators</w:t>
      </w:r>
      <w:r w:rsidR="00B57589" w:rsidRPr="0050283B">
        <w:t>,</w:t>
      </w:r>
      <w:r w:rsidR="00370CD0" w:rsidRPr="0050283B">
        <w:t xml:space="preserve"> milestones and targets were considered </w:t>
      </w:r>
      <w:r w:rsidR="00370CD0" w:rsidRPr="0050283B">
        <w:rPr>
          <w:i/>
        </w:rPr>
        <w:t>relevant and necessary for monitoring the progress of the programmes</w:t>
      </w:r>
      <w:r w:rsidR="00B57589" w:rsidRPr="0050283B">
        <w:rPr>
          <w:bCs/>
        </w:rPr>
        <w:t>:</w:t>
      </w:r>
    </w:p>
    <w:p w14:paraId="1F741A0C" w14:textId="77777777" w:rsidR="00370CD0" w:rsidRPr="0050283B" w:rsidRDefault="00B57589" w:rsidP="00370CD0">
      <w:pPr>
        <w:pStyle w:val="BulletPoint1"/>
      </w:pPr>
      <w:r w:rsidRPr="0050283B">
        <w:t>F</w:t>
      </w:r>
      <w:r w:rsidR="00370CD0" w:rsidRPr="0050283B">
        <w:t xml:space="preserve">or the </w:t>
      </w:r>
      <w:r w:rsidR="000749B7" w:rsidRPr="0050283B">
        <w:t>residual</w:t>
      </w:r>
      <w:r w:rsidR="00370CD0" w:rsidRPr="0050283B">
        <w:t xml:space="preserve"> output </w:t>
      </w:r>
      <w:r w:rsidR="0036404E" w:rsidRPr="0050283B">
        <w:t>indicators,</w:t>
      </w:r>
      <w:r w:rsidR="00370CD0" w:rsidRPr="0050283B">
        <w:t xml:space="preserve"> it remained unclear if milestones and targets can be considered relevant;</w:t>
      </w:r>
      <w:r w:rsidR="000749B7" w:rsidRPr="0050283B">
        <w:t xml:space="preserve"> </w:t>
      </w:r>
      <w:r w:rsidR="003F7B0C" w:rsidRPr="0050283B">
        <w:t xml:space="preserve">this finding is </w:t>
      </w:r>
      <w:r w:rsidR="00370CD0" w:rsidRPr="0050283B">
        <w:t xml:space="preserve">in line with the assessment of financial indicators. </w:t>
      </w:r>
    </w:p>
    <w:p w14:paraId="4417F0A3" w14:textId="77777777" w:rsidR="00370CD0" w:rsidRPr="0050283B" w:rsidRDefault="00370CD0" w:rsidP="00370CD0">
      <w:pPr>
        <w:pStyle w:val="BulletPoint1"/>
      </w:pPr>
      <w:r w:rsidRPr="0050283B">
        <w:t>When differentiating this analysis for the types of output indicators, i.e. programme-specific and common ones, it can be demonstrated that programme-specific indicators were regarded as being mainly relevant and necessary for monitoring the progress of the programme; for common output indicators this remains often unclear (</w:t>
      </w:r>
      <w:r w:rsidR="000749B7" w:rsidRPr="0050283B">
        <w:t xml:space="preserve">for </w:t>
      </w:r>
      <w:r w:rsidRPr="0050283B">
        <w:t xml:space="preserve">12% of all output indicators). </w:t>
      </w:r>
    </w:p>
    <w:p w14:paraId="6577727B" w14:textId="77777777" w:rsidR="00370CD0" w:rsidRPr="0050283B" w:rsidRDefault="00370CD0" w:rsidP="00370CD0">
      <w:pPr>
        <w:pStyle w:val="BulletPoint1"/>
      </w:pPr>
      <w:r w:rsidRPr="0050283B">
        <w:t xml:space="preserve">Particularly, programmes funded from the CF, the combination of ERDF and CF (M1), and the combination of ERDF, CF and ESF (M3) show milestones and targets of output and financial indicators which are predominantly deemed relevant and necessary for monitoring the progress of the programmes. </w:t>
      </w:r>
    </w:p>
    <w:p w14:paraId="326FCDA6" w14:textId="1E45C29D" w:rsidR="00370CD0" w:rsidRPr="0050283B" w:rsidRDefault="00370CD0" w:rsidP="00370CD0">
      <w:pPr>
        <w:pStyle w:val="BulletPoint1"/>
      </w:pPr>
      <w:r w:rsidRPr="0050283B">
        <w:t xml:space="preserve">The same holds true for </w:t>
      </w:r>
      <w:r w:rsidR="000749B7" w:rsidRPr="0050283B">
        <w:t xml:space="preserve">those national </w:t>
      </w:r>
      <w:r w:rsidRPr="0050283B">
        <w:t xml:space="preserve">programmes focusing </w:t>
      </w:r>
      <w:r w:rsidR="000749B7" w:rsidRPr="0050283B">
        <w:t xml:space="preserve">especially </w:t>
      </w:r>
      <w:r w:rsidRPr="0050283B">
        <w:t xml:space="preserve">on human capital, sustainable growth and smart growth, and those programmes which </w:t>
      </w:r>
      <w:proofErr w:type="spellStart"/>
      <w:r w:rsidR="00DA7557" w:rsidRPr="0050283B">
        <w:t>PAx</w:t>
      </w:r>
      <w:proofErr w:type="spellEnd"/>
      <w:r w:rsidRPr="0050283B">
        <w:t xml:space="preserve"> all refer to more than one thematic objective only.</w:t>
      </w:r>
    </w:p>
    <w:p w14:paraId="0631218A" w14:textId="7547BEEC" w:rsidR="00370CD0" w:rsidRPr="0050283B" w:rsidRDefault="00370CD0" w:rsidP="00370CD0">
      <w:pPr>
        <w:pStyle w:val="Body"/>
        <w:spacing w:after="120"/>
      </w:pPr>
      <w:r w:rsidRPr="0050283B">
        <w:t xml:space="preserve">When reviewing whether milestones and targets are </w:t>
      </w:r>
      <w:r w:rsidRPr="0050283B">
        <w:rPr>
          <w:i/>
        </w:rPr>
        <w:t xml:space="preserve">consistent with the nature and character of the specific objectives </w:t>
      </w:r>
      <w:r w:rsidRPr="0050283B">
        <w:t xml:space="preserve">of the </w:t>
      </w:r>
      <w:proofErr w:type="spellStart"/>
      <w:r w:rsidR="00DA7557" w:rsidRPr="0050283B">
        <w:t>PAx</w:t>
      </w:r>
      <w:proofErr w:type="spellEnd"/>
      <w:r w:rsidR="00B57589" w:rsidRPr="0050283B">
        <w:t>:</w:t>
      </w:r>
      <w:r w:rsidRPr="0050283B">
        <w:t xml:space="preserve"> </w:t>
      </w:r>
    </w:p>
    <w:p w14:paraId="25E06282" w14:textId="216931F3" w:rsidR="00370CD0" w:rsidRPr="0050283B" w:rsidRDefault="00B57589" w:rsidP="00370CD0">
      <w:pPr>
        <w:pStyle w:val="BulletPoint1"/>
      </w:pPr>
      <w:r w:rsidRPr="0050283B">
        <w:t>T</w:t>
      </w:r>
      <w:r w:rsidR="00370CD0" w:rsidRPr="0050283B">
        <w:t xml:space="preserve">he analysis shows that consistency is </w:t>
      </w:r>
      <w:r w:rsidR="003F7B0C" w:rsidRPr="0050283B">
        <w:t>given</w:t>
      </w:r>
      <w:r w:rsidR="00370CD0" w:rsidRPr="0050283B">
        <w:t xml:space="preserve"> for </w:t>
      </w:r>
      <w:r w:rsidR="000749B7" w:rsidRPr="0050283B">
        <w:t>more than 90%</w:t>
      </w:r>
      <w:r w:rsidR="00370CD0" w:rsidRPr="0050283B">
        <w:t xml:space="preserve"> of output indicators, and for </w:t>
      </w:r>
      <w:r w:rsidR="006A5A9E" w:rsidRPr="0050283B">
        <w:t xml:space="preserve">at least </w:t>
      </w:r>
      <w:r w:rsidR="00370CD0" w:rsidRPr="0050283B">
        <w:t>77% of the financial indicators</w:t>
      </w:r>
      <w:r w:rsidR="004E5F90" w:rsidRPr="0050283B">
        <w:t>,</w:t>
      </w:r>
      <w:r w:rsidR="00370CD0" w:rsidRPr="0050283B">
        <w:t xml:space="preserve"> </w:t>
      </w:r>
      <w:r w:rsidR="006D2B53" w:rsidRPr="0050283B">
        <w:t>t</w:t>
      </w:r>
      <w:r w:rsidR="00370CD0" w:rsidRPr="0050283B">
        <w:t>he latter</w:t>
      </w:r>
      <w:r w:rsidR="004E5F90" w:rsidRPr="0050283B">
        <w:t xml:space="preserve"> </w:t>
      </w:r>
      <w:r w:rsidR="00370CD0" w:rsidRPr="0050283B">
        <w:t xml:space="preserve">representing a significantly lower share. Common output indicators and programme-specific output indicators have similar characteristics. </w:t>
      </w:r>
    </w:p>
    <w:p w14:paraId="2C2FD19F" w14:textId="77777777" w:rsidR="00370CD0" w:rsidRPr="0050283B" w:rsidRDefault="00370CD0" w:rsidP="00370CD0">
      <w:pPr>
        <w:pStyle w:val="BulletPoint1"/>
      </w:pPr>
      <w:r w:rsidRPr="0050283B">
        <w:t xml:space="preserve">Predominantly programmes funded from the CF and the combination of ERDF, CF and ESF (M3), </w:t>
      </w:r>
      <w:r w:rsidR="004E5F90" w:rsidRPr="0050283B">
        <w:t>and</w:t>
      </w:r>
      <w:r w:rsidRPr="0050283B">
        <w:t xml:space="preserve"> those programmes funded from the combination of ERDF and CF (M1) show milestones and targets of output and financial indicators which are </w:t>
      </w:r>
      <w:r w:rsidR="004E5F90" w:rsidRPr="0050283B">
        <w:t xml:space="preserve">often </w:t>
      </w:r>
      <w:r w:rsidRPr="0050283B">
        <w:t xml:space="preserve">deemed to be consistent with the specific objectives. </w:t>
      </w:r>
    </w:p>
    <w:p w14:paraId="418983AC" w14:textId="5C746549" w:rsidR="00370CD0" w:rsidRPr="0050283B" w:rsidRDefault="00370CD0" w:rsidP="00370CD0">
      <w:pPr>
        <w:pStyle w:val="BulletPoint1"/>
      </w:pPr>
      <w:r w:rsidRPr="0050283B">
        <w:t xml:space="preserve">The same holds true for national programmes focusing on human capital, as well as transport and infrastructure programmes, and </w:t>
      </w:r>
      <w:r w:rsidR="004E5F90" w:rsidRPr="0050283B">
        <w:t xml:space="preserve">the </w:t>
      </w:r>
      <w:r w:rsidRPr="0050283B">
        <w:t xml:space="preserve">programmes which </w:t>
      </w:r>
      <w:proofErr w:type="spellStart"/>
      <w:r w:rsidR="00DA7557" w:rsidRPr="0050283B">
        <w:t>PAx</w:t>
      </w:r>
      <w:proofErr w:type="spellEnd"/>
      <w:r w:rsidRPr="0050283B">
        <w:t xml:space="preserve"> all refer to more than one thematic objective only.</w:t>
      </w:r>
    </w:p>
    <w:p w14:paraId="538D3F31" w14:textId="77777777" w:rsidR="00483A20" w:rsidRPr="0050283B" w:rsidRDefault="00483A20" w:rsidP="00483A20">
      <w:pPr>
        <w:pStyle w:val="BulletPoint1"/>
      </w:pPr>
      <w:r w:rsidRPr="0050283B">
        <w:t>Following the</w:t>
      </w:r>
      <w:r w:rsidR="006317A3" w:rsidRPr="0050283B">
        <w:t xml:space="preserve"> web-survey</w:t>
      </w:r>
      <w:r w:rsidRPr="0050283B">
        <w:t xml:space="preserve"> findings it can be seen that consistency with the nature and character of the specific objectives of the priority was more challenging for transnational programmes and national programmes than</w:t>
      </w:r>
      <w:r w:rsidR="00391A3F" w:rsidRPr="0050283B">
        <w:t xml:space="preserve"> for other types of programmes.</w:t>
      </w:r>
    </w:p>
    <w:p w14:paraId="6CBE0F3E" w14:textId="77777777" w:rsidR="00370CD0" w:rsidRPr="0050283B" w:rsidRDefault="00370CD0" w:rsidP="00370CD0">
      <w:pPr>
        <w:pStyle w:val="Body"/>
        <w:spacing w:after="120"/>
        <w:rPr>
          <w:bCs/>
        </w:rPr>
      </w:pPr>
      <w:r w:rsidRPr="0050283B">
        <w:t xml:space="preserve">When reviewing the question if milestones and targets are </w:t>
      </w:r>
      <w:r w:rsidRPr="0050283B">
        <w:rPr>
          <w:i/>
        </w:rPr>
        <w:t>transparent, with objectively verifiable targets and the source data identified</w:t>
      </w:r>
      <w:r w:rsidRPr="0050283B">
        <w:rPr>
          <w:bCs/>
        </w:rPr>
        <w:t>,</w:t>
      </w:r>
      <w:r w:rsidRPr="0050283B">
        <w:t xml:space="preserve"> the assessment shows the following:</w:t>
      </w:r>
      <w:r w:rsidRPr="0050283B">
        <w:rPr>
          <w:bCs/>
        </w:rPr>
        <w:t xml:space="preserve"> </w:t>
      </w:r>
    </w:p>
    <w:p w14:paraId="525BB290" w14:textId="3F3564AF" w:rsidR="00370CD0" w:rsidRPr="0050283B" w:rsidRDefault="00391A3F" w:rsidP="00370CD0">
      <w:pPr>
        <w:pStyle w:val="BulletPoint1"/>
      </w:pPr>
      <w:r w:rsidRPr="0050283B">
        <w:t>M</w:t>
      </w:r>
      <w:r w:rsidR="00370CD0" w:rsidRPr="0050283B">
        <w:t xml:space="preserve">ilestones and targets are deemed transparent, with objectively verifiable targets and the source of data identified for </w:t>
      </w:r>
      <w:r w:rsidRPr="0050283B">
        <w:t xml:space="preserve">more than 80% </w:t>
      </w:r>
      <w:r w:rsidR="00370CD0" w:rsidRPr="0050283B">
        <w:t>of the output indicators, covering both programme-specific and common output indicators; for financial indicators a similar, certainly more positive picture</w:t>
      </w:r>
      <w:r w:rsidRPr="0050283B">
        <w:t>,</w:t>
      </w:r>
      <w:r w:rsidR="00370CD0" w:rsidRPr="0050283B">
        <w:t xml:space="preserve"> is visible as</w:t>
      </w:r>
      <w:r w:rsidR="006A5A9E" w:rsidRPr="0050283B">
        <w:t xml:space="preserve"> at least</w:t>
      </w:r>
      <w:r w:rsidR="00370CD0" w:rsidRPr="0050283B">
        <w:t xml:space="preserve"> 88% of indicators have </w:t>
      </w:r>
      <w:r w:rsidRPr="0050283B">
        <w:t xml:space="preserve">set </w:t>
      </w:r>
      <w:r w:rsidR="00370CD0" w:rsidRPr="0050283B">
        <w:t xml:space="preserve">transparent milestones and targets. </w:t>
      </w:r>
    </w:p>
    <w:p w14:paraId="22DE0DAA" w14:textId="77777777" w:rsidR="00391A3F" w:rsidRPr="0050283B" w:rsidRDefault="00370CD0" w:rsidP="00370CD0">
      <w:pPr>
        <w:pStyle w:val="BulletPoint1"/>
      </w:pPr>
      <w:r w:rsidRPr="0050283B">
        <w:t xml:space="preserve">Mostly programmes funded from the CF, the combination of ERDF, CF and ESF (M3) and the combination of ERDF, CF, ESF and YEI (MA) show milestones and targets of output and financial indicators which are all deemed as being transparent with objectively verifiable targets. </w:t>
      </w:r>
    </w:p>
    <w:p w14:paraId="3BBEF3F2" w14:textId="77777777" w:rsidR="00483A20" w:rsidRPr="0050283B" w:rsidRDefault="00370CD0" w:rsidP="00370CD0">
      <w:pPr>
        <w:pStyle w:val="BulletPoint1"/>
      </w:pPr>
      <w:r w:rsidRPr="0050283B">
        <w:t xml:space="preserve">The same holds true for those national programmes focusing on human capital, </w:t>
      </w:r>
      <w:r w:rsidR="00391A3F" w:rsidRPr="0050283B">
        <w:t>a</w:t>
      </w:r>
      <w:r w:rsidR="00483A20" w:rsidRPr="0050283B">
        <w:t xml:space="preserve">lthough for the </w:t>
      </w:r>
      <w:r w:rsidR="001407AE" w:rsidRPr="0050283B">
        <w:t xml:space="preserve">main </w:t>
      </w:r>
      <w:r w:rsidR="00483A20" w:rsidRPr="0050283B">
        <w:t>category of national programmes in total,</w:t>
      </w:r>
      <w:r w:rsidR="006317A3" w:rsidRPr="0050283B">
        <w:t xml:space="preserve"> web-survey</w:t>
      </w:r>
      <w:r w:rsidR="00483A20" w:rsidRPr="0050283B">
        <w:t xml:space="preserve"> respondents reported transparency to be a greater challenge than for other types of programmes.</w:t>
      </w:r>
    </w:p>
    <w:p w14:paraId="27A165CE" w14:textId="785E7D9A" w:rsidR="00370CD0" w:rsidRPr="0050283B" w:rsidRDefault="00483A20" w:rsidP="00370CD0">
      <w:pPr>
        <w:pStyle w:val="BulletPoint1"/>
      </w:pPr>
      <w:r w:rsidRPr="0050283B">
        <w:t>Mostly</w:t>
      </w:r>
      <w:r w:rsidR="00370CD0" w:rsidRPr="0050283B">
        <w:t xml:space="preserve"> those programmes which </w:t>
      </w:r>
      <w:proofErr w:type="spellStart"/>
      <w:r w:rsidR="00DA7557" w:rsidRPr="0050283B">
        <w:t>PAx</w:t>
      </w:r>
      <w:proofErr w:type="spellEnd"/>
      <w:r w:rsidR="00370CD0" w:rsidRPr="0050283B">
        <w:t xml:space="preserve"> all refer to more than one thematic objective only</w:t>
      </w:r>
      <w:r w:rsidRPr="0050283B">
        <w:t xml:space="preserve"> show milestones and targets of output and financial indicators which are all deemed as being transparent with objectively verifiable targets</w:t>
      </w:r>
      <w:r w:rsidR="00370CD0" w:rsidRPr="0050283B">
        <w:t>.</w:t>
      </w:r>
    </w:p>
    <w:p w14:paraId="75CB4FF9" w14:textId="7E646370" w:rsidR="00370CD0" w:rsidRPr="0050283B" w:rsidRDefault="00370CD0" w:rsidP="00370CD0">
      <w:pPr>
        <w:pStyle w:val="Body"/>
        <w:spacing w:after="120"/>
      </w:pPr>
      <w:r w:rsidRPr="0050283B">
        <w:lastRenderedPageBreak/>
        <w:t xml:space="preserve">Milestones and targets for </w:t>
      </w:r>
      <w:r w:rsidR="006A5A9E" w:rsidRPr="0050283B">
        <w:t xml:space="preserve">at least </w:t>
      </w:r>
      <w:r w:rsidRPr="0050283B">
        <w:t xml:space="preserve">85% of output indicators and </w:t>
      </w:r>
      <w:r w:rsidR="00391A3F" w:rsidRPr="0050283B">
        <w:t>nearly 90%</w:t>
      </w:r>
      <w:r w:rsidRPr="0050283B">
        <w:t xml:space="preserve"> of financial indicators were considered </w:t>
      </w:r>
      <w:r w:rsidRPr="0050283B">
        <w:rPr>
          <w:i/>
        </w:rPr>
        <w:t>verifiable, without imposing a disproportionate administrative burden</w:t>
      </w:r>
      <w:r w:rsidR="00B57589" w:rsidRPr="0050283B">
        <w:rPr>
          <w:bCs/>
        </w:rPr>
        <w:t>:</w:t>
      </w:r>
      <w:r w:rsidRPr="0050283B">
        <w:t xml:space="preserve"> </w:t>
      </w:r>
    </w:p>
    <w:p w14:paraId="13C7EFE2" w14:textId="6C47C608" w:rsidR="00370CD0" w:rsidRPr="0050283B" w:rsidRDefault="00B57589" w:rsidP="00370CD0">
      <w:pPr>
        <w:pStyle w:val="BulletPoint1"/>
      </w:pPr>
      <w:r w:rsidRPr="0050283B">
        <w:t>C</w:t>
      </w:r>
      <w:r w:rsidR="00370CD0" w:rsidRPr="0050283B">
        <w:t>ommon output indicators and programmes-specific output indicators show similar characteristics, although programme-specific output indicators are to a certain degree clearer (</w:t>
      </w:r>
      <w:r w:rsidR="006A5A9E" w:rsidRPr="0050283B">
        <w:t xml:space="preserve">at least </w:t>
      </w:r>
      <w:r w:rsidR="00370CD0" w:rsidRPr="0050283B">
        <w:t xml:space="preserve">88%) than common output indicators (17% </w:t>
      </w:r>
      <w:r w:rsidR="00391A3F" w:rsidRPr="0050283B">
        <w:t xml:space="preserve">remaining </w:t>
      </w:r>
      <w:r w:rsidR="00370CD0" w:rsidRPr="0050283B">
        <w:t xml:space="preserve">unclear). </w:t>
      </w:r>
    </w:p>
    <w:p w14:paraId="784A5E48" w14:textId="77777777" w:rsidR="00370CD0" w:rsidRPr="00022524" w:rsidRDefault="00370CD0" w:rsidP="00370CD0">
      <w:pPr>
        <w:pStyle w:val="BulletPoint1"/>
      </w:pPr>
      <w:r w:rsidRPr="0050283B">
        <w:t>Principally programmes funded from the combination of ERDF, CF and ESF (M3) show milestones and targets of output and financial indicators which are all deemed as being verifiable without imposing a disproportionate administrative</w:t>
      </w:r>
      <w:r w:rsidRPr="00022524">
        <w:t xml:space="preserve"> burden. </w:t>
      </w:r>
    </w:p>
    <w:p w14:paraId="580FDE4D" w14:textId="5C058636" w:rsidR="00370CD0" w:rsidRPr="00022524" w:rsidRDefault="00370CD0" w:rsidP="00370CD0">
      <w:pPr>
        <w:pStyle w:val="BulletPoint1"/>
      </w:pPr>
      <w:r w:rsidRPr="00022524">
        <w:t xml:space="preserve">The same holds true for </w:t>
      </w:r>
      <w:r w:rsidR="00391A3F" w:rsidRPr="00022524">
        <w:t xml:space="preserve">those national </w:t>
      </w:r>
      <w:r w:rsidRPr="00022524">
        <w:t xml:space="preserve">programmes focusing on human capital, as well as those supporting smart growth, and those programmes which </w:t>
      </w:r>
      <w:proofErr w:type="spellStart"/>
      <w:r w:rsidR="00DA7557">
        <w:t>PAx</w:t>
      </w:r>
      <w:proofErr w:type="spellEnd"/>
      <w:r w:rsidRPr="00022524">
        <w:t xml:space="preserve"> all refer to more than one thematic objective only.</w:t>
      </w:r>
    </w:p>
    <w:p w14:paraId="73D00A69" w14:textId="77777777" w:rsidR="00483A20" w:rsidRPr="00022524" w:rsidRDefault="00483A20" w:rsidP="001133A5">
      <w:pPr>
        <w:pStyle w:val="BulletPoint1"/>
      </w:pPr>
      <w:r w:rsidRPr="00022524">
        <w:t>This criterion was most frequent</w:t>
      </w:r>
      <w:r w:rsidR="00391A3F" w:rsidRPr="00022524">
        <w:t>ly</w:t>
      </w:r>
      <w:r w:rsidRPr="00022524">
        <w:t xml:space="preserve"> indicated as very difficult by the respondents of the</w:t>
      </w:r>
      <w:r w:rsidR="006317A3" w:rsidRPr="00022524">
        <w:t xml:space="preserve"> web-survey</w:t>
      </w:r>
      <w:r w:rsidRPr="00022524">
        <w:t>.</w:t>
      </w:r>
      <w:r w:rsidR="001133A5" w:rsidRPr="00022524">
        <w:t xml:space="preserve"> In particular</w:t>
      </w:r>
      <w:r w:rsidR="0036404E" w:rsidRPr="00022524">
        <w:t>,</w:t>
      </w:r>
      <w:r w:rsidR="001133A5" w:rsidRPr="00022524">
        <w:t xml:space="preserve"> multi-thematic programmes (raising the issue of coordination), multi-category programmes and regional programmes (raising the issue of the availability of statistics at regional level) seem to be challenged by this</w:t>
      </w:r>
      <w:r w:rsidR="00391A3F" w:rsidRPr="00022524">
        <w:t xml:space="preserve"> criterion</w:t>
      </w:r>
      <w:r w:rsidR="001133A5" w:rsidRPr="00022524">
        <w:t>.</w:t>
      </w:r>
    </w:p>
    <w:p w14:paraId="0F2C4134" w14:textId="77777777" w:rsidR="00370CD0" w:rsidRPr="00022524" w:rsidRDefault="00370CD0" w:rsidP="00370CD0">
      <w:pPr>
        <w:pStyle w:val="Body"/>
        <w:spacing w:after="120"/>
      </w:pPr>
      <w:r w:rsidRPr="00022524">
        <w:t xml:space="preserve">An exception – lying in the appropriateness of </w:t>
      </w:r>
      <w:r w:rsidR="00391A3F" w:rsidRPr="00022524">
        <w:t xml:space="preserve">especially </w:t>
      </w:r>
      <w:r w:rsidRPr="00022524">
        <w:t xml:space="preserve">this criterion for indicators, as this might not always be the case – is the criterion requiring the </w:t>
      </w:r>
      <w:r w:rsidRPr="00022524">
        <w:rPr>
          <w:i/>
        </w:rPr>
        <w:t>indicator’s milestones and targets to be consistent across programmes</w:t>
      </w:r>
      <w:r w:rsidRPr="00022524">
        <w:rPr>
          <w:bCs/>
        </w:rPr>
        <w:t>:</w:t>
      </w:r>
      <w:r w:rsidRPr="00022524">
        <w:t xml:space="preserve"> </w:t>
      </w:r>
    </w:p>
    <w:p w14:paraId="2FCE2076" w14:textId="77777777" w:rsidR="00370CD0" w:rsidRPr="00022524" w:rsidRDefault="00B57589" w:rsidP="00370CD0">
      <w:pPr>
        <w:pStyle w:val="BulletPoint1"/>
      </w:pPr>
      <w:r w:rsidRPr="00022524">
        <w:t>O</w:t>
      </w:r>
      <w:r w:rsidR="00370CD0" w:rsidRPr="00022524">
        <w:t xml:space="preserve">nly around 70% of output and financial indicators were </w:t>
      </w:r>
      <w:r w:rsidR="00391A3F" w:rsidRPr="00022524">
        <w:t xml:space="preserve">regarded as being </w:t>
      </w:r>
      <w:r w:rsidR="00370CD0" w:rsidRPr="00022524">
        <w:t xml:space="preserve">totally clear in this context; </w:t>
      </w:r>
      <w:r w:rsidR="00391A3F" w:rsidRPr="00022524">
        <w:t xml:space="preserve">the remaining share </w:t>
      </w:r>
      <w:r w:rsidR="00370CD0" w:rsidRPr="00022524">
        <w:t xml:space="preserve">of output indicators </w:t>
      </w:r>
      <w:r w:rsidR="00391A3F" w:rsidRPr="00022524">
        <w:t xml:space="preserve">was either </w:t>
      </w:r>
      <w:r w:rsidR="00370CD0" w:rsidRPr="00022524">
        <w:t xml:space="preserve">not understood properly </w:t>
      </w:r>
      <w:r w:rsidR="00391A3F" w:rsidRPr="00022524">
        <w:t>or</w:t>
      </w:r>
      <w:r w:rsidR="00370CD0" w:rsidRPr="00022524">
        <w:t xml:space="preserve"> reported as not </w:t>
      </w:r>
      <w:r w:rsidR="00391A3F" w:rsidRPr="00022524">
        <w:t>meeting this requirement of Annex II</w:t>
      </w:r>
      <w:r w:rsidR="00370CD0" w:rsidRPr="00022524">
        <w:t xml:space="preserve">; </w:t>
      </w:r>
      <w:r w:rsidR="00391A3F" w:rsidRPr="00022524">
        <w:t xml:space="preserve">furthermore, </w:t>
      </w:r>
      <w:r w:rsidR="00370CD0" w:rsidRPr="00022524">
        <w:t xml:space="preserve">this criterion was not relevant for 6% of the output indicators because they refer to Member States with only one programme, therefore the consistency of milestones and targets to other programmes of the MS was deemed not relevant. In the case of financial indicators 17% of indicators were not understood properly (national expert’s judgment = unclear), 5% were </w:t>
      </w:r>
      <w:r w:rsidR="00391A3F" w:rsidRPr="00022524">
        <w:t>not meeting this requirement</w:t>
      </w:r>
      <w:r w:rsidR="00370CD0" w:rsidRPr="00022524">
        <w:t xml:space="preserve"> and for 6% of indicators this criterion was not relevant due to reasons as outlined </w:t>
      </w:r>
      <w:r w:rsidR="00391A3F" w:rsidRPr="00022524">
        <w:t>for output indicators.</w:t>
      </w:r>
    </w:p>
    <w:p w14:paraId="11C02E07" w14:textId="77777777" w:rsidR="00370CD0" w:rsidRPr="00022524" w:rsidRDefault="00BB3E7E" w:rsidP="00370CD0">
      <w:pPr>
        <w:pStyle w:val="BulletPoint1"/>
      </w:pPr>
      <w:r w:rsidRPr="00022524">
        <w:t>Common output indicators</w:t>
      </w:r>
      <w:r w:rsidR="00F133EB" w:rsidRPr="00022524">
        <w:t xml:space="preserve"> were</w:t>
      </w:r>
      <w:r w:rsidRPr="00022524">
        <w:t xml:space="preserve"> generally </w:t>
      </w:r>
      <w:r w:rsidR="00F133EB" w:rsidRPr="00022524">
        <w:t xml:space="preserve">considered meeting this criterion to a larger extent </w:t>
      </w:r>
      <w:r w:rsidRPr="00022524">
        <w:t>than programme-specific ones.</w:t>
      </w:r>
    </w:p>
    <w:p w14:paraId="14B2903F" w14:textId="77777777" w:rsidR="00483A20" w:rsidRPr="00022524" w:rsidRDefault="00483A20" w:rsidP="00483A20">
      <w:pPr>
        <w:pStyle w:val="BulletPoint1"/>
      </w:pPr>
      <w:r w:rsidRPr="00022524">
        <w:t>Also the</w:t>
      </w:r>
      <w:r w:rsidR="006317A3" w:rsidRPr="00022524">
        <w:t xml:space="preserve"> web-survey</w:t>
      </w:r>
      <w:r w:rsidRPr="00022524">
        <w:t xml:space="preserve"> respondents ranked this criterion as </w:t>
      </w:r>
      <w:r w:rsidR="00336FF2" w:rsidRPr="00022524">
        <w:t xml:space="preserve">a </w:t>
      </w:r>
      <w:r w:rsidRPr="00022524">
        <w:t>very difficult</w:t>
      </w:r>
      <w:r w:rsidR="00336FF2" w:rsidRPr="00022524">
        <w:t xml:space="preserve"> one</w:t>
      </w:r>
      <w:r w:rsidRPr="00022524">
        <w:t xml:space="preserve">. </w:t>
      </w:r>
    </w:p>
    <w:p w14:paraId="2154823A" w14:textId="77777777" w:rsidR="00370CD0" w:rsidRPr="00022524" w:rsidRDefault="00370CD0" w:rsidP="00096F14">
      <w:pPr>
        <w:pStyle w:val="Zwischenberschrift"/>
        <w:outlineLvl w:val="0"/>
      </w:pPr>
      <w:bookmarkStart w:id="137" w:name="_Toc433973110"/>
      <w:r w:rsidRPr="00022524">
        <w:t>Review of ETC programmes</w:t>
      </w:r>
      <w:bookmarkEnd w:id="137"/>
    </w:p>
    <w:p w14:paraId="4214AD88" w14:textId="77777777" w:rsidR="00370CD0" w:rsidRPr="00022524" w:rsidRDefault="00370CD0" w:rsidP="00370CD0">
      <w:pPr>
        <w:pStyle w:val="Body"/>
        <w:spacing w:after="120"/>
      </w:pPr>
      <w:r w:rsidRPr="00022524">
        <w:t xml:space="preserve">When reviewing if milestones and targets are </w:t>
      </w:r>
      <w:r w:rsidRPr="00022524">
        <w:rPr>
          <w:i/>
        </w:rPr>
        <w:t>realistic, achievable on the progress of a priority</w:t>
      </w:r>
      <w:r w:rsidR="00B57589" w:rsidRPr="00022524">
        <w:t>:</w:t>
      </w:r>
      <w:r w:rsidRPr="00022524">
        <w:t xml:space="preserve"> </w:t>
      </w:r>
    </w:p>
    <w:p w14:paraId="2E5218AB" w14:textId="77777777" w:rsidR="00370CD0" w:rsidRPr="00022524" w:rsidRDefault="00B57589" w:rsidP="00370CD0">
      <w:pPr>
        <w:pStyle w:val="BulletPoint1"/>
      </w:pPr>
      <w:r w:rsidRPr="00022524">
        <w:t>F</w:t>
      </w:r>
      <w:r w:rsidR="00370CD0" w:rsidRPr="00022524">
        <w:t xml:space="preserve">or all ETC output indicators included in the database, it becomes evident that for </w:t>
      </w:r>
      <w:r w:rsidR="00336FF2" w:rsidRPr="00022524">
        <w:t>more than 90</w:t>
      </w:r>
      <w:r w:rsidR="00370CD0" w:rsidRPr="00022524">
        <w:t xml:space="preserve">% of the PF output indicators milestones and targets were considered realistic and achievable; for the remaining </w:t>
      </w:r>
      <w:r w:rsidR="00336FF2" w:rsidRPr="00022524">
        <w:t>ones</w:t>
      </w:r>
      <w:r w:rsidR="00370CD0" w:rsidRPr="00022524">
        <w:t xml:space="preserve"> it </w:t>
      </w:r>
      <w:r w:rsidR="00336FF2" w:rsidRPr="00022524">
        <w:t>was</w:t>
      </w:r>
      <w:r w:rsidR="00370CD0" w:rsidRPr="00022524">
        <w:t xml:space="preserve"> either not possible to identify if milestones and targets meet this cr</w:t>
      </w:r>
      <w:r w:rsidR="00336FF2" w:rsidRPr="00022524">
        <w:t>iterion or the situation remained unclear.</w:t>
      </w:r>
    </w:p>
    <w:p w14:paraId="1E891EEE" w14:textId="77777777" w:rsidR="00370CD0" w:rsidRPr="00022524" w:rsidRDefault="00370CD0" w:rsidP="00370CD0">
      <w:pPr>
        <w:pStyle w:val="BulletPoint1"/>
      </w:pPr>
      <w:r w:rsidRPr="00022524">
        <w:t>In comparison to the IGJ programmes, for ETC programmes the positive judgment ranges at a higher lev</w:t>
      </w:r>
      <w:r w:rsidR="00336FF2" w:rsidRPr="00022524">
        <w:t>el.</w:t>
      </w:r>
    </w:p>
    <w:p w14:paraId="0D745CE4" w14:textId="27DEAC74" w:rsidR="00370CD0" w:rsidRPr="004C6A1F" w:rsidRDefault="00370CD0" w:rsidP="00370CD0">
      <w:pPr>
        <w:pStyle w:val="BulletPoint1"/>
      </w:pPr>
      <w:r w:rsidRPr="00022524">
        <w:t xml:space="preserve">When comparing this </w:t>
      </w:r>
      <w:r w:rsidRPr="0050283B">
        <w:t>analysis with milestones and targets of financial indicators it becomes apparent that these are less clear (</w:t>
      </w:r>
      <w:r w:rsidR="006A5A9E" w:rsidRPr="0050283B">
        <w:t xml:space="preserve">at least </w:t>
      </w:r>
      <w:r w:rsidRPr="0050283B">
        <w:t>83%) when compared to those of the output indicators, though ranging at a similar level ali</w:t>
      </w:r>
      <w:r w:rsidR="00336FF2" w:rsidRPr="004C6A1F">
        <w:t>ke to IGJ financial indicators.</w:t>
      </w:r>
    </w:p>
    <w:p w14:paraId="441C54CB" w14:textId="77777777" w:rsidR="00370CD0" w:rsidRPr="00B74C92" w:rsidRDefault="00370CD0" w:rsidP="00370CD0">
      <w:pPr>
        <w:pStyle w:val="BulletPoint1"/>
      </w:pPr>
      <w:r w:rsidRPr="000B2281">
        <w:t>When going into detail on output indicators it becomes evident that common and programme-specific output indica</w:t>
      </w:r>
      <w:r w:rsidRPr="00D24666">
        <w:t>tors have similar characteristics, although common indicators ra</w:t>
      </w:r>
      <w:r w:rsidR="00336FF2" w:rsidRPr="00D24666">
        <w:t xml:space="preserve">nge at a slightly higher level </w:t>
      </w:r>
      <w:r w:rsidRPr="00B74C92">
        <w:t>than programme-specific ones.</w:t>
      </w:r>
    </w:p>
    <w:p w14:paraId="0DEDD1E8" w14:textId="77777777" w:rsidR="00370CD0" w:rsidRPr="0050283B" w:rsidRDefault="00370CD0" w:rsidP="00370CD0">
      <w:pPr>
        <w:pStyle w:val="Body"/>
        <w:spacing w:after="120"/>
      </w:pPr>
      <w:r w:rsidRPr="00B74C92">
        <w:t xml:space="preserve">For </w:t>
      </w:r>
      <w:r w:rsidR="00336FF2" w:rsidRPr="00464DFA">
        <w:t xml:space="preserve">more </w:t>
      </w:r>
      <w:r w:rsidR="00B57589" w:rsidRPr="0012604D">
        <w:t xml:space="preserve">than </w:t>
      </w:r>
      <w:r w:rsidR="00336FF2" w:rsidRPr="0012604D">
        <w:t>90</w:t>
      </w:r>
      <w:r w:rsidRPr="0012604D">
        <w:t xml:space="preserve">% of the output indicators milestones and targets were considered </w:t>
      </w:r>
      <w:r w:rsidRPr="0050283B">
        <w:rPr>
          <w:i/>
        </w:rPr>
        <w:t xml:space="preserve">relevant and necessary for monitoring </w:t>
      </w:r>
      <w:r w:rsidR="00682C51" w:rsidRPr="0050283B">
        <w:rPr>
          <w:i/>
        </w:rPr>
        <w:t xml:space="preserve">the </w:t>
      </w:r>
      <w:r w:rsidRPr="0050283B">
        <w:rPr>
          <w:i/>
        </w:rPr>
        <w:t>progress of programmes</w:t>
      </w:r>
      <w:r w:rsidRPr="0050283B">
        <w:rPr>
          <w:bCs/>
        </w:rPr>
        <w:t>,</w:t>
      </w:r>
      <w:r w:rsidRPr="0050283B">
        <w:t xml:space="preserve"> ranging above the judgment on financial indicators (</w:t>
      </w:r>
      <w:r w:rsidR="00336FF2" w:rsidRPr="0050283B">
        <w:t>slightly more than 80</w:t>
      </w:r>
      <w:r w:rsidRPr="0050283B">
        <w:t>%</w:t>
      </w:r>
      <w:r w:rsidR="00336FF2" w:rsidRPr="0050283B">
        <w:t xml:space="preserve"> meeting this criterion</w:t>
      </w:r>
      <w:r w:rsidRPr="0050283B">
        <w:t xml:space="preserve">). </w:t>
      </w:r>
    </w:p>
    <w:p w14:paraId="779A62CE" w14:textId="77777777" w:rsidR="00370CD0" w:rsidRPr="0050283B" w:rsidRDefault="00370CD0" w:rsidP="00370CD0">
      <w:pPr>
        <w:pStyle w:val="BulletPoint1"/>
      </w:pPr>
      <w:r w:rsidRPr="0050283B">
        <w:t xml:space="preserve">When differentiating this analysis for the types of output indicators, i.e. programmes-specific and common ones, it becomes clear that again the milestones and targets of the common indicators </w:t>
      </w:r>
      <w:r w:rsidR="00FE2C2F" w:rsidRPr="0050283B">
        <w:t>were generally considered meeting this criterion to a larger extent than programme-specific indicators.</w:t>
      </w:r>
    </w:p>
    <w:p w14:paraId="78CD7B82" w14:textId="77777777" w:rsidR="00370CD0" w:rsidRPr="0050283B" w:rsidRDefault="00370CD0" w:rsidP="00370CD0">
      <w:pPr>
        <w:pStyle w:val="BulletPoint1"/>
      </w:pPr>
      <w:r w:rsidRPr="0050283B">
        <w:t xml:space="preserve">Especially INTERREG V-C programmes have output and financial indicators </w:t>
      </w:r>
      <w:r w:rsidR="00682C51" w:rsidRPr="0050283B">
        <w:t xml:space="preserve">all </w:t>
      </w:r>
      <w:r w:rsidRPr="0050283B">
        <w:t>being considered relevant and necessary for moni</w:t>
      </w:r>
      <w:r w:rsidR="00682C51" w:rsidRPr="0050283B">
        <w:t>toring progress of the programme</w:t>
      </w:r>
      <w:r w:rsidRPr="0050283B">
        <w:t>.</w:t>
      </w:r>
    </w:p>
    <w:p w14:paraId="7E082209" w14:textId="77777777" w:rsidR="00370CD0" w:rsidRPr="0050283B" w:rsidRDefault="00370CD0" w:rsidP="00370CD0">
      <w:pPr>
        <w:pStyle w:val="Body"/>
        <w:spacing w:after="120"/>
      </w:pPr>
      <w:r w:rsidRPr="0050283B">
        <w:t xml:space="preserve">Milestones and targets of all ETC output indicators are mainly deemed </w:t>
      </w:r>
      <w:r w:rsidRPr="0050283B">
        <w:rPr>
          <w:i/>
        </w:rPr>
        <w:t>consistent with the nature and character of the specific objectives</w:t>
      </w:r>
      <w:r w:rsidRPr="0050283B">
        <w:t xml:space="preserve"> of the priority. </w:t>
      </w:r>
    </w:p>
    <w:p w14:paraId="190E9E32" w14:textId="77777777" w:rsidR="00370CD0" w:rsidRPr="0050283B" w:rsidRDefault="00370CD0" w:rsidP="00370CD0">
      <w:pPr>
        <w:pStyle w:val="BulletPoint1"/>
      </w:pPr>
      <w:r w:rsidRPr="0050283B">
        <w:t xml:space="preserve">This judgement is a </w:t>
      </w:r>
      <w:r w:rsidR="006D4C42" w:rsidRPr="0050283B">
        <w:t>slightly</w:t>
      </w:r>
      <w:r w:rsidRPr="0050283B">
        <w:t xml:space="preserve"> different than t</w:t>
      </w:r>
      <w:r w:rsidR="006D4C42" w:rsidRPr="0050283B">
        <w:t>he one for financial indicators as only</w:t>
      </w:r>
      <w:r w:rsidRPr="0050283B">
        <w:t xml:space="preserve"> </w:t>
      </w:r>
      <w:r w:rsidR="006D4C42" w:rsidRPr="0050283B">
        <w:t xml:space="preserve">three quarters </w:t>
      </w:r>
      <w:r w:rsidRPr="0050283B">
        <w:t>of financial indicators are deemed consistent with the nature and character of the specific objectives</w:t>
      </w:r>
      <w:r w:rsidR="006D4C42" w:rsidRPr="0050283B">
        <w:t>.</w:t>
      </w:r>
    </w:p>
    <w:p w14:paraId="60D79F6E" w14:textId="77777777" w:rsidR="00370CD0" w:rsidRPr="0050283B" w:rsidRDefault="00370CD0" w:rsidP="00370CD0">
      <w:pPr>
        <w:pStyle w:val="BulletPoint1"/>
      </w:pPr>
      <w:r w:rsidRPr="0050283B">
        <w:lastRenderedPageBreak/>
        <w:t xml:space="preserve">Common output indicators were identified as being </w:t>
      </w:r>
      <w:r w:rsidR="00B57589" w:rsidRPr="0050283B">
        <w:t xml:space="preserve">particularly </w:t>
      </w:r>
      <w:r w:rsidRPr="0050283B">
        <w:t>consistent with the specific objectives, the value of programme-specific indicators ranges a</w:t>
      </w:r>
      <w:r w:rsidR="006D4C42" w:rsidRPr="0050283B">
        <w:t>t a slightly lower level.</w:t>
      </w:r>
    </w:p>
    <w:p w14:paraId="4B0C32CD" w14:textId="74B678B5" w:rsidR="00370CD0" w:rsidRPr="00022524" w:rsidRDefault="00370CD0" w:rsidP="00370CD0">
      <w:pPr>
        <w:pStyle w:val="Body"/>
        <w:rPr>
          <w:bCs/>
        </w:rPr>
      </w:pPr>
      <w:r w:rsidRPr="0050283B">
        <w:t xml:space="preserve">When reviewing the Annex II criterion if milestones and targets are </w:t>
      </w:r>
      <w:r w:rsidRPr="0050283B">
        <w:rPr>
          <w:i/>
        </w:rPr>
        <w:t xml:space="preserve">transparent, with objectively verifiable targets and the source data identified </w:t>
      </w:r>
      <w:r w:rsidRPr="0050283B">
        <w:t xml:space="preserve">the analysis shows that </w:t>
      </w:r>
      <w:r w:rsidR="006A5A9E" w:rsidRPr="0050283B">
        <w:t xml:space="preserve">at least </w:t>
      </w:r>
      <w:r w:rsidRPr="0050283B">
        <w:t>87% of output indicators and</w:t>
      </w:r>
      <w:r w:rsidR="006A5A9E" w:rsidRPr="0050283B">
        <w:t xml:space="preserve"> at least</w:t>
      </w:r>
      <w:r w:rsidRPr="0050283B">
        <w:t xml:space="preserve"> 80% of financial indi</w:t>
      </w:r>
      <w:r w:rsidR="00C42BFD" w:rsidRPr="0050283B">
        <w:t>cators were identified as clear.</w:t>
      </w:r>
      <w:r w:rsidRPr="0050283B">
        <w:t xml:space="preserve"> The situation</w:t>
      </w:r>
      <w:r w:rsidRPr="00022524">
        <w:t xml:space="preserve"> of common and programmes-specific indicators remains at a similar level.</w:t>
      </w:r>
      <w:r w:rsidRPr="00022524">
        <w:rPr>
          <w:bCs/>
        </w:rPr>
        <w:t xml:space="preserve"> </w:t>
      </w:r>
    </w:p>
    <w:p w14:paraId="2E05B545" w14:textId="77777777" w:rsidR="00370CD0" w:rsidRPr="00022524" w:rsidRDefault="00370CD0" w:rsidP="00370CD0">
      <w:pPr>
        <w:pStyle w:val="Body"/>
      </w:pPr>
      <w:r w:rsidRPr="00022524">
        <w:t>The</w:t>
      </w:r>
      <w:r w:rsidRPr="00022524">
        <w:rPr>
          <w:bCs/>
        </w:rPr>
        <w:t xml:space="preserve"> </w:t>
      </w:r>
      <w:r w:rsidRPr="00022524">
        <w:t xml:space="preserve">criterion of indicator milestones and targets being considered </w:t>
      </w:r>
      <w:r w:rsidRPr="00022524">
        <w:rPr>
          <w:i/>
        </w:rPr>
        <w:t>verifiable, without imposing a disproportionate administrative burden</w:t>
      </w:r>
      <w:r w:rsidRPr="00022524">
        <w:rPr>
          <w:bCs/>
        </w:rPr>
        <w:t>,</w:t>
      </w:r>
      <w:r w:rsidRPr="00022524">
        <w:t xml:space="preserve"> shows that the majority of output indicators</w:t>
      </w:r>
      <w:r w:rsidR="006D4C42" w:rsidRPr="00022524">
        <w:t xml:space="preserve"> are regarded as cl</w:t>
      </w:r>
      <w:r w:rsidR="00C42BFD" w:rsidRPr="00022524">
        <w:t>ear; w</w:t>
      </w:r>
      <w:r w:rsidRPr="00022524">
        <w:t xml:space="preserve">hen comparing this analysis with milestones and targets of financial indicators it </w:t>
      </w:r>
      <w:r w:rsidR="006D4C42" w:rsidRPr="00022524">
        <w:t>can be seen</w:t>
      </w:r>
      <w:r w:rsidRPr="00022524">
        <w:t xml:space="preserve"> that these milestones and targets are to a certain extent less clear as</w:t>
      </w:r>
      <w:r w:rsidR="00C42BFD" w:rsidRPr="00022524">
        <w:t xml:space="preserve"> for a relevant share of</w:t>
      </w:r>
      <w:r w:rsidRPr="00022524">
        <w:t xml:space="preserve"> nearly 20% of financial indicators </w:t>
      </w:r>
      <w:r w:rsidR="00C42BFD" w:rsidRPr="00022524">
        <w:t xml:space="preserve">it </w:t>
      </w:r>
      <w:r w:rsidRPr="00022524">
        <w:t>remain</w:t>
      </w:r>
      <w:r w:rsidR="00C42BFD" w:rsidRPr="00022524">
        <w:t>s</w:t>
      </w:r>
      <w:r w:rsidRPr="00022524">
        <w:t xml:space="preserve"> unclear</w:t>
      </w:r>
      <w:r w:rsidR="006D4C42" w:rsidRPr="00022524">
        <w:t xml:space="preserve"> if milestones and targets are verifiable, without imposing a disproportionate administrative burden</w:t>
      </w:r>
      <w:r w:rsidR="00C42BFD" w:rsidRPr="00022524">
        <w:t>.</w:t>
      </w:r>
    </w:p>
    <w:p w14:paraId="2C07E6E4" w14:textId="77777777" w:rsidR="00370CD0" w:rsidRPr="00022524" w:rsidRDefault="00370CD0" w:rsidP="00370CD0">
      <w:pPr>
        <w:pStyle w:val="Body"/>
      </w:pPr>
      <w:r w:rsidRPr="00022524">
        <w:t xml:space="preserve">The criterion of the indicator’s milestones and targets being </w:t>
      </w:r>
      <w:r w:rsidRPr="00022524">
        <w:rPr>
          <w:i/>
        </w:rPr>
        <w:t>consistent across programmes</w:t>
      </w:r>
      <w:r w:rsidRPr="00022524">
        <w:t xml:space="preserve"> is deemed not relevant for ETC programmes.</w:t>
      </w:r>
    </w:p>
    <w:p w14:paraId="463195F7" w14:textId="77777777" w:rsidR="00EC729B" w:rsidRPr="00022524" w:rsidRDefault="00EC729B" w:rsidP="00370CD0">
      <w:pPr>
        <w:pStyle w:val="Body"/>
      </w:pPr>
      <w:r w:rsidRPr="00022524">
        <w:t xml:space="preserve">Concluding, the review of the quality of indicator milestones and targets identified an overall high quality of indicators in relation to Annex II criteria of Regulation (EU) No 1303/2013. </w:t>
      </w:r>
      <w:r w:rsidR="00E65710" w:rsidRPr="00022524">
        <w:t xml:space="preserve">In particular programmes funded from the CF and the combination of ERDF, CF and ESF (M3) show milestones and targets of output and financial indicators of good quality, going in line with Annex II requirements. </w:t>
      </w:r>
      <w:r w:rsidRPr="00022524">
        <w:t xml:space="preserve">Apart from demonstrating a good rating in relation to the majority of the criteria, indicator consistency across programmes was identified as a very difficult topic, especially for programme-specific indicators. Output indicators of ETC programmes received a very good rating, while milestones and targets of financial indicators were partly reported to be less clear, though ranging at a </w:t>
      </w:r>
      <w:r w:rsidR="008D6495" w:rsidRPr="00022524">
        <w:t>comparable</w:t>
      </w:r>
      <w:r w:rsidRPr="00022524">
        <w:t xml:space="preserve"> level as the IGJ financial indicators.</w:t>
      </w:r>
    </w:p>
    <w:p w14:paraId="7752F619" w14:textId="23E04EC1" w:rsidR="00370CD0" w:rsidRPr="00022524" w:rsidRDefault="00370CD0" w:rsidP="009F7864">
      <w:pPr>
        <w:pStyle w:val="Heading3"/>
        <w:rPr>
          <w:lang w:val="en-GB"/>
        </w:rPr>
      </w:pPr>
      <w:bookmarkStart w:id="138" w:name="_Ref426097215"/>
      <w:bookmarkStart w:id="139" w:name="_Toc429671082"/>
      <w:bookmarkStart w:id="140" w:name="_Toc432600883"/>
      <w:bookmarkStart w:id="141" w:name="_Toc448144114"/>
      <w:r w:rsidRPr="00022524">
        <w:rPr>
          <w:lang w:val="en-GB"/>
        </w:rPr>
        <w:t>Findings on common output indicators</w:t>
      </w:r>
      <w:bookmarkEnd w:id="138"/>
      <w:r w:rsidRPr="00022524">
        <w:rPr>
          <w:lang w:val="en-GB"/>
        </w:rPr>
        <w:t xml:space="preserve"> [IGJ programmes</w:t>
      </w:r>
      <w:r w:rsidR="005C1E76" w:rsidRPr="00022524">
        <w:rPr>
          <w:lang w:val="en-GB"/>
        </w:rPr>
        <w:t xml:space="preserve"> only</w:t>
      </w:r>
      <w:r w:rsidRPr="00022524">
        <w:rPr>
          <w:lang w:val="en-GB"/>
        </w:rPr>
        <w:t>]</w:t>
      </w:r>
      <w:bookmarkEnd w:id="139"/>
      <w:bookmarkEnd w:id="140"/>
      <w:bookmarkEnd w:id="141"/>
    </w:p>
    <w:p w14:paraId="79383F03" w14:textId="5DB4D599" w:rsidR="009F7864" w:rsidRPr="00022524" w:rsidRDefault="00370CD0" w:rsidP="00370CD0">
      <w:pPr>
        <w:pStyle w:val="Body"/>
      </w:pPr>
      <w:r w:rsidRPr="00022524">
        <w:t xml:space="preserve">The </w:t>
      </w:r>
      <w:r w:rsidR="009F7864" w:rsidRPr="00022524">
        <w:t xml:space="preserve">next </w:t>
      </w:r>
      <w:r w:rsidRPr="00022524">
        <w:t xml:space="preserve">paragraphs will focus on </w:t>
      </w:r>
      <w:r w:rsidR="009F7864" w:rsidRPr="00022524">
        <w:t xml:space="preserve">common </w:t>
      </w:r>
      <w:r w:rsidRPr="00022524">
        <w:t xml:space="preserve">indicators </w:t>
      </w:r>
      <w:r w:rsidR="009F7864" w:rsidRPr="00022524">
        <w:t xml:space="preserve">(differentiated by funds) </w:t>
      </w:r>
      <w:r w:rsidR="0040547C" w:rsidRPr="00022524">
        <w:t xml:space="preserve">used in IGJ programmes </w:t>
      </w:r>
      <w:r w:rsidRPr="00022524">
        <w:t xml:space="preserve">and their milestones and targets according to Annex II of Regulation (EU) No 1303/2013. </w:t>
      </w:r>
    </w:p>
    <w:p w14:paraId="75729F68" w14:textId="7D73396D" w:rsidR="009F7864" w:rsidRPr="00022524" w:rsidRDefault="00370CD0" w:rsidP="00370CD0">
      <w:pPr>
        <w:pStyle w:val="Body"/>
      </w:pPr>
      <w:r w:rsidRPr="00022524">
        <w:t xml:space="preserve">In </w:t>
      </w:r>
      <w:r w:rsidR="00B57589" w:rsidRPr="00022524">
        <w:t xml:space="preserve">the </w:t>
      </w:r>
      <w:r w:rsidR="009F7864" w:rsidRPr="00022524">
        <w:t xml:space="preserve">subsequent </w:t>
      </w:r>
      <w:r w:rsidR="00B57589" w:rsidRPr="00022524">
        <w:t>section</w:t>
      </w:r>
      <w:r w:rsidRPr="00022524">
        <w:t xml:space="preserve">, the </w:t>
      </w:r>
      <w:r w:rsidR="009F7864" w:rsidRPr="00022524">
        <w:t>following aspects will be assessed:</w:t>
      </w:r>
    </w:p>
    <w:p w14:paraId="05B52145" w14:textId="77777777" w:rsidR="009F7864" w:rsidRPr="00022524" w:rsidRDefault="009F7864" w:rsidP="00FC3C1B">
      <w:pPr>
        <w:pStyle w:val="Body"/>
        <w:numPr>
          <w:ilvl w:val="0"/>
          <w:numId w:val="51"/>
        </w:numPr>
      </w:pPr>
      <w:r w:rsidRPr="00022524">
        <w:t>The appropriateness of common indicators according to the Regulation</w:t>
      </w:r>
    </w:p>
    <w:p w14:paraId="44B82753" w14:textId="486F0B8D" w:rsidR="00370CD0" w:rsidRPr="00022524" w:rsidRDefault="009F7864" w:rsidP="00FC3C1B">
      <w:pPr>
        <w:pStyle w:val="Body"/>
        <w:numPr>
          <w:ilvl w:val="0"/>
          <w:numId w:val="51"/>
        </w:numPr>
      </w:pPr>
      <w:r w:rsidRPr="00022524">
        <w:t xml:space="preserve">The </w:t>
      </w:r>
      <w:r w:rsidR="00370CD0" w:rsidRPr="00022524">
        <w:t xml:space="preserve">rhythm of delivery of </w:t>
      </w:r>
      <w:r w:rsidRPr="00022524">
        <w:t xml:space="preserve">common </w:t>
      </w:r>
      <w:r w:rsidR="00370CD0" w:rsidRPr="00022524">
        <w:t>indicators, i.e. if by 2018 a low, a moderate, a high</w:t>
      </w:r>
      <w:r w:rsidR="00B57589" w:rsidRPr="00022524">
        <w:t>,</w:t>
      </w:r>
      <w:r w:rsidR="00370CD0" w:rsidRPr="00022524">
        <w:t xml:space="preserve"> or a very high share</w:t>
      </w:r>
      <w:r w:rsidR="00B57589" w:rsidRPr="00022524">
        <w:t xml:space="preserve"> of the target will be reached</w:t>
      </w:r>
      <w:r w:rsidR="00370CD0" w:rsidRPr="00022524">
        <w:t>.</w:t>
      </w:r>
    </w:p>
    <w:p w14:paraId="14EFE42D" w14:textId="0EB3639D" w:rsidR="009F7864" w:rsidRPr="00022524" w:rsidRDefault="005E6138" w:rsidP="009F7864">
      <w:pPr>
        <w:pStyle w:val="Body"/>
        <w:pBdr>
          <w:bottom w:val="single" w:sz="4" w:space="3" w:color="004696"/>
        </w:pBdr>
        <w:spacing w:line="216" w:lineRule="exact"/>
        <w:outlineLvl w:val="0"/>
        <w:rPr>
          <w:i/>
        </w:rPr>
      </w:pPr>
      <w:r w:rsidRPr="00022524">
        <w:rPr>
          <w:i/>
        </w:rPr>
        <w:t>The appropriateness according to the Regulation</w:t>
      </w:r>
      <w:r w:rsidR="00FC2249" w:rsidRPr="00022524">
        <w:t xml:space="preserve"> </w:t>
      </w:r>
    </w:p>
    <w:p w14:paraId="6338CBD0" w14:textId="4492557A" w:rsidR="009F7864" w:rsidRPr="00022524" w:rsidRDefault="00917280" w:rsidP="00917280">
      <w:pPr>
        <w:pStyle w:val="Body"/>
      </w:pPr>
      <w:r w:rsidRPr="00022524">
        <w:t>The following briefly presents the overall findings on milestones and targets of PF indicators meeting the requirements of Regulation (EU) No 1303/2013. The assessment is differentiated between ERDF/CF common indicators and CF common indicators and highlights fund specifics</w:t>
      </w:r>
    </w:p>
    <w:p w14:paraId="67C979EF" w14:textId="370CF539" w:rsidR="00370CD0" w:rsidRPr="00022524" w:rsidRDefault="00370CD0" w:rsidP="00174262">
      <w:pPr>
        <w:pStyle w:val="Zwischenberschrift"/>
        <w:rPr>
          <w:i/>
        </w:rPr>
      </w:pPr>
      <w:r w:rsidRPr="00022524">
        <w:t xml:space="preserve">ERDF/CF common output indicators </w:t>
      </w:r>
    </w:p>
    <w:p w14:paraId="3757BD69" w14:textId="18C9B154" w:rsidR="00C53785" w:rsidRPr="00022524" w:rsidRDefault="00370CD0" w:rsidP="00C53785">
      <w:pPr>
        <w:pStyle w:val="Body"/>
      </w:pPr>
      <w:r w:rsidRPr="00022524">
        <w:t xml:space="preserve">When </w:t>
      </w:r>
      <w:r w:rsidR="00CB2B4B" w:rsidRPr="00022524">
        <w:t>analysing</w:t>
      </w:r>
      <w:r w:rsidRPr="00022524">
        <w:t xml:space="preserve"> if milestones and targets are </w:t>
      </w:r>
      <w:r w:rsidRPr="00022524">
        <w:rPr>
          <w:i/>
        </w:rPr>
        <w:t>realistic, achievable pertaining to the progress of a priority</w:t>
      </w:r>
      <w:r w:rsidRPr="00022524">
        <w:rPr>
          <w:bCs/>
        </w:rPr>
        <w:t>,</w:t>
      </w:r>
      <w:r w:rsidRPr="00022524">
        <w:t xml:space="preserve"> common ERDF output indicators and their milestones/targets received mainly a good indicator judgment</w:t>
      </w:r>
      <w:r w:rsidRPr="00022524">
        <w:rPr>
          <w:rStyle w:val="FootnoteReference"/>
        </w:rPr>
        <w:footnoteReference w:id="34"/>
      </w:r>
      <w:r w:rsidR="004E4374" w:rsidRPr="00022524">
        <w:t>.</w:t>
      </w:r>
      <w:r w:rsidR="00C53785" w:rsidRPr="00022524">
        <w:t xml:space="preserve"> </w:t>
      </w:r>
      <w:proofErr w:type="gramStart"/>
      <w:r w:rsidR="004E4374" w:rsidRPr="00022524">
        <w:t>A</w:t>
      </w:r>
      <w:r w:rsidRPr="00022524">
        <w:t>lthough some distinctions need to be made</w:t>
      </w:r>
      <w:r w:rsidR="004E4374" w:rsidRPr="00022524">
        <w:t>.</w:t>
      </w:r>
      <w:proofErr w:type="gramEnd"/>
      <w:r w:rsidRPr="00022524">
        <w:t xml:space="preserve"> </w:t>
      </w:r>
      <w:r w:rsidR="004E4374" w:rsidRPr="00022524">
        <w:t>In particular,</w:t>
      </w:r>
      <w:r w:rsidR="00B57589" w:rsidRPr="00022524">
        <w:t xml:space="preserve"> </w:t>
      </w:r>
      <w:r w:rsidRPr="00022524">
        <w:t>common indicators</w:t>
      </w:r>
      <w:r w:rsidR="003F7B0C" w:rsidRPr="00022524">
        <w:t xml:space="preserve"> - nearly solely funded by multi-fund programmes (ERDF in combination, with one exception) -</w:t>
      </w:r>
      <w:r w:rsidRPr="00022524">
        <w:t xml:space="preserve"> </w:t>
      </w:r>
      <w:r w:rsidR="00CB1E5D" w:rsidRPr="00022524">
        <w:t xml:space="preserve">focusing on road construction or upgrade (common indicators 13 and 14), improved wastewater </w:t>
      </w:r>
      <w:r w:rsidR="00BB7D32" w:rsidRPr="00022524">
        <w:t>treatment</w:t>
      </w:r>
      <w:r w:rsidR="00CB1E5D" w:rsidRPr="00022524">
        <w:t xml:space="preserve"> or flood protection measures (19, 29) and energy aspects (30, 33) </w:t>
      </w:r>
      <w:r w:rsidRPr="00022524">
        <w:t>received a low indicator judgment</w:t>
      </w:r>
      <w:r w:rsidR="003F7B0C" w:rsidRPr="00022524">
        <w:t>;</w:t>
      </w:r>
      <w:r w:rsidRPr="00022524">
        <w:t xml:space="preserve"> </w:t>
      </w:r>
      <w:r w:rsidR="00CB1E5D" w:rsidRPr="00022524">
        <w:t>due to</w:t>
      </w:r>
      <w:r w:rsidR="003F7B0C" w:rsidRPr="00022524">
        <w:t xml:space="preserve"> the following reasons:</w:t>
      </w:r>
      <w:r w:rsidR="00CB1E5D" w:rsidRPr="00022524">
        <w:t xml:space="preserve"> a</w:t>
      </w:r>
      <w:r w:rsidR="00BB7D32" w:rsidRPr="00022524">
        <w:t>.</w:t>
      </w:r>
      <w:r w:rsidR="00CB1E5D" w:rsidRPr="00022524">
        <w:t xml:space="preserve">) differing values available in </w:t>
      </w:r>
      <w:r w:rsidR="00C2042A" w:rsidRPr="00022524">
        <w:t xml:space="preserve">programme </w:t>
      </w:r>
      <w:r w:rsidR="00CB1E5D" w:rsidRPr="00022524">
        <w:t xml:space="preserve">document and ex-ante evaluation, b.) missing information allowing a serious judgment on the question if the indicator is realistic or c.) </w:t>
      </w:r>
      <w:proofErr w:type="gramStart"/>
      <w:r w:rsidR="00CB1E5D" w:rsidRPr="00022524">
        <w:t>not</w:t>
      </w:r>
      <w:proofErr w:type="gramEnd"/>
      <w:r w:rsidR="00CB1E5D" w:rsidRPr="00022524">
        <w:t xml:space="preserve"> fully developed targets available.</w:t>
      </w:r>
      <w:r w:rsidR="00BB7D32" w:rsidRPr="00022524">
        <w:t xml:space="preserve"> Similar indicator judgments were visible for common indicators focusing on the number </w:t>
      </w:r>
      <w:r w:rsidRPr="00022524">
        <w:t>of enterprises</w:t>
      </w:r>
      <w:r w:rsidR="00C3788F" w:rsidRPr="00022524">
        <w:t xml:space="preserve"> receiving grants</w:t>
      </w:r>
      <w:r w:rsidR="00BB7D32" w:rsidRPr="00022524">
        <w:t xml:space="preserve"> (2) and the number of </w:t>
      </w:r>
      <w:r w:rsidRPr="00022524">
        <w:t>enterprises cooperating with research institutions</w:t>
      </w:r>
      <w:r w:rsidR="00BB7D32" w:rsidRPr="00022524">
        <w:t xml:space="preserve"> (26); additionally</w:t>
      </w:r>
      <w:r w:rsidR="00501D06" w:rsidRPr="00022524">
        <w:t>,</w:t>
      </w:r>
      <w:r w:rsidR="00BB7D32" w:rsidRPr="00022524">
        <w:t xml:space="preserve"> the indicator depicting the p</w:t>
      </w:r>
      <w:r w:rsidRPr="00022524">
        <w:t>opulation living in areas with integrated urban development strategies</w:t>
      </w:r>
      <w:r w:rsidR="00BB7D32" w:rsidRPr="00022524">
        <w:t xml:space="preserve"> </w:t>
      </w:r>
      <w:r w:rsidR="00BB7D32" w:rsidRPr="00022524">
        <w:lastRenderedPageBreak/>
        <w:t xml:space="preserve">(37) </w:t>
      </w:r>
      <w:r w:rsidRPr="00022524">
        <w:t>remained unclear based on the availability of information and/or the findings from the ex-ante evaluation.</w:t>
      </w:r>
      <w:r w:rsidR="00C53785" w:rsidRPr="00022524">
        <w:t xml:space="preserve"> The indicator judgement on milestones and targets of ERDF common indicators being realistic and achievable shows a quite weak judgment on those common indicators</w:t>
      </w:r>
      <w:r w:rsidR="001456EB" w:rsidRPr="00022524">
        <w:t>. A</w:t>
      </w:r>
      <w:r w:rsidR="00C53785" w:rsidRPr="00022524">
        <w:t>s reported by programmes funded from the combination of ERDF, CF, ESF and YEI (MA) this is</w:t>
      </w:r>
      <w:r w:rsidR="001456EB" w:rsidRPr="00022524">
        <w:t>,</w:t>
      </w:r>
      <w:r w:rsidR="00C53785" w:rsidRPr="00022524">
        <w:t xml:space="preserve"> amongst others</w:t>
      </w:r>
      <w:r w:rsidR="001456EB" w:rsidRPr="00022524">
        <w:t>,</w:t>
      </w:r>
      <w:r w:rsidR="00C53785" w:rsidRPr="00022524">
        <w:t xml:space="preserve"> based on the ex-ante evaluation</w:t>
      </w:r>
      <w:r w:rsidR="00247E9A" w:rsidRPr="00022524">
        <w:t>s</w:t>
      </w:r>
      <w:r w:rsidR="00C53785" w:rsidRPr="00022524">
        <w:t xml:space="preserve"> partly doubting </w:t>
      </w:r>
      <w:r w:rsidR="00F97EB3" w:rsidRPr="00022524">
        <w:t>the indicators being realistic.</w:t>
      </w:r>
    </w:p>
    <w:p w14:paraId="3C0A3B16" w14:textId="77777777" w:rsidR="00370CD0" w:rsidRPr="00022524" w:rsidRDefault="00370CD0" w:rsidP="00C53785">
      <w:pPr>
        <w:pStyle w:val="Body"/>
        <w:spacing w:after="120"/>
      </w:pPr>
      <w:bookmarkStart w:id="142" w:name="_Toc432335137"/>
      <w:bookmarkStart w:id="143" w:name="_Toc432346828"/>
      <w:bookmarkStart w:id="144" w:name="_Toc432401998"/>
      <w:bookmarkStart w:id="145" w:name="_Toc432404498"/>
      <w:bookmarkStart w:id="146" w:name="_Toc432408009"/>
      <w:bookmarkStart w:id="147" w:name="_Toc432408802"/>
      <w:bookmarkStart w:id="148" w:name="_Toc432422516"/>
      <w:bookmarkEnd w:id="142"/>
      <w:bookmarkEnd w:id="143"/>
      <w:bookmarkEnd w:id="144"/>
      <w:bookmarkEnd w:id="145"/>
      <w:bookmarkEnd w:id="146"/>
      <w:bookmarkEnd w:id="147"/>
      <w:bookmarkEnd w:id="148"/>
      <w:r w:rsidRPr="00022524">
        <w:t>When reviewing whether milestones and targets are r</w:t>
      </w:r>
      <w:r w:rsidRPr="00022524">
        <w:rPr>
          <w:i/>
        </w:rPr>
        <w:t xml:space="preserve">elevant, capturing essential information on the progress of a priority </w:t>
      </w:r>
      <w:r w:rsidRPr="00022524">
        <w:t xml:space="preserve">the ERDF common output indicators generally show a good judgment across all programmes. </w:t>
      </w:r>
      <w:r w:rsidR="00C53785" w:rsidRPr="00022524">
        <w:t>Some indicators show moderate indicator judgments, such as selected transport indicators on reconstruction or upgrade of railway lines including also TEN-T (12, 12a) as reported in ERDF programmes or new or improved tram and metro lines (15), as reported in programmes funded from the ERDF and ESF (M2) in combination. Based on missing information available, selected indicators got a low indicator judgment in relation to this criterion, especially those focusing on wastewater treatment (</w:t>
      </w:r>
      <w:r w:rsidR="00C363A5" w:rsidRPr="00022524">
        <w:t xml:space="preserve">19, </w:t>
      </w:r>
      <w:r w:rsidRPr="00022524">
        <w:t xml:space="preserve">funded by: ERDF, ESF and YEI (M0)), </w:t>
      </w:r>
      <w:r w:rsidR="00C53785" w:rsidRPr="00022524">
        <w:t>additional energy users connected to smart grids (</w:t>
      </w:r>
      <w:r w:rsidR="00C363A5" w:rsidRPr="00022524">
        <w:t xml:space="preserve">33, </w:t>
      </w:r>
      <w:r w:rsidR="00C53785" w:rsidRPr="00022524">
        <w:t xml:space="preserve">funded by: ERDF and ESF (M2)) or renewable energy production (30) funded by the combination of ERDF, CF, ESF and YEI (MA). </w:t>
      </w:r>
    </w:p>
    <w:p w14:paraId="6F89A1F1" w14:textId="77777777" w:rsidR="00370CD0" w:rsidRPr="00022524" w:rsidRDefault="00370CD0" w:rsidP="005C1E76">
      <w:pPr>
        <w:pStyle w:val="Body"/>
      </w:pPr>
      <w:r w:rsidRPr="00022524">
        <w:t xml:space="preserve">When reviewing whether milestones and targets are </w:t>
      </w:r>
      <w:r w:rsidRPr="00022524">
        <w:rPr>
          <w:i/>
        </w:rPr>
        <w:t>consistent with the nature and character of the specific objectives</w:t>
      </w:r>
      <w:r w:rsidRPr="00022524">
        <w:t xml:space="preserve"> of the priority, generally a good indicator judgment is visible, although the common indicators funded by the combination of ERDF, CF, ESF and YEI (MA) are deemed of </w:t>
      </w:r>
      <w:proofErr w:type="spellStart"/>
      <w:r w:rsidR="001456EB" w:rsidRPr="00022524">
        <w:t>of</w:t>
      </w:r>
      <w:proofErr w:type="spellEnd"/>
      <w:r w:rsidR="001456EB" w:rsidRPr="00022524">
        <w:t xml:space="preserve"> lower </w:t>
      </w:r>
      <w:r w:rsidRPr="00022524">
        <w:t>quality in relation to the consistency with the specific objective(s)</w:t>
      </w:r>
      <w:r w:rsidR="001456EB" w:rsidRPr="00022524">
        <w:t xml:space="preserve"> -</w:t>
      </w:r>
      <w:r w:rsidRPr="00022524">
        <w:t xml:space="preserve"> based on the information available from the ex-ante evaluations. However, no specific thematic vulnerability (specific indicators that were all </w:t>
      </w:r>
      <w:r w:rsidR="001456EB" w:rsidRPr="00022524">
        <w:t xml:space="preserve">poorly </w:t>
      </w:r>
      <w:r w:rsidRPr="00022524">
        <w:t xml:space="preserve">rated) can be identified. </w:t>
      </w:r>
    </w:p>
    <w:p w14:paraId="0E168A6C" w14:textId="77777777" w:rsidR="00370CD0" w:rsidRPr="00022524" w:rsidRDefault="00370CD0" w:rsidP="005C1E76">
      <w:pPr>
        <w:pStyle w:val="Body"/>
        <w:spacing w:after="120"/>
      </w:pPr>
      <w:r w:rsidRPr="00022524">
        <w:t xml:space="preserve">Apart from the generally good judgment when </w:t>
      </w:r>
      <w:r w:rsidR="001456EB" w:rsidRPr="00022524">
        <w:t>assessing if</w:t>
      </w:r>
      <w:r w:rsidRPr="00022524">
        <w:t xml:space="preserve"> common output indicator milestones and targets are </w:t>
      </w:r>
      <w:r w:rsidRPr="00022524">
        <w:rPr>
          <w:i/>
        </w:rPr>
        <w:t>transparent, with objectively verifiable targets and the source data identified</w:t>
      </w:r>
      <w:r w:rsidRPr="00022524">
        <w:rPr>
          <w:bCs/>
        </w:rPr>
        <w:t>,</w:t>
      </w:r>
      <w:r w:rsidRPr="00022524">
        <w:t xml:space="preserve"> as well as, where possible, publicly available data</w:t>
      </w:r>
      <w:r w:rsidRPr="00022524">
        <w:rPr>
          <w:bCs/>
        </w:rPr>
        <w:t>,</w:t>
      </w:r>
      <w:r w:rsidRPr="00022524">
        <w:t xml:space="preserve"> some indicators show a moderate or even low indicator judgment. Here, no specific fund or fund combination pattern can be identified, although indicators of programmes funded by the ERDF, CF and ESF in combination (M3) and those funded from the combination of ERDF, CF, ESF and YEI (MA) show a </w:t>
      </w:r>
      <w:r w:rsidR="00205FC7" w:rsidRPr="00022524">
        <w:t>pervasive</w:t>
      </w:r>
      <w:r w:rsidR="00386FF3" w:rsidRPr="00022524">
        <w:t>ly</w:t>
      </w:r>
      <w:r w:rsidR="00205FC7" w:rsidRPr="00022524">
        <w:t xml:space="preserve"> </w:t>
      </w:r>
      <w:r w:rsidRPr="00022524">
        <w:t xml:space="preserve">good indicator quality. </w:t>
      </w:r>
    </w:p>
    <w:p w14:paraId="11C90C0E" w14:textId="77777777" w:rsidR="00370CD0" w:rsidRPr="00022524" w:rsidRDefault="00370CD0" w:rsidP="005C1E76">
      <w:pPr>
        <w:pStyle w:val="Body"/>
        <w:spacing w:after="120"/>
      </w:pPr>
      <w:r w:rsidRPr="00022524">
        <w:t xml:space="preserve">The criterion of whether milestones and targets are </w:t>
      </w:r>
      <w:r w:rsidRPr="00022524">
        <w:rPr>
          <w:i/>
        </w:rPr>
        <w:t>verifiable, without imposing a disproportionate administrative burden</w:t>
      </w:r>
      <w:r w:rsidRPr="00022524">
        <w:rPr>
          <w:bCs/>
        </w:rPr>
        <w:t>,</w:t>
      </w:r>
      <w:r w:rsidRPr="00022524">
        <w:t xml:space="preserve"> obviously caused some problems and </w:t>
      </w:r>
      <w:r w:rsidR="00386FF3" w:rsidRPr="00022524">
        <w:t xml:space="preserve">introduced certain </w:t>
      </w:r>
      <w:r w:rsidRPr="00022524">
        <w:t xml:space="preserve">question marks, as some quite low indicator judgments are visible: for </w:t>
      </w:r>
      <w:r w:rsidR="004E5341" w:rsidRPr="00022524">
        <w:t>example,</w:t>
      </w:r>
      <w:r w:rsidRPr="00022524">
        <w:t xml:space="preserve"> for common indicators in the transport sector (common indicators 14a or 16) or in the sector of waste and water (different funds and combinations of funds). Low judgment </w:t>
      </w:r>
      <w:r w:rsidR="00205FC7" w:rsidRPr="00022524">
        <w:t>is</w:t>
      </w:r>
      <w:r w:rsidR="005C1E76" w:rsidRPr="00022524">
        <w:t>,</w:t>
      </w:r>
      <w:r w:rsidRPr="00022524">
        <w:t xml:space="preserve"> amongst others</w:t>
      </w:r>
      <w:r w:rsidR="005C1E76" w:rsidRPr="00022524">
        <w:t>,</w:t>
      </w:r>
      <w:r w:rsidRPr="00022524">
        <w:t xml:space="preserve"> </w:t>
      </w:r>
      <w:r w:rsidR="00205FC7" w:rsidRPr="00022524">
        <w:t xml:space="preserve">based </w:t>
      </w:r>
      <w:r w:rsidRPr="00022524">
        <w:t xml:space="preserve">on the </w:t>
      </w:r>
      <w:r w:rsidR="004646EF" w:rsidRPr="00022524">
        <w:t xml:space="preserve">increased </w:t>
      </w:r>
      <w:r w:rsidRPr="00022524">
        <w:t xml:space="preserve">efforts </w:t>
      </w:r>
      <w:r w:rsidR="004646EF" w:rsidRPr="00022524">
        <w:t xml:space="preserve">required for </w:t>
      </w:r>
      <w:r w:rsidRPr="00022524">
        <w:t>additional data collection and the need of a technical methodology to collect data and missing information.</w:t>
      </w:r>
      <w:r w:rsidR="005C1E76" w:rsidRPr="00022524">
        <w:t xml:space="preserve"> </w:t>
      </w:r>
      <w:r w:rsidRPr="00022524">
        <w:t>Amongst others, sensitivity of data as well as vague sources and reporting frequencies were the reasons for lower indicat</w:t>
      </w:r>
      <w:r w:rsidR="00205FC7" w:rsidRPr="00022524">
        <w:t xml:space="preserve">or judgment </w:t>
      </w:r>
      <w:r w:rsidR="004646EF" w:rsidRPr="00022524">
        <w:t xml:space="preserve">in </w:t>
      </w:r>
      <w:r w:rsidR="00205FC7" w:rsidRPr="00022524">
        <w:t>this criterion.</w:t>
      </w:r>
    </w:p>
    <w:p w14:paraId="68E03F1D" w14:textId="77777777" w:rsidR="00370CD0" w:rsidRPr="00022524" w:rsidRDefault="00370CD0" w:rsidP="005C1E76">
      <w:pPr>
        <w:pStyle w:val="Body"/>
        <w:spacing w:after="120"/>
      </w:pPr>
      <w:r w:rsidRPr="00022524">
        <w:t xml:space="preserve">As identified in the general overview of the appropriateness of milestones and targets, as well as the in-depth review of common ERDF output indicators, some critical aspects for the criterion of whether milestones and targets are </w:t>
      </w:r>
      <w:r w:rsidRPr="00022524">
        <w:rPr>
          <w:i/>
        </w:rPr>
        <w:t>consistent across programmes</w:t>
      </w:r>
      <w:r w:rsidRPr="00022524">
        <w:rPr>
          <w:bCs/>
        </w:rPr>
        <w:t>,</w:t>
      </w:r>
      <w:r w:rsidRPr="00022524">
        <w:t xml:space="preserve"> </w:t>
      </w:r>
      <w:r w:rsidR="004646EF" w:rsidRPr="00022524">
        <w:t>are raised. The</w:t>
      </w:r>
      <w:r w:rsidRPr="00022524">
        <w:t xml:space="preserve"> consistency across programmes only applies where appropriate (following the requirements from the CPR)</w:t>
      </w:r>
      <w:r w:rsidR="004646EF" w:rsidRPr="00022524">
        <w:t>.</w:t>
      </w:r>
      <w:r w:rsidRPr="00022524">
        <w:t xml:space="preserve"> </w:t>
      </w:r>
      <w:r w:rsidR="004646EF" w:rsidRPr="00022524">
        <w:t>A</w:t>
      </w:r>
      <w:r w:rsidRPr="00022524">
        <w:t>part from the general situation that for all common indicators used by MA-funded programmes this criterion is not applicable (judgment “d”) as there is only one OP per Member State available</w:t>
      </w:r>
      <w:r w:rsidR="003F7B0C" w:rsidRPr="00022524">
        <w:rPr>
          <w:rStyle w:val="FootnoteReference"/>
        </w:rPr>
        <w:footnoteReference w:id="35"/>
      </w:r>
      <w:r w:rsidR="000F4CD4" w:rsidRPr="00022524">
        <w:t>,</w:t>
      </w:r>
      <w:r w:rsidRPr="00022524">
        <w:t xml:space="preserve"> common indicator 10 “Additional households with broadband access of at least 30 Mbps”</w:t>
      </w:r>
      <w:r w:rsidR="004646EF" w:rsidRPr="00022524">
        <w:t xml:space="preserve"> and </w:t>
      </w:r>
      <w:r w:rsidRPr="00022524">
        <w:t>indicator 14a “Total length of reconstructed or u</w:t>
      </w:r>
      <w:r w:rsidR="000F4CD4" w:rsidRPr="00022524">
        <w:t>pgraded roads, of which: TEN-T”</w:t>
      </w:r>
      <w:r w:rsidRPr="00022524">
        <w:t xml:space="preserve"> show a partly negative indicator judgment. Reasons are missing information as </w:t>
      </w:r>
      <w:r w:rsidR="00D1266C" w:rsidRPr="00022524">
        <w:t>in selected cases</w:t>
      </w:r>
      <w:r w:rsidRPr="00022524">
        <w:t xml:space="preserve"> the consistency across programmes could not be concluded from the available sources or the fact that often indicator milestones and targets are very specific for the programmes. </w:t>
      </w:r>
    </w:p>
    <w:p w14:paraId="1EC87913" w14:textId="77777777" w:rsidR="005E6138" w:rsidRPr="00022524" w:rsidRDefault="005E6138" w:rsidP="005E6138">
      <w:pPr>
        <w:pStyle w:val="Zwischenberschrift"/>
        <w:rPr>
          <w:i/>
        </w:rPr>
      </w:pPr>
      <w:r w:rsidRPr="00022524">
        <w:t>ESF common output indicators</w:t>
      </w:r>
    </w:p>
    <w:p w14:paraId="0BD992FD" w14:textId="77777777" w:rsidR="005E6138" w:rsidRPr="00022524" w:rsidRDefault="005E6138" w:rsidP="005E6138">
      <w:pPr>
        <w:pStyle w:val="Body"/>
        <w:spacing w:after="120"/>
      </w:pPr>
      <w:r w:rsidRPr="00022524">
        <w:t>In programmes with both ERDF and ESF funding, ESF common indicators show a relatively good indicator judgment, as well as milestones and targets</w:t>
      </w:r>
      <w:r w:rsidRPr="00022524">
        <w:rPr>
          <w:rStyle w:val="FootnoteReference"/>
        </w:rPr>
        <w:footnoteReference w:id="36"/>
      </w:r>
      <w:r w:rsidRPr="00022524">
        <w:t xml:space="preserve">. They were found by the project team to be </w:t>
      </w:r>
      <w:r w:rsidRPr="00022524">
        <w:rPr>
          <w:i/>
        </w:rPr>
        <w:t>realistic and achievable</w:t>
      </w:r>
      <w:r w:rsidRPr="00022524">
        <w:rPr>
          <w:bCs/>
        </w:rPr>
        <w:t>.</w:t>
      </w:r>
      <w:r w:rsidRPr="00022524">
        <w:t xml:space="preserve"> </w:t>
      </w:r>
      <w:proofErr w:type="gramStart"/>
      <w:r w:rsidRPr="00022524">
        <w:t>Although, some exceptions are observed.</w:t>
      </w:r>
      <w:proofErr w:type="gramEnd"/>
      <w:r w:rsidRPr="00022524">
        <w:t xml:space="preserve"> Common indicators from programmes funded by the combination of ERDF and ESF (M2) – covering a share of 6% of non-adopted OPs – demonstrate a low indicator judgment. This judgement is mainly based on the indicator milestones and targets being unclear due to missing information or the judgment of the ex-ante evaluation highlighting certain weaknesses. Common indicator 22 “Number of projects targeting public administrations or public services at national, regional or local level”, presents an interesting finding: The judgment for the indicators of programmes funded from the ERDF, ESF and </w:t>
      </w:r>
      <w:r w:rsidRPr="00022524">
        <w:lastRenderedPageBreak/>
        <w:t>YEI (M0) and those funded from the combination of ERDF, CF and ESF (M3) are quite good, while the programmes combining funding from ERDF and ESF (M2) register a low indicator judgment because a large proportion of indicators was regarded as being unclear.</w:t>
      </w:r>
    </w:p>
    <w:p w14:paraId="34E8B985" w14:textId="77777777" w:rsidR="005E6138" w:rsidRPr="00022524" w:rsidRDefault="005E6138" w:rsidP="005E6138">
      <w:pPr>
        <w:pStyle w:val="Body"/>
        <w:spacing w:after="120" w:line="216" w:lineRule="exact"/>
      </w:pPr>
      <w:r w:rsidRPr="00022524">
        <w:t xml:space="preserve">A diverse picture is visible for ESF common indicators in relation to the question, if milestones and targets are </w:t>
      </w:r>
      <w:r w:rsidRPr="00022524">
        <w:rPr>
          <w:i/>
        </w:rPr>
        <w:t>relevant and necessary for monitoring the progress of the programmes</w:t>
      </w:r>
      <w:r w:rsidRPr="00022524">
        <w:t xml:space="preserve">. </w:t>
      </w:r>
      <w:proofErr w:type="gramStart"/>
      <w:r w:rsidRPr="00022524">
        <w:t>Generally, seen as quite good indicator judgment for the majority of indicators.</w:t>
      </w:r>
      <w:proofErr w:type="gramEnd"/>
      <w:r w:rsidRPr="00022524">
        <w:t xml:space="preserve"> A couple of indicators as reported by the programmes funded from the combination of ERDF and ESF (M2) got a low indictor judgment for common indicators 10 “With upper secondary (ISCED 3) or postsecondary education (ISCED 4)”, 11 “With tertiary education (ISCED 5 to 8)”, 14 “Participants who live in a single adult household with dependent children” and 22 “Number of projects targeting public administrations or public services at national, regional or local level”. Again, this judgment is mainly routed in missing information on the indicator and findings of the review of ex-ante evaluations which led to the indicator being rather unclear.</w:t>
      </w:r>
    </w:p>
    <w:p w14:paraId="5F21F357" w14:textId="77777777" w:rsidR="005E6138" w:rsidRPr="00022524" w:rsidRDefault="005E6138" w:rsidP="005E6138">
      <w:pPr>
        <w:pStyle w:val="Body"/>
        <w:spacing w:after="120"/>
      </w:pPr>
      <w:r w:rsidRPr="00022524">
        <w:t xml:space="preserve">When reviewing whether milestones and targets are </w:t>
      </w:r>
      <w:r w:rsidRPr="00022524">
        <w:rPr>
          <w:i/>
        </w:rPr>
        <w:t>consistent with the nature and character of the specific objectives</w:t>
      </w:r>
      <w:r w:rsidRPr="00022524">
        <w:t xml:space="preserve"> of the priority</w:t>
      </w:r>
      <w:r w:rsidRPr="00022524">
        <w:rPr>
          <w:bCs/>
        </w:rPr>
        <w:t>,</w:t>
      </w:r>
      <w:r w:rsidRPr="00022524">
        <w:t xml:space="preserve"> a similar picture becomes evident as mainly judgements for programmes funded from the combination of ERDF and ESF (M2) are of a lower quality – this judgement follows through the whole assessment of ESF indicators. It should be highlighted again, that a set of these programmes funded by ERDF and ESF in combination has not yet been adopted by the EC, which partly led to uncertainty during programme assessment.</w:t>
      </w:r>
    </w:p>
    <w:p w14:paraId="34812A25" w14:textId="77777777" w:rsidR="005E6138" w:rsidRPr="00022524" w:rsidRDefault="005E6138" w:rsidP="005E6138">
      <w:pPr>
        <w:pStyle w:val="Body"/>
        <w:spacing w:after="120"/>
      </w:pPr>
      <w:r w:rsidRPr="00022524">
        <w:t xml:space="preserve">When reviewing whether milestones and targets are </w:t>
      </w:r>
      <w:r w:rsidRPr="00022524">
        <w:rPr>
          <w:i/>
        </w:rPr>
        <w:t>transparent</w:t>
      </w:r>
      <w:r w:rsidRPr="00022524">
        <w:rPr>
          <w:bCs/>
          <w:i/>
        </w:rPr>
        <w:t>,</w:t>
      </w:r>
      <w:r w:rsidRPr="00022524">
        <w:rPr>
          <w:i/>
        </w:rPr>
        <w:t xml:space="preserve"> with </w:t>
      </w:r>
      <w:r w:rsidRPr="00022524">
        <w:rPr>
          <w:bCs/>
          <w:i/>
        </w:rPr>
        <w:t>objectively</w:t>
      </w:r>
      <w:r w:rsidRPr="00022524">
        <w:rPr>
          <w:i/>
        </w:rPr>
        <w:t xml:space="preserve"> verifiable targets</w:t>
      </w:r>
      <w:r w:rsidRPr="00022524">
        <w:t xml:space="preserve"> and the source data identified and, where possible, publicly available</w:t>
      </w:r>
      <w:r w:rsidRPr="00022524">
        <w:rPr>
          <w:bCs/>
        </w:rPr>
        <w:t>,</w:t>
      </w:r>
      <w:r w:rsidRPr="00022524">
        <w:t xml:space="preserve"> the general quality of the common ESF output indicators is good. Although a couple of exceptions (primarily in programmes funded from the combination of ERDF and ESF (M2)) need to be emphasised, these are that selected common indicators partly received a moderate or even low indicator judgement based on missing information such as unspecified data source. </w:t>
      </w:r>
    </w:p>
    <w:p w14:paraId="5A3AA99A" w14:textId="77777777" w:rsidR="005E6138" w:rsidRPr="00022524" w:rsidRDefault="005E6138" w:rsidP="005E6138">
      <w:pPr>
        <w:pStyle w:val="Body"/>
        <w:spacing w:line="216" w:lineRule="exact"/>
      </w:pPr>
      <w:r w:rsidRPr="00022524">
        <w:t>When reviewing whether milestones and targets are ver</w:t>
      </w:r>
      <w:r w:rsidRPr="00022524">
        <w:rPr>
          <w:i/>
        </w:rPr>
        <w:t>ifiable, without imposing a disproportionate administrative burden</w:t>
      </w:r>
      <w:r w:rsidRPr="00022524">
        <w:t xml:space="preserve">, there are concerns of indicator quality for similar common indicators. The main reasons being unclear data sources and concern regarding the monitoring system being inadequate. </w:t>
      </w:r>
    </w:p>
    <w:p w14:paraId="5F3C1397" w14:textId="178962D2" w:rsidR="005E6138" w:rsidRPr="00022524" w:rsidRDefault="005E6138" w:rsidP="005E6138">
      <w:pPr>
        <w:pStyle w:val="Body"/>
        <w:spacing w:after="120"/>
      </w:pPr>
      <w:r w:rsidRPr="00022524">
        <w:t xml:space="preserve">When reviewing whether milestones and targets are </w:t>
      </w:r>
      <w:r w:rsidRPr="00022524">
        <w:rPr>
          <w:i/>
        </w:rPr>
        <w:t>consistent across programmes</w:t>
      </w:r>
      <w:r w:rsidRPr="00022524">
        <w:rPr>
          <w:bCs/>
        </w:rPr>
        <w:t>,</w:t>
      </w:r>
      <w:r w:rsidRPr="00022524">
        <w:t xml:space="preserve"> where appropriate, it becomes apparent that the judgment to a certain extent shows a lower indicator quality, based on the national experts’ judgment. Five indicators are rated with low judgement: common indicators 8 “Above 54 years of age who are unemployed, including long-term unemployed, or inactive not in education or training” (funded from the combination of ERDF, CF, ESF and YEI (MA)); followed by common indicators 10, 11, 14 and 22 (all funded from the combination of ERDF and ESF (M2)). The consistency across programmes remains unclear based on the information not being available in an inadequate form to assess this criterion.</w:t>
      </w:r>
    </w:p>
    <w:p w14:paraId="30F1F89C" w14:textId="77777777" w:rsidR="00D167A0" w:rsidRPr="00022524" w:rsidRDefault="00D167A0" w:rsidP="005E6138">
      <w:pPr>
        <w:pStyle w:val="Body"/>
        <w:spacing w:after="120"/>
      </w:pPr>
    </w:p>
    <w:p w14:paraId="0416780E" w14:textId="7C226C6D" w:rsidR="004614A6" w:rsidRDefault="00D167A0" w:rsidP="00D167A0">
      <w:pPr>
        <w:pStyle w:val="Body"/>
      </w:pPr>
      <w:r w:rsidRPr="00022524">
        <w:t xml:space="preserve">Concluding, the discussion of ERDF-/CF-indicators and their milestones and targets according to Annex II of Regulation (EU) No 1303/2013 stated a generally good quality of indicators. </w:t>
      </w:r>
      <w:r w:rsidR="004614A6">
        <w:t>On the contrary, t</w:t>
      </w:r>
      <w:r w:rsidR="004614A6" w:rsidRPr="00022524">
        <w:t>he discussion of ESF-indicators and their milestones and targets according to Annex II of Regulation (EU) No 1303/2013 showed a diverse picture of indicators where many aspects remain unclear.</w:t>
      </w:r>
    </w:p>
    <w:p w14:paraId="68C6A467" w14:textId="3DE49105" w:rsidR="004614A6" w:rsidRDefault="004614A6" w:rsidP="00D167A0">
      <w:pPr>
        <w:pStyle w:val="Body"/>
      </w:pPr>
      <w:r>
        <w:t>ERDF c</w:t>
      </w:r>
      <w:r w:rsidR="00D167A0" w:rsidRPr="00022524">
        <w:t xml:space="preserve">ommon indicators with a generally increased indicator judgement of lower quality and/or cases where one or another criterion is not appropriate, are as follows: Common indicator 23 “Surface area of habitats supported in order to attain a better conservation status”, common indicator 24 “Number of new researchers in supported entities”, common indicator 28 “Number of enterprises supported to introduce new to the market products” and common indicator 29 “Number of enterprises supported to introduce new to the firm products”. Additionally, indicator 33 “Number of additional energy users connected to smart grids” and common indicator 40 “Rehabilitated housing in urban areas” with numerous aspects, which identified a lower indicator judgement. </w:t>
      </w:r>
      <w:r>
        <w:t xml:space="preserve">For ESF indicators </w:t>
      </w:r>
      <w:r w:rsidRPr="00022524">
        <w:t>a low quality and indicator judgment is visible for common indicators 8 “Above 54 years of age who are unemployed, including long-term unemployed, or inactive not in education or training”, 11 “With tertiary education (ISCED 5 to 8)”, 12 “Participants who live in jobless households” and 14 “Participants who live in a single adult household with dependent children”.</w:t>
      </w:r>
    </w:p>
    <w:p w14:paraId="36DCCF0F" w14:textId="796B6506" w:rsidR="00D167A0" w:rsidRPr="00022524" w:rsidRDefault="00D167A0" w:rsidP="00FC3C1B">
      <w:pPr>
        <w:pStyle w:val="Body"/>
      </w:pPr>
      <w:r w:rsidRPr="00022524">
        <w:t xml:space="preserve">When taking a closer look at the criteria, it is visible that </w:t>
      </w:r>
      <w:r w:rsidR="00454473">
        <w:t xml:space="preserve">for ERDF programmes </w:t>
      </w:r>
      <w:r w:rsidRPr="00022524">
        <w:t>the consistency across programmes was a quite difficult and partly unnecessary (as not applicable for the programmes) aspect.</w:t>
      </w:r>
      <w:r w:rsidR="00454473">
        <w:t xml:space="preserve"> </w:t>
      </w:r>
      <w:r w:rsidRPr="00022524">
        <w:t>In contrast to ERDF-/CF-indicators, there is no Annex II criterion which is deemed especially difficult</w:t>
      </w:r>
      <w:r w:rsidR="00454473">
        <w:t xml:space="preserve"> for ESF common indicators, a</w:t>
      </w:r>
      <w:r w:rsidRPr="00022524">
        <w:t xml:space="preserve">lthough, a general challenge in meeting </w:t>
      </w:r>
      <w:r w:rsidRPr="00022524">
        <w:lastRenderedPageBreak/>
        <w:t>quality aspects for milestones and targets for certain indicators and programme types (combination of funds) can be recognised.</w:t>
      </w:r>
    </w:p>
    <w:p w14:paraId="3CE60110" w14:textId="77777777" w:rsidR="00917280" w:rsidRPr="00022524" w:rsidRDefault="00917280" w:rsidP="00D167A0">
      <w:pPr>
        <w:pStyle w:val="Body"/>
        <w:spacing w:after="120"/>
      </w:pPr>
    </w:p>
    <w:p w14:paraId="44BB7F87" w14:textId="7896056A" w:rsidR="00D167A0" w:rsidRPr="00022524" w:rsidRDefault="00D167A0" w:rsidP="00D167A0">
      <w:pPr>
        <w:pStyle w:val="Body"/>
        <w:pBdr>
          <w:bottom w:val="single" w:sz="4" w:space="3" w:color="004696"/>
        </w:pBdr>
        <w:spacing w:line="216" w:lineRule="exact"/>
        <w:outlineLvl w:val="0"/>
        <w:rPr>
          <w:i/>
        </w:rPr>
      </w:pPr>
      <w:r w:rsidRPr="00022524">
        <w:rPr>
          <w:i/>
        </w:rPr>
        <w:t>The rhythm of delivery</w:t>
      </w:r>
    </w:p>
    <w:p w14:paraId="61221A64" w14:textId="75A1682B" w:rsidR="001E470D" w:rsidRPr="00022524" w:rsidRDefault="001E470D" w:rsidP="00D167A0">
      <w:pPr>
        <w:pStyle w:val="Body"/>
      </w:pPr>
      <w:r w:rsidRPr="00022524">
        <w:t>Apart from the fact of milestones and targets meeting the requirements of Regulation (EU) No 1303/2013, the rhythm of delivery was analysed for common output indicators as well, i.e. the tracking of whether by 2018 only a low share (category I, 0-20%), a moderate share (category II, 20.1-30%), a high share (category III, 30.1-40%) or a very high share of the target will be reached in 2018 (category IV, &gt;40%)</w:t>
      </w:r>
      <w:r w:rsidR="000A1D9E" w:rsidRPr="00022524">
        <w:t xml:space="preserve">. </w:t>
      </w:r>
    </w:p>
    <w:p w14:paraId="5DE2CD9E" w14:textId="77777777" w:rsidR="00E77B01" w:rsidRPr="00022524" w:rsidRDefault="005C1E76" w:rsidP="00096F14">
      <w:pPr>
        <w:pStyle w:val="Zwischenberschrift"/>
        <w:outlineLvl w:val="0"/>
      </w:pPr>
      <w:bookmarkStart w:id="149" w:name="_Toc433973111"/>
      <w:r w:rsidRPr="00FC3C1B">
        <w:t>ERDF/CF common output indicators</w:t>
      </w:r>
    </w:p>
    <w:p w14:paraId="11A8D399" w14:textId="77777777" w:rsidR="00370CD0" w:rsidRPr="00FC3C1B" w:rsidRDefault="00370CD0" w:rsidP="00FC3C1B">
      <w:pPr>
        <w:pStyle w:val="Body"/>
      </w:pPr>
      <w:bookmarkStart w:id="150" w:name="_Ref426097219"/>
      <w:bookmarkEnd w:id="149"/>
      <w:r w:rsidRPr="00FC3C1B">
        <w:t xml:space="preserve">As discussed, programmes funded from the ERDF </w:t>
      </w:r>
      <w:r w:rsidR="004646EF" w:rsidRPr="00FC3C1B">
        <w:t xml:space="preserve">often </w:t>
      </w:r>
      <w:r w:rsidRPr="00FC3C1B">
        <w:t>use a relatively high number of common output indicators in their PF:</w:t>
      </w:r>
    </w:p>
    <w:p w14:paraId="14CA5613" w14:textId="77777777" w:rsidR="00370CD0" w:rsidRPr="00FC3C1B" w:rsidRDefault="00370CD0" w:rsidP="00FC3C1B">
      <w:pPr>
        <w:pStyle w:val="BulletPoint1"/>
      </w:pPr>
      <w:r w:rsidRPr="00FC3C1B">
        <w:t xml:space="preserve">41 different output indicators are used by the ERDF funded programmes of which nearly 50% show a low share of targets to be reached in 2018: these indicators cover, amongst others, road and railway indicators, which usually reach their targets quite late in the programming period; </w:t>
      </w:r>
    </w:p>
    <w:p w14:paraId="3154C0F0" w14:textId="77777777" w:rsidR="00370CD0" w:rsidRPr="00FC3C1B" w:rsidRDefault="00370CD0" w:rsidP="00FC3C1B">
      <w:pPr>
        <w:pStyle w:val="BulletPoint1"/>
      </w:pPr>
      <w:r w:rsidRPr="00FC3C1B">
        <w:t xml:space="preserve">around 21% of all indicators show a moderate share of targets to be reached in 2018, including, for example, waste and water indicators (ERDF common indicators 17 and 18), and </w:t>
      </w:r>
    </w:p>
    <w:p w14:paraId="1B7A8D35" w14:textId="77777777" w:rsidR="00370CD0" w:rsidRPr="00FC3C1B" w:rsidRDefault="00370CD0" w:rsidP="00FC3C1B">
      <w:pPr>
        <w:pStyle w:val="BulletPoint1"/>
      </w:pPr>
      <w:r w:rsidRPr="00FC3C1B">
        <w:t>17% of the common output indicators show a high share of target to be reached in 2018, including, amongst others, flood protection measures as covered under common indicator 20;</w:t>
      </w:r>
    </w:p>
    <w:p w14:paraId="4787F1CF" w14:textId="77777777" w:rsidR="00370CD0" w:rsidRPr="00FC3C1B" w:rsidRDefault="00370CD0" w:rsidP="007C39C0">
      <w:pPr>
        <w:pStyle w:val="BulletPoint1"/>
      </w:pPr>
      <w:r w:rsidRPr="00FC3C1B">
        <w:t>approximately 12% of ERDF common output indicators funded from the ERDF alone show a very high share of the targets already to be reached in 2018, covering for example indicator 9 “Increase in expected number of visits to supported sites of cultural or natural heritage and attractions”, but also indicator 16 “Total length of new or improved inland waterway”.</w:t>
      </w:r>
    </w:p>
    <w:p w14:paraId="45547DF2" w14:textId="77777777" w:rsidR="00370CD0" w:rsidRPr="00FC3C1B" w:rsidRDefault="00370CD0" w:rsidP="007C39C0">
      <w:pPr>
        <w:pStyle w:val="Body"/>
      </w:pPr>
      <w:r w:rsidRPr="00FC3C1B">
        <w:t>The programme funded from the CF uses four common output indicators in its PF, three of them show a moderate share of targets to be reached in 2018, and one indicator shows a low share of target to be reached in 2018.</w:t>
      </w:r>
    </w:p>
    <w:p w14:paraId="55708E65" w14:textId="77777777" w:rsidR="00370CD0" w:rsidRPr="00FC3C1B" w:rsidRDefault="00370CD0" w:rsidP="007C39C0">
      <w:pPr>
        <w:pStyle w:val="Body"/>
      </w:pPr>
      <w:r w:rsidRPr="00FC3C1B">
        <w:t xml:space="preserve">For programmes funded from the combination of ERDF, ESF and YEI (M0) different approaches are recognisable: </w:t>
      </w:r>
    </w:p>
    <w:p w14:paraId="5A139E98" w14:textId="77777777" w:rsidR="00370CD0" w:rsidRPr="00FC3C1B" w:rsidRDefault="00370CD0" w:rsidP="007C39C0">
      <w:pPr>
        <w:pStyle w:val="BulletPoint1"/>
      </w:pPr>
      <w:r w:rsidRPr="00FC3C1B">
        <w:t xml:space="preserve">whereas common output indicators, covering for example the number of enterprises receiving support (both non-financial and financial) show a quite high share of targets already to be reached in 2018, </w:t>
      </w:r>
    </w:p>
    <w:p w14:paraId="3DB80842" w14:textId="77777777" w:rsidR="00370CD0" w:rsidRPr="00FC3C1B" w:rsidRDefault="00370CD0" w:rsidP="007C39C0">
      <w:pPr>
        <w:pStyle w:val="BulletPoint1"/>
      </w:pPr>
      <w:proofErr w:type="gramStart"/>
      <w:r w:rsidRPr="00FC3C1B">
        <w:t>indicators</w:t>
      </w:r>
      <w:proofErr w:type="gramEnd"/>
      <w:r w:rsidRPr="00FC3C1B">
        <w:t xml:space="preserve"> illustrating the achievements of flood protection measures or of rehabilitated land show a rather low share of targets to be reached in 2018.</w:t>
      </w:r>
    </w:p>
    <w:p w14:paraId="58219A0D" w14:textId="77777777" w:rsidR="00370CD0" w:rsidRPr="00FC3C1B" w:rsidRDefault="00370CD0" w:rsidP="007C39C0">
      <w:pPr>
        <w:pStyle w:val="Body"/>
      </w:pPr>
      <w:r w:rsidRPr="00FC3C1B">
        <w:t>For programmes funded from the combination of ERDF and CF (M1) mainly a low share of targets to be reached in 2018 is visible (more than 40% of common indicators), although nearly a quarter of indicators already show a very high share of the targets to be reached in the year 2018 (e.g. common indicators focusing on waste recycling or water supply).</w:t>
      </w:r>
    </w:p>
    <w:p w14:paraId="1C1FC8E8" w14:textId="77777777" w:rsidR="00370CD0" w:rsidRPr="00FC3C1B" w:rsidRDefault="00370CD0" w:rsidP="007C39C0">
      <w:pPr>
        <w:pStyle w:val="Body"/>
      </w:pPr>
      <w:r w:rsidRPr="00FC3C1B">
        <w:t>A similar situation is observable for programmes funded from the combination of ERDF and ESF (M2)</w:t>
      </w:r>
      <w:r w:rsidR="004646EF" w:rsidRPr="00FC3C1B">
        <w:rPr>
          <w:bCs/>
        </w:rPr>
        <w:t>.</w:t>
      </w:r>
      <w:r w:rsidRPr="00FC3C1B">
        <w:t xml:space="preserve"> </w:t>
      </w:r>
      <w:r w:rsidR="004646EF" w:rsidRPr="00FC3C1B">
        <w:t>M</w:t>
      </w:r>
      <w:r w:rsidRPr="00FC3C1B">
        <w:t>ore than 80% of common indicators used register a low or only moderate share of target</w:t>
      </w:r>
      <w:r w:rsidR="004646EF" w:rsidRPr="00FC3C1B">
        <w:t>s</w:t>
      </w:r>
      <w:r w:rsidRPr="00FC3C1B">
        <w:t xml:space="preserve"> to be reached in 2018. Only 8% of common indicators plan to achieve very high shares of target</w:t>
      </w:r>
      <w:r w:rsidR="00E85AED" w:rsidRPr="00FC3C1B">
        <w:t>s</w:t>
      </w:r>
      <w:r w:rsidRPr="00FC3C1B">
        <w:t xml:space="preserve"> </w:t>
      </w:r>
      <w:r w:rsidR="00E85AED" w:rsidRPr="00FC3C1B">
        <w:t>by</w:t>
      </w:r>
      <w:r w:rsidRPr="00FC3C1B">
        <w:t xml:space="preserve"> 2018 – examples are common indicators dealing with wastewater treatment or protection measures.</w:t>
      </w:r>
    </w:p>
    <w:p w14:paraId="0A6B1A24" w14:textId="77777777" w:rsidR="00370CD0" w:rsidRPr="00FC3C1B" w:rsidRDefault="00370CD0" w:rsidP="007C39C0">
      <w:pPr>
        <w:pStyle w:val="Body"/>
      </w:pPr>
      <w:r w:rsidRPr="00FC3C1B">
        <w:t xml:space="preserve">The programmes funded by the combination of ERDF, CF and ESF (M3) generally use a low number of common indicators with quite different approaches concerning the share of targets to be reached in 2018: </w:t>
      </w:r>
    </w:p>
    <w:p w14:paraId="49D690D9" w14:textId="77777777" w:rsidR="00370CD0" w:rsidRPr="00FC3C1B" w:rsidRDefault="00370CD0" w:rsidP="007C39C0">
      <w:pPr>
        <w:pStyle w:val="BulletPoint1"/>
      </w:pPr>
      <w:r w:rsidRPr="00FC3C1B">
        <w:t xml:space="preserve">an example for an indicator with a low share of its target to be reached in 2018 is common indicator 22 “Total surface area of rehabilitated land”, </w:t>
      </w:r>
    </w:p>
    <w:p w14:paraId="477FB065" w14:textId="77777777" w:rsidR="00370CD0" w:rsidRPr="00FC3C1B" w:rsidRDefault="00370CD0" w:rsidP="007C39C0">
      <w:pPr>
        <w:pStyle w:val="BulletPoint1"/>
      </w:pPr>
      <w:r w:rsidRPr="00FC3C1B">
        <w:t xml:space="preserve">an example for a moderate share of its target to be reached is indicator 38 “Open space created or rehabilitated in urban areas” and </w:t>
      </w:r>
    </w:p>
    <w:p w14:paraId="089EEB2F" w14:textId="77777777" w:rsidR="00370CD0" w:rsidRPr="00FC3C1B" w:rsidRDefault="00370CD0" w:rsidP="007C39C0">
      <w:pPr>
        <w:pStyle w:val="BulletPoint1"/>
      </w:pPr>
      <w:proofErr w:type="gramStart"/>
      <w:r w:rsidRPr="00FC3C1B">
        <w:lastRenderedPageBreak/>
        <w:t>indicator</w:t>
      </w:r>
      <w:proofErr w:type="gramEnd"/>
      <w:r w:rsidRPr="00FC3C1B">
        <w:t xml:space="preserve"> 12a “Total length of reconstructed or upgraded railway line, of which: TEN-T” shows a high share of target to be reached in 2018. 3 common indicators in total show a very high share of the target to be reached in 2018 already, of which one is common indicator 14a “Total length of reconstructed or upgraded roads, of which: TEN-T”.</w:t>
      </w:r>
    </w:p>
    <w:p w14:paraId="53B13168" w14:textId="77777777" w:rsidR="00370CD0" w:rsidRPr="00FC3C1B" w:rsidRDefault="00370CD0" w:rsidP="007C39C0">
      <w:pPr>
        <w:pStyle w:val="Body"/>
      </w:pPr>
      <w:r w:rsidRPr="00FC3C1B">
        <w:t>Common indicators used by programmes funded by the combination of ERDF, CF, ESF and YEI (MA) mostly have a relatively slow uptake, i.e. show a low share of target to be reached already in 2018. Exceptions are common indicator 35 “Capacity of supported childcare or education infrastructure” with a moderate share of target to be reached in 2018 and common indicator 37 “Population living in areas with integrated urban development strategies” with a very high share of target to be reached already in 2018.</w:t>
      </w:r>
    </w:p>
    <w:p w14:paraId="4FC1399F" w14:textId="5AFABCD4" w:rsidR="00E9584B" w:rsidRPr="00FC3C1B" w:rsidRDefault="00FC1A5A" w:rsidP="00FC1A5A">
      <w:pPr>
        <w:pStyle w:val="Body"/>
      </w:pPr>
      <w:r w:rsidRPr="00FC3C1B">
        <w:t>A</w:t>
      </w:r>
      <w:r w:rsidR="00E9584B" w:rsidRPr="00FC3C1B">
        <w:t xml:space="preserve">nalysing the rhythm of delivery at the level of </w:t>
      </w:r>
      <w:proofErr w:type="spellStart"/>
      <w:r w:rsidR="00DA7557">
        <w:t>PAx</w:t>
      </w:r>
      <w:proofErr w:type="spellEnd"/>
      <w:r w:rsidR="00E9584B" w:rsidRPr="00FC3C1B">
        <w:t xml:space="preserve"> (not differentiating between funds or combinations of funds), common indicators 7 “Private investment matching public support to enterprises (non-grants)”, 16 “Total length of new or improved inland waterway” and 21 “Population benefiting from forest fire protection measures” show the fastest uptake, i.e. a very high share of target to be reached already in 2018. </w:t>
      </w:r>
    </w:p>
    <w:p w14:paraId="42CC769B" w14:textId="0CA4AE5F" w:rsidR="00E9584B" w:rsidRPr="00022524" w:rsidRDefault="00E9584B" w:rsidP="00E9584B">
      <w:pPr>
        <w:pStyle w:val="Body"/>
      </w:pPr>
      <w:r w:rsidRPr="00FC3C1B">
        <w:t>On the contrary, ERDF/CF common indicator 11a “Total length of new railway line, of which: TEN-T” shows a low share of the target to be reached in 2018. Generally, ERDF/CF common indicators focusing on transport aspects (11- 15) partly show quite low shares of the target to be reached in 2018. On the contrary, common indicator 16 “Total length of new or improved inland waterway” intends to reach already a high share of its target in 2018.</w:t>
      </w:r>
    </w:p>
    <w:p w14:paraId="4B33AA8E" w14:textId="602AEA7A" w:rsidR="0021599B" w:rsidRPr="00022524" w:rsidRDefault="0021599B" w:rsidP="00EF0A14">
      <w:pPr>
        <w:pStyle w:val="Figure"/>
      </w:pPr>
      <w:bookmarkStart w:id="151" w:name="_Toc448146054"/>
      <w:r w:rsidRPr="00022524">
        <w:t xml:space="preserve">Rhythm of delivery – ERDF Common indicators, level of </w:t>
      </w:r>
      <w:proofErr w:type="spellStart"/>
      <w:r w:rsidR="00DA7557">
        <w:t>PAx</w:t>
      </w:r>
      <w:bookmarkEnd w:id="151"/>
      <w:proofErr w:type="spellEnd"/>
    </w:p>
    <w:p w14:paraId="1822F676" w14:textId="77777777" w:rsidR="0021599B" w:rsidRPr="00022524" w:rsidRDefault="0021599B" w:rsidP="0021599B">
      <w:pPr>
        <w:pStyle w:val="Abbildung"/>
        <w:rPr>
          <w:lang w:val="en-GB"/>
        </w:rPr>
      </w:pPr>
      <w:r w:rsidRPr="00022524">
        <w:rPr>
          <w:lang w:val="en-GB" w:eastAsia="en-GB"/>
        </w:rPr>
        <w:drawing>
          <wp:inline distT="0" distB="0" distL="0" distR="0" wp14:anchorId="023B7520" wp14:editId="3E090AE4">
            <wp:extent cx="5760720" cy="3710940"/>
            <wp:effectExtent l="19050" t="0" r="0" b="0"/>
            <wp:docPr id="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46"/>
                    <a:srcRect/>
                    <a:stretch>
                      <a:fillRect/>
                    </a:stretch>
                  </pic:blipFill>
                  <pic:spPr bwMode="auto">
                    <a:xfrm>
                      <a:off x="0" y="0"/>
                      <a:ext cx="5760720" cy="3710940"/>
                    </a:xfrm>
                    <a:prstGeom prst="rect">
                      <a:avLst/>
                    </a:prstGeom>
                    <a:noFill/>
                    <a:ln w="9525">
                      <a:noFill/>
                      <a:miter lim="800000"/>
                      <a:headEnd/>
                      <a:tailEnd/>
                    </a:ln>
                  </pic:spPr>
                </pic:pic>
              </a:graphicData>
            </a:graphic>
          </wp:inline>
        </w:drawing>
      </w:r>
    </w:p>
    <w:p w14:paraId="1055BD6D" w14:textId="77777777" w:rsidR="0021599B" w:rsidRPr="00022524" w:rsidRDefault="0021599B" w:rsidP="0021599B">
      <w:pPr>
        <w:pStyle w:val="Source"/>
      </w:pPr>
      <w:r w:rsidRPr="00022524">
        <w:t>Source: Database on performance indicators. 2015; I … low share of target to be reached in 2018 (0-20%), II … moderate share of target to be reached in 2018 (20.1-30%), III…high share of target to be reached in 2018 (30.1-40%), IV…very high share of target to be reached in 2018 (&gt;40%)</w:t>
      </w:r>
    </w:p>
    <w:p w14:paraId="3A685B07" w14:textId="49DBAE31" w:rsidR="0080613D" w:rsidRPr="00022524" w:rsidRDefault="006434B3" w:rsidP="00917280">
      <w:pPr>
        <w:pStyle w:val="Body"/>
      </w:pPr>
      <w:r w:rsidRPr="00022524">
        <w:t>Concluding, the average milestone is 25</w:t>
      </w:r>
      <w:r w:rsidR="0021599B" w:rsidRPr="00022524">
        <w:t>% for all common output indicator</w:t>
      </w:r>
      <w:r w:rsidR="00AF1B41" w:rsidRPr="00022524">
        <w:t>s</w:t>
      </w:r>
      <w:r w:rsidR="0021599B" w:rsidRPr="00022524">
        <w:t xml:space="preserve"> but notably for common output indicator 7, 16 and 21, the average milestone is very high</w:t>
      </w:r>
      <w:r w:rsidR="00F07446" w:rsidRPr="00022524">
        <w:t xml:space="preserve"> (more than 40% of the final target already to be reached in 2018). Then, common indicators 1, 3, 10, 14a, 17, </w:t>
      </w:r>
      <w:r w:rsidR="0021599B" w:rsidRPr="00022524">
        <w:t xml:space="preserve">24, </w:t>
      </w:r>
      <w:r w:rsidR="00F07446" w:rsidRPr="00022524">
        <w:t xml:space="preserve">25, </w:t>
      </w:r>
      <w:r w:rsidR="0021599B" w:rsidRPr="00022524">
        <w:t xml:space="preserve">27, </w:t>
      </w:r>
      <w:r w:rsidR="00F07446" w:rsidRPr="00022524">
        <w:t>31, 35, 33, 36 and 37 follow</w:t>
      </w:r>
      <w:r w:rsidR="0021599B" w:rsidRPr="00022524">
        <w:t xml:space="preserve"> which are still above the average </w:t>
      </w:r>
      <w:r w:rsidR="00F07446" w:rsidRPr="00022524">
        <w:t xml:space="preserve">of target to be reached in 2018. </w:t>
      </w:r>
      <w:r w:rsidR="0021599B" w:rsidRPr="00022524">
        <w:t>The</w:t>
      </w:r>
      <w:r w:rsidRPr="00022524">
        <w:t xml:space="preserve"> analysis of the</w:t>
      </w:r>
      <w:r w:rsidR="0021599B" w:rsidRPr="00022524">
        <w:t xml:space="preserve"> range of the rhythm of delivery </w:t>
      </w:r>
      <w:r w:rsidRPr="00022524">
        <w:t xml:space="preserve">per output indicator showed that the range </w:t>
      </w:r>
      <w:r w:rsidR="0021599B" w:rsidRPr="00022524">
        <w:t>is significantly wider for example for common indicators 10 and 33, while the range is quite close for indicators 6, 9 and 28. There seem to evolve no clear patterns as of which type of indicators (expressed in terms of content of indicators, combination of funds, etc.) is determining the spread of rhythm.</w:t>
      </w:r>
    </w:p>
    <w:p w14:paraId="5560AA8E" w14:textId="77777777" w:rsidR="00E77B01" w:rsidRPr="00022524" w:rsidRDefault="005C1E76" w:rsidP="00096F14">
      <w:pPr>
        <w:pStyle w:val="Zwischenberschrift"/>
        <w:outlineLvl w:val="0"/>
      </w:pPr>
      <w:bookmarkStart w:id="152" w:name="_Toc432335146"/>
      <w:bookmarkStart w:id="153" w:name="_Toc432346837"/>
      <w:bookmarkStart w:id="154" w:name="_Toc432402007"/>
      <w:bookmarkStart w:id="155" w:name="_Toc432404507"/>
      <w:bookmarkStart w:id="156" w:name="_Toc432408018"/>
      <w:bookmarkStart w:id="157" w:name="_Toc432408811"/>
      <w:bookmarkStart w:id="158" w:name="_Toc432422525"/>
      <w:bookmarkStart w:id="159" w:name="_Toc433973112"/>
      <w:bookmarkEnd w:id="152"/>
      <w:bookmarkEnd w:id="153"/>
      <w:bookmarkEnd w:id="154"/>
      <w:bookmarkEnd w:id="155"/>
      <w:bookmarkEnd w:id="156"/>
      <w:bookmarkEnd w:id="157"/>
      <w:bookmarkEnd w:id="158"/>
      <w:r w:rsidRPr="00FC3C1B">
        <w:lastRenderedPageBreak/>
        <w:t>ESF common output indicators</w:t>
      </w:r>
    </w:p>
    <w:bookmarkEnd w:id="159"/>
    <w:p w14:paraId="06D22CCF" w14:textId="5FC5638E" w:rsidR="00370CD0" w:rsidRPr="00FC3C1B" w:rsidRDefault="00F34FF2" w:rsidP="00370CD0">
      <w:pPr>
        <w:pStyle w:val="Body"/>
        <w:keepNext/>
        <w:spacing w:after="120"/>
      </w:pPr>
      <w:r w:rsidRPr="00022524">
        <w:t>For ESF common output indicators, the following findings were made</w:t>
      </w:r>
      <w:r w:rsidR="00370CD0" w:rsidRPr="00FC3C1B">
        <w:t>:</w:t>
      </w:r>
    </w:p>
    <w:p w14:paraId="480DBEA4" w14:textId="77777777" w:rsidR="00370CD0" w:rsidRPr="00FC3C1B" w:rsidRDefault="00370CD0" w:rsidP="00370CD0">
      <w:pPr>
        <w:pStyle w:val="BulletPoint1"/>
      </w:pPr>
      <w:r w:rsidRPr="00FC3C1B">
        <w:t xml:space="preserve">For programmes funded from the combination of ERDF, ESF and YEI (M0) it is visible that the ESF common output indicators applied are expected to achieve a very high share of their target already in 2018. </w:t>
      </w:r>
    </w:p>
    <w:p w14:paraId="52577152" w14:textId="77777777" w:rsidR="00370CD0" w:rsidRPr="00FC3C1B" w:rsidRDefault="00370CD0" w:rsidP="00370CD0">
      <w:pPr>
        <w:pStyle w:val="BulletPoint1"/>
      </w:pPr>
      <w:r w:rsidRPr="00FC3C1B">
        <w:t>For ESF common indicators as available in the programmes funded from the combination of ERDF and ESF (M2)</w:t>
      </w:r>
      <w:r w:rsidRPr="00FC3C1B">
        <w:rPr>
          <w:bCs/>
        </w:rPr>
        <w:t>,</w:t>
      </w:r>
      <w:r w:rsidRPr="00FC3C1B">
        <w:t xml:space="preserve"> it is observable that again a high share of common output indicators is expected to meet high shares of targets already in 2018, although a certain variety</w:t>
      </w:r>
      <w:r w:rsidR="000B6A94" w:rsidRPr="00FC3C1B">
        <w:t xml:space="preserve"> between indicators</w:t>
      </w:r>
      <w:r w:rsidRPr="00FC3C1B">
        <w:t xml:space="preserve"> is visible</w:t>
      </w:r>
      <w:r w:rsidR="000B6A94" w:rsidRPr="00FC3C1B">
        <w:t>.</w:t>
      </w:r>
    </w:p>
    <w:p w14:paraId="7FA32529" w14:textId="77777777" w:rsidR="00370CD0" w:rsidRPr="00FC3C1B" w:rsidRDefault="00370CD0" w:rsidP="00370CD0">
      <w:pPr>
        <w:pStyle w:val="BulletPoint1"/>
      </w:pPr>
      <w:r w:rsidRPr="00FC3C1B">
        <w:t>The two ESF common indicators used by programmes funded by the combination of ERDF, CF, ESF and YEI (MA) have a fast uptake, being in contrast with the situation of ERDF common</w:t>
      </w:r>
      <w:r w:rsidR="00CF06A1" w:rsidRPr="00FC3C1B">
        <w:t xml:space="preserve"> indicators as described above.</w:t>
      </w:r>
    </w:p>
    <w:p w14:paraId="0730927A" w14:textId="5FEF905E" w:rsidR="00FB463D" w:rsidRPr="00022524" w:rsidRDefault="00FB463D" w:rsidP="00FB463D">
      <w:pPr>
        <w:pStyle w:val="Body"/>
      </w:pPr>
      <w:r w:rsidRPr="00022524">
        <w:t xml:space="preserve">Analysing the rhythm of delivery at the level of </w:t>
      </w:r>
      <w:proofErr w:type="spellStart"/>
      <w:r w:rsidR="00DA7557">
        <w:t>PAx</w:t>
      </w:r>
      <w:proofErr w:type="spellEnd"/>
      <w:r w:rsidRPr="00022524">
        <w:t xml:space="preserve"> (not differentiating between funds or combinations of funds), a number of indicators show a quite high share of target to be reached in 2018: Nearly 70% of </w:t>
      </w:r>
      <w:proofErr w:type="spellStart"/>
      <w:r w:rsidR="00DA7557">
        <w:t>PAx</w:t>
      </w:r>
      <w:proofErr w:type="spellEnd"/>
      <w:r w:rsidRPr="00022524">
        <w:t xml:space="preserve"> having identified Indicator 6 “Below 25 years of age” in their PF show a very high share of the target to be reached in 2018. </w:t>
      </w:r>
    </w:p>
    <w:p w14:paraId="0B415042" w14:textId="2971D259" w:rsidR="00FB463D" w:rsidRPr="00022524" w:rsidRDefault="00FB463D" w:rsidP="00FB463D">
      <w:pPr>
        <w:pStyle w:val="Body"/>
      </w:pPr>
      <w:r w:rsidRPr="00022524">
        <w:t>On the contrary, ESF common indicators 7 “Above 54 years of age” and 14 “Participants who live in a single adult household with dependent children” show a low share of the target to be reached in 2018</w:t>
      </w:r>
      <w:r w:rsidR="0080613D" w:rsidRPr="00022524">
        <w:t>.</w:t>
      </w:r>
    </w:p>
    <w:p w14:paraId="6E4D7355" w14:textId="048258DE" w:rsidR="00080E2A" w:rsidRPr="00022524" w:rsidRDefault="00080E2A" w:rsidP="00EF0A14">
      <w:pPr>
        <w:pStyle w:val="Figure"/>
      </w:pPr>
      <w:bookmarkStart w:id="160" w:name="_Toc448146055"/>
      <w:r w:rsidRPr="00022524">
        <w:t xml:space="preserve">Rhythm of delivery – ESF Common indicators, level of </w:t>
      </w:r>
      <w:proofErr w:type="spellStart"/>
      <w:r w:rsidR="00DA7557">
        <w:t>PAx</w:t>
      </w:r>
      <w:bookmarkEnd w:id="160"/>
      <w:proofErr w:type="spellEnd"/>
    </w:p>
    <w:p w14:paraId="2C4E7732" w14:textId="77777777" w:rsidR="00080E2A" w:rsidRPr="00022524" w:rsidRDefault="00080E2A" w:rsidP="00080E2A">
      <w:pPr>
        <w:pStyle w:val="Abbildung"/>
        <w:rPr>
          <w:lang w:val="en-GB"/>
        </w:rPr>
      </w:pPr>
      <w:r w:rsidRPr="00022524">
        <w:rPr>
          <w:lang w:val="en-GB" w:eastAsia="en-GB"/>
        </w:rPr>
        <w:drawing>
          <wp:inline distT="0" distB="0" distL="0" distR="0" wp14:anchorId="2A739087" wp14:editId="2E7C5FB7">
            <wp:extent cx="5760720" cy="3710940"/>
            <wp:effectExtent l="19050" t="0" r="0" b="0"/>
            <wp:docPr id="19"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47"/>
                    <a:srcRect/>
                    <a:stretch>
                      <a:fillRect/>
                    </a:stretch>
                  </pic:blipFill>
                  <pic:spPr bwMode="auto">
                    <a:xfrm>
                      <a:off x="0" y="0"/>
                      <a:ext cx="5760720" cy="3710940"/>
                    </a:xfrm>
                    <a:prstGeom prst="rect">
                      <a:avLst/>
                    </a:prstGeom>
                    <a:noFill/>
                    <a:ln w="9525">
                      <a:noFill/>
                      <a:miter lim="800000"/>
                      <a:headEnd/>
                      <a:tailEnd/>
                    </a:ln>
                  </pic:spPr>
                </pic:pic>
              </a:graphicData>
            </a:graphic>
          </wp:inline>
        </w:drawing>
      </w:r>
    </w:p>
    <w:p w14:paraId="593F819E" w14:textId="77777777" w:rsidR="00080E2A" w:rsidRPr="00022524" w:rsidRDefault="00080E2A" w:rsidP="00080E2A">
      <w:pPr>
        <w:pStyle w:val="Source"/>
      </w:pPr>
      <w:r w:rsidRPr="00022524">
        <w:t>Source: Database on performance indicators. 2015; I … low share of target to be reached in 2018 (0-20%), II … moderate share of target to be reached in 2018 (20.1-30%), III…high share of target to be reached in 2018 (30.1-40%), IV…very high share of target to be reached in 2018 (&gt;40%)</w:t>
      </w:r>
    </w:p>
    <w:p w14:paraId="0898CCDA" w14:textId="7D2EE615" w:rsidR="00914918" w:rsidRDefault="0063528F" w:rsidP="00080E2A">
      <w:pPr>
        <w:pStyle w:val="Body"/>
      </w:pPr>
      <w:r>
        <w:t>Summarising</w:t>
      </w:r>
      <w:r w:rsidR="0080613D" w:rsidRPr="00022524">
        <w:t>, the average milestone is 34% for all ESF common output indicators used in the performance frameworks, but notably for common ESF output indicator 3 the average milestone is very high; on the contrary, the average milestones for common indicator 7 is extremely low (5% of target covered by milestone).</w:t>
      </w:r>
      <w:r w:rsidR="00C56554" w:rsidRPr="00022524">
        <w:t xml:space="preserve"> The analysis of the range of milestones per common output indicators shows that the range is </w:t>
      </w:r>
      <w:r w:rsidR="00080E2A" w:rsidRPr="00022524">
        <w:t xml:space="preserve">of common output indicators 9, 12 and 17 is quite narrow, </w:t>
      </w:r>
      <w:proofErr w:type="gramStart"/>
      <w:r w:rsidR="00080E2A" w:rsidRPr="00022524">
        <w:t>Common</w:t>
      </w:r>
      <w:proofErr w:type="gramEnd"/>
      <w:r w:rsidR="00080E2A" w:rsidRPr="00022524">
        <w:t xml:space="preserve"> output indicator 10 shows a wide range of the rhythm of delivery. When looking at the rhythm of delivery for the different indicators the picture remains rather heterogeneous. There seem to evolve no clear patterns as of which type of indicators (expressed in terms of content of indicators etc.) is determining the spread of rhythm.</w:t>
      </w:r>
    </w:p>
    <w:p w14:paraId="1EC061BA" w14:textId="51B89D38" w:rsidR="00914918" w:rsidRDefault="0063528F" w:rsidP="00080E2A">
      <w:pPr>
        <w:pStyle w:val="Body"/>
      </w:pPr>
      <w:r>
        <w:lastRenderedPageBreak/>
        <w:t>Concluding, w</w:t>
      </w:r>
      <w:r w:rsidR="00914918">
        <w:t>hen analysing ERDF and ESF common indicators in the frame of the rhythm of delivery an average milestone of 25% to 34% was observed, with ESF output indicators showing a higher share of the target already reached in 2018.</w:t>
      </w:r>
      <w:r w:rsidR="00024093">
        <w:t xml:space="preserve"> </w:t>
      </w:r>
      <w:r w:rsidR="00914918">
        <w:t>For both funds a quite diverse picture across the common indicators is visible</w:t>
      </w:r>
      <w:r w:rsidR="00024093">
        <w:t xml:space="preserve"> for the rhythm of delivery</w:t>
      </w:r>
      <w:r w:rsidR="00914918">
        <w:t xml:space="preserve">. Also when analysing the range of milestones per common indicator, </w:t>
      </w:r>
      <w:r w:rsidR="00024093">
        <w:t>the picture remain quite heterogeneous and no clear pattern seems to evolve.</w:t>
      </w:r>
    </w:p>
    <w:p w14:paraId="0BC289A7" w14:textId="5381819F" w:rsidR="00370CD0" w:rsidRPr="00022524" w:rsidRDefault="00370CD0" w:rsidP="009F7864">
      <w:pPr>
        <w:pStyle w:val="Heading3"/>
        <w:rPr>
          <w:lang w:val="en-GB"/>
        </w:rPr>
      </w:pPr>
      <w:bookmarkStart w:id="161" w:name="_Toc429671083"/>
      <w:bookmarkStart w:id="162" w:name="_Toc432600884"/>
      <w:bookmarkStart w:id="163" w:name="_Toc433973113"/>
      <w:bookmarkStart w:id="164" w:name="_Toc448144115"/>
      <w:r w:rsidRPr="00022524">
        <w:rPr>
          <w:lang w:val="en-GB"/>
        </w:rPr>
        <w:t>Findings on financial indicators</w:t>
      </w:r>
      <w:bookmarkEnd w:id="150"/>
      <w:r w:rsidRPr="00022524">
        <w:rPr>
          <w:lang w:val="en-GB"/>
        </w:rPr>
        <w:t xml:space="preserve"> – level for milestones and rhythm of delivery</w:t>
      </w:r>
      <w:bookmarkEnd w:id="161"/>
      <w:bookmarkEnd w:id="162"/>
      <w:bookmarkEnd w:id="163"/>
      <w:bookmarkEnd w:id="164"/>
    </w:p>
    <w:p w14:paraId="412777A7" w14:textId="77777777" w:rsidR="00370CD0" w:rsidRPr="00022524" w:rsidRDefault="00370CD0" w:rsidP="00370CD0">
      <w:pPr>
        <w:pStyle w:val="Body"/>
      </w:pPr>
      <w:r w:rsidRPr="00022524">
        <w:t>Financial indicators – already identified as the second most important type of indicator for the programmes’ performance frameworks – are now analysed according to the rhythm of delivery, i.e. if by 2018 a low share of the target will be reached (category I, 0-20%), a moderate share (category II, 20.1-30%), a high share (category III, 30.1-40%) or a very high share of the target will be reached in 2018 (category IV, &gt;40%).</w:t>
      </w:r>
    </w:p>
    <w:p w14:paraId="22260D0C" w14:textId="77777777" w:rsidR="00370CD0" w:rsidRPr="00022524" w:rsidRDefault="00370CD0" w:rsidP="00370CD0">
      <w:pPr>
        <w:pStyle w:val="Body"/>
        <w:spacing w:after="120"/>
      </w:pPr>
      <w:r w:rsidRPr="00022524">
        <w:t>When summarising the financial indicators as included in IGJ programmes across the analysed programmes and EU Member States</w:t>
      </w:r>
      <w:r w:rsidRPr="00022524">
        <w:rPr>
          <w:bCs/>
        </w:rPr>
        <w:t>,</w:t>
      </w:r>
      <w:r w:rsidRPr="00022524">
        <w:t xml:space="preserve"> </w:t>
      </w:r>
    </w:p>
    <w:p w14:paraId="28CF54DC" w14:textId="77777777" w:rsidR="00370CD0" w:rsidRPr="00022524" w:rsidRDefault="00B71E58" w:rsidP="00370CD0">
      <w:pPr>
        <w:pStyle w:val="BulletPoint1"/>
      </w:pPr>
      <w:r w:rsidRPr="00022524">
        <w:t xml:space="preserve">approximately </w:t>
      </w:r>
      <w:r w:rsidR="00370CD0" w:rsidRPr="00022524">
        <w:t>29% of programmes and 21% of MS show financial indicators with a low share of the target to be reached in 2018, visible for example in Austria or Poland;</w:t>
      </w:r>
    </w:p>
    <w:p w14:paraId="34F74B0C" w14:textId="77777777" w:rsidR="00370CD0" w:rsidRPr="00022524" w:rsidRDefault="00370CD0" w:rsidP="00370CD0">
      <w:pPr>
        <w:pStyle w:val="BulletPoint1"/>
      </w:pPr>
      <w:r w:rsidRPr="00022524">
        <w:t>the majority of more than 55% programmes and MS show a moderate share of the target to be reached in 2018, such as for example Germany, Hungary or Lithuania;</w:t>
      </w:r>
    </w:p>
    <w:p w14:paraId="0E06DE02" w14:textId="77777777" w:rsidR="00370CD0" w:rsidRPr="00022524" w:rsidRDefault="00370CD0" w:rsidP="00370CD0">
      <w:pPr>
        <w:pStyle w:val="BulletPoint1"/>
      </w:pPr>
      <w:r w:rsidRPr="00022524">
        <w:t>around 10% of programmes and 14% of MS show a high share of target to be reached in 2018, for example Denmark or Finland; and</w:t>
      </w:r>
    </w:p>
    <w:p w14:paraId="387FB39E" w14:textId="1797F3A6" w:rsidR="00370CD0" w:rsidRPr="00022524" w:rsidRDefault="00370CD0" w:rsidP="00370CD0">
      <w:pPr>
        <w:pStyle w:val="BulletPoint1"/>
      </w:pPr>
      <w:proofErr w:type="gramStart"/>
      <w:r w:rsidRPr="00022524">
        <w:t>around</w:t>
      </w:r>
      <w:proofErr w:type="gramEnd"/>
      <w:r w:rsidRPr="00022524">
        <w:t xml:space="preserve"> 4% of programmes and 11% of MS show a very high share of the target already to be reached in 2018, covering Estonia and Cyprus.</w:t>
      </w:r>
      <w:r w:rsidR="00E97D04" w:rsidRPr="00022524">
        <w:t xml:space="preserve"> Generally, </w:t>
      </w:r>
      <w:proofErr w:type="spellStart"/>
      <w:r w:rsidR="00DA7557">
        <w:t>PAx</w:t>
      </w:r>
      <w:proofErr w:type="spellEnd"/>
      <w:r w:rsidR="00E97D04" w:rsidRPr="00022524">
        <w:t xml:space="preserve"> having financial indicators belonging to Category III and IV are expected to be committed to a lower risk of de-commitment due to the n+3 rule than the others.</w:t>
      </w:r>
    </w:p>
    <w:p w14:paraId="161A736B" w14:textId="77777777" w:rsidR="00370CD0" w:rsidRPr="00022524" w:rsidRDefault="00370CD0" w:rsidP="00370CD0">
      <w:pPr>
        <w:pStyle w:val="Body"/>
      </w:pPr>
      <w:r w:rsidRPr="00022524">
        <w:t>No specific findings are noticeable for the different funds or combination of funds of IGJ programmes</w:t>
      </w:r>
      <w:r w:rsidR="00CD76F5" w:rsidRPr="00022524">
        <w:t xml:space="preserve"> </w:t>
      </w:r>
      <w:r w:rsidRPr="00022524">
        <w:t>– financial indicators are expected to reach a moderate share of their target in 2018. Deviations are visible for ERDF programmes (high share of target already reached in 2018) and the programmes funded from ERDF, CF and ESF in combination (M3), for which financial indicators are expected to achieve a high share of target in 2018.</w:t>
      </w:r>
    </w:p>
    <w:p w14:paraId="0FCA7A22" w14:textId="77777777" w:rsidR="00370CD0" w:rsidRPr="00022524" w:rsidRDefault="00370CD0" w:rsidP="00370CD0">
      <w:pPr>
        <w:pStyle w:val="Body"/>
      </w:pPr>
      <w:r w:rsidRPr="00022524">
        <w:t>The same holds true for financial indicator per thematic category of IGJ programme</w:t>
      </w:r>
      <w:r w:rsidRPr="00022524">
        <w:rPr>
          <w:bCs/>
        </w:rPr>
        <w:t xml:space="preserve"> –</w:t>
      </w:r>
      <w:r w:rsidRPr="00022524">
        <w:t xml:space="preserve"> besides a rather low share of the target already reached in 2018 for transport programmes – no specific findings </w:t>
      </w:r>
      <w:r w:rsidR="00B71E58" w:rsidRPr="00022524">
        <w:t xml:space="preserve">are </w:t>
      </w:r>
      <w:r w:rsidRPr="00022524">
        <w:t>evident. The lower share of the target reached in the case of transport and infrastructure programmes is in line with the findings already discussed in previous chapters: transport and infrastructure projects, such as the construction of new roads and railroads, are usually finalised at the end of the programming period, which contributes to their late nature.</w:t>
      </w:r>
    </w:p>
    <w:p w14:paraId="65BC2EE9" w14:textId="77777777" w:rsidR="00E97D04" w:rsidRPr="00022524" w:rsidRDefault="00FC1A5A" w:rsidP="00E97D04">
      <w:pPr>
        <w:pStyle w:val="Body"/>
      </w:pPr>
      <w:r w:rsidRPr="00022524">
        <w:t>R</w:t>
      </w:r>
      <w:r w:rsidR="00E97D04" w:rsidRPr="00022524">
        <w:t>eviewing the share of the target to be reached by 2018 at the level of the priority axis, the following differences between thematic objectives can be identified:</w:t>
      </w:r>
    </w:p>
    <w:p w14:paraId="7F608233" w14:textId="77777777" w:rsidR="00E97D04" w:rsidRPr="00022524" w:rsidRDefault="00E97D04" w:rsidP="00E97D04">
      <w:pPr>
        <w:pStyle w:val="BulletPoint1"/>
      </w:pPr>
      <w:r w:rsidRPr="00022524">
        <w:t>Financial indicators across all thematic objectives show mainly low to moderate shares of the target to be reached in 2018, as for all TOs the shares of category I and II cover 70% to 80%.</w:t>
      </w:r>
    </w:p>
    <w:p w14:paraId="346FCB66" w14:textId="77777777" w:rsidR="00E97D04" w:rsidRPr="00022524" w:rsidRDefault="00E97D04" w:rsidP="00E97D04">
      <w:pPr>
        <w:pStyle w:val="BulletPoint1"/>
      </w:pPr>
      <w:r w:rsidRPr="00022524">
        <w:t xml:space="preserve">An exception is the allocation for some outermost regions as e.g. in Spanish, French and Portuguese programmes not referring to any thematic objective (“12.) </w:t>
      </w:r>
      <w:proofErr w:type="spellStart"/>
      <w:r w:rsidRPr="00022524">
        <w:t>n.a</w:t>
      </w:r>
      <w:proofErr w:type="spellEnd"/>
      <w:r w:rsidRPr="00022524">
        <w:t>.” in the figure below) as these show slightly faster uptake.</w:t>
      </w:r>
    </w:p>
    <w:p w14:paraId="3FDADF0C" w14:textId="0F3526DD" w:rsidR="00E97D04" w:rsidRPr="00022524" w:rsidRDefault="00E97D04" w:rsidP="00E97D04">
      <w:pPr>
        <w:pStyle w:val="BulletPoint1"/>
      </w:pPr>
      <w:r w:rsidRPr="00022524">
        <w:t xml:space="preserve">Financial indicators of 12% of </w:t>
      </w:r>
      <w:proofErr w:type="spellStart"/>
      <w:r w:rsidR="00DA7557">
        <w:t>PAx</w:t>
      </w:r>
      <w:proofErr w:type="spellEnd"/>
      <w:r w:rsidRPr="00022524">
        <w:t xml:space="preserve"> under TO8 “Promoting sustainable and quality employment and supporting labour mobility” show a very high share of the target already reached in 2018. </w:t>
      </w:r>
    </w:p>
    <w:p w14:paraId="09849DF6" w14:textId="3B6AE738" w:rsidR="00E77B01" w:rsidRPr="00022524" w:rsidRDefault="00E77B01" w:rsidP="00EF0A14">
      <w:pPr>
        <w:pStyle w:val="Figure"/>
      </w:pPr>
      <w:bookmarkStart w:id="165" w:name="_Toc314943849"/>
      <w:bookmarkStart w:id="166" w:name="_Toc448146056"/>
      <w:r w:rsidRPr="00022524">
        <w:lastRenderedPageBreak/>
        <w:t xml:space="preserve">Share of target to be reached in 2018 at the level of </w:t>
      </w:r>
      <w:proofErr w:type="spellStart"/>
      <w:r w:rsidR="00DA7557">
        <w:t>PAx</w:t>
      </w:r>
      <w:proofErr w:type="spellEnd"/>
      <w:r w:rsidRPr="00022524">
        <w:t>, across thematic objectives (IGJ programmes)</w:t>
      </w:r>
      <w:bookmarkEnd w:id="165"/>
      <w:bookmarkEnd w:id="166"/>
    </w:p>
    <w:p w14:paraId="3FAC8FCE" w14:textId="77777777" w:rsidR="00E77B01" w:rsidRPr="00022524" w:rsidRDefault="00E77B01" w:rsidP="00E77B01">
      <w:pPr>
        <w:pStyle w:val="Abbildung"/>
        <w:rPr>
          <w:lang w:val="en-GB"/>
        </w:rPr>
      </w:pPr>
      <w:r w:rsidRPr="00022524">
        <w:rPr>
          <w:lang w:val="en-GB" w:eastAsia="en-GB"/>
        </w:rPr>
        <w:drawing>
          <wp:inline distT="0" distB="0" distL="0" distR="0" wp14:anchorId="093A621F" wp14:editId="5C957688">
            <wp:extent cx="5760720" cy="3710940"/>
            <wp:effectExtent l="19050" t="0" r="0" b="0"/>
            <wp:docPr id="59"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4"/>
                    <pic:cNvPicPr>
                      <a:picLocks noChangeAspect="1" noChangeArrowheads="1"/>
                    </pic:cNvPicPr>
                  </pic:nvPicPr>
                  <pic:blipFill>
                    <a:blip r:embed="rId48"/>
                    <a:srcRect/>
                    <a:stretch>
                      <a:fillRect/>
                    </a:stretch>
                  </pic:blipFill>
                  <pic:spPr bwMode="auto">
                    <a:xfrm>
                      <a:off x="0" y="0"/>
                      <a:ext cx="5760720" cy="3710940"/>
                    </a:xfrm>
                    <a:prstGeom prst="rect">
                      <a:avLst/>
                    </a:prstGeom>
                    <a:noFill/>
                    <a:ln w="9525">
                      <a:noFill/>
                      <a:miter lim="800000"/>
                      <a:headEnd/>
                      <a:tailEnd/>
                    </a:ln>
                  </pic:spPr>
                </pic:pic>
              </a:graphicData>
            </a:graphic>
          </wp:inline>
        </w:drawing>
      </w:r>
    </w:p>
    <w:p w14:paraId="5A159678" w14:textId="77777777" w:rsidR="00E77B01" w:rsidRPr="00022524" w:rsidRDefault="00E77B01" w:rsidP="00E77B01">
      <w:pPr>
        <w:pStyle w:val="Source"/>
      </w:pPr>
      <w:r w:rsidRPr="00022524">
        <w:t>Source: Database on performance indicators. 2015; I … low share of target to be reached in 2018 (0-20%), II … moderate share of target to be reached in 2018 (20.1-30%), III…high share of target to be reached in 2018 (30.1-40%), IV…very high share of target to be reached in 2018 (&gt;40%)</w:t>
      </w:r>
    </w:p>
    <w:p w14:paraId="4AABA4C7" w14:textId="77777777" w:rsidR="00370CD0" w:rsidRPr="00022524" w:rsidRDefault="00370CD0" w:rsidP="00370CD0">
      <w:pPr>
        <w:pStyle w:val="Body"/>
      </w:pPr>
      <w:r w:rsidRPr="00022524">
        <w:t>All IGJ programmes focusing on different categories of regions show similar progress in reaching the targets of their financial indicators, although mono-region programme</w:t>
      </w:r>
      <w:r w:rsidR="00B71E58" w:rsidRPr="00022524">
        <w:t>s</w:t>
      </w:r>
      <w:r w:rsidRPr="00022524">
        <w:t xml:space="preserve"> show a slightly faster uptake than multi-region ones. </w:t>
      </w:r>
    </w:p>
    <w:p w14:paraId="35DD42D5" w14:textId="77777777" w:rsidR="00370CD0" w:rsidRPr="00022524" w:rsidRDefault="00370CD0" w:rsidP="00370CD0">
      <w:pPr>
        <w:pStyle w:val="Body"/>
        <w:spacing w:after="360"/>
      </w:pPr>
      <w:r w:rsidRPr="00022524">
        <w:t xml:space="preserve">Financial indicators as identified for ETC programmes are </w:t>
      </w:r>
      <w:r w:rsidR="00B71E58" w:rsidRPr="00022524">
        <w:t xml:space="preserve">usually </w:t>
      </w:r>
      <w:r w:rsidRPr="00022524">
        <w:t>expected to meet just a low share of their total target in 2018. Only 9% of ETC programmes (7 programmes in absolute figures) show a moderate share of financial indicators’ target already to be reached in 2018 and just one programme is expected to have a high share of its financial indicators’ target already reached in 2018. The findings of the analysis neither show any differences across funding sources nor for different types of categori</w:t>
      </w:r>
      <w:r w:rsidR="000A2328" w:rsidRPr="00022524">
        <w:t>es supported by the programmes.</w:t>
      </w:r>
    </w:p>
    <w:tbl>
      <w:tblPr>
        <w:tblStyle w:val="TableGrid"/>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6FA"/>
        <w:tblLayout w:type="fixed"/>
        <w:tblCellMar>
          <w:left w:w="57" w:type="dxa"/>
          <w:right w:w="57" w:type="dxa"/>
        </w:tblCellMar>
        <w:tblLook w:val="04A0" w:firstRow="1" w:lastRow="0" w:firstColumn="1" w:lastColumn="0" w:noHBand="0" w:noVBand="1"/>
      </w:tblPr>
      <w:tblGrid>
        <w:gridCol w:w="9211"/>
      </w:tblGrid>
      <w:tr w:rsidR="00E97D04" w:rsidRPr="00767075" w14:paraId="74BE8096" w14:textId="77777777" w:rsidTr="00D25A63">
        <w:trPr>
          <w:cnfStyle w:val="100000000000" w:firstRow="1" w:lastRow="0" w:firstColumn="0" w:lastColumn="0" w:oddVBand="0" w:evenVBand="0" w:oddHBand="0" w:evenHBand="0" w:firstRowFirstColumn="0" w:firstRowLastColumn="0" w:lastRowFirstColumn="0" w:lastRowLastColumn="0"/>
        </w:trPr>
        <w:tc>
          <w:tcPr>
            <w:tcW w:w="9211" w:type="dxa"/>
            <w:shd w:val="clear" w:color="auto" w:fill="E6E6FA"/>
          </w:tcPr>
          <w:p w14:paraId="0459A55F" w14:textId="24617F6B" w:rsidR="00E71525" w:rsidRPr="000B2281" w:rsidRDefault="00E71525" w:rsidP="00E71525">
            <w:pPr>
              <w:pStyle w:val="Body"/>
              <w:keepNext/>
              <w:spacing w:before="120" w:after="60"/>
              <w:jc w:val="left"/>
              <w:rPr>
                <w:b/>
                <w:color w:val="auto"/>
                <w:szCs w:val="18"/>
              </w:rPr>
            </w:pPr>
            <w:r w:rsidRPr="00022524">
              <w:rPr>
                <w:b/>
                <w:color w:val="004696"/>
                <w:szCs w:val="18"/>
              </w:rPr>
              <w:lastRenderedPageBreak/>
              <w:t xml:space="preserve">Assessment if indicators in the PF </w:t>
            </w:r>
            <w:r w:rsidR="00E904F6">
              <w:rPr>
                <w:b/>
                <w:color w:val="004696"/>
                <w:szCs w:val="18"/>
              </w:rPr>
              <w:t>correspond to more than 50</w:t>
            </w:r>
            <w:r w:rsidRPr="00022524">
              <w:rPr>
                <w:b/>
                <w:color w:val="004696"/>
                <w:szCs w:val="18"/>
              </w:rPr>
              <w:t xml:space="preserve">% of the allocation of the </w:t>
            </w:r>
            <w:r w:rsidRPr="000B2281">
              <w:rPr>
                <w:b/>
                <w:color w:val="004696"/>
                <w:szCs w:val="18"/>
              </w:rPr>
              <w:t>priority axis</w:t>
            </w:r>
          </w:p>
          <w:p w14:paraId="4C7DFE59" w14:textId="77777777" w:rsidR="000C7785" w:rsidRPr="00022524" w:rsidRDefault="000C7785" w:rsidP="000C7785">
            <w:pPr>
              <w:pStyle w:val="Body"/>
              <w:spacing w:before="60" w:after="60"/>
              <w:rPr>
                <w:color w:val="auto"/>
                <w:szCs w:val="18"/>
              </w:rPr>
            </w:pPr>
            <w:r w:rsidRPr="00022524">
              <w:rPr>
                <w:color w:val="auto"/>
                <w:szCs w:val="18"/>
              </w:rPr>
              <w:t xml:space="preserve">In order to assess if the output indicators and key implementation steps set out in the performance frameworks correspond to more than 50% of the financial allocation to the priority axis (see Commission Implementing Regulation (EU) No 215/2014, Article 4 (b)), the methodologies as prepared by the programme authorities were reviewed by the project team. </w:t>
            </w:r>
          </w:p>
          <w:p w14:paraId="1893743A" w14:textId="77777777" w:rsidR="000C7785" w:rsidRPr="00022524" w:rsidRDefault="000C7785" w:rsidP="000C7785">
            <w:pPr>
              <w:pStyle w:val="Body"/>
              <w:spacing w:before="60" w:after="60"/>
              <w:rPr>
                <w:color w:val="auto"/>
                <w:szCs w:val="18"/>
              </w:rPr>
            </w:pPr>
            <w:r w:rsidRPr="00022524">
              <w:rPr>
                <w:color w:val="auto"/>
                <w:szCs w:val="18"/>
              </w:rPr>
              <w:t xml:space="preserve">The project team was provided with 120 methodologies in total, covering all MS and representing additional information for nearly 60% of all IGJ programmes. </w:t>
            </w:r>
          </w:p>
          <w:p w14:paraId="6BDE8B04" w14:textId="77777777" w:rsidR="000C7785" w:rsidRPr="00022524" w:rsidRDefault="000C7785" w:rsidP="000C7785">
            <w:pPr>
              <w:pStyle w:val="Body"/>
              <w:spacing w:before="60" w:after="60"/>
              <w:rPr>
                <w:color w:val="auto"/>
                <w:szCs w:val="18"/>
              </w:rPr>
            </w:pPr>
            <w:r w:rsidRPr="00022524">
              <w:rPr>
                <w:color w:val="auto"/>
                <w:szCs w:val="18"/>
              </w:rPr>
              <w:t xml:space="preserve">Further, these methodologies correspond to 764 </w:t>
            </w:r>
            <w:proofErr w:type="spellStart"/>
            <w:r w:rsidRPr="00022524">
              <w:rPr>
                <w:color w:val="auto"/>
                <w:szCs w:val="18"/>
              </w:rPr>
              <w:t>PAx</w:t>
            </w:r>
            <w:proofErr w:type="spellEnd"/>
            <w:r w:rsidRPr="00022524">
              <w:rPr>
                <w:color w:val="auto"/>
                <w:szCs w:val="18"/>
              </w:rPr>
              <w:t xml:space="preserve"> reviewed under this study (no methodologies available for 87 IGJ programmes, i.e. 40% of all programmes), some of which referring to programmes that had not yet been adopted. </w:t>
            </w:r>
          </w:p>
          <w:p w14:paraId="53881043" w14:textId="77777777" w:rsidR="000C7785" w:rsidRPr="00022524" w:rsidRDefault="000C7785" w:rsidP="000C7785">
            <w:pPr>
              <w:pStyle w:val="Body"/>
              <w:spacing w:before="60" w:after="60"/>
              <w:rPr>
                <w:color w:val="auto"/>
                <w:szCs w:val="18"/>
              </w:rPr>
            </w:pPr>
            <w:r w:rsidRPr="00022524">
              <w:rPr>
                <w:color w:val="auto"/>
                <w:szCs w:val="18"/>
              </w:rPr>
              <w:t>Additionally, for Spain, a centrally defined methodology for all programmes was available (methodology not available at the level of the single programme).</w:t>
            </w:r>
          </w:p>
          <w:p w14:paraId="25E4C544" w14:textId="77777777" w:rsidR="000C7785" w:rsidRPr="00022524" w:rsidRDefault="000C7785" w:rsidP="000C7785">
            <w:pPr>
              <w:pStyle w:val="Body"/>
              <w:spacing w:before="60" w:after="60"/>
              <w:rPr>
                <w:color w:val="auto"/>
                <w:szCs w:val="18"/>
              </w:rPr>
            </w:pPr>
            <w:r>
              <w:rPr>
                <w:color w:val="auto"/>
                <w:szCs w:val="18"/>
              </w:rPr>
              <w:t>T</w:t>
            </w:r>
            <w:r w:rsidRPr="00022524">
              <w:rPr>
                <w:color w:val="auto"/>
                <w:szCs w:val="18"/>
              </w:rPr>
              <w:t xml:space="preserve">he majority of </w:t>
            </w:r>
            <w:proofErr w:type="spellStart"/>
            <w:r w:rsidRPr="00022524">
              <w:rPr>
                <w:color w:val="auto"/>
                <w:szCs w:val="18"/>
              </w:rPr>
              <w:t>PAx</w:t>
            </w:r>
            <w:proofErr w:type="spellEnd"/>
            <w:r w:rsidRPr="00022524">
              <w:rPr>
                <w:color w:val="auto"/>
                <w:szCs w:val="18"/>
              </w:rPr>
              <w:t xml:space="preserve"> are in line with the requirement of output indicators and key implementation steps corresponding to more than 50% of the financial allocation to the </w:t>
            </w:r>
            <w:proofErr w:type="spellStart"/>
            <w:r w:rsidRPr="00022524">
              <w:rPr>
                <w:color w:val="auto"/>
                <w:szCs w:val="18"/>
              </w:rPr>
              <w:t>PAx</w:t>
            </w:r>
            <w:proofErr w:type="spellEnd"/>
            <w:r w:rsidRPr="00022524">
              <w:rPr>
                <w:color w:val="auto"/>
                <w:szCs w:val="18"/>
              </w:rPr>
              <w:t xml:space="preserve">. The review shows the following preliminary findings at the level of the </w:t>
            </w:r>
            <w:proofErr w:type="spellStart"/>
            <w:r w:rsidRPr="00022524">
              <w:rPr>
                <w:color w:val="auto"/>
                <w:szCs w:val="18"/>
              </w:rPr>
              <w:t>PAx</w:t>
            </w:r>
            <w:proofErr w:type="spellEnd"/>
            <w:r w:rsidRPr="00022524">
              <w:rPr>
                <w:color w:val="auto"/>
                <w:szCs w:val="18"/>
              </w:rPr>
              <w:t>:</w:t>
            </w:r>
          </w:p>
          <w:p w14:paraId="54707CE5" w14:textId="77777777" w:rsidR="000C7785" w:rsidRPr="00022524" w:rsidRDefault="000C7785" w:rsidP="000C7785">
            <w:pPr>
              <w:pStyle w:val="BulletPoint1"/>
              <w:spacing w:after="0"/>
              <w:ind w:left="426"/>
              <w:rPr>
                <w:color w:val="auto"/>
              </w:rPr>
            </w:pPr>
            <w:r w:rsidRPr="00022524">
              <w:rPr>
                <w:color w:val="auto"/>
              </w:rPr>
              <w:t xml:space="preserve">For the majority </w:t>
            </w:r>
            <w:r>
              <w:rPr>
                <w:color w:val="auto"/>
              </w:rPr>
              <w:t>(90.7</w:t>
            </w:r>
            <w:r w:rsidRPr="00022524">
              <w:rPr>
                <w:color w:val="auto"/>
              </w:rPr>
              <w:t>%</w:t>
            </w:r>
            <w:r>
              <w:rPr>
                <w:color w:val="auto"/>
              </w:rPr>
              <w:t>)</w:t>
            </w:r>
            <w:r w:rsidRPr="00022524">
              <w:rPr>
                <w:color w:val="auto"/>
              </w:rPr>
              <w:t xml:space="preserve"> of </w:t>
            </w:r>
            <w:proofErr w:type="spellStart"/>
            <w:r w:rsidRPr="00022524">
              <w:rPr>
                <w:color w:val="auto"/>
              </w:rPr>
              <w:t>PAx</w:t>
            </w:r>
            <w:proofErr w:type="spellEnd"/>
            <w:r w:rsidRPr="00022524">
              <w:rPr>
                <w:color w:val="auto"/>
              </w:rPr>
              <w:t xml:space="preserve">, the PF output indicators or key implementation steps correspond to more than 50% of the allocation to the </w:t>
            </w:r>
            <w:proofErr w:type="spellStart"/>
            <w:r w:rsidRPr="00022524">
              <w:rPr>
                <w:color w:val="auto"/>
              </w:rPr>
              <w:t>PAx</w:t>
            </w:r>
            <w:proofErr w:type="spellEnd"/>
            <w:r w:rsidRPr="00022524">
              <w:rPr>
                <w:color w:val="auto"/>
              </w:rPr>
              <w:t xml:space="preserve">: </w:t>
            </w:r>
          </w:p>
          <w:p w14:paraId="7A744A0F" w14:textId="77777777" w:rsidR="000C7785" w:rsidRPr="00022524" w:rsidRDefault="000C7785" w:rsidP="000C7785">
            <w:pPr>
              <w:pStyle w:val="BulletPoint2"/>
              <w:spacing w:after="0"/>
              <w:rPr>
                <w:color w:val="auto"/>
              </w:rPr>
            </w:pPr>
            <w:r w:rsidRPr="00022524">
              <w:rPr>
                <w:color w:val="auto"/>
              </w:rPr>
              <w:t xml:space="preserve">For </w:t>
            </w:r>
            <w:r>
              <w:rPr>
                <w:color w:val="auto"/>
              </w:rPr>
              <w:t>16.9</w:t>
            </w:r>
            <w:r w:rsidRPr="00022524">
              <w:rPr>
                <w:color w:val="auto"/>
              </w:rPr>
              <w:t xml:space="preserve">% of all </w:t>
            </w:r>
            <w:proofErr w:type="spellStart"/>
            <w:r w:rsidRPr="00022524">
              <w:rPr>
                <w:color w:val="auto"/>
              </w:rPr>
              <w:t>PAx</w:t>
            </w:r>
            <w:proofErr w:type="spellEnd"/>
            <w:r w:rsidRPr="00022524">
              <w:rPr>
                <w:color w:val="auto"/>
              </w:rPr>
              <w:t xml:space="preserve"> (</w:t>
            </w:r>
            <w:r>
              <w:rPr>
                <w:color w:val="auto"/>
              </w:rPr>
              <w:t>129</w:t>
            </w:r>
            <w:r w:rsidRPr="00022524">
              <w:rPr>
                <w:color w:val="auto"/>
              </w:rPr>
              <w:t xml:space="preserve"> IGJ </w:t>
            </w:r>
            <w:proofErr w:type="spellStart"/>
            <w:r w:rsidRPr="00022524">
              <w:rPr>
                <w:color w:val="auto"/>
              </w:rPr>
              <w:t>PAx</w:t>
            </w:r>
            <w:proofErr w:type="spellEnd"/>
            <w:r w:rsidRPr="00022524">
              <w:rPr>
                <w:color w:val="auto"/>
              </w:rPr>
              <w:t xml:space="preserve"> in absolute figures) it was just indicated that the indicators refer to more than 50% of allocations (no definite percentage value indicated). Mainly in Luxembourg, Latvia, Malta, Romania and Slovenia it was indicated that the indicators refer to more than 50%, although no definite share was given or could not be clearly identified from the information available by the project team.</w:t>
            </w:r>
          </w:p>
          <w:p w14:paraId="5A4A1EBA" w14:textId="77777777" w:rsidR="000C7785" w:rsidRPr="00022524" w:rsidRDefault="000C7785" w:rsidP="000C7785">
            <w:pPr>
              <w:pStyle w:val="BulletPoint2"/>
              <w:spacing w:after="0"/>
              <w:rPr>
                <w:color w:val="auto"/>
              </w:rPr>
            </w:pPr>
            <w:r w:rsidRPr="00022524">
              <w:rPr>
                <w:color w:val="auto"/>
              </w:rPr>
              <w:t xml:space="preserve">For </w:t>
            </w:r>
            <w:r>
              <w:rPr>
                <w:color w:val="auto"/>
              </w:rPr>
              <w:t>73.8</w:t>
            </w:r>
            <w:r w:rsidRPr="00022524">
              <w:rPr>
                <w:color w:val="auto"/>
              </w:rPr>
              <w:t>% (</w:t>
            </w:r>
            <w:r>
              <w:rPr>
                <w:color w:val="auto"/>
              </w:rPr>
              <w:t>564</w:t>
            </w:r>
            <w:r w:rsidRPr="00022524">
              <w:rPr>
                <w:color w:val="auto"/>
              </w:rPr>
              <w:t xml:space="preserve"> IGJ </w:t>
            </w:r>
            <w:proofErr w:type="spellStart"/>
            <w:r w:rsidRPr="00022524">
              <w:rPr>
                <w:color w:val="auto"/>
              </w:rPr>
              <w:t>PAx</w:t>
            </w:r>
            <w:proofErr w:type="spellEnd"/>
            <w:r w:rsidRPr="00022524">
              <w:rPr>
                <w:color w:val="auto"/>
              </w:rPr>
              <w:t xml:space="preserve"> in absolute figures), the definite percentage was indicated, ranging between 50.1 and 100% of the financial allocation of each </w:t>
            </w:r>
            <w:proofErr w:type="spellStart"/>
            <w:r w:rsidRPr="00022524">
              <w:rPr>
                <w:color w:val="auto"/>
              </w:rPr>
              <w:t>PAx</w:t>
            </w:r>
            <w:proofErr w:type="spellEnd"/>
            <w:r w:rsidRPr="00022524">
              <w:rPr>
                <w:color w:val="auto"/>
              </w:rPr>
              <w:t xml:space="preserve">. Especially in Germany, Greece and Poland the majority of </w:t>
            </w:r>
            <w:proofErr w:type="spellStart"/>
            <w:r w:rsidRPr="00022524">
              <w:rPr>
                <w:color w:val="auto"/>
              </w:rPr>
              <w:t>PAx</w:t>
            </w:r>
            <w:proofErr w:type="spellEnd"/>
            <w:r w:rsidRPr="00022524">
              <w:rPr>
                <w:color w:val="auto"/>
              </w:rPr>
              <w:t xml:space="preserve"> has clearly identified the financial allocation to which the PF output indicators and key implementation steps respond to (definite values): in all three MS, for approximately 90% of all </w:t>
            </w:r>
            <w:proofErr w:type="spellStart"/>
            <w:r w:rsidRPr="00022524">
              <w:rPr>
                <w:color w:val="auto"/>
              </w:rPr>
              <w:t>PAx</w:t>
            </w:r>
            <w:proofErr w:type="spellEnd"/>
            <w:r w:rsidRPr="00022524">
              <w:rPr>
                <w:color w:val="auto"/>
              </w:rPr>
              <w:t>, the indicators in the PF are representative of more than 50% of the allocation of the priority axis.</w:t>
            </w:r>
          </w:p>
          <w:p w14:paraId="6889BA62" w14:textId="77777777" w:rsidR="000C7785" w:rsidRPr="00022524" w:rsidRDefault="000C7785" w:rsidP="000C7785">
            <w:pPr>
              <w:pStyle w:val="BulletPoint1"/>
              <w:ind w:left="426"/>
              <w:rPr>
                <w:color w:val="auto"/>
              </w:rPr>
            </w:pPr>
            <w:r w:rsidRPr="00022524">
              <w:rPr>
                <w:color w:val="auto"/>
              </w:rPr>
              <w:t xml:space="preserve">For 0.5% of all </w:t>
            </w:r>
            <w:proofErr w:type="spellStart"/>
            <w:r w:rsidRPr="00022524">
              <w:rPr>
                <w:color w:val="auto"/>
              </w:rPr>
              <w:t>PAx</w:t>
            </w:r>
            <w:proofErr w:type="spellEnd"/>
            <w:r w:rsidRPr="00022524">
              <w:rPr>
                <w:color w:val="auto"/>
              </w:rPr>
              <w:t xml:space="preserve"> (4 </w:t>
            </w:r>
            <w:proofErr w:type="spellStart"/>
            <w:r w:rsidRPr="00022524">
              <w:rPr>
                <w:color w:val="auto"/>
              </w:rPr>
              <w:t>PAx</w:t>
            </w:r>
            <w:proofErr w:type="spellEnd"/>
            <w:r w:rsidRPr="00022524">
              <w:rPr>
                <w:color w:val="auto"/>
              </w:rPr>
              <w:t xml:space="preserve"> in absolute figures) the percentage value identified in the methodology ranges slightly below or exactly up to 50% of total allocation, but does not correspond to more than 50% of the allocation of the </w:t>
            </w:r>
            <w:proofErr w:type="spellStart"/>
            <w:r w:rsidRPr="00022524">
              <w:rPr>
                <w:color w:val="auto"/>
              </w:rPr>
              <w:t>PAx</w:t>
            </w:r>
            <w:proofErr w:type="spellEnd"/>
            <w:r w:rsidRPr="00022524">
              <w:rPr>
                <w:color w:val="auto"/>
              </w:rPr>
              <w:t xml:space="preserve">. Those programmes which indicators of the PF correspond to a lower share than 50% of the financial allocation to the priority axis can be found in Bulgaria (PF of one </w:t>
            </w:r>
            <w:proofErr w:type="spellStart"/>
            <w:r w:rsidRPr="00022524">
              <w:rPr>
                <w:color w:val="auto"/>
              </w:rPr>
              <w:t>PAx</w:t>
            </w:r>
            <w:proofErr w:type="spellEnd"/>
            <w:r w:rsidRPr="00022524">
              <w:rPr>
                <w:color w:val="auto"/>
              </w:rPr>
              <w:t xml:space="preserve"> of OP 2014BG16RFOP001 “Regions in Growth” is representative for exactly 50% of the allocation) and France (3 programmes</w:t>
            </w:r>
            <w:r w:rsidRPr="00022524">
              <w:rPr>
                <w:rStyle w:val="FootnoteReference"/>
                <w:color w:val="auto"/>
              </w:rPr>
              <w:footnoteReference w:id="37"/>
            </w:r>
            <w:r w:rsidRPr="00022524">
              <w:rPr>
                <w:color w:val="auto"/>
              </w:rPr>
              <w:t xml:space="preserve">, 1 </w:t>
            </w:r>
            <w:proofErr w:type="spellStart"/>
            <w:r w:rsidRPr="00022524">
              <w:rPr>
                <w:color w:val="auto"/>
              </w:rPr>
              <w:t>PAx</w:t>
            </w:r>
            <w:proofErr w:type="spellEnd"/>
            <w:r w:rsidRPr="00022524">
              <w:rPr>
                <w:color w:val="auto"/>
              </w:rPr>
              <w:t xml:space="preserve"> each, for two of them the PF is representative for exactly 50% of the allocation). </w:t>
            </w:r>
          </w:p>
          <w:p w14:paraId="06C02243" w14:textId="77777777" w:rsidR="000C7785" w:rsidRPr="00022524" w:rsidRDefault="000C7785" w:rsidP="000C7785">
            <w:pPr>
              <w:pStyle w:val="BulletPoint1"/>
              <w:spacing w:after="60"/>
              <w:ind w:left="426"/>
              <w:rPr>
                <w:color w:val="auto"/>
              </w:rPr>
            </w:pPr>
            <w:r w:rsidRPr="00022524">
              <w:rPr>
                <w:color w:val="auto"/>
              </w:rPr>
              <w:t xml:space="preserve">No </w:t>
            </w:r>
            <w:r>
              <w:rPr>
                <w:color w:val="auto"/>
              </w:rPr>
              <w:t xml:space="preserve">or unclear </w:t>
            </w:r>
            <w:r w:rsidRPr="00022524">
              <w:rPr>
                <w:color w:val="auto"/>
              </w:rPr>
              <w:t xml:space="preserve">information on the PF indicators and their correspondence to the financial allocation is available for more than </w:t>
            </w:r>
            <w:r>
              <w:rPr>
                <w:color w:val="auto"/>
              </w:rPr>
              <w:t>8.8</w:t>
            </w:r>
            <w:r w:rsidRPr="00022524">
              <w:rPr>
                <w:color w:val="auto"/>
              </w:rPr>
              <w:t xml:space="preserve">% of all </w:t>
            </w:r>
            <w:proofErr w:type="spellStart"/>
            <w:r w:rsidRPr="00022524">
              <w:rPr>
                <w:color w:val="auto"/>
              </w:rPr>
              <w:t>PAx</w:t>
            </w:r>
            <w:proofErr w:type="spellEnd"/>
            <w:r w:rsidRPr="00022524">
              <w:rPr>
                <w:color w:val="auto"/>
              </w:rPr>
              <w:t xml:space="preserve"> (</w:t>
            </w:r>
            <w:r>
              <w:rPr>
                <w:color w:val="auto"/>
              </w:rPr>
              <w:t>67</w:t>
            </w:r>
            <w:r w:rsidRPr="00022524">
              <w:rPr>
                <w:color w:val="auto"/>
              </w:rPr>
              <w:t xml:space="preserve"> IGJ </w:t>
            </w:r>
            <w:proofErr w:type="spellStart"/>
            <w:r w:rsidRPr="00022524">
              <w:rPr>
                <w:color w:val="auto"/>
              </w:rPr>
              <w:t>PAx</w:t>
            </w:r>
            <w:proofErr w:type="spellEnd"/>
            <w:r w:rsidRPr="00022524">
              <w:rPr>
                <w:color w:val="auto"/>
              </w:rPr>
              <w:t xml:space="preserve"> in absolute figures). </w:t>
            </w:r>
          </w:p>
          <w:p w14:paraId="4C0847FD" w14:textId="13EF23F5" w:rsidR="005759A1" w:rsidRPr="00022524" w:rsidRDefault="000C7785" w:rsidP="000C7785">
            <w:pPr>
              <w:pStyle w:val="Body"/>
              <w:spacing w:before="60" w:after="60"/>
              <w:rPr>
                <w:color w:val="auto"/>
                <w:szCs w:val="18"/>
              </w:rPr>
            </w:pPr>
            <w:r w:rsidRPr="000C7785">
              <w:rPr>
                <w:color w:val="auto"/>
                <w:szCs w:val="18"/>
              </w:rPr>
              <w:t xml:space="preserve">When considering the calculation method (if indicated in the methodologies) applied by the various programmes, it gets visible that a.) </w:t>
            </w:r>
            <w:proofErr w:type="gramStart"/>
            <w:r w:rsidRPr="000C7785">
              <w:rPr>
                <w:color w:val="auto"/>
                <w:szCs w:val="18"/>
              </w:rPr>
              <w:t>past</w:t>
            </w:r>
            <w:proofErr w:type="gramEnd"/>
            <w:r w:rsidRPr="000C7785">
              <w:rPr>
                <w:color w:val="auto"/>
                <w:szCs w:val="18"/>
              </w:rPr>
              <w:t xml:space="preserve"> experience from the former funding period 2007-13 as well as b.) </w:t>
            </w:r>
            <w:proofErr w:type="gramStart"/>
            <w:r w:rsidRPr="000C7785">
              <w:rPr>
                <w:color w:val="auto"/>
                <w:szCs w:val="18"/>
              </w:rPr>
              <w:t>unit</w:t>
            </w:r>
            <w:proofErr w:type="gramEnd"/>
            <w:r w:rsidRPr="000C7785">
              <w:rPr>
                <w:color w:val="auto"/>
                <w:szCs w:val="18"/>
              </w:rPr>
              <w:t xml:space="preserve"> costs were applied by the programme to identify the share of financial allocation represented by the PF output indicators and key implementation steps.</w:t>
            </w:r>
          </w:p>
        </w:tc>
      </w:tr>
    </w:tbl>
    <w:p w14:paraId="4B57E5DD" w14:textId="77777777" w:rsidR="00370CD0" w:rsidRPr="00022524" w:rsidRDefault="00370CD0" w:rsidP="00A0452B">
      <w:pPr>
        <w:pStyle w:val="Heading2"/>
      </w:pPr>
      <w:bookmarkStart w:id="167" w:name="_Toc432346742"/>
      <w:bookmarkStart w:id="168" w:name="_Toc432401884"/>
      <w:bookmarkStart w:id="169" w:name="_Toc432401959"/>
      <w:bookmarkStart w:id="170" w:name="_Toc429671084"/>
      <w:bookmarkStart w:id="171" w:name="_Toc432600885"/>
      <w:bookmarkStart w:id="172" w:name="_Toc433973114"/>
      <w:bookmarkStart w:id="173" w:name="_Toc433973197"/>
      <w:bookmarkStart w:id="174" w:name="_Toc448144116"/>
      <w:bookmarkEnd w:id="167"/>
      <w:bookmarkEnd w:id="168"/>
      <w:bookmarkEnd w:id="169"/>
      <w:r w:rsidRPr="00022524">
        <w:t>Conclusions</w:t>
      </w:r>
      <w:bookmarkEnd w:id="170"/>
      <w:bookmarkEnd w:id="171"/>
      <w:bookmarkEnd w:id="172"/>
      <w:bookmarkEnd w:id="173"/>
      <w:bookmarkEnd w:id="174"/>
    </w:p>
    <w:p w14:paraId="061A345E" w14:textId="77777777" w:rsidR="00EC6DE8" w:rsidRPr="00022524" w:rsidRDefault="00EC6DE8" w:rsidP="00355EDC">
      <w:pPr>
        <w:pStyle w:val="Body"/>
      </w:pPr>
      <w:r w:rsidRPr="00022524">
        <w:t xml:space="preserve">The findings suggest that setting milestones and targets for the indicators was mostly </w:t>
      </w:r>
      <w:r w:rsidR="008851EE" w:rsidRPr="00022524">
        <w:t xml:space="preserve">a straight forward task, </w:t>
      </w:r>
      <w:r w:rsidRPr="00022524">
        <w:t>based on previous experience</w:t>
      </w:r>
      <w:r w:rsidR="00EC7EB6" w:rsidRPr="00022524">
        <w:t>. S</w:t>
      </w:r>
      <w:r w:rsidRPr="00022524">
        <w:t>ince the performance framework is a new regulatory requirement, “previous experience” here could refer to defining targets or monitoring outputs in the previous period. This is followed by calculation and forecasting, taking into account the number of years and financial resources and internal discussion within the team. Overarching policy/strategy documents and direction from political stakeholders was reported to play only a minor role, making the performance framework a rather administrative tool</w:t>
      </w:r>
      <w:r w:rsidR="00355EDC" w:rsidRPr="00022524">
        <w:t>.</w:t>
      </w:r>
    </w:p>
    <w:p w14:paraId="3657AEE6" w14:textId="669C11A3" w:rsidR="009D1AF7" w:rsidRPr="00022524" w:rsidRDefault="00355EDC" w:rsidP="009D1AF7">
      <w:pPr>
        <w:pStyle w:val="Body"/>
      </w:pPr>
      <w:r w:rsidRPr="00022524">
        <w:t xml:space="preserve">The analysis covering the use of the four categories of indicators covers a large number of PF indicators. The analysis highlights the frequent use of financial and output indicators in the analysed performance frameworks (in line with EC requirements). </w:t>
      </w:r>
      <w:r w:rsidR="00510853" w:rsidRPr="00022524">
        <w:t>L</w:t>
      </w:r>
      <w:r w:rsidR="00EC6DE8" w:rsidRPr="00022524">
        <w:t>ower shares of output indicators often correspond to a share of key implementation steps above the EU average. It should be mentioned that within the EU average, key implementation steps are used to a lesser extent</w:t>
      </w:r>
      <w:r w:rsidRPr="00022524">
        <w:t xml:space="preserve"> and mainly in those cases where no measureable output is expected by the end of 2018</w:t>
      </w:r>
      <w:r w:rsidR="00EC6DE8" w:rsidRPr="00022524">
        <w:t xml:space="preserve">. </w:t>
      </w:r>
      <w:proofErr w:type="gramStart"/>
      <w:r w:rsidR="004B317D" w:rsidRPr="00022524">
        <w:t xml:space="preserve">Key implementation steps – which have to be applied where no output can be achieved at the </w:t>
      </w:r>
      <w:r w:rsidR="004B317D" w:rsidRPr="00022524">
        <w:lastRenderedPageBreak/>
        <w:t>milestone stage – and result indicators were used to a much lesser extent.</w:t>
      </w:r>
      <w:proofErr w:type="gramEnd"/>
      <w:r w:rsidR="004B317D" w:rsidRPr="00022524">
        <w:t xml:space="preserve"> Generally, the majority of </w:t>
      </w:r>
      <w:proofErr w:type="spellStart"/>
      <w:r w:rsidR="00DA7557">
        <w:t>PAx</w:t>
      </w:r>
      <w:proofErr w:type="spellEnd"/>
      <w:r w:rsidR="004B317D" w:rsidRPr="00022524">
        <w:t xml:space="preserve"> of IGJ and ETC programmes identified more than 2 PF indicators in their performance frameworks. In total, 397 </w:t>
      </w:r>
      <w:proofErr w:type="spellStart"/>
      <w:r w:rsidR="00DA7557">
        <w:t>PAx</w:t>
      </w:r>
      <w:proofErr w:type="spellEnd"/>
      <w:r w:rsidR="004B317D" w:rsidRPr="00022524">
        <w:t xml:space="preserve"> (IGJ: 315 </w:t>
      </w:r>
      <w:proofErr w:type="spellStart"/>
      <w:r w:rsidR="00DA7557">
        <w:t>PAx</w:t>
      </w:r>
      <w:proofErr w:type="spellEnd"/>
      <w:r w:rsidR="004B317D" w:rsidRPr="00022524">
        <w:t xml:space="preserve">; ETC: 82 </w:t>
      </w:r>
      <w:proofErr w:type="spellStart"/>
      <w:r w:rsidR="00DA7557">
        <w:t>PAx</w:t>
      </w:r>
      <w:proofErr w:type="spellEnd"/>
      <w:r w:rsidR="004B317D" w:rsidRPr="00022524">
        <w:t xml:space="preserve">) out of the total of 1,565 </w:t>
      </w:r>
      <w:proofErr w:type="spellStart"/>
      <w:r w:rsidR="00DA7557">
        <w:t>PAx</w:t>
      </w:r>
      <w:proofErr w:type="spellEnd"/>
      <w:r w:rsidR="004B317D" w:rsidRPr="00022524">
        <w:t xml:space="preserve"> with a PF, have identified key implementation steps in their PF. 15% of all </w:t>
      </w:r>
      <w:proofErr w:type="spellStart"/>
      <w:r w:rsidR="00DA7557">
        <w:t>PAx</w:t>
      </w:r>
      <w:proofErr w:type="spellEnd"/>
      <w:r w:rsidR="004B317D" w:rsidRPr="00022524">
        <w:t xml:space="preserve"> of IGJ programmes have identified one key implementation step, while 22% of all </w:t>
      </w:r>
      <w:proofErr w:type="spellStart"/>
      <w:r w:rsidR="00DA7557">
        <w:t>PAx</w:t>
      </w:r>
      <w:proofErr w:type="spellEnd"/>
      <w:r w:rsidR="004B317D" w:rsidRPr="00022524">
        <w:t xml:space="preserve"> of the ETC programmes have identified one key implementation step in their performance framework. </w:t>
      </w:r>
      <w:r w:rsidRPr="00022524">
        <w:t>Generally, a diverse picture of key implementation steps is visible across the EU</w:t>
      </w:r>
      <w:r w:rsidR="009D1AF7" w:rsidRPr="00022524">
        <w:t>:</w:t>
      </w:r>
      <w:r w:rsidRPr="00022524">
        <w:t xml:space="preserve"> High numbers of key implementation steps are visible in Greece and also in Bulgaria. </w:t>
      </w:r>
      <w:r w:rsidR="00EC6DE8" w:rsidRPr="00022524">
        <w:t xml:space="preserve">Result indicators were only occasionally used. While all MS and groups of IGJ programmes (fund combinations, thematic orientation, categories of region) use output and financial indicators in their performance frameworks, the key implementation steps are not used by Austria, the Czech Republic, Denmark, Estonia, Finland and Luxembourg. Result indicators </w:t>
      </w:r>
      <w:r w:rsidR="00B71E58" w:rsidRPr="00022524">
        <w:t>are only used</w:t>
      </w:r>
      <w:r w:rsidR="00EC6DE8" w:rsidRPr="00022524">
        <w:t xml:space="preserve"> in Bulgaria, France and </w:t>
      </w:r>
      <w:r w:rsidR="007F7AA5" w:rsidRPr="00022524">
        <w:t>Hungary</w:t>
      </w:r>
      <w:r w:rsidR="00EC6DE8" w:rsidRPr="00022524">
        <w:t xml:space="preserve"> but to a very small extent. Common output indicators of ERDF/CF and ESF are frequently used as per </w:t>
      </w:r>
      <w:r w:rsidR="00B71E58" w:rsidRPr="00022524">
        <w:t xml:space="preserve">the </w:t>
      </w:r>
      <w:r w:rsidR="007F7AA5" w:rsidRPr="00022524">
        <w:t>EU-</w:t>
      </w:r>
      <w:r w:rsidR="00EC6DE8" w:rsidRPr="00022524">
        <w:t xml:space="preserve">average, meaning that approximately 50% of all output indicators are common ones. Extraordinary high values </w:t>
      </w:r>
      <w:r w:rsidR="009D1AF7" w:rsidRPr="00022524">
        <w:t xml:space="preserve">(i.e. high shares of output indicators used in the PFs) </w:t>
      </w:r>
      <w:r w:rsidR="00EC6DE8" w:rsidRPr="00022524">
        <w:t xml:space="preserve">are visible for Austria, Denmark, Luxembourg and Sweden. </w:t>
      </w:r>
      <w:r w:rsidR="009D1AF7" w:rsidRPr="00022524">
        <w:t>When analysing the use of common output indicator per fund-specific investment priority, the high share of common output indicators used in the programmes’ performance frameworks can be also confirmed at this level.</w:t>
      </w:r>
    </w:p>
    <w:p w14:paraId="5CDD8299" w14:textId="0C5D7D93" w:rsidR="00EC6DE8" w:rsidRPr="00022524" w:rsidRDefault="00EC6DE8" w:rsidP="00355EDC">
      <w:pPr>
        <w:pStyle w:val="Body"/>
      </w:pPr>
      <w:r w:rsidRPr="00022524">
        <w:t>The comparison of different fund combinations (including also multi-fund programmes) shows that programmes funded from the ERDF alone show the highest share of common output indicators (nearly 60% of all output indicators); on the contrary</w:t>
      </w:r>
      <w:r w:rsidR="00433C85" w:rsidRPr="00022524">
        <w:t>,</w:t>
      </w:r>
      <w:r w:rsidRPr="00022524">
        <w:t xml:space="preserve"> programmes from the combination of ERDF, CF and ESF (M3) use mainly programme-specific output indicators in their PF. Further, programmes with only mixed-TO </w:t>
      </w:r>
      <w:proofErr w:type="spellStart"/>
      <w:r w:rsidR="00DA7557">
        <w:t>PAx</w:t>
      </w:r>
      <w:proofErr w:type="spellEnd"/>
      <w:r w:rsidRPr="00022524">
        <w:t xml:space="preserve"> show the highest average share of common outpu</w:t>
      </w:r>
      <w:r w:rsidR="00355EDC" w:rsidRPr="00022524">
        <w:t>t indicators, ranging above 70%. Between national, regional and multiregional programmes, no major differences are visible. Some specifics are recognisable for national programmes, as these show higher shares of key implementation steps and lower shares of common output indicators</w:t>
      </w:r>
      <w:r w:rsidR="00433C85" w:rsidRPr="00022524">
        <w:t>.</w:t>
      </w:r>
      <w:r w:rsidR="00355EDC" w:rsidRPr="00022524">
        <w:t xml:space="preserve"> </w:t>
      </w:r>
      <w:r w:rsidR="00433C85" w:rsidRPr="00022524">
        <w:t>H</w:t>
      </w:r>
      <w:r w:rsidR="00355EDC" w:rsidRPr="00022524">
        <w:t xml:space="preserve">igher shares of key implementation steps are </w:t>
      </w:r>
      <w:r w:rsidR="005F1C7E" w:rsidRPr="00022524">
        <w:t>in particular</w:t>
      </w:r>
      <w:r w:rsidR="00355EDC" w:rsidRPr="00022524">
        <w:t xml:space="preserve"> identifiable for </w:t>
      </w:r>
      <w:r w:rsidR="005F1C7E" w:rsidRPr="00022524">
        <w:t xml:space="preserve">those national programmes focusing on </w:t>
      </w:r>
      <w:r w:rsidR="00355EDC" w:rsidRPr="00022524">
        <w:t>transport and infrastructure.</w:t>
      </w:r>
    </w:p>
    <w:p w14:paraId="38E807A4" w14:textId="79A71E55" w:rsidR="00355EDC" w:rsidRPr="00022524" w:rsidRDefault="00355EDC" w:rsidP="00355EDC">
      <w:pPr>
        <w:pStyle w:val="Body"/>
      </w:pPr>
      <w:r w:rsidRPr="00022524">
        <w:t xml:space="preserve">Programmes with </w:t>
      </w:r>
      <w:proofErr w:type="spellStart"/>
      <w:r w:rsidR="00DA7557">
        <w:t>PAx</w:t>
      </w:r>
      <w:proofErr w:type="spellEnd"/>
      <w:r w:rsidRPr="00022524">
        <w:t xml:space="preserve"> that are referring partly to one thematic objective and partly to more than one thematic objective show a higher share of PF output indicators than the other types of programmes; the highest share of common output indicators is visible for Type B programmes (both IGJ and ETC objective), which also show an increase share of key implementation steps. </w:t>
      </w:r>
    </w:p>
    <w:p w14:paraId="3879F32C" w14:textId="77777777" w:rsidR="00355EDC" w:rsidRPr="00022524" w:rsidRDefault="00355EDC" w:rsidP="00355EDC">
      <w:pPr>
        <w:pStyle w:val="Body"/>
      </w:pPr>
      <w:r w:rsidRPr="00022524">
        <w:t xml:space="preserve">The majority of IGJ and programmes cover one type of region only (IGJ: 75% of programmes, ETC: 81% of programmes); when reviewing the different types of regions no major differences get visible although the share of key implementation steps is slightly increased for less developed regions, corresponding to a low share of common output indicators. Multi-region programmes show PF indicators ranging in the EU average, although registering a lower share of common output indicators. </w:t>
      </w:r>
    </w:p>
    <w:p w14:paraId="3972BB99" w14:textId="77777777" w:rsidR="00370CD0" w:rsidRPr="00022524" w:rsidRDefault="00370CD0" w:rsidP="00370CD0">
      <w:pPr>
        <w:pStyle w:val="Body"/>
      </w:pPr>
      <w:r w:rsidRPr="00022524">
        <w:t>The review of the quality of indicator milestones and targets identified an overall high quality of indicators in relation to Annex II criteria of Regulation (EU) No 1303/2013. Apart from demonstrating a good rating in relation to the majority of the criteria, indicator consistency across programmes was identified as a very difficult topic, especially for programme-specific indicators. Output indicators of ETC programmes received a very good rating, while milestones and targets of financial indicators were partly reported to be less clear, though ranging at a similar level a</w:t>
      </w:r>
      <w:r w:rsidR="006F2335" w:rsidRPr="00022524">
        <w:t>s the IGJ financial indicators.</w:t>
      </w:r>
      <w:r w:rsidR="00237730" w:rsidRPr="00022524">
        <w:t xml:space="preserve"> </w:t>
      </w:r>
      <w:r w:rsidR="00E97D04" w:rsidRPr="00022524">
        <w:t>However, it was not always clear whether criteria were met by the PF indicators, due to missing evidence to assess their status (as highlighted).</w:t>
      </w:r>
    </w:p>
    <w:p w14:paraId="0193A38B" w14:textId="1B4389FC" w:rsidR="00E97D04" w:rsidRPr="00022524" w:rsidRDefault="00370CD0" w:rsidP="00355EDC">
      <w:pPr>
        <w:pStyle w:val="Body"/>
      </w:pPr>
      <w:r w:rsidRPr="00022524">
        <w:t xml:space="preserve">The analysis of the rhythm of delivery for common output and financial indicators shows interesting findings and underlines the differences in the nature of common </w:t>
      </w:r>
      <w:proofErr w:type="gramStart"/>
      <w:r w:rsidRPr="00022524">
        <w:t>indicators,</w:t>
      </w:r>
      <w:proofErr w:type="gramEnd"/>
      <w:r w:rsidRPr="00022524">
        <w:t xml:space="preserve"> as for example, the slow uptake of transport indicators was reported illustrating the implementation nature of transport projects during programme implementation.</w:t>
      </w:r>
      <w:r w:rsidR="000A2328" w:rsidRPr="00022524">
        <w:t xml:space="preserve"> </w:t>
      </w:r>
      <w:r w:rsidR="00E97D04" w:rsidRPr="00022524">
        <w:t xml:space="preserve">This can be also confirmed when analysing the level of delivery at the level of </w:t>
      </w:r>
      <w:proofErr w:type="spellStart"/>
      <w:r w:rsidR="00DA7557">
        <w:t>PAx</w:t>
      </w:r>
      <w:proofErr w:type="spellEnd"/>
      <w:r w:rsidR="00E97D04" w:rsidRPr="00022524">
        <w:t>, as e.g. ERDF/CF common indicator 11a “Total length of new railway line, of which: TEN-T” shows a low share of the target to be reached in 2018. On the contrary, common indicators 7 “Private investment matching public support to enterprises (non-grants)”, 16 “Total length of new or improved inland waterway” and 21 “Population benefiting from forest fire protection measures” show the fastest uptake, i.e. a very high share of target to be reached already in 2018.</w:t>
      </w:r>
      <w:r w:rsidRPr="00022524">
        <w:t xml:space="preserve"> </w:t>
      </w:r>
    </w:p>
    <w:p w14:paraId="17F5BF80" w14:textId="77777777" w:rsidR="00355EDC" w:rsidRPr="00022524" w:rsidRDefault="00370CD0" w:rsidP="00355EDC">
      <w:pPr>
        <w:pStyle w:val="Body"/>
      </w:pPr>
      <w:r w:rsidRPr="00022524">
        <w:t>For the majority of financial indicators, a moderate share of target is planned to be reached in 2018.</w:t>
      </w:r>
      <w:r w:rsidR="00355EDC" w:rsidRPr="00022524">
        <w:t xml:space="preserve"> All IGJ programmes focusing on different categories of regions show similar progress in reaching the targets of their financial indicators, although mono-region programme show a slightly faster uptake than multi-region ones. </w:t>
      </w:r>
      <w:r w:rsidR="00E97D04" w:rsidRPr="00022524">
        <w:t xml:space="preserve">Financial indicators across all thematic objectives show </w:t>
      </w:r>
      <w:r w:rsidR="00E97D04" w:rsidRPr="00022524">
        <w:lastRenderedPageBreak/>
        <w:t>mainly low to moderate shares of the target to be reached in 2018, as for all TOs the shares of category I</w:t>
      </w:r>
      <w:r w:rsidR="007F5AA5" w:rsidRPr="00022524">
        <w:t xml:space="preserve"> (i.e. low share of the target to be reached in 2018, 0-20%)</w:t>
      </w:r>
      <w:r w:rsidR="00E97D04" w:rsidRPr="00022524">
        <w:t xml:space="preserve"> and II </w:t>
      </w:r>
      <w:r w:rsidR="007F5AA5" w:rsidRPr="00022524">
        <w:t xml:space="preserve">(i.e. moderate share of target to be reached in 2018, 20.1-30%) </w:t>
      </w:r>
      <w:r w:rsidR="00E97D04" w:rsidRPr="00022524">
        <w:t>cover 70% to 80%.</w:t>
      </w:r>
    </w:p>
    <w:p w14:paraId="49C04739" w14:textId="77777777" w:rsidR="00370CD0" w:rsidRPr="00022524" w:rsidRDefault="008851EE" w:rsidP="00890039">
      <w:pPr>
        <w:pStyle w:val="Body"/>
      </w:pPr>
      <w:r w:rsidRPr="00022524">
        <w:t>The findings show that the PF was mainly elaborated and implemented as planned and the involved stakeholders (mainly administration) have generally a positive opinion on the PF and the selection of PF indicators, as the new element is certainly encouraging MS towards result orientation and clear and verifiable targets and can act as a valuable innovation to better define indicators and targets. On the other hand some concerns were mentioned covering the danger of losing programmes’ long term perspectives and setting of too low targets</w:t>
      </w:r>
      <w:r w:rsidR="00207BFA" w:rsidRPr="00022524">
        <w:t xml:space="preserve">, which could only be confirmed for selected cases by the data analysis and review of the appropriateness of milestones and targets according to Annex II criteria, as PF indicators </w:t>
      </w:r>
      <w:r w:rsidR="00433C85" w:rsidRPr="00022524">
        <w:t xml:space="preserve">are </w:t>
      </w:r>
      <w:r w:rsidR="00207BFA" w:rsidRPr="00022524">
        <w:t xml:space="preserve">generally deemed appropriate meeting these criteria as included in Regulation </w:t>
      </w:r>
      <w:r w:rsidR="0025701F" w:rsidRPr="00022524">
        <w:t>1303</w:t>
      </w:r>
      <w:r w:rsidR="00207BFA" w:rsidRPr="00022524">
        <w:t>/2013</w:t>
      </w:r>
      <w:r w:rsidRPr="00022524">
        <w:t xml:space="preserve">. </w:t>
      </w:r>
    </w:p>
    <w:p w14:paraId="7079441C" w14:textId="77777777" w:rsidR="00B5653B" w:rsidRPr="00022524" w:rsidRDefault="00D84802" w:rsidP="00123452">
      <w:pPr>
        <w:pStyle w:val="Headingone"/>
        <w:spacing w:after="240"/>
        <w:ind w:left="482" w:hanging="482"/>
      </w:pPr>
      <w:bookmarkStart w:id="175" w:name="_Ref433011087"/>
      <w:bookmarkStart w:id="176" w:name="_Toc433017929"/>
      <w:bookmarkStart w:id="177" w:name="_Toc433973115"/>
      <w:bookmarkStart w:id="178" w:name="_Toc448144117"/>
      <w:r w:rsidRPr="00022524">
        <w:lastRenderedPageBreak/>
        <w:t>Establishment of performance reserve</w:t>
      </w:r>
      <w:bookmarkEnd w:id="175"/>
      <w:bookmarkEnd w:id="176"/>
      <w:bookmarkEnd w:id="177"/>
      <w:bookmarkEnd w:id="178"/>
    </w:p>
    <w:p w14:paraId="7736EBFE" w14:textId="091139A1" w:rsidR="006A7927" w:rsidRPr="00022524" w:rsidRDefault="00370CD0" w:rsidP="004C13C1">
      <w:pPr>
        <w:pStyle w:val="Body"/>
        <w:spacing w:after="120" w:line="216" w:lineRule="exact"/>
      </w:pPr>
      <w:r w:rsidRPr="00022524">
        <w:t xml:space="preserve">Following Regulation (EU) No 1303/2013, a performance reserve consisting of 6% of the resources allocated to the ERDF, ESF and the Cohesion Fund under the IGJ Goal should be established for each Member State. The aim of this reserve is to assist the facilitation of the focus on performance and attainment of the objectives of the Union strategy for smart, sustainable and inclusive growth. Resources allocated to ETC, the YEI and TA at the initiative of the Commission </w:t>
      </w:r>
      <w:proofErr w:type="gramStart"/>
      <w:r w:rsidRPr="00022524">
        <w:t>are</w:t>
      </w:r>
      <w:proofErr w:type="gramEnd"/>
      <w:r w:rsidRPr="00022524">
        <w:t xml:space="preserve"> excluded for the purpose of calculating the performance reserve. Furthermore, no performance reserve is established for programmes under the SME initiative nor for TA programmes and/or priority axes</w:t>
      </w:r>
      <w:r w:rsidR="003D4AEC" w:rsidRPr="00022524">
        <w:t xml:space="preserve"> focusing on technical assistance or funded from YEI</w:t>
      </w:r>
      <w:r w:rsidRPr="00022524">
        <w:t xml:space="preserve"> (Regulation (EU) No 1303/2013, (23), 323)</w:t>
      </w:r>
      <w:r w:rsidR="003D4AEC" w:rsidRPr="00022524">
        <w:t xml:space="preserve"> in these cases the other </w:t>
      </w:r>
      <w:proofErr w:type="spellStart"/>
      <w:r w:rsidR="00DA7557">
        <w:t>PAx</w:t>
      </w:r>
      <w:proofErr w:type="spellEnd"/>
      <w:r w:rsidR="003D4AEC" w:rsidRPr="00022524">
        <w:t xml:space="preserve"> have to have higher reserves in order to reach the 6% in total, which is why a flexibility of 5-7% was introduced</w:t>
      </w:r>
      <w:r w:rsidRPr="00022524">
        <w:t xml:space="preserve">. </w:t>
      </w:r>
    </w:p>
    <w:p w14:paraId="11085900" w14:textId="74DC87FD" w:rsidR="00370CD0" w:rsidRPr="00022524" w:rsidRDefault="00370CD0" w:rsidP="006F2335">
      <w:pPr>
        <w:pStyle w:val="Body"/>
        <w:spacing w:after="120" w:line="216" w:lineRule="exact"/>
      </w:pPr>
      <w:r w:rsidRPr="00022524">
        <w:t>This chapter</w:t>
      </w:r>
      <w:r w:rsidR="004C13C1" w:rsidRPr="00022524">
        <w:t xml:space="preserve"> </w:t>
      </w:r>
      <w:r w:rsidR="006A7927" w:rsidRPr="00022524">
        <w:t xml:space="preserve">corresponds to the study’s task 2 and </w:t>
      </w:r>
      <w:r w:rsidRPr="00022524">
        <w:t>provides an overview of the pre-allocation of the reserve across programmes under the IGJ objective, covering all programmes analysed during this study, i.e. 282 programmes financed by the ERDF and the CF, including multi-fund programmes, in total, which have all defined PF indicators as required by Regulation (EU) No 1303/2013</w:t>
      </w:r>
      <w:r w:rsidR="00F11A71" w:rsidRPr="00022524">
        <w:t>:</w:t>
      </w:r>
      <w:r w:rsidR="006F2335" w:rsidRPr="00022524">
        <w:t xml:space="preserve"> </w:t>
      </w:r>
      <w:r w:rsidRPr="00022524">
        <w:t>The analysis assesses in which intensity different Member States, programmes and categories of regions have made use of the flexibility to set a performance reserve ranging between 5% and 7% of the allocation</w:t>
      </w:r>
      <w:r w:rsidR="004C13C1" w:rsidRPr="00022524">
        <w:t xml:space="preserve"> to each </w:t>
      </w:r>
      <w:proofErr w:type="spellStart"/>
      <w:r w:rsidR="00DA7557">
        <w:t>PAx</w:t>
      </w:r>
      <w:proofErr w:type="spellEnd"/>
      <w:r w:rsidR="004C13C1" w:rsidRPr="00022524">
        <w:t xml:space="preserve"> within a programme</w:t>
      </w:r>
      <w:r w:rsidR="00F11A71" w:rsidRPr="00022524">
        <w:t xml:space="preserve"> (see chapter </w:t>
      </w:r>
      <w:r w:rsidR="00845832" w:rsidRPr="00022524">
        <w:fldChar w:fldCharType="begin"/>
      </w:r>
      <w:r w:rsidR="00F11A71" w:rsidRPr="00022524">
        <w:instrText xml:space="preserve"> REF _Ref426097982 \r \h </w:instrText>
      </w:r>
      <w:r w:rsidR="00845832" w:rsidRPr="00022524">
        <w:fldChar w:fldCharType="separate"/>
      </w:r>
      <w:r w:rsidR="008364C8">
        <w:t>4.1</w:t>
      </w:r>
      <w:r w:rsidR="00845832" w:rsidRPr="00022524">
        <w:fldChar w:fldCharType="end"/>
      </w:r>
      <w:r w:rsidR="00F11A71" w:rsidRPr="00022524">
        <w:t>)</w:t>
      </w:r>
      <w:r w:rsidR="004C13C1" w:rsidRPr="00022524">
        <w:t>.</w:t>
      </w:r>
      <w:r w:rsidRPr="00022524">
        <w:t xml:space="preserve"> </w:t>
      </w:r>
    </w:p>
    <w:p w14:paraId="084B13DE" w14:textId="62B8F2B6" w:rsidR="00F11A71" w:rsidRPr="00022524" w:rsidRDefault="00F11A71" w:rsidP="00F11A71">
      <w:pPr>
        <w:pStyle w:val="Body"/>
      </w:pPr>
      <w:r w:rsidRPr="00022524">
        <w:t xml:space="preserve">The findings as presented in this chapter are mainly based on the review of the relevant sections of all PAs, </w:t>
      </w:r>
      <w:r w:rsidR="00C2042A" w:rsidRPr="00022524">
        <w:t>programmes</w:t>
      </w:r>
      <w:r w:rsidRPr="00022524">
        <w:t xml:space="preserve">, </w:t>
      </w:r>
      <w:proofErr w:type="gramStart"/>
      <w:r w:rsidRPr="00022524">
        <w:t>ex</w:t>
      </w:r>
      <w:proofErr w:type="gramEnd"/>
      <w:r w:rsidRPr="00022524">
        <w:t xml:space="preserve">-ante evaluations as well as on additional information as received by the MS and the EC. Additional insights were gained through the results of the interviews with representatives from programmes and the national levels and the web-survey. </w:t>
      </w:r>
    </w:p>
    <w:p w14:paraId="4345EE56" w14:textId="77777777" w:rsidR="00370CD0" w:rsidRPr="00022524" w:rsidRDefault="00370CD0" w:rsidP="00A0452B">
      <w:pPr>
        <w:pStyle w:val="Heading2"/>
      </w:pPr>
      <w:bookmarkStart w:id="179" w:name="_Ref426097982"/>
      <w:bookmarkStart w:id="180" w:name="_Toc427649662"/>
      <w:bookmarkStart w:id="181" w:name="_Toc433973116"/>
      <w:bookmarkStart w:id="182" w:name="_Toc433973198"/>
      <w:bookmarkStart w:id="183" w:name="_Toc448144118"/>
      <w:r w:rsidRPr="00022524">
        <w:t>Allocations by Member State and types of programmes</w:t>
      </w:r>
      <w:bookmarkEnd w:id="179"/>
      <w:bookmarkEnd w:id="180"/>
      <w:bookmarkEnd w:id="181"/>
      <w:bookmarkEnd w:id="182"/>
      <w:bookmarkEnd w:id="183"/>
    </w:p>
    <w:p w14:paraId="6CD5260B" w14:textId="77777777" w:rsidR="00370CD0" w:rsidRPr="00022524" w:rsidRDefault="00370CD0" w:rsidP="00370CD0">
      <w:pPr>
        <w:pStyle w:val="Body"/>
        <w:spacing w:line="216" w:lineRule="exact"/>
      </w:pPr>
      <w:bookmarkStart w:id="184" w:name="_Ref426098638"/>
      <w:r w:rsidRPr="00022524">
        <w:t>As the study mainly includes programmes already approved by the Commission, the general compliance with Regulation (EU) No 1303/2013 was initially confirmed. Small deviations are briefly illustrated in the paragraph below. For greater detail, the assessment of the use of lower and higher thresholds per Member State, per fund and per region, was completed. Additionally a reflection on the flexibility in relation to the thematic objectives applied is included.</w:t>
      </w:r>
    </w:p>
    <w:p w14:paraId="482154CE" w14:textId="77777777" w:rsidR="00B15B0B" w:rsidRPr="00022524" w:rsidRDefault="00B15B0B" w:rsidP="00B15B0B">
      <w:pPr>
        <w:pStyle w:val="Body"/>
        <w:spacing w:line="216" w:lineRule="exact"/>
      </w:pPr>
      <w:bookmarkStart w:id="185" w:name="_Ref426098649"/>
      <w:bookmarkEnd w:id="184"/>
      <w:r w:rsidRPr="00022524">
        <w:t xml:space="preserve">In line with regulatory requirements, the performance reserve allocated to priority axes in all IGJ programmes analysed in this study, except for those priority axes, where no performance reserve was legally required, represented between 5% and 7% of the allocation to the priority axis.  </w:t>
      </w:r>
    </w:p>
    <w:p w14:paraId="41BF3063" w14:textId="4B59DF15" w:rsidR="005B39E4" w:rsidRPr="00022524" w:rsidRDefault="00B15B0B" w:rsidP="00370CD0">
      <w:pPr>
        <w:pStyle w:val="Body"/>
        <w:spacing w:line="216" w:lineRule="exact"/>
      </w:pPr>
      <w:r w:rsidRPr="00022524">
        <w:t xml:space="preserve">If different combinations of Funds are taken into account, the ERDF programmes have an average performance reserve of 6.3%, the CF programme and the programmes combining ERDF and ESF (M2) have a performance reserve of 6.1% and all other programmes of other fund combinations show an average performance reserve of 6.2%. For the analysis of the different allocations to the performance reserve at the level of </w:t>
      </w:r>
      <w:proofErr w:type="spellStart"/>
      <w:r w:rsidR="00DA7557">
        <w:t>PAx</w:t>
      </w:r>
      <w:proofErr w:type="spellEnd"/>
      <w:r w:rsidRPr="00022524">
        <w:t xml:space="preserve">, categories of performance reserve levels were generated: Performance reserve 5-5.9%, 6-6.9% and 7%. </w:t>
      </w:r>
    </w:p>
    <w:p w14:paraId="5EB01FBA" w14:textId="77777777" w:rsidR="00F96ED4" w:rsidRPr="0050283B" w:rsidRDefault="00B15B0B" w:rsidP="00370CD0">
      <w:pPr>
        <w:pStyle w:val="Body"/>
        <w:spacing w:line="216" w:lineRule="exact"/>
      </w:pPr>
      <w:r w:rsidRPr="00022524">
        <w:t xml:space="preserve">The analysis </w:t>
      </w:r>
      <w:r w:rsidRPr="0050283B">
        <w:t xml:space="preserve">shows </w:t>
      </w:r>
      <w:r w:rsidR="00F96ED4" w:rsidRPr="0050283B">
        <w:t>the following:</w:t>
      </w:r>
    </w:p>
    <w:p w14:paraId="25BE13A4" w14:textId="1DF6FB72" w:rsidR="00F96ED4" w:rsidRPr="0050283B" w:rsidRDefault="00F96ED4" w:rsidP="00E86C96">
      <w:pPr>
        <w:pStyle w:val="BulletPoint1"/>
        <w:ind w:left="527" w:hanging="357"/>
      </w:pPr>
      <w:r w:rsidRPr="004C6A1F">
        <w:t xml:space="preserve">4% of </w:t>
      </w:r>
      <w:proofErr w:type="spellStart"/>
      <w:r w:rsidR="00DA7557" w:rsidRPr="004C6A1F">
        <w:t>PAx</w:t>
      </w:r>
      <w:proofErr w:type="spellEnd"/>
      <w:r w:rsidRPr="004C6A1F">
        <w:t xml:space="preserve"> (i.e. </w:t>
      </w:r>
      <w:r w:rsidRPr="0050283B">
        <w:t>4</w:t>
      </w:r>
      <w:r w:rsidR="00101008" w:rsidRPr="0050283B">
        <w:t>8</w:t>
      </w:r>
      <w:r w:rsidRPr="0050283B">
        <w:t xml:space="preserve"> </w:t>
      </w:r>
      <w:proofErr w:type="spellStart"/>
      <w:r w:rsidR="00DA7557" w:rsidRPr="0050283B">
        <w:t>PAx</w:t>
      </w:r>
      <w:proofErr w:type="spellEnd"/>
      <w:r w:rsidRPr="0050283B">
        <w:t>) have a performance reserve of 5-5.9%.</w:t>
      </w:r>
    </w:p>
    <w:p w14:paraId="080431BB" w14:textId="01661D94" w:rsidR="00F96ED4" w:rsidRPr="0050283B" w:rsidRDefault="00B15B0B" w:rsidP="00E86C96">
      <w:pPr>
        <w:pStyle w:val="BulletPoint1"/>
        <w:ind w:left="527" w:hanging="357"/>
      </w:pPr>
      <w:r w:rsidRPr="0050283B">
        <w:t xml:space="preserve">92% of </w:t>
      </w:r>
      <w:proofErr w:type="spellStart"/>
      <w:r w:rsidR="00DA7557" w:rsidRPr="0050283B">
        <w:t>PAx</w:t>
      </w:r>
      <w:proofErr w:type="spellEnd"/>
      <w:r w:rsidRPr="0050283B">
        <w:t xml:space="preserve"> (i.e. 1,16</w:t>
      </w:r>
      <w:r w:rsidR="00101008" w:rsidRPr="0050283B">
        <w:t>2</w:t>
      </w:r>
      <w:r w:rsidRPr="0050283B">
        <w:t xml:space="preserve"> </w:t>
      </w:r>
      <w:proofErr w:type="spellStart"/>
      <w:r w:rsidR="00DA7557" w:rsidRPr="0050283B">
        <w:t>PAx</w:t>
      </w:r>
      <w:proofErr w:type="spellEnd"/>
      <w:r w:rsidRPr="0050283B">
        <w:t xml:space="preserve"> in absolute numbers) of IGJ programmes show a performance reserve of 6-6.9% of the allocation. </w:t>
      </w:r>
    </w:p>
    <w:p w14:paraId="23F47A6C" w14:textId="42E32806" w:rsidR="00F96ED4" w:rsidRPr="0050283B" w:rsidRDefault="00F96ED4" w:rsidP="00E86C96">
      <w:pPr>
        <w:pStyle w:val="BulletPoint1"/>
        <w:numPr>
          <w:ilvl w:val="0"/>
          <w:numId w:val="0"/>
        </w:numPr>
        <w:ind w:left="170" w:firstLine="357"/>
      </w:pPr>
      <w:r w:rsidRPr="0050283B">
        <w:t xml:space="preserve">From these </w:t>
      </w:r>
      <w:proofErr w:type="spellStart"/>
      <w:r w:rsidR="00DA7557" w:rsidRPr="0050283B">
        <w:t>PAx</w:t>
      </w:r>
      <w:proofErr w:type="spellEnd"/>
      <w:r w:rsidRPr="0050283B">
        <w:t xml:space="preserve">, </w:t>
      </w:r>
      <w:r w:rsidR="0072216B" w:rsidRPr="0050283B">
        <w:t>2</w:t>
      </w:r>
      <w:r w:rsidR="000254C7" w:rsidRPr="0050283B">
        <w:t>11</w:t>
      </w:r>
      <w:r w:rsidR="0072216B" w:rsidRPr="0050283B">
        <w:t xml:space="preserve"> </w:t>
      </w:r>
      <w:proofErr w:type="spellStart"/>
      <w:r w:rsidR="00DA7557" w:rsidRPr="0050283B">
        <w:t>PAx</w:t>
      </w:r>
      <w:proofErr w:type="spellEnd"/>
      <w:r w:rsidRPr="0050283B">
        <w:t xml:space="preserve"> have a performance reserve of exactly 6</w:t>
      </w:r>
      <w:r w:rsidR="0072216B" w:rsidRPr="0050283B">
        <w:t>.00</w:t>
      </w:r>
      <w:r w:rsidRPr="0050283B">
        <w:t>%.</w:t>
      </w:r>
      <w:r w:rsidR="0072216B" w:rsidRPr="0050283B">
        <w:t xml:space="preserve"> </w:t>
      </w:r>
    </w:p>
    <w:p w14:paraId="75095081" w14:textId="0D06BB9E" w:rsidR="007C63C4" w:rsidRPr="0050283B" w:rsidRDefault="00B15B0B" w:rsidP="00E86C96">
      <w:pPr>
        <w:pStyle w:val="BulletPoint1"/>
        <w:ind w:left="527" w:hanging="357"/>
      </w:pPr>
      <w:r w:rsidRPr="0050283B">
        <w:t xml:space="preserve">5% of </w:t>
      </w:r>
      <w:proofErr w:type="spellStart"/>
      <w:r w:rsidR="00DA7557" w:rsidRPr="0050283B">
        <w:t>PAx</w:t>
      </w:r>
      <w:proofErr w:type="spellEnd"/>
      <w:r w:rsidRPr="0050283B">
        <w:t xml:space="preserve"> (i.e. 59 </w:t>
      </w:r>
      <w:proofErr w:type="spellStart"/>
      <w:r w:rsidR="00DA7557" w:rsidRPr="0050283B">
        <w:t>PAx</w:t>
      </w:r>
      <w:proofErr w:type="spellEnd"/>
      <w:r w:rsidRPr="0050283B">
        <w:t>) have a performance reserve of 7% of the allocation.</w:t>
      </w:r>
    </w:p>
    <w:p w14:paraId="01626BD0" w14:textId="22BE7405" w:rsidR="007C63C4" w:rsidRPr="0050283B" w:rsidRDefault="0072216B" w:rsidP="00E86C96">
      <w:pPr>
        <w:pStyle w:val="Body"/>
      </w:pPr>
      <w:r w:rsidRPr="0050283B">
        <w:t>This shows that 16</w:t>
      </w:r>
      <w:r w:rsidR="000254C7" w:rsidRPr="0050283B">
        <w:t>.6</w:t>
      </w:r>
      <w:r w:rsidRPr="0050283B">
        <w:t xml:space="preserve">% of all </w:t>
      </w:r>
      <w:proofErr w:type="spellStart"/>
      <w:r w:rsidR="00DA7557" w:rsidRPr="0050283B">
        <w:t>PAx</w:t>
      </w:r>
      <w:proofErr w:type="spellEnd"/>
      <w:r w:rsidRPr="0050283B">
        <w:t xml:space="preserve"> with a performance reserve have identified a performance reserve of exactly 6.0%. All other </w:t>
      </w:r>
      <w:proofErr w:type="spellStart"/>
      <w:r w:rsidR="00DA7557" w:rsidRPr="0050283B">
        <w:t>PAx</w:t>
      </w:r>
      <w:proofErr w:type="spellEnd"/>
      <w:r w:rsidRPr="0050283B">
        <w:t xml:space="preserve"> show at least a slight deviation. Besides, the analysis shows that a certain higher degree of </w:t>
      </w:r>
      <w:r w:rsidR="007C63C4" w:rsidRPr="0050283B">
        <w:t>flexibility</w:t>
      </w:r>
      <w:r w:rsidR="007D4E27" w:rsidRPr="0050283B">
        <w:t xml:space="preserve"> – i.e. performance reserve 5% or 7% -</w:t>
      </w:r>
      <w:r w:rsidR="007C63C4" w:rsidRPr="0050283B">
        <w:t xml:space="preserve"> in setting the amount of performance reserve provided by the Common Provision Regulation has been used only in a relatively small number of cases</w:t>
      </w:r>
    </w:p>
    <w:bookmarkEnd w:id="185"/>
    <w:p w14:paraId="37CEC349" w14:textId="48879F42" w:rsidR="008F25BE" w:rsidRPr="00022524" w:rsidRDefault="008F25BE" w:rsidP="008F25BE">
      <w:pPr>
        <w:pStyle w:val="BulletPoint1"/>
        <w:ind w:left="527" w:hanging="357"/>
      </w:pPr>
      <w:r w:rsidRPr="0050283B">
        <w:t xml:space="preserve">In </w:t>
      </w:r>
      <w:r w:rsidR="00101008" w:rsidRPr="0050283B">
        <w:t xml:space="preserve">the Czech Republic, </w:t>
      </w:r>
      <w:r w:rsidRPr="0050283B">
        <w:t xml:space="preserve">Germany, Greece and Hungary, 5-6% of the </w:t>
      </w:r>
      <w:proofErr w:type="spellStart"/>
      <w:r w:rsidR="00DA7557" w:rsidRPr="0050283B">
        <w:t>PAx</w:t>
      </w:r>
      <w:proofErr w:type="spellEnd"/>
      <w:r w:rsidRPr="0050283B">
        <w:t xml:space="preserve"> covering </w:t>
      </w:r>
      <w:r w:rsidR="00135EB1" w:rsidRPr="0050283B">
        <w:t>8</w:t>
      </w:r>
      <w:r w:rsidRPr="0050283B">
        <w:t xml:space="preserve"> OPs (</w:t>
      </w:r>
      <w:r w:rsidR="00135EB1" w:rsidRPr="0050283B">
        <w:t xml:space="preserve">1 </w:t>
      </w:r>
      <w:proofErr w:type="spellStart"/>
      <w:r w:rsidR="00135EB1" w:rsidRPr="0050283B">
        <w:t>PAx</w:t>
      </w:r>
      <w:proofErr w:type="spellEnd"/>
      <w:r w:rsidR="00135EB1" w:rsidRPr="0050283B">
        <w:t xml:space="preserve"> of 1 OP in absolute terms in the Czech Republic, </w:t>
      </w:r>
      <w:r w:rsidRPr="0050283B">
        <w:t xml:space="preserve">4 </w:t>
      </w:r>
      <w:proofErr w:type="spellStart"/>
      <w:r w:rsidR="00DA7557" w:rsidRPr="0050283B">
        <w:t>PAx</w:t>
      </w:r>
      <w:proofErr w:type="spellEnd"/>
      <w:r w:rsidRPr="0050283B">
        <w:t xml:space="preserve"> of 2 OPs in absolute terms in Germany, 7 </w:t>
      </w:r>
      <w:proofErr w:type="spellStart"/>
      <w:r w:rsidR="00DA7557" w:rsidRPr="0050283B">
        <w:t>PAx</w:t>
      </w:r>
      <w:proofErr w:type="spellEnd"/>
      <w:r w:rsidRPr="0050283B">
        <w:t xml:space="preserve"> of 3 Greek programmes in absolute terms and 2 </w:t>
      </w:r>
      <w:proofErr w:type="spellStart"/>
      <w:r w:rsidR="00DA7557" w:rsidRPr="0050283B">
        <w:t>PAx</w:t>
      </w:r>
      <w:proofErr w:type="spellEnd"/>
      <w:r w:rsidRPr="0050283B">
        <w:t xml:space="preserve"> of 2 Hungarian programmes in absolute terms) used the flexibility to choose a performance reserve per </w:t>
      </w:r>
      <w:proofErr w:type="spellStart"/>
      <w:r w:rsidR="00DA7557" w:rsidRPr="0050283B">
        <w:t>PAx</w:t>
      </w:r>
      <w:proofErr w:type="spellEnd"/>
      <w:r w:rsidRPr="0050283B">
        <w:t xml:space="preserve"> of 5-5.9% of the allocation. In Greece 3% of </w:t>
      </w:r>
      <w:proofErr w:type="spellStart"/>
      <w:r w:rsidR="00DA7557" w:rsidRPr="0050283B">
        <w:t>PAx</w:t>
      </w:r>
      <w:proofErr w:type="spellEnd"/>
      <w:r w:rsidRPr="0050283B">
        <w:t xml:space="preserve"> (corresponding to 3 </w:t>
      </w:r>
      <w:proofErr w:type="spellStart"/>
      <w:r w:rsidR="00DA7557" w:rsidRPr="0050283B">
        <w:t>PAx</w:t>
      </w:r>
      <w:proofErr w:type="spellEnd"/>
      <w:r w:rsidRPr="00022524">
        <w:t>, covering 1 OP) chose a performance reserve of 7%.</w:t>
      </w:r>
    </w:p>
    <w:p w14:paraId="12268E42" w14:textId="0E2B3EB0" w:rsidR="008F25BE" w:rsidRPr="00022524" w:rsidRDefault="008F25BE" w:rsidP="008F25BE">
      <w:pPr>
        <w:pStyle w:val="BulletPoint1"/>
        <w:ind w:left="527" w:hanging="357"/>
      </w:pPr>
      <w:r w:rsidRPr="00022524">
        <w:lastRenderedPageBreak/>
        <w:t xml:space="preserve">In Italy and Poland, 7% and 11%, respectively, of the </w:t>
      </w:r>
      <w:proofErr w:type="spellStart"/>
      <w:r w:rsidR="00DA7557">
        <w:t>PAx</w:t>
      </w:r>
      <w:proofErr w:type="spellEnd"/>
      <w:r w:rsidRPr="00022524">
        <w:t xml:space="preserve">, (12 </w:t>
      </w:r>
      <w:proofErr w:type="spellStart"/>
      <w:r w:rsidR="00DA7557">
        <w:t>PAx</w:t>
      </w:r>
      <w:proofErr w:type="spellEnd"/>
      <w:r w:rsidRPr="00022524">
        <w:t xml:space="preserve"> covering 5 OPs in absolute terms in Italy</w:t>
      </w:r>
      <w:r w:rsidRPr="00464DFA">
        <w:t>, 2</w:t>
      </w:r>
      <w:r w:rsidR="00135EB1" w:rsidRPr="00464DFA">
        <w:t>2</w:t>
      </w:r>
      <w:r w:rsidRPr="00464DFA">
        <w:t xml:space="preserve"> </w:t>
      </w:r>
      <w:proofErr w:type="spellStart"/>
      <w:r w:rsidR="00DA7557" w:rsidRPr="00464DFA">
        <w:t>PAx</w:t>
      </w:r>
      <w:proofErr w:type="spellEnd"/>
      <w:r w:rsidRPr="00C61AFD">
        <w:t xml:space="preserve"> covering 10 Polish programmes in absolute terms) fle</w:t>
      </w:r>
      <w:r w:rsidRPr="0012604D">
        <w:t>xibility in choosing a performance reserve</w:t>
      </w:r>
      <w:r w:rsidRPr="00022524">
        <w:t xml:space="preserve"> per </w:t>
      </w:r>
      <w:proofErr w:type="spellStart"/>
      <w:r w:rsidR="00DA7557">
        <w:t>PAx</w:t>
      </w:r>
      <w:proofErr w:type="spellEnd"/>
      <w:r w:rsidRPr="00022524">
        <w:t xml:space="preserve"> of 5-5.9% of the allocation was used. In Poland another 11% of </w:t>
      </w:r>
      <w:proofErr w:type="spellStart"/>
      <w:r w:rsidR="00DA7557">
        <w:t>PAx</w:t>
      </w:r>
      <w:proofErr w:type="spellEnd"/>
      <w:r w:rsidRPr="00022524">
        <w:t xml:space="preserve"> chose a performance reserve of 7% of the allocations (21 </w:t>
      </w:r>
      <w:proofErr w:type="spellStart"/>
      <w:r w:rsidR="00DA7557">
        <w:t>PAx</w:t>
      </w:r>
      <w:proofErr w:type="spellEnd"/>
      <w:r w:rsidRPr="00022524">
        <w:t xml:space="preserve">, 9 OPs). In Italy, 3% of </w:t>
      </w:r>
      <w:proofErr w:type="spellStart"/>
      <w:r w:rsidR="00DA7557">
        <w:t>PAx</w:t>
      </w:r>
      <w:proofErr w:type="spellEnd"/>
      <w:r w:rsidRPr="00022524">
        <w:t xml:space="preserve"> chose a performance reserve of 7% (5 </w:t>
      </w:r>
      <w:proofErr w:type="spellStart"/>
      <w:r w:rsidR="00DA7557">
        <w:t>PAx</w:t>
      </w:r>
      <w:proofErr w:type="spellEnd"/>
      <w:r w:rsidRPr="00022524">
        <w:t>, 2 OPs).</w:t>
      </w:r>
    </w:p>
    <w:p w14:paraId="6C2C2489" w14:textId="133390AF" w:rsidR="008F25BE" w:rsidRPr="00022524" w:rsidRDefault="008F25BE" w:rsidP="00E86C96">
      <w:pPr>
        <w:pStyle w:val="BulletPoint1"/>
        <w:ind w:left="527" w:hanging="357"/>
      </w:pPr>
      <w:r w:rsidRPr="00022524">
        <w:t xml:space="preserve">22% of the Spanish </w:t>
      </w:r>
      <w:proofErr w:type="spellStart"/>
      <w:r w:rsidR="00DA7557">
        <w:t>PAx</w:t>
      </w:r>
      <w:proofErr w:type="spellEnd"/>
      <w:r w:rsidRPr="00022524">
        <w:t xml:space="preserve"> (30 </w:t>
      </w:r>
      <w:proofErr w:type="spellStart"/>
      <w:r w:rsidR="00DA7557">
        <w:t>PAx</w:t>
      </w:r>
      <w:proofErr w:type="spellEnd"/>
      <w:r w:rsidRPr="00022524">
        <w:t xml:space="preserve"> in total covering 5 OPs) chose a performance reserve of 7%.</w:t>
      </w:r>
    </w:p>
    <w:p w14:paraId="74827C33" w14:textId="77777777" w:rsidR="00137FD2" w:rsidRPr="00022524" w:rsidRDefault="00137FD2" w:rsidP="00137FD2">
      <w:pPr>
        <w:pStyle w:val="Body"/>
      </w:pPr>
      <w:r w:rsidRPr="00022524">
        <w:t xml:space="preserve">Decision to set the performance reserve representing more or less than 6% of the priority allocation may be due to the need of including in programmes the performance reserve corresponding to the amounts allocated in programmes or priority axes, which </w:t>
      </w:r>
      <w:r w:rsidR="00E67680" w:rsidRPr="00022524">
        <w:t xml:space="preserve">do </w:t>
      </w:r>
      <w:r w:rsidRPr="00022524">
        <w:t xml:space="preserve">not have the performance reserve (SME initiative and Technical Assistance). </w:t>
      </w:r>
    </w:p>
    <w:p w14:paraId="4CE3A80A" w14:textId="77777777" w:rsidR="00370CD0" w:rsidRPr="00022524" w:rsidRDefault="00370CD0" w:rsidP="00370CD0">
      <w:pPr>
        <w:pStyle w:val="Body"/>
        <w:spacing w:after="120" w:line="210" w:lineRule="exact"/>
      </w:pPr>
      <w:r w:rsidRPr="00022524">
        <w:t>When reviewing sub-sets of national programmes, i.e. those focusing on smart growth, sustainable growth, etc. the following gets visible:</w:t>
      </w:r>
    </w:p>
    <w:p w14:paraId="54B256AE" w14:textId="3C424571" w:rsidR="00370CD0" w:rsidRPr="00022524" w:rsidRDefault="00370CD0" w:rsidP="00370CD0">
      <w:pPr>
        <w:pStyle w:val="BulletPoint1"/>
        <w:spacing w:line="210" w:lineRule="exact"/>
      </w:pPr>
      <w:r w:rsidRPr="00022524">
        <w:t xml:space="preserve">The analysis shows that both types of programmes, those focusing on human capital and those supporting sustainable growth, have not used the flexibility that would be allowed by Regulation (EU) No 1303/2013, as all </w:t>
      </w:r>
      <w:proofErr w:type="spellStart"/>
      <w:r w:rsidR="00DA7557">
        <w:t>PAx</w:t>
      </w:r>
      <w:proofErr w:type="spellEnd"/>
      <w:r w:rsidRPr="00022524">
        <w:t xml:space="preserve"> of these programmes have a performance reserve of 6%. </w:t>
      </w:r>
    </w:p>
    <w:p w14:paraId="58B44340" w14:textId="556EDEE9" w:rsidR="00370CD0" w:rsidRPr="00022524" w:rsidRDefault="00370CD0" w:rsidP="00370CD0">
      <w:pPr>
        <w:pStyle w:val="BulletPoint1"/>
        <w:spacing w:line="210" w:lineRule="exact"/>
        <w:rPr>
          <w:spacing w:val="-3"/>
        </w:rPr>
      </w:pPr>
      <w:proofErr w:type="gramStart"/>
      <w:r w:rsidRPr="00022524">
        <w:rPr>
          <w:spacing w:val="-3"/>
        </w:rPr>
        <w:t>transport</w:t>
      </w:r>
      <w:proofErr w:type="gramEnd"/>
      <w:r w:rsidRPr="00022524">
        <w:rPr>
          <w:spacing w:val="-3"/>
        </w:rPr>
        <w:t xml:space="preserve"> and infrastructure programmes have nearly 10% of </w:t>
      </w:r>
      <w:proofErr w:type="spellStart"/>
      <w:r w:rsidR="00DA7557">
        <w:rPr>
          <w:spacing w:val="-3"/>
        </w:rPr>
        <w:t>PAx</w:t>
      </w:r>
      <w:proofErr w:type="spellEnd"/>
      <w:r w:rsidRPr="00022524">
        <w:rPr>
          <w:spacing w:val="-3"/>
        </w:rPr>
        <w:t xml:space="preserve"> with a performance reserve of only 5%, illustrating an increased share in comparison to the other thematic types of programmes. </w:t>
      </w:r>
    </w:p>
    <w:p w14:paraId="1684D9A0" w14:textId="196A68D6" w:rsidR="00370CD0" w:rsidRPr="00022524" w:rsidRDefault="00370CD0" w:rsidP="00370CD0">
      <w:pPr>
        <w:pStyle w:val="BulletPoint1"/>
        <w:spacing w:line="210" w:lineRule="exact"/>
      </w:pPr>
      <w:r w:rsidRPr="00022524">
        <w:t xml:space="preserve">In contrast to these finding are programmes supporting smart growth: 16% of </w:t>
      </w:r>
      <w:proofErr w:type="spellStart"/>
      <w:r w:rsidR="00DA7557">
        <w:t>PAx</w:t>
      </w:r>
      <w:proofErr w:type="spellEnd"/>
      <w:r w:rsidRPr="00022524">
        <w:t xml:space="preserve"> have a performance reserve of 7% representing a clearly increase share in comparison to the other programmes.</w:t>
      </w:r>
    </w:p>
    <w:p w14:paraId="019D8DC5" w14:textId="77777777" w:rsidR="006F2335" w:rsidRPr="00022524" w:rsidRDefault="006F2335" w:rsidP="00A0452B">
      <w:pPr>
        <w:pStyle w:val="Heading2"/>
      </w:pPr>
      <w:bookmarkStart w:id="186" w:name="_Toc433973117"/>
      <w:bookmarkStart w:id="187" w:name="_Toc433973199"/>
      <w:bookmarkStart w:id="188" w:name="_Toc448144119"/>
      <w:r w:rsidRPr="00022524">
        <w:t>Conclusions</w:t>
      </w:r>
      <w:bookmarkEnd w:id="186"/>
      <w:bookmarkEnd w:id="187"/>
      <w:bookmarkEnd w:id="188"/>
    </w:p>
    <w:p w14:paraId="14546C5A" w14:textId="2244AB91" w:rsidR="006F2335" w:rsidRPr="00022524" w:rsidRDefault="006F2335" w:rsidP="006F2335">
      <w:pPr>
        <w:pStyle w:val="Body"/>
        <w:spacing w:line="216" w:lineRule="exact"/>
      </w:pPr>
      <w:bookmarkStart w:id="189" w:name="_Ref433011138"/>
      <w:bookmarkStart w:id="190" w:name="_Toc433017930"/>
      <w:r w:rsidRPr="00022524">
        <w:t xml:space="preserve">The majority of MS have not made use of the flexibility to set a performance reserve ranging </w:t>
      </w:r>
      <w:proofErr w:type="gramStart"/>
      <w:r w:rsidRPr="00022524">
        <w:t>between 5% to 7% of the allocation</w:t>
      </w:r>
      <w:proofErr w:type="gramEnd"/>
      <w:r w:rsidRPr="00022524">
        <w:t xml:space="preserve">. The analysis shows that only Germany, Spain, Greece, Hungary Italy and Poland made use of the flexibility </w:t>
      </w:r>
      <w:r w:rsidR="005A5062" w:rsidRPr="00022524">
        <w:t>by applying</w:t>
      </w:r>
      <w:r w:rsidRPr="00022524">
        <w:t xml:space="preserve"> a performance reserve ranging between 5% and 7%; </w:t>
      </w:r>
      <w:r w:rsidR="00AE40BA" w:rsidRPr="00022524">
        <w:t xml:space="preserve">a higher degree of </w:t>
      </w:r>
      <w:r w:rsidRPr="00022524">
        <w:t>flexibility</w:t>
      </w:r>
      <w:r w:rsidR="00AE40BA" w:rsidRPr="00022524">
        <w:t xml:space="preserve"> (i.e. 5% or 7%)</w:t>
      </w:r>
      <w:r w:rsidRPr="00022524">
        <w:t xml:space="preserve"> was used in a total of 29 OPs. All other </w:t>
      </w:r>
      <w:proofErr w:type="spellStart"/>
      <w:r w:rsidR="00DA7557">
        <w:t>PAx</w:t>
      </w:r>
      <w:proofErr w:type="spellEnd"/>
      <w:r w:rsidRPr="00022524">
        <w:t xml:space="preserve"> levels were </w:t>
      </w:r>
      <w:r w:rsidR="00AE40BA" w:rsidRPr="00022524">
        <w:t xml:space="preserve">at </w:t>
      </w:r>
      <w:r w:rsidRPr="00022524">
        <w:t>6% of total allocations.</w:t>
      </w:r>
    </w:p>
    <w:p w14:paraId="05CD6B80" w14:textId="77777777" w:rsidR="006F2335" w:rsidRPr="00022524" w:rsidRDefault="006F2335" w:rsidP="006F2335">
      <w:pPr>
        <w:pStyle w:val="Body"/>
        <w:spacing w:line="216" w:lineRule="exact"/>
      </w:pPr>
      <w:r w:rsidRPr="00022524">
        <w:t xml:space="preserve">The situation of mono and multi-funded programmes is quite similar, the same applies for mono-region and multi-region programmes. </w:t>
      </w:r>
    </w:p>
    <w:p w14:paraId="34A1D253" w14:textId="44174B90" w:rsidR="006F2335" w:rsidRPr="00022524" w:rsidRDefault="006F2335" w:rsidP="006F2335">
      <w:pPr>
        <w:pStyle w:val="Body"/>
        <w:spacing w:line="216" w:lineRule="exact"/>
      </w:pPr>
      <w:r w:rsidRPr="00022524">
        <w:t xml:space="preserve">Thematically </w:t>
      </w:r>
      <w:proofErr w:type="spellStart"/>
      <w:r w:rsidR="00DA7557">
        <w:t>PAx</w:t>
      </w:r>
      <w:proofErr w:type="spellEnd"/>
      <w:r w:rsidRPr="00022524">
        <w:t xml:space="preserve"> with a performance reserve of 5% or 7% often refer to supporting the shift towards a low-carbon economy or to strengthening research, technological development and innovation, ICT or the competitiveness of SMEs; furthermore 10% of </w:t>
      </w:r>
      <w:proofErr w:type="spellStart"/>
      <w:r w:rsidR="00DA7557">
        <w:t>PAx</w:t>
      </w:r>
      <w:proofErr w:type="spellEnd"/>
      <w:r w:rsidRPr="00022524">
        <w:t xml:space="preserve"> with a performance reserve of 7% refer to social inclusion and the combat of poverty and discrimination. </w:t>
      </w:r>
    </w:p>
    <w:p w14:paraId="3F0E7A8E" w14:textId="77777777" w:rsidR="00B5653B" w:rsidRPr="00022524" w:rsidRDefault="00B5653B" w:rsidP="00123452">
      <w:pPr>
        <w:pStyle w:val="Headingone"/>
        <w:spacing w:after="240"/>
        <w:ind w:left="482" w:hanging="482"/>
      </w:pPr>
      <w:bookmarkStart w:id="191" w:name="_Ref433211462"/>
      <w:bookmarkStart w:id="192" w:name="_Toc433973118"/>
      <w:bookmarkStart w:id="193" w:name="_Toc448144120"/>
      <w:r w:rsidRPr="00022524">
        <w:lastRenderedPageBreak/>
        <w:t>Conclusions: main benefits and challenges</w:t>
      </w:r>
      <w:bookmarkEnd w:id="189"/>
      <w:bookmarkEnd w:id="190"/>
      <w:bookmarkEnd w:id="191"/>
      <w:bookmarkEnd w:id="192"/>
      <w:bookmarkEnd w:id="193"/>
    </w:p>
    <w:p w14:paraId="298064DA" w14:textId="77777777" w:rsidR="003A7E37" w:rsidRPr="00022524" w:rsidRDefault="003A7E37" w:rsidP="00370CD0">
      <w:pPr>
        <w:pStyle w:val="Body"/>
      </w:pPr>
      <w:r w:rsidRPr="00022524">
        <w:t xml:space="preserve">The performance framework is to a large degree a new </w:t>
      </w:r>
      <w:r w:rsidR="00532268" w:rsidRPr="00022524">
        <w:t>element</w:t>
      </w:r>
      <w:r w:rsidRPr="00022524">
        <w:t xml:space="preserve"> which helps to focus programmes and underline the importance of indicators in terms of result orientation of programmes. The importance of the performance framework lies in improving programme management. Notwithstanding, the requirements of the performance framework seek to ensure that programmes deliver what is under the </w:t>
      </w:r>
      <w:r w:rsidR="00532268" w:rsidRPr="00022524">
        <w:t>MAs’</w:t>
      </w:r>
      <w:r w:rsidR="005A5062" w:rsidRPr="00022524">
        <w:t xml:space="preserve"> control. This includes the </w:t>
      </w:r>
      <w:r w:rsidRPr="00022524">
        <w:t>implementation of the programme</w:t>
      </w:r>
      <w:r w:rsidR="005A5062" w:rsidRPr="00022524">
        <w:t>s</w:t>
      </w:r>
      <w:r w:rsidRPr="00022524">
        <w:t xml:space="preserve"> as planned, </w:t>
      </w:r>
      <w:r w:rsidR="005A5062" w:rsidRPr="00022524">
        <w:t>the</w:t>
      </w:r>
      <w:r w:rsidRPr="00022524">
        <w:t xml:space="preserve"> achievement of </w:t>
      </w:r>
      <w:r w:rsidR="005A5062" w:rsidRPr="00022524">
        <w:t>objectives, and the ability to</w:t>
      </w:r>
      <w:r w:rsidRPr="00022524">
        <w:t xml:space="preserve"> anticipate and tackle problems</w:t>
      </w:r>
      <w:r w:rsidR="005A5062" w:rsidRPr="00022524">
        <w:t xml:space="preserve">. </w:t>
      </w:r>
      <w:r w:rsidRPr="00022524">
        <w:t>The performance framew</w:t>
      </w:r>
      <w:r w:rsidR="005A5062" w:rsidRPr="00022524">
        <w:t>ork, therefore, aims to ensure</w:t>
      </w:r>
      <w:r w:rsidRPr="00022524">
        <w:t xml:space="preserve"> monitoring progress that </w:t>
      </w:r>
      <w:r w:rsidR="005A5062" w:rsidRPr="00022524">
        <w:t>help programmes</w:t>
      </w:r>
      <w:r w:rsidRPr="00022524">
        <w:t xml:space="preserve"> achieving the</w:t>
      </w:r>
      <w:r w:rsidR="005A5062" w:rsidRPr="00022524">
        <w:t>ir</w:t>
      </w:r>
      <w:r w:rsidRPr="00022524">
        <w:t xml:space="preserve"> set objectives and targets, </w:t>
      </w:r>
      <w:r w:rsidR="005A5062" w:rsidRPr="00022524">
        <w:t xml:space="preserve">therefore, </w:t>
      </w:r>
      <w:r w:rsidRPr="00022524">
        <w:t>promot</w:t>
      </w:r>
      <w:r w:rsidR="005A5062" w:rsidRPr="00022524">
        <w:t>ing</w:t>
      </w:r>
      <w:r w:rsidRPr="00022524">
        <w:t xml:space="preserve"> good performance</w:t>
      </w:r>
      <w:r w:rsidRPr="00022524">
        <w:rPr>
          <w:rStyle w:val="FootnoteReference"/>
          <w:sz w:val="20"/>
        </w:rPr>
        <w:footnoteReference w:id="38"/>
      </w:r>
      <w:r w:rsidRPr="00022524">
        <w:t xml:space="preserve">. However, while there are clear benefits </w:t>
      </w:r>
      <w:r w:rsidR="005A5062" w:rsidRPr="00022524">
        <w:t xml:space="preserve">to the performance framework, </w:t>
      </w:r>
      <w:r w:rsidRPr="00022524">
        <w:t>there are also a number of caveats and challenges</w:t>
      </w:r>
      <w:r w:rsidR="005A5062" w:rsidRPr="00022524">
        <w:t>. These challenges will require attention in the years to come, and a careful consideration with regard to the limitations of the performance framework when applied across programmes and MS.</w:t>
      </w:r>
    </w:p>
    <w:p w14:paraId="3DA9D776" w14:textId="77777777" w:rsidR="00370CD0" w:rsidRPr="00022524" w:rsidRDefault="00370CD0" w:rsidP="00A0452B">
      <w:pPr>
        <w:pStyle w:val="Heading2"/>
      </w:pPr>
      <w:bookmarkStart w:id="194" w:name="_Ref432407919"/>
      <w:bookmarkStart w:id="195" w:name="_Toc432600888"/>
      <w:bookmarkStart w:id="196" w:name="_Toc433973119"/>
      <w:bookmarkStart w:id="197" w:name="_Toc433973200"/>
      <w:bookmarkStart w:id="198" w:name="_Toc448144121"/>
      <w:bookmarkStart w:id="199" w:name="_Ref429490689"/>
      <w:bookmarkStart w:id="200" w:name="_Toc429671087"/>
      <w:r w:rsidRPr="00022524">
        <w:t>General findings</w:t>
      </w:r>
      <w:bookmarkEnd w:id="194"/>
      <w:bookmarkEnd w:id="195"/>
      <w:bookmarkEnd w:id="196"/>
      <w:bookmarkEnd w:id="197"/>
      <w:bookmarkEnd w:id="198"/>
    </w:p>
    <w:p w14:paraId="37BBA2A8" w14:textId="11B9B9E5" w:rsidR="00370CD0" w:rsidRPr="00022524" w:rsidRDefault="003052D0" w:rsidP="00370CD0">
      <w:pPr>
        <w:pStyle w:val="Body"/>
      </w:pPr>
      <w:r w:rsidRPr="00022524">
        <w:rPr>
          <w:b/>
        </w:rPr>
        <w:t xml:space="preserve">Performance frameworks </w:t>
      </w:r>
      <w:r w:rsidR="003F7D18" w:rsidRPr="00022524">
        <w:rPr>
          <w:b/>
        </w:rPr>
        <w:t xml:space="preserve">were </w:t>
      </w:r>
      <w:r w:rsidRPr="00022524">
        <w:rPr>
          <w:b/>
        </w:rPr>
        <w:t>buil</w:t>
      </w:r>
      <w:r w:rsidR="003F7D18" w:rsidRPr="00022524">
        <w:rPr>
          <w:b/>
        </w:rPr>
        <w:t>t</w:t>
      </w:r>
      <w:r w:rsidRPr="00022524">
        <w:rPr>
          <w:b/>
        </w:rPr>
        <w:t xml:space="preserve"> on a sound basis </w:t>
      </w:r>
      <w:r w:rsidR="003F7D18" w:rsidRPr="00022524">
        <w:rPr>
          <w:b/>
        </w:rPr>
        <w:t>mainly relying on previous experience</w:t>
      </w:r>
      <w:r w:rsidRPr="00022524">
        <w:rPr>
          <w:b/>
        </w:rPr>
        <w:t>.</w:t>
      </w:r>
      <w:r w:rsidRPr="00022524">
        <w:t xml:space="preserve"> T</w:t>
      </w:r>
      <w:r w:rsidR="00370CD0" w:rsidRPr="00022524">
        <w:t xml:space="preserve">he analysis </w:t>
      </w:r>
      <w:r w:rsidR="00CA6D6B" w:rsidRPr="00022524">
        <w:t>shows</w:t>
      </w:r>
      <w:r w:rsidR="00370CD0" w:rsidRPr="00022524">
        <w:t xml:space="preserve"> that the drafting teams had a strong role in the development of the performance frameworks. Depending on the national set-up for ESIF management, national coordination bodies and intermediate bodies are also influential and </w:t>
      </w:r>
      <w:r w:rsidR="00532268" w:rsidRPr="00022524">
        <w:t xml:space="preserve">ex-ante </w:t>
      </w:r>
      <w:r w:rsidR="00370CD0" w:rsidRPr="00022524">
        <w:t xml:space="preserve">evaluators and the EC often support these actors. The work performed by these bodies and individuals was largely based on past experience in the field of indicators and programme specific documents. </w:t>
      </w:r>
      <w:r w:rsidR="00775185" w:rsidRPr="00022524">
        <w:t xml:space="preserve">The responsible players perceived </w:t>
      </w:r>
      <w:r w:rsidR="00532268" w:rsidRPr="00022524">
        <w:t>EC guidance mainly as clear.</w:t>
      </w:r>
    </w:p>
    <w:p w14:paraId="345BEA3D" w14:textId="77777777" w:rsidR="00370CD0" w:rsidRPr="00022524" w:rsidRDefault="00370CD0" w:rsidP="00370CD0">
      <w:pPr>
        <w:pStyle w:val="Body"/>
      </w:pPr>
      <w:r w:rsidRPr="00022524">
        <w:t xml:space="preserve">Past experience was the most important guide for the selection of indicators and defining milestones and targets for the performance frameworks. In addition, various types of calculations and forecasting </w:t>
      </w:r>
      <w:r w:rsidR="00FD2D77" w:rsidRPr="00022524">
        <w:t xml:space="preserve">(e.g. taking into account the number of funding years and allocated financial resources) </w:t>
      </w:r>
      <w:r w:rsidRPr="00022524">
        <w:t xml:space="preserve">were used to ensure that the milestones and targets reflect the funding sources available and the implementation time. In most cases, discussion with experts or within relevant groups played a role in fine-tuning the figures. </w:t>
      </w:r>
      <w:r w:rsidR="00054E07" w:rsidRPr="00022524">
        <w:t xml:space="preserve">This underlines the efforts undertaken by the programmes to put the performance frameworks on a solid basis. </w:t>
      </w:r>
    </w:p>
    <w:p w14:paraId="4535EC85" w14:textId="2E91D9DC" w:rsidR="0027596F" w:rsidRPr="00022524" w:rsidRDefault="00130ABD" w:rsidP="00974E5E">
      <w:pPr>
        <w:pStyle w:val="Body"/>
      </w:pPr>
      <w:r w:rsidRPr="00022524">
        <w:rPr>
          <w:b/>
        </w:rPr>
        <w:t>F</w:t>
      </w:r>
      <w:r w:rsidR="00974E5E" w:rsidRPr="00022524">
        <w:rPr>
          <w:b/>
        </w:rPr>
        <w:t xml:space="preserve">inancial and output indicators </w:t>
      </w:r>
      <w:r w:rsidRPr="00022524">
        <w:rPr>
          <w:b/>
        </w:rPr>
        <w:t>are most frequently used in</w:t>
      </w:r>
      <w:r w:rsidR="00974E5E" w:rsidRPr="00022524">
        <w:rPr>
          <w:b/>
        </w:rPr>
        <w:t xml:space="preserve"> performance frameworks</w:t>
      </w:r>
      <w:r w:rsidR="00974E5E" w:rsidRPr="00022524">
        <w:t xml:space="preserve"> (in line with EC requirements)</w:t>
      </w:r>
      <w:r w:rsidRPr="00022524">
        <w:t>.</w:t>
      </w:r>
      <w:r w:rsidR="00E8581F" w:rsidRPr="00022524">
        <w:t xml:space="preserve"> </w:t>
      </w:r>
      <w:r w:rsidR="0027596F" w:rsidRPr="00022524">
        <w:t>All MS and groups of IGJ programmes (fund combinations, thematic orientation, categories of region) use output and financial indicators in their performance frameworks.</w:t>
      </w:r>
      <w:r w:rsidR="00974E5E" w:rsidRPr="00022524">
        <w:t xml:space="preserve"> </w:t>
      </w:r>
      <w:r w:rsidR="00E8581F" w:rsidRPr="00022524">
        <w:t xml:space="preserve">generally, 45% of all </w:t>
      </w:r>
      <w:proofErr w:type="spellStart"/>
      <w:r w:rsidR="00DA7557">
        <w:t>PAx</w:t>
      </w:r>
      <w:proofErr w:type="spellEnd"/>
      <w:r w:rsidR="00E8581F" w:rsidRPr="00022524">
        <w:t xml:space="preserve"> of IGJ programmes have identified one output indicator only for their PF, the remaining 55% of </w:t>
      </w:r>
      <w:proofErr w:type="spellStart"/>
      <w:r w:rsidR="00DA7557">
        <w:t>PAx</w:t>
      </w:r>
      <w:proofErr w:type="spellEnd"/>
      <w:r w:rsidR="00E8581F" w:rsidRPr="00022524">
        <w:t xml:space="preserve"> identified 2 or more output indicators in their PF.</w:t>
      </w:r>
      <w:r w:rsidR="005A5062" w:rsidRPr="00022524">
        <w:t xml:space="preserve"> </w:t>
      </w:r>
      <w:r w:rsidR="00E8581F" w:rsidRPr="00022524">
        <w:t>L</w:t>
      </w:r>
      <w:r w:rsidR="00974E5E" w:rsidRPr="00022524">
        <w:t xml:space="preserve">ower shares of output indicators </w:t>
      </w:r>
      <w:r w:rsidR="005A5062" w:rsidRPr="00022524">
        <w:t>usually</w:t>
      </w:r>
      <w:r w:rsidR="00974E5E" w:rsidRPr="00022524">
        <w:t xml:space="preserve"> correspond to a</w:t>
      </w:r>
      <w:r w:rsidR="005A5062" w:rsidRPr="00022524">
        <w:t xml:space="preserve"> higher than EU average</w:t>
      </w:r>
      <w:r w:rsidR="00974E5E" w:rsidRPr="00022524">
        <w:t xml:space="preserve"> share of key implementation steps. </w:t>
      </w:r>
    </w:p>
    <w:p w14:paraId="40BF734C" w14:textId="2C5FAAF5" w:rsidR="0027596F" w:rsidRPr="00022524" w:rsidRDefault="0027596F" w:rsidP="00974E5E">
      <w:pPr>
        <w:pStyle w:val="Body"/>
      </w:pPr>
      <w:r w:rsidRPr="00022524">
        <w:rPr>
          <w:b/>
        </w:rPr>
        <w:t>K</w:t>
      </w:r>
      <w:r w:rsidR="00974E5E" w:rsidRPr="00022524">
        <w:rPr>
          <w:b/>
        </w:rPr>
        <w:t>ey implementation steps are used to a lesser extent</w:t>
      </w:r>
      <w:r w:rsidR="005A5062" w:rsidRPr="00022524">
        <w:rPr>
          <w:b/>
        </w:rPr>
        <w:t>.</w:t>
      </w:r>
      <w:r w:rsidR="005A5062" w:rsidRPr="00022524">
        <w:t xml:space="preserve"> They are applied</w:t>
      </w:r>
      <w:r w:rsidR="00974E5E" w:rsidRPr="00022524">
        <w:t xml:space="preserve"> mainly in those cases where no measureable output is expected by the end of 2018. </w:t>
      </w:r>
      <w:r w:rsidRPr="00022524">
        <w:t xml:space="preserve">For 75% of all </w:t>
      </w:r>
      <w:proofErr w:type="spellStart"/>
      <w:r w:rsidR="00DA7557">
        <w:t>PAx</w:t>
      </w:r>
      <w:proofErr w:type="spellEnd"/>
      <w:r w:rsidRPr="00022524">
        <w:t xml:space="preserve"> of IGJ programmes no key implementation steps were identified. </w:t>
      </w:r>
      <w:r w:rsidR="00974E5E" w:rsidRPr="00022524">
        <w:t xml:space="preserve">High numbers of key implementation steps are visible in Greece </w:t>
      </w:r>
      <w:r w:rsidR="005A5062" w:rsidRPr="00022524">
        <w:t>as well as</w:t>
      </w:r>
      <w:r w:rsidR="00974E5E" w:rsidRPr="00022524">
        <w:t xml:space="preserve"> in Bulgaria. </w:t>
      </w:r>
      <w:r w:rsidRPr="00022524">
        <w:t>Key implementation steps are not used in Austria, the Czech Republic, Denmark, Estonia, Finland and Luxembourg.</w:t>
      </w:r>
    </w:p>
    <w:p w14:paraId="0BB7014E" w14:textId="7CFB5BC1" w:rsidR="009750F9" w:rsidRPr="00022524" w:rsidRDefault="005F3246" w:rsidP="00974E5E">
      <w:pPr>
        <w:pStyle w:val="Body"/>
      </w:pPr>
      <w:r w:rsidRPr="00022524">
        <w:rPr>
          <w:b/>
        </w:rPr>
        <w:t>Result indicators were only used for</w:t>
      </w:r>
      <w:r w:rsidR="00E67680" w:rsidRPr="00022524">
        <w:rPr>
          <w:b/>
        </w:rPr>
        <w:t xml:space="preserve"> </w:t>
      </w:r>
      <w:r w:rsidR="00106BAB" w:rsidRPr="00022524">
        <w:rPr>
          <w:b/>
        </w:rPr>
        <w:t>the ESF</w:t>
      </w:r>
      <w:r w:rsidRPr="00022524">
        <w:rPr>
          <w:b/>
        </w:rPr>
        <w:t xml:space="preserve">. </w:t>
      </w:r>
      <w:r w:rsidR="00974E5E" w:rsidRPr="00022524">
        <w:t>Result indicators are</w:t>
      </w:r>
      <w:r w:rsidR="005A5062" w:rsidRPr="00022524">
        <w:t xml:space="preserve"> only</w:t>
      </w:r>
      <w:r w:rsidR="00974E5E" w:rsidRPr="00022524">
        <w:t xml:space="preserve"> used </w:t>
      </w:r>
      <w:r w:rsidR="00E8581F" w:rsidRPr="00022524">
        <w:t>for</w:t>
      </w:r>
      <w:r w:rsidR="00C11EE9">
        <w:t xml:space="preserve"> the ESF</w:t>
      </w:r>
      <w:r w:rsidR="00E8581F" w:rsidRPr="00022524">
        <w:t>. Th</w:t>
      </w:r>
      <w:r w:rsidR="00630C7F" w:rsidRPr="00022524">
        <w:t>i</w:t>
      </w:r>
      <w:r w:rsidR="00E8581F" w:rsidRPr="00022524">
        <w:t>s finding correspond</w:t>
      </w:r>
      <w:r w:rsidR="00630C7F" w:rsidRPr="00022524">
        <w:t>s</w:t>
      </w:r>
      <w:r w:rsidR="00E8581F" w:rsidRPr="00022524">
        <w:t xml:space="preserve"> to the EC’s suggestion that result indicators “may be used as they are very closely linked to the supported person or entity and the data are thus available in time”</w:t>
      </w:r>
      <w:r w:rsidR="00E8581F" w:rsidRPr="00022524">
        <w:rPr>
          <w:rStyle w:val="FootnoteReference"/>
        </w:rPr>
        <w:footnoteReference w:id="39"/>
      </w:r>
      <w:r w:rsidR="00E8581F" w:rsidRPr="00022524">
        <w:t xml:space="preserve">. Result indicators are used </w:t>
      </w:r>
      <w:r w:rsidR="00974E5E" w:rsidRPr="00022524">
        <w:t>in</w:t>
      </w:r>
      <w:r w:rsidR="00E8581F" w:rsidRPr="00022524">
        <w:t xml:space="preserve"> programmes of</w:t>
      </w:r>
      <w:r w:rsidR="00974E5E" w:rsidRPr="00022524">
        <w:t xml:space="preserve"> Bulgaria, France and </w:t>
      </w:r>
      <w:r w:rsidR="00E8581F" w:rsidRPr="00022524">
        <w:t>Romania</w:t>
      </w:r>
      <w:r w:rsidR="005A5062" w:rsidRPr="00022524">
        <w:t>,</w:t>
      </w:r>
      <w:r w:rsidR="006E6103" w:rsidRPr="00022524">
        <w:t xml:space="preserve"> </w:t>
      </w:r>
      <w:r w:rsidR="00974E5E" w:rsidRPr="00022524">
        <w:t>but</w:t>
      </w:r>
      <w:r w:rsidR="005A5062" w:rsidRPr="00022524">
        <w:t xml:space="preserve"> even in these MS these indicators were used</w:t>
      </w:r>
      <w:r w:rsidR="00974E5E" w:rsidRPr="00022524">
        <w:t xml:space="preserve"> to a very small extent. </w:t>
      </w:r>
    </w:p>
    <w:p w14:paraId="06B9C6E2" w14:textId="77777777" w:rsidR="00D33DC9" w:rsidRPr="00022524" w:rsidRDefault="00974E5E" w:rsidP="005A5062">
      <w:pPr>
        <w:pStyle w:val="Body"/>
      </w:pPr>
      <w:r w:rsidRPr="00022524">
        <w:rPr>
          <w:b/>
        </w:rPr>
        <w:t>Common output indicators of ERDF/CF and ESF are frequently used</w:t>
      </w:r>
      <w:r w:rsidR="009750F9" w:rsidRPr="00022524">
        <w:rPr>
          <w:b/>
        </w:rPr>
        <w:t>.</w:t>
      </w:r>
      <w:r w:rsidR="009750F9" w:rsidRPr="00022524">
        <w:t xml:space="preserve"> A</w:t>
      </w:r>
      <w:r w:rsidRPr="00022524">
        <w:t xml:space="preserve">pproximately 50% of all output indicators are common ones. </w:t>
      </w:r>
      <w:r w:rsidR="00803A74" w:rsidRPr="00022524">
        <w:t>H</w:t>
      </w:r>
      <w:r w:rsidRPr="00022524">
        <w:t xml:space="preserve">igh </w:t>
      </w:r>
      <w:r w:rsidR="0013032E" w:rsidRPr="00022524">
        <w:t xml:space="preserve">numbers can be found in </w:t>
      </w:r>
      <w:r w:rsidRPr="00022524">
        <w:t xml:space="preserve">Austria, Denmark, Luxembourg and Sweden. </w:t>
      </w:r>
    </w:p>
    <w:p w14:paraId="200F92C3" w14:textId="77777777" w:rsidR="005A5062" w:rsidRPr="00022524" w:rsidRDefault="00D33DC9" w:rsidP="005A5062">
      <w:pPr>
        <w:pStyle w:val="Body"/>
      </w:pPr>
      <w:r w:rsidRPr="00022524">
        <w:rPr>
          <w:b/>
        </w:rPr>
        <w:t>T</w:t>
      </w:r>
      <w:r w:rsidR="005A5062" w:rsidRPr="00022524">
        <w:rPr>
          <w:b/>
        </w:rPr>
        <w:t xml:space="preserve">he quality of indicator milestones and targets </w:t>
      </w:r>
      <w:r w:rsidRPr="00022524">
        <w:rPr>
          <w:b/>
        </w:rPr>
        <w:t>is</w:t>
      </w:r>
      <w:r w:rsidR="005A5062" w:rsidRPr="00022524">
        <w:rPr>
          <w:b/>
        </w:rPr>
        <w:t xml:space="preserve"> overall high</w:t>
      </w:r>
      <w:r w:rsidR="005A5062" w:rsidRPr="00022524">
        <w:t xml:space="preserve"> </w:t>
      </w:r>
      <w:r w:rsidRPr="00022524">
        <w:t>concerning</w:t>
      </w:r>
      <w:r w:rsidR="005A5062" w:rsidRPr="00022524">
        <w:t xml:space="preserve"> </w:t>
      </w:r>
      <w:r w:rsidRPr="00022524">
        <w:t xml:space="preserve">the </w:t>
      </w:r>
      <w:r w:rsidR="005A5062" w:rsidRPr="00022524">
        <w:t xml:space="preserve">Annex II criteria of Regulation (EU) No 1303/2013. Overall, indicators demonstrated a good rating in </w:t>
      </w:r>
      <w:r w:rsidR="005A5062" w:rsidRPr="00022524">
        <w:lastRenderedPageBreak/>
        <w:t>relation to the majority of the criteria. However, indicator consistency across programmes was identified as a very difficult topic, especially for programme-specific indicators. Output indicators of ETC programmes received a very good rating. Milestones and targets of financial indicators were reported to be less clear, though ranging at a similar level as the IGJ financial indicators.</w:t>
      </w:r>
      <w:r w:rsidR="00E8581F" w:rsidRPr="00022524">
        <w:t xml:space="preserve"> However, it was not always clear to the project team whether criteria were met by the PF indicators, due to missing evidence to assess their status.</w:t>
      </w:r>
    </w:p>
    <w:p w14:paraId="107E0155" w14:textId="77777777" w:rsidR="00974E5E" w:rsidRPr="00022524" w:rsidRDefault="00D33DC9" w:rsidP="00974E5E">
      <w:pPr>
        <w:pStyle w:val="Body"/>
      </w:pPr>
      <w:r w:rsidRPr="00022524">
        <w:rPr>
          <w:b/>
        </w:rPr>
        <w:t>T</w:t>
      </w:r>
      <w:r w:rsidR="00974E5E" w:rsidRPr="00022524">
        <w:rPr>
          <w:b/>
        </w:rPr>
        <w:t>he rhythm of delivery for common output and financial indicators</w:t>
      </w:r>
      <w:r w:rsidRPr="00022524">
        <w:rPr>
          <w:b/>
        </w:rPr>
        <w:t xml:space="preserve"> is realistic.</w:t>
      </w:r>
      <w:r w:rsidRPr="00022524">
        <w:t xml:space="preserve"> The </w:t>
      </w:r>
      <w:r w:rsidR="00961121" w:rsidRPr="00022524">
        <w:t>analysis</w:t>
      </w:r>
      <w:r w:rsidR="00974E5E" w:rsidRPr="00022524">
        <w:t xml:space="preserve"> underlines the differences in the nature of </w:t>
      </w:r>
      <w:r w:rsidR="003D4AEC" w:rsidRPr="00022524">
        <w:t>the interventions being monitored by those indicators,</w:t>
      </w:r>
      <w:r w:rsidR="00974E5E" w:rsidRPr="00022524">
        <w:t xml:space="preserve"> as for example the slow uptake of transport indicators was reported illustrating the implementation nature of transport projects during programme implementation. For the majority of financial indicators, a moderate share of target is planned to be reached in 2018. </w:t>
      </w:r>
      <w:r w:rsidR="00E8581F" w:rsidRPr="00022524">
        <w:t xml:space="preserve">Financial indicators across all thematic objectives show mainly low to moderate shares of the target to be reached in 2018, as for all TOs the shares of category I and II cover 70% to 80%. </w:t>
      </w:r>
      <w:r w:rsidR="00974E5E" w:rsidRPr="00022524">
        <w:t xml:space="preserve">All IGJ programmes focusing on different categories of regions show similar progress in reaching the targets of their financial indicators, although mono-region programme show a slightly faster uptake than multi-region ones. </w:t>
      </w:r>
    </w:p>
    <w:p w14:paraId="4D05E016" w14:textId="24F09CDC" w:rsidR="00974E5E" w:rsidRPr="00022524" w:rsidRDefault="00C20B5F" w:rsidP="00974E5E">
      <w:pPr>
        <w:pStyle w:val="Body"/>
        <w:spacing w:line="216" w:lineRule="exact"/>
      </w:pPr>
      <w:r w:rsidRPr="00022524">
        <w:rPr>
          <w:b/>
        </w:rPr>
        <w:t>T</w:t>
      </w:r>
      <w:r w:rsidR="00974E5E" w:rsidRPr="00022524">
        <w:rPr>
          <w:b/>
        </w:rPr>
        <w:t>he majority of MS have not made use of the flexibility to set a performance reserve</w:t>
      </w:r>
      <w:r w:rsidR="00974E5E" w:rsidRPr="00022524">
        <w:t xml:space="preserve"> ranging </w:t>
      </w:r>
      <w:proofErr w:type="gramStart"/>
      <w:r w:rsidR="00974E5E" w:rsidRPr="00022524">
        <w:t>between 5% to 7% of the allocation</w:t>
      </w:r>
      <w:proofErr w:type="gramEnd"/>
      <w:r w:rsidR="00974E5E" w:rsidRPr="00022524">
        <w:t xml:space="preserve">. The analysis shows that only Germany, Spain, Greece, Hungary Italy and Poland made use of the flexibility of using a performance reserve ranging between 5% and 7%; flexibility was used in a total of 29 OPs. All other </w:t>
      </w:r>
      <w:proofErr w:type="spellStart"/>
      <w:r w:rsidR="00DA7557">
        <w:t>PAx</w:t>
      </w:r>
      <w:proofErr w:type="spellEnd"/>
      <w:r w:rsidR="00974E5E" w:rsidRPr="00022524">
        <w:t xml:space="preserve"> levels were around 6% of total allocations. The situation of mono and multi-funded programmes is quite similar, the same applies for mono-region and multi-region programmes. </w:t>
      </w:r>
    </w:p>
    <w:p w14:paraId="75728D65" w14:textId="77777777" w:rsidR="00532268" w:rsidRPr="00022524" w:rsidRDefault="0014552D" w:rsidP="00532268">
      <w:pPr>
        <w:pStyle w:val="Body"/>
      </w:pPr>
      <w:r w:rsidRPr="00022524">
        <w:rPr>
          <w:b/>
        </w:rPr>
        <w:t xml:space="preserve">The development of the performance framework </w:t>
      </w:r>
      <w:r w:rsidR="003F7D18" w:rsidRPr="00022524">
        <w:rPr>
          <w:b/>
        </w:rPr>
        <w:t xml:space="preserve">has generated considerable debate and exchanges - </w:t>
      </w:r>
      <w:r w:rsidRPr="00022524">
        <w:rPr>
          <w:b/>
        </w:rPr>
        <w:t>various feedback loops and revisions played an important role.</w:t>
      </w:r>
      <w:r w:rsidRPr="00022524">
        <w:t xml:space="preserve"> </w:t>
      </w:r>
      <w:r w:rsidR="005A5062" w:rsidRPr="00022524">
        <w:t xml:space="preserve">Dialogue and feedback </w:t>
      </w:r>
      <w:r w:rsidRPr="00022524">
        <w:t>were</w:t>
      </w:r>
      <w:r w:rsidR="005A5062" w:rsidRPr="00022524">
        <w:t xml:space="preserve"> </w:t>
      </w:r>
      <w:r w:rsidR="00532268" w:rsidRPr="00022524">
        <w:t>important when designing the performance framework. The timing and different actors of these feedback loops have to be distinguished as the analysis highlights not only the weightiness of the central coordination but also the EC’s influence on the review of performance frameworks:</w:t>
      </w:r>
    </w:p>
    <w:p w14:paraId="46A760FD" w14:textId="77777777" w:rsidR="00532268" w:rsidRPr="00022524" w:rsidRDefault="00532268" w:rsidP="00532268">
      <w:pPr>
        <w:pStyle w:val="BulletPoint1"/>
      </w:pPr>
      <w:r w:rsidRPr="00022524">
        <w:t>Feedback/review during the set-up process – both the national coordinators and the ex-ante evaluators seemed to have</w:t>
      </w:r>
      <w:r w:rsidR="005A5062" w:rsidRPr="00022524">
        <w:t xml:space="preserve"> had</w:t>
      </w:r>
      <w:r w:rsidRPr="00022524">
        <w:t xml:space="preserve"> a significant influence on the continuous revision of the performance framework and the indicators. This is due to the new role of the ex—ante evaluation, being designed as an accompanying intervention.</w:t>
      </w:r>
    </w:p>
    <w:p w14:paraId="1E40A925" w14:textId="36145F83" w:rsidR="00532268" w:rsidRPr="00022524" w:rsidRDefault="00532268" w:rsidP="00532268">
      <w:pPr>
        <w:pStyle w:val="BulletPoint1"/>
      </w:pPr>
      <w:r w:rsidRPr="00022524">
        <w:t xml:space="preserve">Feedback/review after submission of the </w:t>
      </w:r>
      <w:r w:rsidR="00C2042A" w:rsidRPr="00022524">
        <w:t xml:space="preserve">programme </w:t>
      </w:r>
      <w:r w:rsidRPr="00022524">
        <w:t>– the Commission played a major role here as 80% of programmes changes parts of their performance framework after EC review. Still, it should be noted that the EC also had an important feedback</w:t>
      </w:r>
      <w:r w:rsidR="004D7992" w:rsidRPr="00022524">
        <w:t xml:space="preserve"> role</w:t>
      </w:r>
      <w:r w:rsidRPr="00022524">
        <w:t xml:space="preserve"> during the set-up phase of the performance frameworks (i.e. during the set-up process, as highlighted above).</w:t>
      </w:r>
    </w:p>
    <w:p w14:paraId="31A5C51D" w14:textId="2B8D01BC" w:rsidR="00532268" w:rsidRPr="00022524" w:rsidRDefault="00532268" w:rsidP="00532268">
      <w:pPr>
        <w:pStyle w:val="Body"/>
      </w:pPr>
      <w:r w:rsidRPr="00022524">
        <w:t xml:space="preserve">Multi-fund programmes as well as </w:t>
      </w:r>
      <w:r w:rsidR="00C2042A" w:rsidRPr="00022524">
        <w:t xml:space="preserve">programmes </w:t>
      </w:r>
      <w:r w:rsidRPr="00022524">
        <w:t xml:space="preserve">with complex priorities have changed their performance frameworks </w:t>
      </w:r>
      <w:r w:rsidR="005A5062" w:rsidRPr="00022524">
        <w:t xml:space="preserve">more often </w:t>
      </w:r>
      <w:r w:rsidRPr="00022524">
        <w:t>based on EC dialogue</w:t>
      </w:r>
      <w:r w:rsidR="005A5062" w:rsidRPr="00022524">
        <w:t>,</w:t>
      </w:r>
      <w:r w:rsidRPr="00022524">
        <w:t xml:space="preserve"> when compared to the EU average. Modifications are recognisable for all EU MS except Romania. The modifications after the review of different stakeholders</w:t>
      </w:r>
      <w:r w:rsidR="005A5062" w:rsidRPr="00022524">
        <w:t>,</w:t>
      </w:r>
      <w:r w:rsidRPr="00022524">
        <w:t xml:space="preserve"> such as the EC or </w:t>
      </w:r>
      <w:r w:rsidR="00E8581F" w:rsidRPr="00022524">
        <w:t xml:space="preserve">the </w:t>
      </w:r>
      <w:r w:rsidRPr="00022524">
        <w:t>ex-ante evaluators underlines the new aspect of performance frameworks being a mandatory element of 2014-2020 ESIF, underlining the importance of indicators, milestones and targets.</w:t>
      </w:r>
    </w:p>
    <w:p w14:paraId="3F87A6C0" w14:textId="77777777" w:rsidR="005A5062" w:rsidRPr="00022524" w:rsidRDefault="005A5062" w:rsidP="005A5062">
      <w:pPr>
        <w:pStyle w:val="Body"/>
      </w:pPr>
      <w:r w:rsidRPr="00022524">
        <w:t>Generally all forms of feedback have been used to revise all elements of the performance framework – notably the milestones and the targets as well as the indicators. However, other MAs and other country experiences have been reported as hardly having played a role, even though learning from other experiences was highly requested by MS.</w:t>
      </w:r>
    </w:p>
    <w:p w14:paraId="5214FCF3" w14:textId="5395E7F2" w:rsidR="00532268" w:rsidRPr="00022524" w:rsidRDefault="00532268" w:rsidP="00532268">
      <w:pPr>
        <w:pStyle w:val="Body"/>
      </w:pPr>
      <w:r w:rsidRPr="00022524">
        <w:t xml:space="preserve">Specific challenges in the elaboration of the performance frameworks in relation to complex priorities and specific delivery modes are visible only occasionally. Although there is some criticism, </w:t>
      </w:r>
      <w:r w:rsidR="005A5062" w:rsidRPr="00022524">
        <w:t xml:space="preserve">the </w:t>
      </w:r>
      <w:r w:rsidRPr="00022524">
        <w:t>overall guidance recei</w:t>
      </w:r>
      <w:r w:rsidR="005A5062" w:rsidRPr="00022524">
        <w:t>ved from the EC was appreciated. I</w:t>
      </w:r>
      <w:r w:rsidRPr="00022524">
        <w:t xml:space="preserve">n particular, the guidance fiche on performance framework was perceived as the most useful guidance document, followed by the Commission </w:t>
      </w:r>
      <w:r w:rsidR="006A5274" w:rsidRPr="00022524">
        <w:t>I</w:t>
      </w:r>
      <w:r w:rsidRPr="00022524">
        <w:t xml:space="preserve">mplementing </w:t>
      </w:r>
      <w:r w:rsidR="006A5274" w:rsidRPr="00022524">
        <w:t>R</w:t>
      </w:r>
      <w:r w:rsidRPr="00022524">
        <w:t xml:space="preserve">egulation and </w:t>
      </w:r>
      <w:r w:rsidR="005A5062" w:rsidRPr="00022524">
        <w:t xml:space="preserve">finally </w:t>
      </w:r>
      <w:r w:rsidRPr="00022524">
        <w:t xml:space="preserve">the draft guidelines for </w:t>
      </w:r>
      <w:r w:rsidR="00C2042A" w:rsidRPr="00022524">
        <w:t>programme</w:t>
      </w:r>
      <w:r w:rsidRPr="00022524">
        <w:t>s.</w:t>
      </w:r>
    </w:p>
    <w:p w14:paraId="0A38D105" w14:textId="77777777" w:rsidR="005A5062" w:rsidRPr="00022524" w:rsidRDefault="00E1675F" w:rsidP="005A5062">
      <w:pPr>
        <w:pStyle w:val="Body"/>
      </w:pPr>
      <w:r w:rsidRPr="00022524">
        <w:rPr>
          <w:b/>
        </w:rPr>
        <w:t>D</w:t>
      </w:r>
      <w:r w:rsidR="00532268" w:rsidRPr="00022524">
        <w:rPr>
          <w:b/>
        </w:rPr>
        <w:t xml:space="preserve">eveloping the performance framework for complex priorities and specific delivery modes was not an easy </w:t>
      </w:r>
      <w:r w:rsidR="00705EFA" w:rsidRPr="00022524">
        <w:rPr>
          <w:b/>
        </w:rPr>
        <w:t>task</w:t>
      </w:r>
      <w:r w:rsidR="00532268" w:rsidRPr="00022524">
        <w:t xml:space="preserve"> – both with respect to dealing with the complexity of the task and the resources needed to accomplish it. Identifying indicators which sufficiently reflect the scope of complex priorities without increasing the total number of indicators was challenging. </w:t>
      </w:r>
      <w:r w:rsidR="005A5062" w:rsidRPr="00022524">
        <w:t xml:space="preserve">Additionally, the definition of milestones and targets was more challenging for complex priorities than in other cases due to the higher frequency of uncertainties involved in these instances. For specific delivery </w:t>
      </w:r>
      <w:r w:rsidR="005A5062" w:rsidRPr="00022524">
        <w:lastRenderedPageBreak/>
        <w:t xml:space="preserve">modes, challenges while elaborating the performance frameworks especially in relation to financial instruments were highlighted. </w:t>
      </w:r>
    </w:p>
    <w:p w14:paraId="40B75F05" w14:textId="77777777" w:rsidR="00532268" w:rsidRPr="00022524" w:rsidRDefault="003F7D18" w:rsidP="00532268">
      <w:pPr>
        <w:pStyle w:val="Body"/>
      </w:pPr>
      <w:r w:rsidRPr="00022524">
        <w:rPr>
          <w:b/>
        </w:rPr>
        <w:t>The necessity to set up a</w:t>
      </w:r>
      <w:r w:rsidR="00532268" w:rsidRPr="00022524">
        <w:rPr>
          <w:b/>
        </w:rPr>
        <w:t xml:space="preserve">rrangements at </w:t>
      </w:r>
      <w:r w:rsidR="005A5062" w:rsidRPr="00022524">
        <w:rPr>
          <w:b/>
        </w:rPr>
        <w:t xml:space="preserve">the </w:t>
      </w:r>
      <w:r w:rsidR="00532268" w:rsidRPr="00022524">
        <w:rPr>
          <w:b/>
        </w:rPr>
        <w:t xml:space="preserve">national level for ensuring consistency in the functioning of the performance framework </w:t>
      </w:r>
      <w:r w:rsidRPr="00022524">
        <w:rPr>
          <w:b/>
        </w:rPr>
        <w:t xml:space="preserve">has been taken seriously, with various actions taken to ensure </w:t>
      </w:r>
      <w:proofErr w:type="gramStart"/>
      <w:r w:rsidRPr="00022524">
        <w:rPr>
          <w:b/>
        </w:rPr>
        <w:t xml:space="preserve">coordination </w:t>
      </w:r>
      <w:r w:rsidR="00532268" w:rsidRPr="00022524">
        <w:rPr>
          <w:b/>
        </w:rPr>
        <w:t>.</w:t>
      </w:r>
      <w:proofErr w:type="gramEnd"/>
      <w:r w:rsidR="00532268" w:rsidRPr="00022524">
        <w:t xml:space="preserve"> A majority of MS used coordination mechanisms to ensure consistency</w:t>
      </w:r>
      <w:r w:rsidR="006E6103" w:rsidRPr="00022524">
        <w:t xml:space="preserve"> in the functioning of the performance framework</w:t>
      </w:r>
      <w:r w:rsidR="00532268" w:rsidRPr="00022524">
        <w:t xml:space="preserve"> </w:t>
      </w:r>
      <w:r w:rsidR="006E6103" w:rsidRPr="00022524">
        <w:t xml:space="preserve">in line </w:t>
      </w:r>
      <w:r w:rsidR="00532268" w:rsidRPr="00022524">
        <w:t xml:space="preserve">with Article 15 of Regulation (EU) No 1303/2013. Generally the study identified </w:t>
      </w:r>
      <w:r w:rsidR="005A5062" w:rsidRPr="00022524">
        <w:t>a large variety of approaches</w:t>
      </w:r>
      <w:r w:rsidR="00532268" w:rsidRPr="00022524">
        <w:t xml:space="preserve"> to establish national consistency, </w:t>
      </w:r>
      <w:r w:rsidR="005A5062" w:rsidRPr="00022524">
        <w:t>depending greatly</w:t>
      </w:r>
      <w:r w:rsidR="00F94CA8" w:rsidRPr="00022524">
        <w:t xml:space="preserve"> on the national set-</w:t>
      </w:r>
      <w:r w:rsidR="00532268" w:rsidRPr="00022524">
        <w:t xml:space="preserve">up of bodies and responsibilities. </w:t>
      </w:r>
      <w:r w:rsidR="00E8581F" w:rsidRPr="00022524">
        <w:t xml:space="preserve">Various actions were taken at the MS level to ensure consistency across programmes and funds, which </w:t>
      </w:r>
      <w:proofErr w:type="gramStart"/>
      <w:r w:rsidR="00E8581F" w:rsidRPr="00022524">
        <w:t>was</w:t>
      </w:r>
      <w:proofErr w:type="gramEnd"/>
      <w:r w:rsidR="00E8581F" w:rsidRPr="00022524">
        <w:t xml:space="preserve"> partly confirmed by the methodologies available at programme level. Seminars, national guidelines, regulations and generally harmonised procedures (e.g. uniform definitions of indicators across a MS) were often applied in the EU MS: Nearly 70% of all MS applied harmonised procedures, 57% of MS had national guidelines, around 54% of MS held seminars and approximately one third of all EU MS had regulations to ensure consistency in the functioning of the performance framework.</w:t>
      </w:r>
      <w:r w:rsidR="00532268" w:rsidRPr="00022524">
        <w:t xml:space="preserve"> Differences in approaches are mainly not visible for programme types, but</w:t>
      </w:r>
      <w:r w:rsidR="00F94CA8" w:rsidRPr="00022524">
        <w:t xml:space="preserve"> are across MS</w:t>
      </w:r>
      <w:r w:rsidR="00532268" w:rsidRPr="00022524">
        <w:t>. A majority of MS and MAs</w:t>
      </w:r>
      <w:r w:rsidR="00F94CA8" w:rsidRPr="00022524">
        <w:t xml:space="preserve"> found these mechanisms useful. Only occasionally</w:t>
      </w:r>
      <w:r w:rsidR="009B5100" w:rsidRPr="00022524">
        <w:t>,</w:t>
      </w:r>
      <w:r w:rsidR="00F94CA8" w:rsidRPr="00022524">
        <w:t xml:space="preserve"> </w:t>
      </w:r>
      <w:r w:rsidR="00532268" w:rsidRPr="00022524">
        <w:t xml:space="preserve">coordination between the different ESIF </w:t>
      </w:r>
      <w:r w:rsidR="009B5100" w:rsidRPr="00022524">
        <w:t xml:space="preserve">was </w:t>
      </w:r>
      <w:r w:rsidR="00F94CA8" w:rsidRPr="00022524">
        <w:t xml:space="preserve">not perceived as relevant; </w:t>
      </w:r>
      <w:r w:rsidR="00532268" w:rsidRPr="00022524">
        <w:t xml:space="preserve">the vast majority of programmes indicated consistency mechanisms to be useful. A number of MS </w:t>
      </w:r>
      <w:r w:rsidR="00F94CA8" w:rsidRPr="00022524">
        <w:t>did not identify</w:t>
      </w:r>
      <w:r w:rsidR="00532268" w:rsidRPr="00022524">
        <w:t xml:space="preserve"> for coordinative actions, despite the thematic concentration and needs driven, result based territorial support policy (as principles of all ESI funds). </w:t>
      </w:r>
    </w:p>
    <w:p w14:paraId="55C5111E" w14:textId="77777777" w:rsidR="00370CD0" w:rsidRPr="00022524" w:rsidRDefault="00E1675F" w:rsidP="00370CD0">
      <w:pPr>
        <w:pStyle w:val="Body"/>
      </w:pPr>
      <w:r w:rsidRPr="00022524">
        <w:rPr>
          <w:b/>
        </w:rPr>
        <w:t xml:space="preserve">Overall, </w:t>
      </w:r>
      <w:r w:rsidR="00D551BD" w:rsidRPr="00022524">
        <w:rPr>
          <w:b/>
        </w:rPr>
        <w:t xml:space="preserve">the </w:t>
      </w:r>
      <w:r w:rsidRPr="00022524">
        <w:rPr>
          <w:b/>
        </w:rPr>
        <w:t xml:space="preserve">performance frameworks </w:t>
      </w:r>
      <w:r w:rsidR="00D551BD" w:rsidRPr="00022524">
        <w:rPr>
          <w:b/>
        </w:rPr>
        <w:t>w</w:t>
      </w:r>
      <w:r w:rsidRPr="00022524">
        <w:rPr>
          <w:b/>
        </w:rPr>
        <w:t>ere</w:t>
      </w:r>
      <w:r w:rsidR="00D551BD" w:rsidRPr="00022524">
        <w:rPr>
          <w:b/>
        </w:rPr>
        <w:t xml:space="preserve"> </w:t>
      </w:r>
      <w:r w:rsidR="00F94CA8" w:rsidRPr="00022524">
        <w:rPr>
          <w:b/>
        </w:rPr>
        <w:t>predominantly</w:t>
      </w:r>
      <w:r w:rsidR="00D551BD" w:rsidRPr="00022524">
        <w:rPr>
          <w:b/>
        </w:rPr>
        <w:t xml:space="preserve"> elaborated and implemented as planned</w:t>
      </w:r>
      <w:r w:rsidR="00F94CA8" w:rsidRPr="00022524">
        <w:rPr>
          <w:b/>
        </w:rPr>
        <w:t xml:space="preserve">. </w:t>
      </w:r>
      <w:r w:rsidR="00F94CA8" w:rsidRPr="00022524">
        <w:t>T</w:t>
      </w:r>
      <w:r w:rsidR="00D551BD" w:rsidRPr="00022524">
        <w:t xml:space="preserve">he involved stakeholders (mainly administration) </w:t>
      </w:r>
      <w:r w:rsidR="00F94CA8" w:rsidRPr="00022524">
        <w:t xml:space="preserve">generally </w:t>
      </w:r>
      <w:r w:rsidR="00D551BD" w:rsidRPr="00022524">
        <w:t>have a positive opinion on the PF and</w:t>
      </w:r>
      <w:r w:rsidR="00F94CA8" w:rsidRPr="00022524">
        <w:t xml:space="preserve"> the selection of PF indicators. This </w:t>
      </w:r>
      <w:r w:rsidR="00D551BD" w:rsidRPr="00022524">
        <w:t xml:space="preserve">new element </w:t>
      </w:r>
      <w:r w:rsidR="00F94CA8" w:rsidRPr="00022524">
        <w:t>appears to</w:t>
      </w:r>
      <w:r w:rsidR="00D551BD" w:rsidRPr="00022524">
        <w:t xml:space="preserve"> encourag</w:t>
      </w:r>
      <w:r w:rsidR="00A61680" w:rsidRPr="00022524">
        <w:t>e</w:t>
      </w:r>
      <w:r w:rsidR="00D551BD" w:rsidRPr="00022524">
        <w:t xml:space="preserve"> MS towards result orientation and</w:t>
      </w:r>
      <w:r w:rsidR="00F94CA8" w:rsidRPr="00022524">
        <w:t xml:space="preserve"> the development of </w:t>
      </w:r>
      <w:r w:rsidR="00D551BD" w:rsidRPr="00022524">
        <w:t>clear and verifiable</w:t>
      </w:r>
      <w:r w:rsidR="00F94CA8" w:rsidRPr="00022524">
        <w:t xml:space="preserve"> indicators and</w:t>
      </w:r>
      <w:r w:rsidR="00D551BD" w:rsidRPr="00022524">
        <w:t xml:space="preserve"> targets</w:t>
      </w:r>
      <w:r w:rsidR="00F94CA8" w:rsidRPr="00022524">
        <w:t xml:space="preserve">. As for the challenges faced, the </w:t>
      </w:r>
      <w:r w:rsidR="00370CD0" w:rsidRPr="00022524">
        <w:t>picture is patchier. All in all</w:t>
      </w:r>
      <w:r w:rsidR="00F94CA8" w:rsidRPr="00022524">
        <w:t>,</w:t>
      </w:r>
      <w:r w:rsidR="00370CD0" w:rsidRPr="00022524">
        <w:t xml:space="preserve"> challenges </w:t>
      </w:r>
      <w:r w:rsidR="00955098" w:rsidRPr="00022524">
        <w:t>regard the</w:t>
      </w:r>
      <w:r w:rsidR="00F94CA8" w:rsidRPr="00022524">
        <w:t xml:space="preserve"> concern</w:t>
      </w:r>
      <w:r w:rsidR="00955098" w:rsidRPr="00022524">
        <w:t>s</w:t>
      </w:r>
      <w:r w:rsidR="00F94CA8" w:rsidRPr="00022524">
        <w:t xml:space="preserve"> that PF </w:t>
      </w:r>
      <w:r w:rsidR="00370CD0" w:rsidRPr="00022524">
        <w:t xml:space="preserve">indicators have been steering the programming rather than being a vehicle for the assessment of results. </w:t>
      </w:r>
      <w:r w:rsidR="00F94CA8" w:rsidRPr="00022524">
        <w:t>S</w:t>
      </w:r>
      <w:r w:rsidR="00370CD0" w:rsidRPr="00022524">
        <w:t>ome MAs deem the PF rather as control mechanism than a proper way to assess the results of programmes.</w:t>
      </w:r>
    </w:p>
    <w:p w14:paraId="042E7EA0" w14:textId="77777777" w:rsidR="00370CD0" w:rsidRPr="00022524" w:rsidRDefault="00370CD0" w:rsidP="00A0452B">
      <w:pPr>
        <w:pStyle w:val="Heading2"/>
      </w:pPr>
      <w:bookmarkStart w:id="201" w:name="_Toc432600889"/>
      <w:bookmarkStart w:id="202" w:name="_Ref433105652"/>
      <w:bookmarkStart w:id="203" w:name="_Toc433973120"/>
      <w:bookmarkStart w:id="204" w:name="_Toc433973201"/>
      <w:bookmarkStart w:id="205" w:name="_Toc448144122"/>
      <w:r w:rsidRPr="00022524">
        <w:t xml:space="preserve">Strengths: Expected benefits </w:t>
      </w:r>
      <w:r w:rsidR="004D7992" w:rsidRPr="00022524">
        <w:t xml:space="preserve">for a better result orientation </w:t>
      </w:r>
      <w:r w:rsidR="0076171D" w:rsidRPr="00022524">
        <w:t xml:space="preserve">&amp; value added </w:t>
      </w:r>
      <w:bookmarkEnd w:id="199"/>
      <w:bookmarkEnd w:id="200"/>
      <w:bookmarkEnd w:id="201"/>
      <w:bookmarkEnd w:id="202"/>
      <w:r w:rsidR="004D7992" w:rsidRPr="00022524">
        <w:t>of the performance framework</w:t>
      </w:r>
      <w:bookmarkEnd w:id="203"/>
      <w:bookmarkEnd w:id="204"/>
      <w:bookmarkEnd w:id="205"/>
    </w:p>
    <w:p w14:paraId="06BC619F" w14:textId="77777777" w:rsidR="002141CC" w:rsidRPr="00022524" w:rsidRDefault="00F24DBF" w:rsidP="002141CC">
      <w:pPr>
        <w:pStyle w:val="Body"/>
      </w:pPr>
      <w:r w:rsidRPr="00022524">
        <w:rPr>
          <w:b/>
        </w:rPr>
        <w:t>Performance works are beneficial for a stronger result orientation and guidance of programmes.</w:t>
      </w:r>
      <w:r w:rsidRPr="00022524">
        <w:t xml:space="preserve"> </w:t>
      </w:r>
      <w:r w:rsidR="00370CD0" w:rsidRPr="00022524">
        <w:t>The</w:t>
      </w:r>
      <w:r w:rsidR="006317A3" w:rsidRPr="00022524">
        <w:t xml:space="preserve"> web-survey</w:t>
      </w:r>
      <w:r w:rsidR="00370CD0" w:rsidRPr="00022524">
        <w:t xml:space="preserve"> results demonstrate that only a minority of 10% of the respondents mentioned experiencing no benefit of the performance framework</w:t>
      </w:r>
      <w:r w:rsidR="000C7ED8" w:rsidRPr="00022524">
        <w:t>. A</w:t>
      </w:r>
      <w:r w:rsidR="00370CD0" w:rsidRPr="00022524">
        <w:t>ll others identified certain positive aspects of the performance framework in the context of a better result orientation of programmes and Partnership Agreements</w:t>
      </w:r>
      <w:r w:rsidR="0072566C" w:rsidRPr="00022524">
        <w:t>. T</w:t>
      </w:r>
      <w:r w:rsidR="002141CC" w:rsidRPr="00022524">
        <w:t xml:space="preserve">he set-up of the performance frameworks </w:t>
      </w:r>
      <w:r w:rsidR="00A92099" w:rsidRPr="00022524">
        <w:t xml:space="preserve">is </w:t>
      </w:r>
      <w:r w:rsidR="002141CC" w:rsidRPr="00022524">
        <w:t xml:space="preserve">largely </w:t>
      </w:r>
      <w:r w:rsidR="00A92099" w:rsidRPr="00022524">
        <w:t>expected to be</w:t>
      </w:r>
      <w:r w:rsidR="002141CC" w:rsidRPr="00022524">
        <w:t xml:space="preserve"> beneficial for guiding the programmes during their implementation and has been deemed useful for setting realistic targets and performance expectations.</w:t>
      </w:r>
    </w:p>
    <w:p w14:paraId="03F9CBA9" w14:textId="77777777" w:rsidR="00370CD0" w:rsidRPr="00022524" w:rsidRDefault="00370CD0" w:rsidP="00370CD0">
      <w:pPr>
        <w:pStyle w:val="Body"/>
        <w:spacing w:after="120"/>
      </w:pPr>
      <w:r w:rsidRPr="00022524">
        <w:t>The expected benefits identified are summarised in the following paragraphs:</w:t>
      </w:r>
    </w:p>
    <w:p w14:paraId="2106BD08" w14:textId="508F982F" w:rsidR="00370CD0" w:rsidRPr="00022524" w:rsidRDefault="00370CD0" w:rsidP="00370CD0">
      <w:pPr>
        <w:pStyle w:val="BulletPoint1"/>
      </w:pPr>
      <w:r w:rsidRPr="00022524">
        <w:t xml:space="preserve">The performance </w:t>
      </w:r>
      <w:r w:rsidR="003D4AEC" w:rsidRPr="00022524">
        <w:t xml:space="preserve">framework </w:t>
      </w:r>
      <w:r w:rsidRPr="00022524">
        <w:t>is one out of three pillars of the result orientation of ESI Funds, focusing on measureable milestones and targets ensuring that programmes’ progress is achieved as planned and that the programme is kept on course in achieving its objectives. This has been mentioned by different interviewees and</w:t>
      </w:r>
      <w:r w:rsidR="006317A3" w:rsidRPr="00022524">
        <w:t xml:space="preserve"> web-survey</w:t>
      </w:r>
      <w:r w:rsidRPr="00022524">
        <w:t xml:space="preserve"> respondents as a benefit of the performance </w:t>
      </w:r>
      <w:r w:rsidR="003D4AEC" w:rsidRPr="00022524">
        <w:t>framework</w:t>
      </w:r>
      <w:r w:rsidRPr="00022524">
        <w:t xml:space="preserve">. </w:t>
      </w:r>
      <w:r w:rsidRPr="00022524">
        <w:rPr>
          <w:b/>
        </w:rPr>
        <w:t>Better steering and guiding</w:t>
      </w:r>
      <w:r w:rsidRPr="00022524">
        <w:t xml:space="preserve"> of programme implementation through the mean</w:t>
      </w:r>
      <w:r w:rsidR="003F7D18" w:rsidRPr="00022524">
        <w:t>s</w:t>
      </w:r>
      <w:r w:rsidRPr="00022524">
        <w:t xml:space="preserve"> of the performance framework and the identified performance reserve is a relevant benefit of the regulation. The performance framework’s characteristic of a control mechanism to anticipate and tackle problems as soon as they arise. In this context, generally, a positive view of the result orientated concept of the performance framework was communicated by the interviewees</w:t>
      </w:r>
      <w:r w:rsidR="00897AFE" w:rsidRPr="00022524">
        <w:t xml:space="preserve"> as well as by the</w:t>
      </w:r>
      <w:r w:rsidR="006317A3" w:rsidRPr="00022524">
        <w:t xml:space="preserve"> web-survey</w:t>
      </w:r>
      <w:r w:rsidR="00897AFE" w:rsidRPr="00022524">
        <w:t xml:space="preserve"> respondents</w:t>
      </w:r>
      <w:r w:rsidR="0072566C" w:rsidRPr="00022524">
        <w:t>. For example,</w:t>
      </w:r>
      <w:r w:rsidR="00897AFE" w:rsidRPr="00022524">
        <w:t xml:space="preserve"> 34% of the </w:t>
      </w:r>
      <w:r w:rsidR="00F86E34" w:rsidRPr="00022524">
        <w:t>programmes mentioned</w:t>
      </w:r>
      <w:r w:rsidR="00897AFE" w:rsidRPr="00022524">
        <w:t xml:space="preserve"> better steering and guiding during the</w:t>
      </w:r>
      <w:r w:rsidR="0072566C" w:rsidRPr="00022524">
        <w:t xml:space="preserve"> programme</w:t>
      </w:r>
      <w:r w:rsidR="00897AFE" w:rsidRPr="00022524">
        <w:t xml:space="preserve"> implementation phase as the main benefit of the performance framework</w:t>
      </w:r>
      <w:r w:rsidRPr="00022524">
        <w:t>.</w:t>
      </w:r>
    </w:p>
    <w:p w14:paraId="1A8E9CF2" w14:textId="77777777" w:rsidR="0072566C" w:rsidRPr="00022524" w:rsidRDefault="00285FD9" w:rsidP="00370CD0">
      <w:pPr>
        <w:pStyle w:val="BulletPoint1"/>
      </w:pPr>
      <w:r w:rsidRPr="00022524">
        <w:t>In addition</w:t>
      </w:r>
      <w:r w:rsidR="0072566C" w:rsidRPr="00022524">
        <w:t xml:space="preserve">, authorities perceive the inclusion of the performance framework as an added value in the programmes, when fitting to the programmes’ objectives as clear, realistic and verifiable </w:t>
      </w:r>
      <w:r w:rsidR="0072566C" w:rsidRPr="00022524">
        <w:rPr>
          <w:b/>
        </w:rPr>
        <w:t xml:space="preserve">milestones and targets </w:t>
      </w:r>
      <w:r w:rsidR="0072566C" w:rsidRPr="00022524">
        <w:t>(30% of programmes mentioned this as the main benefit of the performance framework in the web-survey, in particular single-fund programmes and transnational cooperation programmes)</w:t>
      </w:r>
      <w:r w:rsidR="0072566C" w:rsidRPr="00022524">
        <w:rPr>
          <w:bCs/>
        </w:rPr>
        <w:t>.</w:t>
      </w:r>
      <w:r w:rsidR="0072566C" w:rsidRPr="00022524">
        <w:t xml:space="preserve"> The general compliance with Annex II criteria of Regulation (EU) No 1303/2013 was also confirmed by the main findings of data analysis, highlighted by the positive expert judgment. This is especially evident for common output indicators, although the task of aligning the indicator targets with Annex II criteria was deemed difficult by a group of web-survey respondents and interviewees. </w:t>
      </w:r>
    </w:p>
    <w:p w14:paraId="6C27BCDD" w14:textId="77777777" w:rsidR="001D552B" w:rsidRPr="00022524" w:rsidRDefault="00370CD0" w:rsidP="00370CD0">
      <w:pPr>
        <w:pStyle w:val="BulletPoint1"/>
      </w:pPr>
      <w:r w:rsidRPr="00022524">
        <w:lastRenderedPageBreak/>
        <w:t>17% of</w:t>
      </w:r>
      <w:r w:rsidR="006317A3" w:rsidRPr="00022524">
        <w:t xml:space="preserve"> web-survey</w:t>
      </w:r>
      <w:r w:rsidRPr="00022524">
        <w:t xml:space="preserve"> respondents </w:t>
      </w:r>
      <w:r w:rsidR="001D552B" w:rsidRPr="00022524">
        <w:t xml:space="preserve">saw </w:t>
      </w:r>
      <w:r w:rsidRPr="00022524">
        <w:t>a main benefit of the performance framework</w:t>
      </w:r>
      <w:r w:rsidR="001471F6" w:rsidRPr="00022524">
        <w:t xml:space="preserve"> in its role to help</w:t>
      </w:r>
      <w:r w:rsidR="00711001" w:rsidRPr="00022524">
        <w:t xml:space="preserve"> </w:t>
      </w:r>
      <w:r w:rsidR="001471F6" w:rsidRPr="00022524">
        <w:rPr>
          <w:b/>
        </w:rPr>
        <w:t>focussing</w:t>
      </w:r>
      <w:r w:rsidR="00711001" w:rsidRPr="00022524">
        <w:rPr>
          <w:b/>
        </w:rPr>
        <w:t xml:space="preserve"> the programme</w:t>
      </w:r>
      <w:r w:rsidR="001471F6" w:rsidRPr="00022524">
        <w:t xml:space="preserve"> (thematically)</w:t>
      </w:r>
      <w:r w:rsidR="00711001" w:rsidRPr="00022524">
        <w:t>.</w:t>
      </w:r>
    </w:p>
    <w:p w14:paraId="4B855907" w14:textId="77777777" w:rsidR="00370CD0" w:rsidRPr="00022524" w:rsidRDefault="00370CD0" w:rsidP="001D552B">
      <w:pPr>
        <w:pStyle w:val="BulletPoint1"/>
      </w:pPr>
      <w:r w:rsidRPr="00022524">
        <w:t xml:space="preserve">Strengthened coordination and the possibility of building </w:t>
      </w:r>
      <w:r w:rsidRPr="00022524">
        <w:rPr>
          <w:b/>
        </w:rPr>
        <w:t>synergies between ESI-Funds</w:t>
      </w:r>
      <w:r w:rsidRPr="00022524">
        <w:t xml:space="preserve"> are perceived as added values of the performance </w:t>
      </w:r>
      <w:r w:rsidR="00CA12AE" w:rsidRPr="00022524">
        <w:t>framework</w:t>
      </w:r>
      <w:r w:rsidRPr="00022524">
        <w:t xml:space="preserve">. The programmes learned from their methods while establishing the frameworks, as for example highlighted for the Netherlands </w:t>
      </w:r>
      <w:r w:rsidR="002141CC" w:rsidRPr="00022524">
        <w:t>as interviewees perceived the PF as a valuable innovation to better define indicators and targets.</w:t>
      </w:r>
    </w:p>
    <w:p w14:paraId="55B54D5D" w14:textId="77777777" w:rsidR="00370CD0" w:rsidRPr="00022524" w:rsidRDefault="00370CD0" w:rsidP="00370CD0">
      <w:pPr>
        <w:pStyle w:val="BulletPoint1"/>
      </w:pPr>
      <w:r w:rsidRPr="00022524">
        <w:rPr>
          <w:b/>
        </w:rPr>
        <w:t>Dialogue and internal discussions and reflections</w:t>
      </w:r>
      <w:r w:rsidRPr="00022524">
        <w:t xml:space="preserve"> between various stakeholders at the national and European level has been fostered, demonstrating an active role of the programme drafting teams (underlining the same division of labour for the development of the performance frameworks as for drafting programmes and Partnership Agreements) and of the ex-ante evaluators (development of the methodology &amp; identification of milestones and targets). Ex-ante evaluators have made crucial contributions regarding the indicator system</w:t>
      </w:r>
      <w:r w:rsidR="00617875" w:rsidRPr="00022524">
        <w:t xml:space="preserve"> of the performance frameworks.</w:t>
      </w:r>
    </w:p>
    <w:p w14:paraId="2765D13D" w14:textId="77777777" w:rsidR="00370CD0" w:rsidRPr="00022524" w:rsidRDefault="00370CD0" w:rsidP="00370CD0">
      <w:pPr>
        <w:pStyle w:val="BulletPoint1"/>
      </w:pPr>
      <w:r w:rsidRPr="00022524">
        <w:t xml:space="preserve">The development of the performance framework depended to a large degree on </w:t>
      </w:r>
      <w:r w:rsidRPr="00022524">
        <w:rPr>
          <w:b/>
        </w:rPr>
        <w:t>past experience</w:t>
      </w:r>
      <w:r w:rsidRPr="00022524">
        <w:t xml:space="preserve"> and, therefore, builds on findings from former funding periods and monitoring data: 2007-13 monitoring data and experiences from responsible bodies were reviewed and analysed in the context of the changed conditions of funding. However bearing in mind that this finding demonstrates a certain risk of creating an artificial path dependence in the funding policy, as programmes might fund those aspects which worked quite well in the past and based on existing discourse and orientation of actions. </w:t>
      </w:r>
    </w:p>
    <w:p w14:paraId="0818CC95" w14:textId="77777777" w:rsidR="00370CD0" w:rsidRPr="00022524" w:rsidRDefault="00285FD9" w:rsidP="00370CD0">
      <w:pPr>
        <w:pStyle w:val="BulletPoint1"/>
      </w:pPr>
      <w:r w:rsidRPr="00022524">
        <w:t>T</w:t>
      </w:r>
      <w:r w:rsidR="00370CD0" w:rsidRPr="00022524">
        <w:t xml:space="preserve">he performance frameworks use partly </w:t>
      </w:r>
      <w:r w:rsidR="00370CD0" w:rsidRPr="00022524">
        <w:rPr>
          <w:b/>
        </w:rPr>
        <w:t>harmonised indicators</w:t>
      </w:r>
      <w:r w:rsidR="00370CD0" w:rsidRPr="00022524">
        <w:rPr>
          <w:b/>
          <w:bCs/>
        </w:rPr>
        <w:t>,</w:t>
      </w:r>
      <w:r w:rsidR="00370CD0" w:rsidRPr="00022524">
        <w:t xml:space="preserve"> demonstrated by the frequent use of common output indicators in the analysed performance frameworks: specifically Austria, Denmark and Luxembourg use mainly common output indicators in their PF. Furthermore in Bulgaria, Spain, Greece, Croatia, Ireland, the Netherlands, Sweden and the UK more than 60% of all PF output indicators are common. </w:t>
      </w:r>
    </w:p>
    <w:p w14:paraId="3A6D252E" w14:textId="77777777" w:rsidR="00370CD0" w:rsidRPr="00022524" w:rsidRDefault="00370CD0" w:rsidP="00370CD0">
      <w:pPr>
        <w:pStyle w:val="BulletPoint1"/>
      </w:pPr>
      <w:r w:rsidRPr="00022524">
        <w:t xml:space="preserve">On the other hand, the advantage of </w:t>
      </w:r>
      <w:r w:rsidRPr="00022524">
        <w:rPr>
          <w:b/>
        </w:rPr>
        <w:t>programme-specific performance frameworks</w:t>
      </w:r>
      <w:r w:rsidRPr="00022524">
        <w:t xml:space="preserve"> implies that adjustment to the specific programme context and the reflection of individual characteristics of each region and programme can be made.</w:t>
      </w:r>
    </w:p>
    <w:p w14:paraId="08382045" w14:textId="77777777" w:rsidR="0076171D" w:rsidRPr="00022524" w:rsidRDefault="004D7992" w:rsidP="00A0452B">
      <w:pPr>
        <w:pStyle w:val="Body"/>
        <w:spacing w:after="120"/>
      </w:pPr>
      <w:r w:rsidRPr="00022524">
        <w:t xml:space="preserve">Summarising, the value added of this new, mandatory element </w:t>
      </w:r>
      <w:r w:rsidR="00E30CE7" w:rsidRPr="00022524">
        <w:t>cover</w:t>
      </w:r>
      <w:r w:rsidRPr="00022524">
        <w:t xml:space="preserve"> the following aspects:</w:t>
      </w:r>
    </w:p>
    <w:p w14:paraId="6C3AA046" w14:textId="77777777" w:rsidR="0076171D" w:rsidRPr="00022524" w:rsidRDefault="0076171D" w:rsidP="004D7992">
      <w:pPr>
        <w:pStyle w:val="BulletPoint1"/>
      </w:pPr>
      <w:r w:rsidRPr="00022524">
        <w:t>T</w:t>
      </w:r>
      <w:r w:rsidR="00E30CE7" w:rsidRPr="00022524">
        <w:t>he t</w:t>
      </w:r>
      <w:r w:rsidRPr="00022524">
        <w:t xml:space="preserve">endency of programming towards result orientation has been </w:t>
      </w:r>
      <w:r w:rsidR="00285FD9" w:rsidRPr="00022524">
        <w:t>strengthened</w:t>
      </w:r>
      <w:r w:rsidRPr="00022524">
        <w:t>.</w:t>
      </w:r>
    </w:p>
    <w:p w14:paraId="202399E3" w14:textId="77777777" w:rsidR="0076171D" w:rsidRPr="00022524" w:rsidRDefault="0076171D" w:rsidP="004D7992">
      <w:pPr>
        <w:pStyle w:val="BulletPoint1"/>
      </w:pPr>
      <w:r w:rsidRPr="00022524">
        <w:t xml:space="preserve">The setting of milestones and targets had to be put on a </w:t>
      </w:r>
      <w:r w:rsidR="004D7992" w:rsidRPr="00022524">
        <w:t>sounder</w:t>
      </w:r>
      <w:r w:rsidRPr="00022524">
        <w:t xml:space="preserve"> basis and thus increased </w:t>
      </w:r>
      <w:r w:rsidR="00CB1C2E" w:rsidRPr="00022524">
        <w:t xml:space="preserve">the </w:t>
      </w:r>
      <w:r w:rsidRPr="00022524">
        <w:t>quality</w:t>
      </w:r>
      <w:r w:rsidR="00CB1C2E" w:rsidRPr="00022524">
        <w:t xml:space="preserve"> of planning</w:t>
      </w:r>
      <w:r w:rsidRPr="00022524">
        <w:t>.</w:t>
      </w:r>
      <w:r w:rsidR="004D7992" w:rsidRPr="00022524">
        <w:t xml:space="preserve"> </w:t>
      </w:r>
      <w:r w:rsidR="00CB1C2E" w:rsidRPr="00022524">
        <w:t xml:space="preserve">It may also lead to </w:t>
      </w:r>
      <w:r w:rsidR="004D7992" w:rsidRPr="00022524">
        <w:t xml:space="preserve">a smoother </w:t>
      </w:r>
      <w:r w:rsidR="00CB1C2E" w:rsidRPr="00022524">
        <w:t>implementation</w:t>
      </w:r>
      <w:r w:rsidR="004D7992" w:rsidRPr="00022524">
        <w:t xml:space="preserve"> of the programmes (less programme revisions to be expected). </w:t>
      </w:r>
    </w:p>
    <w:p w14:paraId="10D36811" w14:textId="77777777" w:rsidR="004D7992" w:rsidRPr="00022524" w:rsidRDefault="004D7992" w:rsidP="004D7992">
      <w:pPr>
        <w:pStyle w:val="BulletPoint1"/>
      </w:pPr>
      <w:r w:rsidRPr="00022524">
        <w:t xml:space="preserve">For a number of MS the performance </w:t>
      </w:r>
      <w:r w:rsidR="00CB1C2E" w:rsidRPr="00022524">
        <w:t xml:space="preserve">reserve </w:t>
      </w:r>
      <w:r w:rsidRPr="00022524">
        <w:t>is an incentive for a more effective and efficient performance of the ESI funds.</w:t>
      </w:r>
    </w:p>
    <w:p w14:paraId="194C1C69" w14:textId="77777777" w:rsidR="00E30CE7" w:rsidRPr="00022524" w:rsidRDefault="00E30CE7" w:rsidP="004D7992">
      <w:pPr>
        <w:pStyle w:val="BulletPoint1"/>
      </w:pPr>
      <w:r w:rsidRPr="00022524">
        <w:t>The role of common output indicators – as 50% of all PF output indicators are common output indicators – has been strengthened and therefore an overall comparability of performance over all programmes has increased.</w:t>
      </w:r>
    </w:p>
    <w:p w14:paraId="17EA9F85" w14:textId="77777777" w:rsidR="00370CD0" w:rsidRPr="00022524" w:rsidRDefault="00370CD0" w:rsidP="00A0452B">
      <w:pPr>
        <w:pStyle w:val="Heading2"/>
      </w:pPr>
      <w:bookmarkStart w:id="206" w:name="_Ref429490694"/>
      <w:bookmarkStart w:id="207" w:name="_Toc429671088"/>
      <w:bookmarkStart w:id="208" w:name="_Toc432600890"/>
      <w:bookmarkStart w:id="209" w:name="_Toc433973121"/>
      <w:bookmarkStart w:id="210" w:name="_Toc433973202"/>
      <w:bookmarkStart w:id="211" w:name="_Toc448144123"/>
      <w:r w:rsidRPr="00022524">
        <w:t>Weaknesses: Main challenges</w:t>
      </w:r>
      <w:bookmarkEnd w:id="206"/>
      <w:bookmarkEnd w:id="207"/>
      <w:bookmarkEnd w:id="208"/>
      <w:bookmarkEnd w:id="209"/>
      <w:bookmarkEnd w:id="210"/>
      <w:bookmarkEnd w:id="211"/>
      <w:r w:rsidRPr="00022524">
        <w:t xml:space="preserve"> </w:t>
      </w:r>
    </w:p>
    <w:p w14:paraId="1EF66DB6" w14:textId="77777777" w:rsidR="00370CD0" w:rsidRPr="00022524" w:rsidRDefault="00370CD0" w:rsidP="00370CD0">
      <w:pPr>
        <w:pStyle w:val="Body"/>
        <w:spacing w:after="120"/>
      </w:pPr>
      <w:r w:rsidRPr="00022524">
        <w:t>Apart from the general findings covering the well-functioning process of elaborating the performance reserve, a set of challenges and weaknesses pertaining to the performance framework were also identified during the analysis, covering the following aspects:</w:t>
      </w:r>
    </w:p>
    <w:p w14:paraId="6EDBA207" w14:textId="77777777" w:rsidR="007E5753" w:rsidRPr="00022524" w:rsidRDefault="007E5753" w:rsidP="00370CD0">
      <w:pPr>
        <w:pStyle w:val="BulletPoint1"/>
      </w:pPr>
      <w:r w:rsidRPr="00022524">
        <w:t>The elaboration of performance frameworks has been perceived as rather complex and w</w:t>
      </w:r>
      <w:r w:rsidR="0018480F" w:rsidRPr="00022524">
        <w:t>as</w:t>
      </w:r>
      <w:r w:rsidRPr="00022524">
        <w:t xml:space="preserve"> mainly handled </w:t>
      </w:r>
      <w:r w:rsidR="0018480F" w:rsidRPr="00022524">
        <w:t>by experts at a technical level</w:t>
      </w:r>
      <w:r w:rsidRPr="00022524">
        <w:t xml:space="preserve">. This may limit the </w:t>
      </w:r>
      <w:r w:rsidRPr="00022524">
        <w:rPr>
          <w:b/>
        </w:rPr>
        <w:t>ownership</w:t>
      </w:r>
      <w:r w:rsidRPr="00022524">
        <w:t xml:space="preserve"> of the performance framework </w:t>
      </w:r>
      <w:r w:rsidR="0018480F" w:rsidRPr="00022524">
        <w:t xml:space="preserve">at the political level </w:t>
      </w:r>
      <w:r w:rsidRPr="00022524">
        <w:t xml:space="preserve">and thus the potential it can have for guiding the programme implementation.  </w:t>
      </w:r>
    </w:p>
    <w:p w14:paraId="7AE3C83F" w14:textId="77777777" w:rsidR="00370CD0" w:rsidRPr="00022524" w:rsidRDefault="00370CD0" w:rsidP="00370CD0">
      <w:pPr>
        <w:pStyle w:val="BulletPoint1"/>
      </w:pPr>
      <w:r w:rsidRPr="00022524">
        <w:t xml:space="preserve">Tight </w:t>
      </w:r>
      <w:r w:rsidRPr="00022524">
        <w:rPr>
          <w:b/>
        </w:rPr>
        <w:t>timeframe</w:t>
      </w:r>
      <w:r w:rsidRPr="00022524">
        <w:t xml:space="preserve"> and </w:t>
      </w:r>
      <w:r w:rsidRPr="00022524">
        <w:rPr>
          <w:b/>
        </w:rPr>
        <w:t>modifications in guidelines</w:t>
      </w:r>
      <w:r w:rsidRPr="00022524">
        <w:rPr>
          <w:b/>
          <w:bCs/>
        </w:rPr>
        <w:t>:</w:t>
      </w:r>
      <w:r w:rsidRPr="00022524">
        <w:t xml:space="preserve"> Some interviewees mentioned the late delivery of guidelines from the EC which compromised the timeframe allocated to them for elaborating the performance framework.</w:t>
      </w:r>
    </w:p>
    <w:p w14:paraId="0F8613B3" w14:textId="77777777" w:rsidR="00370CD0" w:rsidRPr="00022524" w:rsidRDefault="00370CD0" w:rsidP="00370CD0">
      <w:pPr>
        <w:pStyle w:val="BulletPoint1"/>
      </w:pPr>
      <w:r w:rsidRPr="00022524">
        <w:t xml:space="preserve">There is risk that the MS have set indicator targets at a low level to ensure that they will be reached, which results in rather </w:t>
      </w:r>
      <w:r w:rsidRPr="00022524">
        <w:rPr>
          <w:b/>
        </w:rPr>
        <w:t>conservative targets</w:t>
      </w:r>
      <w:r w:rsidRPr="00022524">
        <w:rPr>
          <w:b/>
          <w:bCs/>
        </w:rPr>
        <w:t>:</w:t>
      </w:r>
      <w:r w:rsidRPr="00022524">
        <w:t xml:space="preserve"> As interviewees have highlighted, performance frameworks tend to favour programmes that define conservative targets but do not leave the opportunity to analyse the reasons, why targets have not been achieved, and learn from it. Thus, the focus is not put on the content covered by the indicator but simply on achieving the target value. However, this perception from the interviews was not confirmed by the analysis of indicator milestones and targets, which can mainly be regarded as being in line with Annex II criteria (for details see chapter 4.2.). </w:t>
      </w:r>
    </w:p>
    <w:p w14:paraId="2E0252AD" w14:textId="77777777" w:rsidR="002141CC" w:rsidRPr="00022524" w:rsidRDefault="002141CC" w:rsidP="002141CC">
      <w:pPr>
        <w:pStyle w:val="BulletPoint1"/>
      </w:pPr>
      <w:r w:rsidRPr="00022524">
        <w:t xml:space="preserve">The </w:t>
      </w:r>
      <w:r w:rsidRPr="00022524">
        <w:rPr>
          <w:b/>
        </w:rPr>
        <w:t>dilemma of result orientation</w:t>
      </w:r>
      <w:r w:rsidRPr="00022524">
        <w:t xml:space="preserve"> and </w:t>
      </w:r>
      <w:r w:rsidR="001C48ED" w:rsidRPr="00022524">
        <w:t>‘</w:t>
      </w:r>
      <w:r w:rsidRPr="00022524">
        <w:t>indicator fixation</w:t>
      </w:r>
      <w:r w:rsidR="001C48ED" w:rsidRPr="00022524">
        <w:t>’</w:t>
      </w:r>
      <w:r w:rsidRPr="00022524">
        <w:t xml:space="preserve"> </w:t>
      </w:r>
      <w:r w:rsidR="00285FD9" w:rsidRPr="00022524">
        <w:t xml:space="preserve">is there, in cases where </w:t>
      </w:r>
      <w:r w:rsidRPr="00022524">
        <w:t xml:space="preserve">indicators in the PF have been steering the programming rather than being a vehicle for the assessment of results. </w:t>
      </w:r>
      <w:r w:rsidR="00605A1F" w:rsidRPr="00022524">
        <w:t>S</w:t>
      </w:r>
      <w:r w:rsidRPr="00022524">
        <w:t xml:space="preserve">ome MAs deem the PF rather as control mechanism than a proper </w:t>
      </w:r>
      <w:r w:rsidRPr="00022524">
        <w:lastRenderedPageBreak/>
        <w:t>way to assess the results of programmes – see especially the results from the interviews – e.g. Netherlands and Germany.</w:t>
      </w:r>
      <w:r w:rsidR="00A700CE" w:rsidRPr="00022524">
        <w:t xml:space="preserve"> However, it has to be borne in mind that the indicators in the performance framework were not designed to follow progress towards results, as results may be influenced by other factors beyond the MA's control, so there appears to be </w:t>
      </w:r>
      <w:proofErr w:type="gramStart"/>
      <w:r w:rsidR="00A700CE" w:rsidRPr="00022524">
        <w:t>a confusion</w:t>
      </w:r>
      <w:proofErr w:type="gramEnd"/>
      <w:r w:rsidR="00A700CE" w:rsidRPr="00022524">
        <w:t xml:space="preserve"> between results and the purpose of the performance framework.</w:t>
      </w:r>
    </w:p>
    <w:p w14:paraId="2A2A8C58" w14:textId="2FCE1A24" w:rsidR="002141CC" w:rsidRPr="00022524" w:rsidRDefault="00353185" w:rsidP="002141CC">
      <w:pPr>
        <w:pStyle w:val="BulletPoint1"/>
        <w:spacing w:after="120"/>
        <w:contextualSpacing w:val="0"/>
      </w:pPr>
      <w:r w:rsidRPr="00022524">
        <w:t xml:space="preserve">Finally, as highlighted in the interviews with Dutch or Swedish representatives, there are difficulties associated with the </w:t>
      </w:r>
      <w:r w:rsidRPr="00022524">
        <w:rPr>
          <w:b/>
        </w:rPr>
        <w:t>long-term evolution of results</w:t>
      </w:r>
      <w:r w:rsidRPr="00022524">
        <w:t xml:space="preserve"> which cannot be properly captured due to their intrinsic nature along with the unreliability of external influential factors</w:t>
      </w:r>
      <w:r>
        <w:t>.</w:t>
      </w:r>
      <w:r w:rsidRPr="00022524">
        <w:t xml:space="preserve"> This seems to be a more general issue of performance management systems since incentives need to be linked to indicators that are under the control of organization.</w:t>
      </w:r>
      <w:r w:rsidR="002141CC" w:rsidRPr="00022524">
        <w:t xml:space="preserve"> This leads to </w:t>
      </w:r>
      <w:proofErr w:type="gramStart"/>
      <w:r w:rsidR="002141CC" w:rsidRPr="00022524">
        <w:t>a slimming</w:t>
      </w:r>
      <w:proofErr w:type="gramEnd"/>
      <w:r w:rsidR="002141CC" w:rsidRPr="00022524">
        <w:t xml:space="preserve"> down of the potential focus of the </w:t>
      </w:r>
      <w:proofErr w:type="spellStart"/>
      <w:r w:rsidR="00DA7557">
        <w:t>PAx</w:t>
      </w:r>
      <w:proofErr w:type="spellEnd"/>
      <w:r w:rsidR="002141CC" w:rsidRPr="00022524">
        <w:t xml:space="preserve">. Especially in intervention areas with complex </w:t>
      </w:r>
      <w:r w:rsidR="001C48ED" w:rsidRPr="00022524">
        <w:t xml:space="preserve">and rather qualitative </w:t>
      </w:r>
      <w:r w:rsidR="002141CC" w:rsidRPr="00022524">
        <w:t>effects  – e.g. in the field of innovation and creativity, the identification of proper indicators and the consequent weakness of picturing the result in a quantifiable way, showed the limitation of the PF – see interview results – e.g. Ireland, Sweden.</w:t>
      </w:r>
    </w:p>
    <w:p w14:paraId="3D56C91C" w14:textId="16ACE61A" w:rsidR="00370CD0" w:rsidRPr="00022524" w:rsidRDefault="00370CD0" w:rsidP="00370CD0">
      <w:pPr>
        <w:pStyle w:val="Body"/>
      </w:pPr>
      <w:bookmarkStart w:id="212" w:name="_Toc433280281"/>
      <w:bookmarkEnd w:id="212"/>
    </w:p>
    <w:p w14:paraId="456E1967" w14:textId="77777777" w:rsidR="00370CD0" w:rsidRPr="00022524" w:rsidRDefault="00370CD0" w:rsidP="00A0452B">
      <w:pPr>
        <w:pStyle w:val="Heading2"/>
      </w:pPr>
      <w:bookmarkStart w:id="213" w:name="_Ref429490698"/>
      <w:bookmarkStart w:id="214" w:name="_Toc429671089"/>
      <w:bookmarkStart w:id="215" w:name="_Toc432600891"/>
      <w:bookmarkStart w:id="216" w:name="_Toc433973122"/>
      <w:bookmarkStart w:id="217" w:name="_Toc433973203"/>
      <w:bookmarkStart w:id="218" w:name="_Toc448144124"/>
      <w:r w:rsidRPr="00022524">
        <w:t xml:space="preserve">Particularities: </w:t>
      </w:r>
      <w:r w:rsidR="00A0452B" w:rsidRPr="00022524">
        <w:t xml:space="preserve">Complex </w:t>
      </w:r>
      <w:r w:rsidRPr="00022524">
        <w:t>priorities and specific delivery modes</w:t>
      </w:r>
      <w:bookmarkEnd w:id="213"/>
      <w:bookmarkEnd w:id="214"/>
      <w:bookmarkEnd w:id="215"/>
      <w:bookmarkEnd w:id="216"/>
      <w:bookmarkEnd w:id="217"/>
      <w:bookmarkEnd w:id="218"/>
    </w:p>
    <w:p w14:paraId="2BD16347" w14:textId="77777777" w:rsidR="00370CD0" w:rsidRPr="00022524" w:rsidRDefault="00370CD0" w:rsidP="00370CD0">
      <w:pPr>
        <w:pStyle w:val="Body"/>
      </w:pPr>
      <w:r w:rsidRPr="00022524">
        <w:t xml:space="preserve">When reviewing specific challenges and particularities for complex priorities, the Guidance Fiche Performance Framework Review and Reserve in 2014-2020 (EC, 2013) and the Commission Implementing Regulation (EU) No 215/2014 laying down rules for implementing Regulation (EU) No 1303/2013 were perceived as most useful for the purpose of setting up the performance framework under complex priorities. </w:t>
      </w:r>
      <w:r w:rsidR="00EA4A77" w:rsidRPr="00022524">
        <w:t>In the web-survey, t</w:t>
      </w:r>
      <w:r w:rsidRPr="00022524">
        <w:t>he question of the documents being clear raised some ambiguity: 60% of respondents perceived them as rather clear, while approximately 40% perceived them as rather unclear.</w:t>
      </w:r>
    </w:p>
    <w:p w14:paraId="1ADA72FC" w14:textId="77777777" w:rsidR="00370CD0" w:rsidRPr="00022524" w:rsidRDefault="00EA4A77" w:rsidP="00370CD0">
      <w:pPr>
        <w:pStyle w:val="Body"/>
      </w:pPr>
      <w:r w:rsidRPr="00022524">
        <w:t>F</w:t>
      </w:r>
      <w:r w:rsidR="000A2328" w:rsidRPr="00022524">
        <w:t>or the majority of</w:t>
      </w:r>
      <w:r w:rsidR="00370CD0" w:rsidRPr="00022524">
        <w:t xml:space="preserve"> MS no special issues relating to the performance framework under complex priorities was observed. It was frequently mentioned that, in these cases, there were more indicators per type to be defined (e.g. financial ones), but no major challenges were experienced while developing the performance framework of complex priorities.</w:t>
      </w:r>
    </w:p>
    <w:p w14:paraId="4979FF5E" w14:textId="77777777" w:rsidR="00370CD0" w:rsidRPr="00022524" w:rsidRDefault="00370CD0" w:rsidP="00370CD0">
      <w:pPr>
        <w:pStyle w:val="Body"/>
        <w:spacing w:after="120"/>
      </w:pPr>
      <w:r w:rsidRPr="00022524">
        <w:t xml:space="preserve">In other cases, some challenges were identified and are listed below: </w:t>
      </w:r>
    </w:p>
    <w:p w14:paraId="6846A079" w14:textId="77777777" w:rsidR="00370CD0" w:rsidRPr="00022524" w:rsidRDefault="00370CD0" w:rsidP="00370CD0">
      <w:pPr>
        <w:pStyle w:val="BulletPoint1"/>
      </w:pPr>
      <w:r w:rsidRPr="00022524">
        <w:t>Difficult definition of milestones and targets for multi-region priorities, e.g. due to low funding sources</w:t>
      </w:r>
    </w:p>
    <w:p w14:paraId="78872E4D" w14:textId="77777777" w:rsidR="00370CD0" w:rsidRPr="00022524" w:rsidRDefault="00370CD0" w:rsidP="00370CD0">
      <w:pPr>
        <w:pStyle w:val="BulletPoint1"/>
      </w:pPr>
      <w:r w:rsidRPr="00022524">
        <w:t xml:space="preserve">Conflicting requirements between the financial allocation of the different categories of regions and the need to respect the 50% rule at the level of each category, making the aspect of complexity the most challenging one in the eyes of one Romanian interviewee. </w:t>
      </w:r>
    </w:p>
    <w:p w14:paraId="750832D6" w14:textId="02043563" w:rsidR="00370CD0" w:rsidRPr="00022524" w:rsidRDefault="00370CD0" w:rsidP="00370CD0">
      <w:pPr>
        <w:pStyle w:val="BulletPoint1"/>
      </w:pPr>
      <w:r w:rsidRPr="00022524">
        <w:t xml:space="preserve">Challenging selection of indicators for multi-thematic priorities, reflecting </w:t>
      </w:r>
      <w:r w:rsidR="006E6103" w:rsidRPr="00022524">
        <w:t xml:space="preserve">the majority of </w:t>
      </w:r>
      <w:r w:rsidRPr="00022524">
        <w:t xml:space="preserve">thematic aspects of the </w:t>
      </w:r>
      <w:proofErr w:type="spellStart"/>
      <w:r w:rsidR="00DA7557">
        <w:t>PAx</w:t>
      </w:r>
      <w:proofErr w:type="spellEnd"/>
    </w:p>
    <w:p w14:paraId="5693271D" w14:textId="77777777" w:rsidR="00370CD0" w:rsidRPr="00022524" w:rsidRDefault="00370CD0" w:rsidP="00370CD0">
      <w:pPr>
        <w:pStyle w:val="BulletPoint1"/>
      </w:pPr>
      <w:r w:rsidRPr="00022524">
        <w:t>There were no specific challenges mentioned for multi-fund priorities, since the indicators were defined for each specific fund separately because they covered different interventions and therefore no challenges occurred.</w:t>
      </w:r>
    </w:p>
    <w:p w14:paraId="6650689D" w14:textId="77777777" w:rsidR="00370CD0" w:rsidRPr="00022524" w:rsidRDefault="00370CD0" w:rsidP="00370CD0">
      <w:pPr>
        <w:pStyle w:val="Body"/>
      </w:pPr>
      <w:r w:rsidRPr="00022524">
        <w:t>Challenges when setting up performance frameworks involving specific delivery modes were partially linked to the difficulty of identifying relevant indicators while keeping the overall number of indicators to a minimum, keeping the ones established by the programmes’ legal basis.</w:t>
      </w:r>
    </w:p>
    <w:p w14:paraId="35CA2A26" w14:textId="77777777" w:rsidR="006D140C" w:rsidRPr="00022524" w:rsidRDefault="006D140C">
      <w:pPr>
        <w:spacing w:after="0"/>
        <w:jc w:val="left"/>
        <w:rPr>
          <w:lang w:val="en-GB"/>
        </w:rPr>
      </w:pPr>
      <w:bookmarkStart w:id="219" w:name="_Toc429671090"/>
    </w:p>
    <w:p w14:paraId="27BFC8DA" w14:textId="77777777" w:rsidR="006D140C" w:rsidRPr="00022524" w:rsidRDefault="006D140C">
      <w:pPr>
        <w:spacing w:after="0"/>
        <w:jc w:val="left"/>
        <w:rPr>
          <w:lang w:val="en-GB"/>
        </w:rPr>
      </w:pPr>
    </w:p>
    <w:p w14:paraId="03890CE5" w14:textId="77777777" w:rsidR="00B5653B" w:rsidRPr="00022524" w:rsidRDefault="00B5653B">
      <w:pPr>
        <w:spacing w:after="0"/>
        <w:jc w:val="left"/>
        <w:rPr>
          <w:rFonts w:ascii="Verdana" w:hAnsi="Verdana"/>
          <w:b/>
          <w:bCs/>
          <w:caps/>
          <w:sz w:val="22"/>
          <w:szCs w:val="22"/>
          <w:lang w:val="en-GB"/>
        </w:rPr>
      </w:pPr>
      <w:r w:rsidRPr="00022524">
        <w:rPr>
          <w:lang w:val="en-GB"/>
        </w:rPr>
        <w:br w:type="page"/>
      </w:r>
    </w:p>
    <w:p w14:paraId="3BC05B6C" w14:textId="77777777" w:rsidR="00B5653B" w:rsidRPr="00022524" w:rsidRDefault="00B5653B" w:rsidP="00123452">
      <w:pPr>
        <w:pStyle w:val="berschrift1Annex"/>
        <w:numPr>
          <w:ilvl w:val="0"/>
          <w:numId w:val="0"/>
        </w:numPr>
        <w:spacing w:after="240"/>
        <w:ind w:left="709" w:hanging="709"/>
      </w:pPr>
      <w:bookmarkStart w:id="220" w:name="_Toc435612329"/>
      <w:bookmarkStart w:id="221" w:name="_Toc435612497"/>
      <w:bookmarkStart w:id="222" w:name="_Toc433017944"/>
      <w:bookmarkStart w:id="223" w:name="_Toc433973177"/>
      <w:bookmarkStart w:id="224" w:name="_Toc433973216"/>
      <w:bookmarkStart w:id="225" w:name="_Toc435612569"/>
      <w:bookmarkStart w:id="226" w:name="_Toc448144125"/>
      <w:bookmarkEnd w:id="219"/>
      <w:bookmarkEnd w:id="220"/>
      <w:bookmarkEnd w:id="221"/>
      <w:r w:rsidRPr="00022524">
        <w:lastRenderedPageBreak/>
        <w:t>B</w:t>
      </w:r>
      <w:bookmarkEnd w:id="222"/>
      <w:r w:rsidR="004C13C1" w:rsidRPr="00022524">
        <w:t>ibliography</w:t>
      </w:r>
      <w:bookmarkEnd w:id="223"/>
      <w:bookmarkEnd w:id="224"/>
      <w:bookmarkEnd w:id="225"/>
      <w:bookmarkEnd w:id="226"/>
    </w:p>
    <w:p w14:paraId="5D801AD8" w14:textId="77777777" w:rsidR="00B624F3" w:rsidRPr="00022524" w:rsidRDefault="00B624F3" w:rsidP="00B624F3">
      <w:pPr>
        <w:pStyle w:val="Body"/>
      </w:pPr>
      <w:r w:rsidRPr="00022524">
        <w:t xml:space="preserve">Bachtler, John (2013) </w:t>
      </w:r>
      <w:proofErr w:type="gramStart"/>
      <w:r w:rsidRPr="00022524">
        <w:rPr>
          <w:i/>
        </w:rPr>
        <w:t>Which</w:t>
      </w:r>
      <w:proofErr w:type="gramEnd"/>
      <w:r w:rsidRPr="00022524">
        <w:rPr>
          <w:i/>
        </w:rPr>
        <w:t xml:space="preserve"> way forward for Cohesion Policy Programmes in 2014-2020?</w:t>
      </w:r>
      <w:r w:rsidRPr="00022524">
        <w:t xml:space="preserve"> In: </w:t>
      </w:r>
      <w:proofErr w:type="spellStart"/>
      <w:r w:rsidRPr="00022524">
        <w:t>Nordregio</w:t>
      </w:r>
      <w:proofErr w:type="spellEnd"/>
      <w:r w:rsidRPr="00022524">
        <w:t xml:space="preserve"> News Issue 1, 2013 – What Future for EU Structural Fund Programmes? </w:t>
      </w:r>
      <w:proofErr w:type="gramStart"/>
      <w:r w:rsidRPr="00022524">
        <w:t>Online Source.</w:t>
      </w:r>
      <w:proofErr w:type="gramEnd"/>
    </w:p>
    <w:p w14:paraId="1692BDCB" w14:textId="77777777" w:rsidR="00B624F3" w:rsidRPr="00022524" w:rsidRDefault="00B624F3" w:rsidP="00B624F3">
      <w:pPr>
        <w:pStyle w:val="Body"/>
      </w:pPr>
      <w:r w:rsidRPr="00022524">
        <w:t xml:space="preserve">Bachtler, John; Ferry, Martin (2013) </w:t>
      </w:r>
      <w:proofErr w:type="spellStart"/>
      <w:r w:rsidRPr="00022524">
        <w:rPr>
          <w:i/>
        </w:rPr>
        <w:t>Conditionalities</w:t>
      </w:r>
      <w:proofErr w:type="spellEnd"/>
      <w:r w:rsidRPr="00022524">
        <w:rPr>
          <w:i/>
        </w:rPr>
        <w:t xml:space="preserve"> and the Performance of European Structural Funds: A Principal-Agent Analysis of Control Mechanisms in </w:t>
      </w:r>
      <w:r w:rsidR="00156EC1" w:rsidRPr="00022524">
        <w:rPr>
          <w:i/>
        </w:rPr>
        <w:t>European</w:t>
      </w:r>
      <w:r w:rsidRPr="00022524">
        <w:rPr>
          <w:i/>
        </w:rPr>
        <w:t xml:space="preserve"> Union Cohesion Po</w:t>
      </w:r>
      <w:r w:rsidR="00156EC1" w:rsidRPr="00022524">
        <w:rPr>
          <w:i/>
        </w:rPr>
        <w:t>l</w:t>
      </w:r>
      <w:r w:rsidRPr="00022524">
        <w:rPr>
          <w:i/>
        </w:rPr>
        <w:t>icy</w:t>
      </w:r>
      <w:r w:rsidRPr="00022524">
        <w:t>. In: Regional Studies, p. 7</w:t>
      </w:r>
    </w:p>
    <w:p w14:paraId="1687C8C0" w14:textId="77777777" w:rsidR="00F31925" w:rsidRPr="00022524" w:rsidRDefault="00F31925" w:rsidP="00B624F3">
      <w:pPr>
        <w:pStyle w:val="Body"/>
      </w:pPr>
      <w:r w:rsidRPr="00022524">
        <w:t xml:space="preserve">Commission Implementing </w:t>
      </w:r>
      <w:r w:rsidRPr="00022524">
        <w:rPr>
          <w:i/>
        </w:rPr>
        <w:t>Regulation (EU) No 215/2014</w:t>
      </w:r>
      <w:r w:rsidRPr="00022524">
        <w:t xml:space="preserve"> of 7 March 2014 laying down rules for implementing Regulation (EU) No 1303/2013 of the European Parliament and of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with regard to methodologies for climate change support, the determination of milestones and targets in the performance framework and the nomenclature of categories of intervention for the European Structural and Investment Funds</w:t>
      </w:r>
    </w:p>
    <w:p w14:paraId="722D2379" w14:textId="77777777" w:rsidR="00B624F3" w:rsidRPr="00022524" w:rsidRDefault="00F22F23" w:rsidP="00B624F3">
      <w:pPr>
        <w:pStyle w:val="Body"/>
      </w:pPr>
      <w:r w:rsidRPr="00022524">
        <w:t>EC (2013)</w:t>
      </w:r>
      <w:r w:rsidR="00B624F3" w:rsidRPr="00022524">
        <w:t xml:space="preserve"> </w:t>
      </w:r>
      <w:r w:rsidR="00B624F3" w:rsidRPr="00022524">
        <w:rPr>
          <w:i/>
        </w:rPr>
        <w:t>Guidance Fiche Performance Framework Review and Reserve in 2014-2020</w:t>
      </w:r>
      <w:r w:rsidR="00B624F3" w:rsidRPr="00022524">
        <w:t>. Version 3 – 19 July 2013. Available from: http://ec.europa.eu/fisheries/reform/emff/guidance-performance-framework-review_en.pdf (August 2015)</w:t>
      </w:r>
    </w:p>
    <w:p w14:paraId="48B6BBDD" w14:textId="77777777" w:rsidR="007A42DF" w:rsidRPr="00022524" w:rsidRDefault="007A42DF" w:rsidP="00B624F3">
      <w:pPr>
        <w:pStyle w:val="Body"/>
      </w:pPr>
      <w:proofErr w:type="gramStart"/>
      <w:r w:rsidRPr="00022524">
        <w:t xml:space="preserve">EC (2015) </w:t>
      </w:r>
      <w:r w:rsidRPr="00022524">
        <w:rPr>
          <w:i/>
        </w:rPr>
        <w:t>Information on Mapping of programmes (national vs. regional).</w:t>
      </w:r>
      <w:proofErr w:type="gramEnd"/>
      <w:r w:rsidRPr="00022524">
        <w:t xml:space="preserve"> </w:t>
      </w:r>
      <w:proofErr w:type="gramStart"/>
      <w:r w:rsidRPr="00022524">
        <w:t>Transmitted via e-mail.</w:t>
      </w:r>
      <w:proofErr w:type="gramEnd"/>
      <w:r w:rsidRPr="00022524">
        <w:t xml:space="preserve"> October 2015.</w:t>
      </w:r>
    </w:p>
    <w:p w14:paraId="2551DE22" w14:textId="77777777" w:rsidR="00B624F3" w:rsidRPr="00022524" w:rsidRDefault="00B624F3" w:rsidP="00303E38">
      <w:pPr>
        <w:pStyle w:val="Body"/>
      </w:pPr>
      <w:proofErr w:type="spellStart"/>
      <w:r w:rsidRPr="00022524">
        <w:t>Gyorine</w:t>
      </w:r>
      <w:proofErr w:type="spellEnd"/>
      <w:r w:rsidRPr="00022524">
        <w:t xml:space="preserve"> Szabo, Gabriella (2014) </w:t>
      </w:r>
      <w:r w:rsidRPr="00022524">
        <w:rPr>
          <w:i/>
        </w:rPr>
        <w:t>Current trends and special characteristics in the spending of the European Union</w:t>
      </w:r>
      <w:r w:rsidR="00303E38" w:rsidRPr="00022524">
        <w:rPr>
          <w:i/>
        </w:rPr>
        <w:t>’</w:t>
      </w:r>
      <w:r w:rsidRPr="00022524">
        <w:rPr>
          <w:i/>
        </w:rPr>
        <w:t>s regional development funds</w:t>
      </w:r>
      <w:r w:rsidRPr="00022524">
        <w:t>. In: European Scientific Journal, June 2014, vol. 10, No. 16, p. 398</w:t>
      </w:r>
    </w:p>
    <w:p w14:paraId="50C397D1" w14:textId="77777777" w:rsidR="00B624F3" w:rsidRPr="00022524" w:rsidRDefault="00B624F3" w:rsidP="00B624F3">
      <w:pPr>
        <w:pStyle w:val="Body"/>
      </w:pPr>
      <w:proofErr w:type="gramStart"/>
      <w:r w:rsidRPr="00022524">
        <w:t xml:space="preserve">Martyn, Nicholas (2011) </w:t>
      </w:r>
      <w:r w:rsidRPr="00022524">
        <w:rPr>
          <w:i/>
        </w:rPr>
        <w:t>Integrated territorial approach and enhanced effectiveness and efficiency.</w:t>
      </w:r>
      <w:proofErr w:type="gramEnd"/>
      <w:r w:rsidRPr="00022524">
        <w:rPr>
          <w:i/>
        </w:rPr>
        <w:t xml:space="preserve"> </w:t>
      </w:r>
      <w:proofErr w:type="gramStart"/>
      <w:r w:rsidRPr="00022524">
        <w:rPr>
          <w:i/>
        </w:rPr>
        <w:t>Commission’s proposal for 2014-2020</w:t>
      </w:r>
      <w:r w:rsidRPr="00022524">
        <w:t>.</w:t>
      </w:r>
      <w:proofErr w:type="gramEnd"/>
      <w:r w:rsidRPr="00022524">
        <w:t xml:space="preserve"> </w:t>
      </w:r>
      <w:proofErr w:type="gramStart"/>
      <w:r w:rsidRPr="00022524">
        <w:t>Presentation at the meeting of DGs for cohesion policy, territorial and urban development.</w:t>
      </w:r>
      <w:proofErr w:type="gramEnd"/>
      <w:r w:rsidRPr="00022524">
        <w:t xml:space="preserve"> Warsaw, 3-4 November 2011.</w:t>
      </w:r>
    </w:p>
    <w:p w14:paraId="7AA4021E" w14:textId="77777777" w:rsidR="00B624F3" w:rsidRPr="00022524" w:rsidRDefault="00B624F3" w:rsidP="00B624F3">
      <w:pPr>
        <w:pStyle w:val="Body"/>
      </w:pPr>
      <w:r w:rsidRPr="00022524">
        <w:t xml:space="preserve">Regulation (EU) No </w:t>
      </w:r>
      <w:r w:rsidRPr="00022524">
        <w:rPr>
          <w:i/>
        </w:rPr>
        <w:t>1303/2013</w:t>
      </w:r>
      <w:r w:rsidRPr="00022524">
        <w:t xml:space="preserve"> of the European Parliament and of the Council of 17 December 2013</w:t>
      </w:r>
      <w:r w:rsidR="00F31925" w:rsidRPr="00022524">
        <w:t xml:space="preserve">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w:t>
      </w:r>
      <w:r w:rsidRPr="00022524">
        <w:t xml:space="preserve">. </w:t>
      </w:r>
    </w:p>
    <w:p w14:paraId="00F226E6" w14:textId="77777777" w:rsidR="009751DE" w:rsidRPr="00022524" w:rsidRDefault="009751DE" w:rsidP="00755808">
      <w:pPr>
        <w:pStyle w:val="HeadingBody"/>
        <w:rPr>
          <w:b w:val="0"/>
          <w:bCs/>
        </w:rPr>
      </w:pPr>
    </w:p>
    <w:p w14:paraId="64CAEB8B" w14:textId="77777777" w:rsidR="009751DE" w:rsidRPr="00022524" w:rsidRDefault="009751DE" w:rsidP="00755808">
      <w:pPr>
        <w:pStyle w:val="HeadingBody"/>
        <w:rPr>
          <w:b w:val="0"/>
          <w:bCs/>
        </w:rPr>
        <w:sectPr w:rsidR="009751DE" w:rsidRPr="00022524" w:rsidSect="00315841">
          <w:headerReference w:type="first" r:id="rId49"/>
          <w:pgSz w:w="11907" w:h="16839" w:code="9"/>
          <w:pgMar w:top="851" w:right="1418" w:bottom="851" w:left="1418" w:header="567" w:footer="567" w:gutter="0"/>
          <w:cols w:space="720"/>
          <w:titlePg/>
          <w:docGrid w:linePitch="326"/>
        </w:sectPr>
      </w:pPr>
    </w:p>
    <w:p w14:paraId="1C46672A" w14:textId="32F94F24" w:rsidR="00492D6B" w:rsidRPr="00022524" w:rsidRDefault="00805B88" w:rsidP="008560EB">
      <w:pPr>
        <w:tabs>
          <w:tab w:val="left" w:pos="2531"/>
        </w:tabs>
        <w:ind w:right="28"/>
        <w:rPr>
          <w:rFonts w:ascii="Verdana" w:hAnsi="Verdana"/>
          <w:sz w:val="16"/>
          <w:szCs w:val="16"/>
          <w:lang w:val="en-GB"/>
        </w:rPr>
      </w:pPr>
      <w:bookmarkStart w:id="227" w:name="_GoBack"/>
      <w:bookmarkEnd w:id="227"/>
      <w:r w:rsidRPr="00022524">
        <w:rPr>
          <w:rFonts w:ascii="Verdana" w:hAnsi="Verdana"/>
          <w:noProof/>
          <w:sz w:val="18"/>
          <w:lang w:val="en-GB" w:eastAsia="en-GB"/>
        </w:rPr>
        <w:lastRenderedPageBreak/>
        <mc:AlternateContent>
          <mc:Choice Requires="wps">
            <w:drawing>
              <wp:anchor distT="0" distB="0" distL="114300" distR="114300" simplePos="0" relativeHeight="251658240" behindDoc="0" locked="0" layoutInCell="1" allowOverlap="1" wp14:anchorId="5E425508" wp14:editId="31C5032D">
                <wp:simplePos x="0" y="0"/>
                <wp:positionH relativeFrom="margin">
                  <wp:posOffset>6758305</wp:posOffset>
                </wp:positionH>
                <wp:positionV relativeFrom="page">
                  <wp:posOffset>372745</wp:posOffset>
                </wp:positionV>
                <wp:extent cx="552450" cy="1229995"/>
                <wp:effectExtent l="0" t="0" r="0" b="82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F89A" w14:textId="77777777" w:rsidR="00767075" w:rsidRDefault="00767075"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" filled="f" fillcolor="black" stroked="f">
                <v:textbox style="layout-flow:vertical">
                  <w:txbxContent>
                    <w:p w14:paraId="7400F89A" w14:textId="77777777" w:rsidR="00767075" w:rsidRDefault="00767075" w:rsidP="00213AE8">
                      <w:pPr>
                        <w:rPr>
                          <w:rFonts w:ascii="Arial" w:hAnsi="Arial"/>
                          <w:color w:val="FF0000"/>
                          <w:sz w:val="18"/>
                          <w:lang w:val="fr-BE"/>
                        </w:rPr>
                      </w:pPr>
                      <w:r w:rsidRPr="0053025E">
                        <w:rPr>
                          <w:rFonts w:ascii="Arial" w:hAnsi="Arial"/>
                          <w:color w:val="FF0000"/>
                          <w:sz w:val="18"/>
                          <w:lang w:val="fr-BE"/>
                        </w:rPr>
                        <w:t xml:space="preserve">[Catalogue </w:t>
                      </w:r>
                      <w:proofErr w:type="spellStart"/>
                      <w:r w:rsidRPr="0053025E">
                        <w:rPr>
                          <w:rFonts w:ascii="Arial" w:hAnsi="Arial"/>
                          <w:color w:val="FF0000"/>
                          <w:sz w:val="18"/>
                          <w:lang w:val="fr-BE"/>
                        </w:rPr>
                        <w:t>number</w:t>
                      </w:r>
                      <w:proofErr w:type="spellEnd"/>
                      <w:r>
                        <w:rPr>
                          <w:rFonts w:ascii="Arial" w:hAnsi="Arial"/>
                          <w:color w:val="FF0000"/>
                          <w:sz w:val="18"/>
                          <w:lang w:val="fr-BE"/>
                        </w:rPr>
                        <w:t>]</w:t>
                      </w:r>
                    </w:p>
                  </w:txbxContent>
                </v:textbox>
                <w10:wrap anchorx="margin" anchory="page"/>
              </v:shape>
            </w:pict>
          </mc:Fallback>
        </mc:AlternateContent>
      </w:r>
    </w:p>
    <w:sectPr w:rsidR="00492D6B" w:rsidRPr="00022524" w:rsidSect="00794453">
      <w:headerReference w:type="first" r:id="rId50"/>
      <w:footerReference w:type="first" r:id="rId51"/>
      <w:pgSz w:w="11907" w:h="16839" w:code="9"/>
      <w:pgMar w:top="851" w:right="1418" w:bottom="851" w:left="1418" w:header="567" w:footer="567" w:gutter="0"/>
      <w:cols w:space="720"/>
      <w:titlePg/>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248792" w15:done="0"/>
  <w15:commentEx w15:paraId="45EF6C46" w15:done="0"/>
  <w15:commentEx w15:paraId="0D19A674" w15:done="0"/>
  <w15:commentEx w15:paraId="2C136EA2" w15:done="0"/>
  <w15:commentEx w15:paraId="00880310" w15:done="0"/>
  <w15:commentEx w15:paraId="7CEA37DA" w15:done="0"/>
  <w15:commentEx w15:paraId="406DAB7F" w15:done="0"/>
  <w15:commentEx w15:paraId="4A58EB8C" w15:done="0"/>
  <w15:commentEx w15:paraId="50512D7B" w15:done="0"/>
  <w15:commentEx w15:paraId="554A966F" w15:done="0"/>
  <w15:commentEx w15:paraId="2979F67E" w15:done="0"/>
  <w15:commentEx w15:paraId="46F21544" w15:done="0"/>
  <w15:commentEx w15:paraId="5026B535" w15:done="0"/>
  <w15:commentEx w15:paraId="7802947B" w15:done="0"/>
  <w15:commentEx w15:paraId="160737E9" w15:done="0"/>
  <w15:commentEx w15:paraId="2DF897A0" w15:done="0"/>
  <w15:commentEx w15:paraId="34DD8E85" w15:done="0"/>
  <w15:commentEx w15:paraId="32B16367" w15:done="0"/>
  <w15:commentEx w15:paraId="5A3F2D26" w15:done="0"/>
  <w15:commentEx w15:paraId="44B3F6A0" w15:done="0"/>
  <w15:commentEx w15:paraId="47094093" w15:done="0"/>
  <w15:commentEx w15:paraId="4FBA4F40" w15:paraIdParent="47094093" w15:done="0"/>
  <w15:commentEx w15:paraId="48FF292F" w15:done="0"/>
  <w15:commentEx w15:paraId="7FDBCB7C" w15:done="0"/>
  <w15:commentEx w15:paraId="2E1A44F7" w15:done="0"/>
  <w15:commentEx w15:paraId="61D9C4D0" w15:done="0"/>
  <w15:commentEx w15:paraId="5557E857" w15:done="0"/>
  <w15:commentEx w15:paraId="5B123FD9" w15:done="0"/>
  <w15:commentEx w15:paraId="0E9E4D02" w15:done="0"/>
  <w15:commentEx w15:paraId="1D6515FF" w15:done="0"/>
  <w15:commentEx w15:paraId="2DAE2D56" w15:done="0"/>
  <w15:commentEx w15:paraId="432FEB00" w15:done="0"/>
  <w15:commentEx w15:paraId="4671A70B" w15:done="0"/>
  <w15:commentEx w15:paraId="2F87EDC5" w15:done="0"/>
  <w15:commentEx w15:paraId="0CB969B9" w15:done="0"/>
  <w15:commentEx w15:paraId="40D48761" w15:done="0"/>
  <w15:commentEx w15:paraId="775A7FE3" w15:done="0"/>
  <w15:commentEx w15:paraId="7E22D96B" w15:done="0"/>
  <w15:commentEx w15:paraId="6CC269E5" w15:done="0"/>
  <w15:commentEx w15:paraId="345A714D" w15:done="0"/>
  <w15:commentEx w15:paraId="48C80521" w15:done="0"/>
  <w15:commentEx w15:paraId="0CB96161" w15:done="0"/>
  <w15:commentEx w15:paraId="0D909C1A" w15:done="0"/>
  <w15:commentEx w15:paraId="3ED987E0" w15:done="0"/>
  <w15:commentEx w15:paraId="3A3E7AB6" w15:done="0"/>
  <w15:commentEx w15:paraId="09F665E5" w15:done="0"/>
  <w15:commentEx w15:paraId="4CAFCA7F" w15:done="0"/>
  <w15:commentEx w15:paraId="3412D91B" w15:done="0"/>
  <w15:commentEx w15:paraId="0EF84ED8" w15:done="0"/>
  <w15:commentEx w15:paraId="66F56CBD" w15:done="0"/>
  <w15:commentEx w15:paraId="7059784E" w15:done="0"/>
  <w15:commentEx w15:paraId="33694C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52DF76" w14:textId="77777777" w:rsidR="00767075" w:rsidRDefault="00767075">
      <w:r>
        <w:separator/>
      </w:r>
    </w:p>
  </w:endnote>
  <w:endnote w:type="continuationSeparator" w:id="0">
    <w:p w14:paraId="7A3A43E1" w14:textId="77777777" w:rsidR="00767075" w:rsidRDefault="00767075">
      <w:r>
        <w:continuationSeparator/>
      </w:r>
    </w:p>
  </w:endnote>
  <w:endnote w:type="continuationNotice" w:id="1">
    <w:p w14:paraId="600DC1CD" w14:textId="77777777" w:rsidR="00767075" w:rsidRDefault="007670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umnst777 Lt BT">
    <w:altName w:val="Arial"/>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umnst777 BT">
    <w:altName w:val="Arial"/>
    <w:charset w:val="00"/>
    <w:family w:val="swiss"/>
    <w:pitch w:val="variable"/>
    <w:sig w:usb0="00000001" w:usb1="1000204A" w:usb2="00000000" w:usb3="00000000" w:csb0="00000011" w:csb1="00000000"/>
  </w:font>
  <w:font w:name="EC Square Sans Pro">
    <w:altName w:val="Arial"/>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36BE9" w14:textId="77777777" w:rsidR="00767075" w:rsidRDefault="00767075" w:rsidP="00465B74">
    <w:pPr>
      <w:pStyle w:val="Footer"/>
      <w:framePr w:wrap="around" w:vAnchor="text" w:hAnchor="margin" w:xAlign="outside" w:y="1"/>
      <w:rPr>
        <w:rStyle w:val="PageNumber"/>
        <w:rFonts w:ascii="Times New Roman" w:hAnsi="Times New Roman"/>
        <w:sz w:val="24"/>
      </w:rPr>
    </w:pPr>
    <w:r>
      <w:rPr>
        <w:rStyle w:val="PageNumber"/>
      </w:rPr>
      <w:fldChar w:fldCharType="begin"/>
    </w:r>
    <w:r>
      <w:rPr>
        <w:rStyle w:val="PageNumber"/>
      </w:rPr>
      <w:instrText xml:space="preserve">PAGE  </w:instrText>
    </w:r>
    <w:r>
      <w:rPr>
        <w:rStyle w:val="PageNumber"/>
      </w:rPr>
      <w:fldChar w:fldCharType="separate"/>
    </w:r>
    <w:r w:rsidR="00AD7CFD">
      <w:rPr>
        <w:rStyle w:val="PageNumber"/>
        <w:noProof/>
      </w:rPr>
      <w:t>2</w:t>
    </w:r>
    <w:r>
      <w:rPr>
        <w:rStyle w:val="PageNumber"/>
      </w:rPr>
      <w:fldChar w:fldCharType="end"/>
    </w:r>
  </w:p>
  <w:p w14:paraId="7D2F9817" w14:textId="77777777" w:rsidR="00767075" w:rsidRDefault="0076707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5C1B4" w14:textId="77777777" w:rsidR="00767075" w:rsidRPr="00971E70" w:rsidRDefault="00767075" w:rsidP="00971E70">
    <w:pPr>
      <w:ind w:right="-1"/>
      <w:rPr>
        <w:rFonts w:ascii="Verdana" w:hAnsi="Verdana"/>
        <w:sz w:val="16"/>
        <w:szCs w:val="16"/>
        <w:lang w:val="en-GB"/>
      </w:rPr>
    </w:pPr>
    <w:r>
      <w:rPr>
        <w:rFonts w:ascii="Verdana" w:hAnsi="Verdana"/>
        <w:noProof/>
        <w:color w:val="FF0000"/>
        <w:szCs w:val="16"/>
        <w:lang w:val="en-GB" w:eastAsia="en-GB"/>
      </w:rPr>
      <w:drawing>
        <wp:inline distT="0" distB="0" distL="0" distR="0" wp14:anchorId="03003749" wp14:editId="3A55A849">
          <wp:extent cx="1291158" cy="61110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_cmyk.jpg"/>
                  <pic:cNvPicPr/>
                </pic:nvPicPr>
                <pic:blipFill>
                  <a:blip r:embed="rId1">
                    <a:extLst>
                      <a:ext uri="{28A0092B-C50C-407E-A947-70E740481C1C}">
                        <a14:useLocalDpi xmlns:a14="http://schemas.microsoft.com/office/drawing/2010/main" val="0"/>
                      </a:ext>
                    </a:extLst>
                  </a:blip>
                  <a:stretch>
                    <a:fillRect/>
                  </a:stretch>
                </pic:blipFill>
                <pic:spPr>
                  <a:xfrm>
                    <a:off x="0" y="0"/>
                    <a:ext cx="1292444" cy="611716"/>
                  </a:xfrm>
                  <a:prstGeom prst="rect">
                    <a:avLst/>
                  </a:prstGeom>
                </pic:spPr>
              </pic:pic>
            </a:graphicData>
          </a:graphic>
        </wp:inline>
      </w:drawing>
    </w: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t xml:space="preserve"> </w:t>
    </w:r>
    <w:r>
      <w:rPr>
        <w:rFonts w:ascii="Verdana" w:hAnsi="Verdana"/>
        <w:sz w:val="16"/>
        <w:szCs w:val="16"/>
        <w:lang w:val="en-GB"/>
      </w:rPr>
      <w:tab/>
    </w:r>
    <w:r>
      <w:rPr>
        <w:rFonts w:ascii="Verdana" w:hAnsi="Verdana"/>
        <w:sz w:val="16"/>
        <w:szCs w:val="16"/>
        <w:lang w:val="en-GB"/>
      </w:rPr>
      <w:tab/>
    </w:r>
    <w:proofErr w:type="spellStart"/>
    <w:proofErr w:type="gramStart"/>
    <w:r w:rsidRPr="00696241">
      <w:rPr>
        <w:rFonts w:ascii="Verdana" w:hAnsi="Verdana"/>
        <w:sz w:val="16"/>
        <w:szCs w:val="16"/>
        <w:lang w:val="en-GB"/>
      </w:rPr>
      <w:t>doi</w:t>
    </w:r>
    <w:proofErr w:type="spellEnd"/>
    <w:proofErr w:type="gramEnd"/>
    <w:r w:rsidRPr="00696241">
      <w:rPr>
        <w:rFonts w:ascii="Verdana" w:hAnsi="Verdana"/>
        <w:sz w:val="16"/>
        <w:szCs w:val="16"/>
        <w:lang w:val="en-GB"/>
      </w:rPr>
      <w:t>:</w:t>
    </w:r>
    <w:r w:rsidRPr="00696241">
      <w:rPr>
        <w:rFonts w:ascii="Verdana" w:hAnsi="Verdana"/>
        <w:color w:val="FF0000"/>
        <w:sz w:val="16"/>
        <w:szCs w:val="16"/>
        <w:lang w:val="en-GB"/>
      </w:rPr>
      <w:t>[number]</w:t>
    </w:r>
  </w:p>
  <w:p w14:paraId="0824FAE0" w14:textId="77777777" w:rsidR="00767075" w:rsidRPr="006B26AA" w:rsidRDefault="00767075" w:rsidP="006B26AA">
    <w:pPr>
      <w:pStyle w:val="Footer"/>
      <w:rPr>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9601" w14:textId="4063A96B" w:rsidR="00767075" w:rsidRDefault="00767075" w:rsidP="00CF0228">
    <w:pPr>
      <w:spacing w:after="0"/>
      <w:jc w:val="center"/>
      <w:rPr>
        <w:rFonts w:ascii="Verdana" w:hAnsi="Verdana"/>
        <w:sz w:val="18"/>
        <w:lang w:val="en-GB"/>
      </w:rPr>
    </w:pPr>
    <w:r w:rsidRPr="00213AE8">
      <w:rPr>
        <w:rFonts w:ascii="Verdana" w:hAnsi="Verdana"/>
        <w:sz w:val="18"/>
        <w:lang w:val="en-GB"/>
      </w:rPr>
      <w:t xml:space="preserve">Directorate-General for </w:t>
    </w:r>
    <w:r>
      <w:rPr>
        <w:rFonts w:ascii="Verdana" w:hAnsi="Verdana"/>
        <w:sz w:val="18"/>
        <w:lang w:val="en-GB"/>
      </w:rPr>
      <w:t>Regional and Urban Policy</w:t>
    </w:r>
  </w:p>
  <w:p w14:paraId="19BE6DF2" w14:textId="77777777" w:rsidR="00767075" w:rsidRPr="00213AE8" w:rsidRDefault="00767075" w:rsidP="00CF0228">
    <w:pPr>
      <w:spacing w:after="0"/>
      <w:jc w:val="center"/>
      <w:rPr>
        <w:rFonts w:ascii="Verdana" w:hAnsi="Verdana"/>
        <w:sz w:val="18"/>
        <w:lang w:val="en-GB"/>
      </w:rPr>
    </w:pPr>
    <w:r w:rsidRPr="000146E6">
      <w:rPr>
        <w:rFonts w:ascii="Verdana" w:hAnsi="Verdana"/>
        <w:sz w:val="18"/>
        <w:lang w:val="en-GB"/>
      </w:rPr>
      <w:t>Study on performance framework</w:t>
    </w:r>
  </w:p>
  <w:p w14:paraId="398C9EA0" w14:textId="77777777" w:rsidR="00767075" w:rsidRPr="000E0807" w:rsidRDefault="00767075" w:rsidP="00E8593C">
    <w:pPr>
      <w:pStyle w:val="Footer"/>
      <w:tabs>
        <w:tab w:val="right" w:pos="9071"/>
      </w:tabs>
      <w:ind w:right="-1"/>
      <w:rPr>
        <w:lang w:val="en-GB"/>
      </w:rPr>
    </w:pPr>
    <w:r w:rsidRPr="00CF0228">
      <w:rPr>
        <w:rFonts w:ascii="Verdana" w:hAnsi="Verdana"/>
        <w:lang w:val="en-GB"/>
      </w:rPr>
      <w:t>201</w:t>
    </w:r>
    <w:r>
      <w:rPr>
        <w:rFonts w:ascii="Verdana" w:hAnsi="Verdana"/>
        <w:lang w:val="en-GB"/>
      </w:rPr>
      <w:t>6</w:t>
    </w:r>
    <w:r>
      <w:rPr>
        <w:rFonts w:ascii="Verdana" w:hAnsi="Verdana"/>
        <w:lang w:val="en-GB"/>
      </w:rPr>
      <w:tab/>
    </w:r>
    <w:r w:rsidRPr="00CF0228">
      <w:rPr>
        <w:rFonts w:ascii="Verdana" w:hAnsi="Verdana"/>
        <w:sz w:val="18"/>
        <w:lang w:val="en-GB"/>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1034" w14:textId="77777777" w:rsidR="00767075" w:rsidRDefault="00767075" w:rsidP="00E8593C">
    <w:pPr>
      <w:pStyle w:val="FooterDate"/>
      <w:tabs>
        <w:tab w:val="clear" w:pos="9240"/>
        <w:tab w:val="right" w:pos="9072"/>
      </w:tabs>
      <w:ind w:right="-1"/>
      <w:rPr>
        <w:rFonts w:cs="Arial"/>
        <w:sz w:val="18"/>
        <w:szCs w:val="18"/>
        <w:lang w:val="en-GB"/>
      </w:rPr>
    </w:pPr>
  </w:p>
  <w:p w14:paraId="0F243EFB" w14:textId="77777777" w:rsidR="00767075" w:rsidRDefault="00767075" w:rsidP="00E8593C">
    <w:pPr>
      <w:pStyle w:val="FooterDate"/>
      <w:tabs>
        <w:tab w:val="clear" w:pos="9240"/>
        <w:tab w:val="right" w:pos="9072"/>
      </w:tabs>
      <w:ind w:right="-1"/>
      <w:rPr>
        <w:rFonts w:cs="Arial"/>
        <w:sz w:val="18"/>
        <w:szCs w:val="18"/>
        <w:lang w:val="en-GB"/>
      </w:rPr>
    </w:pPr>
    <w:r>
      <w:rPr>
        <w:noProof/>
        <w:sz w:val="18"/>
        <w:szCs w:val="18"/>
        <w:lang w:val="en-GB" w:eastAsia="en-GB"/>
      </w:rPr>
      <mc:AlternateContent>
        <mc:Choice Requires="wps">
          <w:drawing>
            <wp:anchor distT="0" distB="0" distL="114300" distR="114300" simplePos="0" relativeHeight="251666437" behindDoc="0" locked="0" layoutInCell="1" allowOverlap="1" wp14:anchorId="248EB8CF" wp14:editId="7B0CCE35">
              <wp:simplePos x="0" y="0"/>
              <wp:positionH relativeFrom="margin">
                <wp:posOffset>2508250</wp:posOffset>
              </wp:positionH>
              <wp:positionV relativeFrom="margin">
                <wp:posOffset>8161655</wp:posOffset>
              </wp:positionV>
              <wp:extent cx="1043305" cy="606425"/>
              <wp:effectExtent l="0" t="0" r="4445" b="3175"/>
              <wp:wrapSquare wrapText="bothSides"/>
              <wp:docPr id="2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606425"/>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BB588" w14:textId="1CA63AE1" w:rsidR="00767075" w:rsidRPr="00E41036" w:rsidRDefault="00767075" w:rsidP="0018253C">
                          <w:pPr>
                            <w:spacing w:after="360"/>
                            <w:jc w:val="left"/>
                            <w:rPr>
                              <w:rFonts w:ascii="EC Square Sans Pro" w:hAnsi="EC Square Sans Pro"/>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7" style="position:absolute;margin-left:197.5pt;margin-top:642.65pt;width:82.15pt;height:47.75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" fillcolor="#002395" stroked="f">
              <v:textbox>
                <w:txbxContent>
                  <w:p w14:paraId="063BB588" w14:textId="1CA63AE1" w:rsidR="00767075" w:rsidRPr="00E41036" w:rsidRDefault="00767075" w:rsidP="0018253C">
                    <w:pPr>
                      <w:spacing w:after="360"/>
                      <w:jc w:val="left"/>
                      <w:rPr>
                        <w:rFonts w:ascii="EC Square Sans Pro" w:hAnsi="EC Square Sans Pro"/>
                        <w:i/>
                        <w:sz w:val="18"/>
                        <w:szCs w:val="18"/>
                      </w:rPr>
                    </w:pPr>
                  </w:p>
                </w:txbxContent>
              </v:textbox>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58243" behindDoc="0" locked="0" layoutInCell="1" allowOverlap="1" wp14:anchorId="0C954C2B" wp14:editId="5697B2C9">
              <wp:simplePos x="0" y="0"/>
              <wp:positionH relativeFrom="column">
                <wp:posOffset>4281170</wp:posOffset>
              </wp:positionH>
              <wp:positionV relativeFrom="margin">
                <wp:posOffset>9475470</wp:posOffset>
              </wp:positionV>
              <wp:extent cx="1438275" cy="561975"/>
              <wp:effectExtent l="0" t="0" r="9525" b="9525"/>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B13AD" w14:textId="77777777" w:rsidR="00767075" w:rsidRPr="00696241" w:rsidRDefault="00767075"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w:t>
                          </w:r>
                          <w:proofErr w:type="spellStart"/>
                          <w:r w:rsidRPr="00696241">
                            <w:rPr>
                              <w:rFonts w:cs="Arial"/>
                              <w:color w:val="FF0000"/>
                              <w:szCs w:val="16"/>
                            </w:rPr>
                            <w:t>number</w:t>
                          </w:r>
                          <w:proofErr w:type="spellEnd"/>
                          <w:r w:rsidRPr="00696241">
                            <w:rPr>
                              <w:rFonts w:cs="Arial"/>
                              <w:color w:val="FF0000"/>
                              <w:szCs w:val="16"/>
                            </w:rPr>
                            <w:t xml:space="preserve">] </w:t>
                          </w:r>
                          <w:r w:rsidRPr="00696241">
                            <w:rPr>
                              <w:rFonts w:cs="Arial"/>
                              <w:szCs w:val="16"/>
                            </w:rPr>
                            <w:t>EN</w:t>
                          </w:r>
                        </w:p>
                        <w:p w14:paraId="0AAE7FAF" w14:textId="77777777" w:rsidR="00767075" w:rsidRDefault="0076707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8" type="#_x0000_t202" style="position:absolute;margin-left:337.1pt;margin-top:746.1pt;width:113.25pt;height:4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" filled="f" fillcolor="#002395" stroked="f">
              <v:textbox inset="0,0,0,0">
                <w:txbxContent>
                  <w:p w14:paraId="167B13AD" w14:textId="77777777" w:rsidR="00767075" w:rsidRPr="00696241" w:rsidRDefault="00767075"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w:t>
                    </w:r>
                    <w:proofErr w:type="spellStart"/>
                    <w:r w:rsidRPr="00696241">
                      <w:rPr>
                        <w:rFonts w:cs="Arial"/>
                        <w:color w:val="FF0000"/>
                        <w:szCs w:val="16"/>
                      </w:rPr>
                      <w:t>number</w:t>
                    </w:r>
                    <w:proofErr w:type="spellEnd"/>
                    <w:r w:rsidRPr="00696241">
                      <w:rPr>
                        <w:rFonts w:cs="Arial"/>
                        <w:color w:val="FF0000"/>
                        <w:szCs w:val="16"/>
                      </w:rPr>
                      <w:t xml:space="preserve">] </w:t>
                    </w:r>
                    <w:r w:rsidRPr="00696241">
                      <w:rPr>
                        <w:rFonts w:cs="Arial"/>
                        <w:szCs w:val="16"/>
                      </w:rPr>
                      <w:t>EN</w:t>
                    </w:r>
                  </w:p>
                  <w:p w14:paraId="0AAE7FAF" w14:textId="77777777" w:rsidR="00767075" w:rsidRDefault="00767075"/>
                </w:txbxContent>
              </v:textbox>
              <w10:wrap anchory="margin"/>
            </v:shape>
          </w:pict>
        </mc:Fallback>
      </mc:AlternateContent>
    </w:r>
    <w:proofErr w:type="spellStart"/>
    <w:r>
      <w:rPr>
        <w:rFonts w:cs="Arial"/>
        <w:sz w:val="18"/>
        <w:szCs w:val="18"/>
        <w:lang w:val="en-GB"/>
      </w:rPr>
      <w:t>Sweco</w:t>
    </w:r>
    <w:proofErr w:type="spellEnd"/>
    <w:r>
      <w:rPr>
        <w:rFonts w:cs="Arial"/>
        <w:sz w:val="18"/>
        <w:szCs w:val="18"/>
        <w:lang w:val="en-GB"/>
      </w:rPr>
      <w:t xml:space="preserve"> </w:t>
    </w:r>
    <w:r w:rsidRPr="00E8593C">
      <w:rPr>
        <w:rFonts w:cs="Arial"/>
        <w:color w:val="004696"/>
        <w:sz w:val="18"/>
        <w:szCs w:val="18"/>
        <w:lang w:val="en-GB"/>
      </w:rPr>
      <w:sym w:font="Wingdings" w:char="F0A0"/>
    </w:r>
    <w:r w:rsidRPr="00F565C2">
      <w:rPr>
        <w:rFonts w:cs="Arial"/>
        <w:sz w:val="18"/>
        <w:szCs w:val="18"/>
        <w:lang w:val="en-GB"/>
      </w:rPr>
      <w:t xml:space="preserve"> ÖIR </w:t>
    </w:r>
    <w:r w:rsidRPr="00E8593C">
      <w:rPr>
        <w:rFonts w:cs="Arial"/>
        <w:color w:val="004696"/>
        <w:sz w:val="18"/>
        <w:szCs w:val="18"/>
        <w:lang w:val="en-GB"/>
      </w:rPr>
      <w:sym w:font="Wingdings" w:char="F0A0"/>
    </w:r>
    <w:r w:rsidRPr="00F565C2">
      <w:rPr>
        <w:rFonts w:cs="Arial"/>
        <w:sz w:val="18"/>
        <w:szCs w:val="18"/>
        <w:lang w:val="en-GB"/>
      </w:rPr>
      <w:t xml:space="preserve"> Spatial Foresight</w:t>
    </w:r>
  </w:p>
  <w:p w14:paraId="340E4473" w14:textId="5C53F9E2" w:rsidR="00767075" w:rsidRPr="00F565C2" w:rsidRDefault="00767075" w:rsidP="00E8593C">
    <w:pPr>
      <w:pStyle w:val="FooterDate"/>
      <w:tabs>
        <w:tab w:val="clear" w:pos="9240"/>
        <w:tab w:val="right" w:pos="9072"/>
      </w:tabs>
      <w:ind w:right="-1"/>
      <w:rPr>
        <w:rFonts w:cs="Arial"/>
        <w:sz w:val="18"/>
        <w:szCs w:val="18"/>
        <w:lang w:val="en-GB"/>
      </w:rPr>
    </w:pPr>
    <w:r>
      <w:rPr>
        <w:rFonts w:cs="Arial"/>
        <w:sz w:val="18"/>
        <w:szCs w:val="18"/>
        <w:lang w:val="en-GB"/>
      </w:rPr>
      <w:t>April 201</w:t>
    </w:r>
    <w:r>
      <w:rPr>
        <w:noProof/>
        <w:sz w:val="18"/>
        <w:szCs w:val="18"/>
        <w:lang w:val="en-GB" w:eastAsia="en-GB"/>
      </w:rPr>
      <mc:AlternateContent>
        <mc:Choice Requires="wps">
          <w:drawing>
            <wp:anchor distT="0" distB="0" distL="114300" distR="114300" simplePos="0" relativeHeight="251658245" behindDoc="0" locked="0" layoutInCell="1" allowOverlap="1" wp14:anchorId="14B2A675" wp14:editId="24A89D63">
              <wp:simplePos x="0" y="0"/>
              <wp:positionH relativeFrom="margin">
                <wp:posOffset>2361565</wp:posOffset>
              </wp:positionH>
              <wp:positionV relativeFrom="margin">
                <wp:posOffset>9601200</wp:posOffset>
              </wp:positionV>
              <wp:extent cx="1043305" cy="606425"/>
              <wp:effectExtent l="0" t="0" r="4445" b="3175"/>
              <wp:wrapSquare wrapText="bothSides"/>
              <wp:docPr id="1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606425"/>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3E332" w14:textId="77777777" w:rsidR="00767075" w:rsidRPr="00650F8F" w:rsidRDefault="00767075" w:rsidP="00E41036">
                          <w:pPr>
                            <w:spacing w:after="360"/>
                            <w:jc w:val="left"/>
                            <w:rPr>
                              <w:rFonts w:ascii="EC Square Sans Pro" w:hAnsi="EC Square Sans Pro"/>
                              <w:i/>
                              <w:color w:val="FFFFFF" w:themeColor="background1"/>
                              <w:sz w:val="18"/>
                              <w:szCs w:val="18"/>
                            </w:rPr>
                          </w:pPr>
                          <w:proofErr w:type="spellStart"/>
                          <w:r w:rsidRPr="00650F8F">
                            <w:rPr>
                              <w:rFonts w:ascii="EC Square Sans Pro" w:hAnsi="EC Square Sans Pro"/>
                              <w:i/>
                              <w:color w:val="FFFFFF" w:themeColor="background1"/>
                              <w:sz w:val="18"/>
                              <w:szCs w:val="18"/>
                            </w:rPr>
                            <w:t>Regional</w:t>
                          </w:r>
                          <w:proofErr w:type="spellEnd"/>
                          <w:r w:rsidRPr="00650F8F">
                            <w:rPr>
                              <w:rFonts w:ascii="EC Square Sans Pro" w:hAnsi="EC Square Sans Pro"/>
                              <w:i/>
                              <w:color w:val="FFFFFF" w:themeColor="background1"/>
                              <w:sz w:val="18"/>
                              <w:szCs w:val="18"/>
                            </w:rPr>
                            <w:t xml:space="preserve"> and Urban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85.95pt;margin-top:756pt;width:82.15pt;height:47.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" fillcolor="#002395" stroked="f">
              <v:textbox>
                <w:txbxContent>
                  <w:p w14:paraId="38A3E332" w14:textId="77777777" w:rsidR="00767075" w:rsidRPr="00650F8F" w:rsidRDefault="00767075" w:rsidP="00E41036">
                    <w:pPr>
                      <w:spacing w:after="360"/>
                      <w:jc w:val="left"/>
                      <w:rPr>
                        <w:rFonts w:ascii="EC Square Sans Pro" w:hAnsi="EC Square Sans Pro"/>
                        <w:i/>
                        <w:color w:val="FFFFFF" w:themeColor="background1"/>
                        <w:sz w:val="18"/>
                        <w:szCs w:val="18"/>
                      </w:rPr>
                    </w:pPr>
                    <w:proofErr w:type="spellStart"/>
                    <w:r w:rsidRPr="00650F8F">
                      <w:rPr>
                        <w:rFonts w:ascii="EC Square Sans Pro" w:hAnsi="EC Square Sans Pro"/>
                        <w:i/>
                        <w:color w:val="FFFFFF" w:themeColor="background1"/>
                        <w:sz w:val="18"/>
                        <w:szCs w:val="18"/>
                      </w:rPr>
                      <w:t>Regional</w:t>
                    </w:r>
                    <w:proofErr w:type="spellEnd"/>
                    <w:r w:rsidRPr="00650F8F">
                      <w:rPr>
                        <w:rFonts w:ascii="EC Square Sans Pro" w:hAnsi="EC Square Sans Pro"/>
                        <w:i/>
                        <w:color w:val="FFFFFF" w:themeColor="background1"/>
                        <w:sz w:val="18"/>
                        <w:szCs w:val="18"/>
                      </w:rPr>
                      <w:t xml:space="preserve"> and Urban Policy</w:t>
                    </w:r>
                  </w:p>
                </w:txbxContent>
              </v:textbox>
              <w10:wrap type="square" anchorx="margin" anchory="margin"/>
            </v:rect>
          </w:pict>
        </mc:Fallback>
      </mc:AlternateContent>
    </w:r>
    <w:r>
      <w:rPr>
        <w:rFonts w:cs="Arial"/>
        <w:sz w:val="18"/>
        <w:szCs w:val="18"/>
        <w:lang w:val="en-GB"/>
      </w:rPr>
      <w:t>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270807"/>
      <w:docPartObj>
        <w:docPartGallery w:val="Page Numbers (Bottom of Page)"/>
        <w:docPartUnique/>
      </w:docPartObj>
    </w:sdtPr>
    <w:sdtContent>
      <w:p w14:paraId="2048D11B" w14:textId="77777777" w:rsidR="00767075" w:rsidRPr="0011690F" w:rsidRDefault="00767075" w:rsidP="001E17B8">
        <w:pPr>
          <w:pStyle w:val="Footer"/>
          <w:ind w:right="-1"/>
          <w:jc w:val="right"/>
        </w:pPr>
        <w:r w:rsidRPr="0011690F">
          <w:rPr>
            <w:rFonts w:ascii="Verdana" w:hAnsi="Verdana"/>
          </w:rPr>
          <w:fldChar w:fldCharType="begin"/>
        </w:r>
        <w:r w:rsidRPr="0011690F">
          <w:rPr>
            <w:rFonts w:ascii="Verdana" w:hAnsi="Verdana"/>
          </w:rPr>
          <w:instrText xml:space="preserve"> PAGE   \* MERGEFORMAT </w:instrText>
        </w:r>
        <w:r w:rsidRPr="0011690F">
          <w:rPr>
            <w:rFonts w:ascii="Verdana" w:hAnsi="Verdana"/>
          </w:rPr>
          <w:fldChar w:fldCharType="separate"/>
        </w:r>
        <w:r w:rsidR="00AD7CFD">
          <w:rPr>
            <w:rFonts w:ascii="Verdana" w:hAnsi="Verdana"/>
            <w:noProof/>
          </w:rPr>
          <w:t>III</w:t>
        </w:r>
        <w:r w:rsidRPr="0011690F">
          <w:rPr>
            <w:rFonts w:ascii="Verdana" w:hAnsi="Verdana"/>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09F97" w14:textId="77777777" w:rsidR="00767075" w:rsidRDefault="0076707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518619"/>
      <w:docPartObj>
        <w:docPartGallery w:val="Page Numbers (Bottom of Page)"/>
        <w:docPartUnique/>
      </w:docPartObj>
    </w:sdtPr>
    <w:sdtContent>
      <w:p w14:paraId="232473EE" w14:textId="77777777" w:rsidR="00767075" w:rsidRDefault="00767075" w:rsidP="009A1B6F">
        <w:pPr>
          <w:pStyle w:val="Footer"/>
        </w:pPr>
        <w:r w:rsidRPr="0011690F">
          <w:rPr>
            <w:rFonts w:ascii="Verdana" w:hAnsi="Verdana"/>
          </w:rPr>
          <w:fldChar w:fldCharType="begin"/>
        </w:r>
        <w:r w:rsidRPr="0011690F">
          <w:rPr>
            <w:rFonts w:ascii="Verdana" w:hAnsi="Verdana"/>
          </w:rPr>
          <w:instrText xml:space="preserve"> PAGE   \* MERGEFORMAT </w:instrText>
        </w:r>
        <w:r w:rsidRPr="0011690F">
          <w:rPr>
            <w:rFonts w:ascii="Verdana" w:hAnsi="Verdana"/>
          </w:rPr>
          <w:fldChar w:fldCharType="separate"/>
        </w:r>
        <w:r w:rsidR="00AD7CFD">
          <w:rPr>
            <w:rFonts w:ascii="Verdana" w:hAnsi="Verdana"/>
            <w:noProof/>
          </w:rPr>
          <w:t>54</w:t>
        </w:r>
        <w:r w:rsidRPr="0011690F">
          <w:rPr>
            <w:rFonts w:ascii="Verdana" w:hAnsi="Verdana"/>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rPr>
      <w:id w:val="-1532019846"/>
      <w:docPartObj>
        <w:docPartGallery w:val="Page Numbers (Bottom of Page)"/>
        <w:docPartUnique/>
      </w:docPartObj>
    </w:sdtPr>
    <w:sdtContent>
      <w:p w14:paraId="7C31C203" w14:textId="77777777" w:rsidR="00767075" w:rsidRPr="00193886" w:rsidRDefault="00767075" w:rsidP="009A1B6F">
        <w:pPr>
          <w:pStyle w:val="Footer"/>
          <w:ind w:right="-1"/>
          <w:jc w:val="right"/>
          <w:rPr>
            <w:rFonts w:ascii="Verdana" w:hAnsi="Verdana"/>
          </w:rPr>
        </w:pPr>
        <w:r w:rsidRPr="00193886">
          <w:rPr>
            <w:rFonts w:ascii="Verdana" w:hAnsi="Verdana"/>
          </w:rPr>
          <w:fldChar w:fldCharType="begin"/>
        </w:r>
        <w:r w:rsidRPr="00193886">
          <w:rPr>
            <w:rFonts w:ascii="Verdana" w:hAnsi="Verdana"/>
          </w:rPr>
          <w:instrText xml:space="preserve"> PAGE   \* MERGEFORMAT </w:instrText>
        </w:r>
        <w:r w:rsidRPr="00193886">
          <w:rPr>
            <w:rFonts w:ascii="Verdana" w:hAnsi="Verdana"/>
          </w:rPr>
          <w:fldChar w:fldCharType="separate"/>
        </w:r>
        <w:r w:rsidR="00AD7CFD">
          <w:rPr>
            <w:rFonts w:ascii="Verdana" w:hAnsi="Verdana"/>
            <w:noProof/>
          </w:rPr>
          <w:t>55</w:t>
        </w:r>
        <w:r w:rsidRPr="00193886">
          <w:rPr>
            <w:rFonts w:ascii="Verdana" w:hAnsi="Verdana"/>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270E4" w14:textId="245F92C7" w:rsidR="00767075" w:rsidRPr="0011690F" w:rsidRDefault="00767075" w:rsidP="009A1B6F">
    <w:pPr>
      <w:pStyle w:val="Footer"/>
      <w:ind w:right="-1"/>
      <w:jc w:val="right"/>
    </w:pPr>
    <w:r>
      <w:rPr>
        <w:rStyle w:val="PageNumber"/>
      </w:rPr>
      <w:fldChar w:fldCharType="begin"/>
    </w:r>
    <w:r>
      <w:rPr>
        <w:rStyle w:val="PageNumber"/>
      </w:rPr>
      <w:instrText xml:space="preserve"> PAGE </w:instrText>
    </w:r>
    <w:r>
      <w:rPr>
        <w:rStyle w:val="PageNumber"/>
      </w:rPr>
      <w:fldChar w:fldCharType="separate"/>
    </w:r>
    <w:r w:rsidR="00AD7CFD">
      <w:rPr>
        <w:rStyle w:val="PageNumber"/>
        <w:noProof/>
      </w:rPr>
      <w:t>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21B54" w14:textId="77777777" w:rsidR="00767075" w:rsidRPr="0011690F" w:rsidRDefault="00767075" w:rsidP="008E6313">
    <w:pPr>
      <w:pStyle w:val="Footer"/>
      <w:ind w:left="-851"/>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28C24" w14:textId="77777777" w:rsidR="00767075" w:rsidRPr="00DA4ABF" w:rsidRDefault="00767075" w:rsidP="00DA4ABF">
      <w:pPr>
        <w:pStyle w:val="Footer"/>
      </w:pPr>
    </w:p>
  </w:footnote>
  <w:footnote w:type="continuationSeparator" w:id="0">
    <w:p w14:paraId="495F3C0B" w14:textId="77777777" w:rsidR="00767075" w:rsidRPr="00DA4ABF" w:rsidRDefault="00767075" w:rsidP="00DA4ABF">
      <w:pPr>
        <w:pStyle w:val="Footer"/>
      </w:pPr>
    </w:p>
  </w:footnote>
  <w:footnote w:type="continuationNotice" w:id="1">
    <w:p w14:paraId="44129149" w14:textId="77777777" w:rsidR="00767075" w:rsidRPr="00DA4ABF" w:rsidRDefault="00767075" w:rsidP="00DA4ABF">
      <w:pPr>
        <w:pStyle w:val="Footer"/>
      </w:pPr>
    </w:p>
  </w:footnote>
  <w:footnote w:id="2">
    <w:p w14:paraId="7AA6E005" w14:textId="77777777" w:rsidR="00767075" w:rsidRPr="00CE108A" w:rsidRDefault="00767075" w:rsidP="00336E04">
      <w:pPr>
        <w:pStyle w:val="FootnoteText"/>
      </w:pPr>
      <w:r>
        <w:rPr>
          <w:rStyle w:val="FootnoteReference"/>
        </w:rPr>
        <w:footnoteRef/>
      </w:r>
      <w:r>
        <w:t xml:space="preserve"> </w:t>
      </w:r>
      <w:r>
        <w:tab/>
      </w:r>
      <w:r w:rsidRPr="00CE108A">
        <w:t>Categorisation following the relationship between programmes and NUTS regions as encoded in SFC 2014: “Regional programme: programme covering a single NUTS2 region or a single NUTS1 region (unless that region covers the whole country); multiregional programmes: covering more than one NUTS2 or NUTS1 region, but not the whole country; national programmes: covering the whole country” (EC, 2015).</w:t>
      </w:r>
    </w:p>
  </w:footnote>
  <w:footnote w:id="3">
    <w:p w14:paraId="6EED1B12" w14:textId="77777777" w:rsidR="00767075" w:rsidRPr="00CE108A" w:rsidRDefault="00767075">
      <w:pPr>
        <w:pStyle w:val="FootnoteText"/>
      </w:pPr>
      <w:r w:rsidRPr="00CE108A">
        <w:rPr>
          <w:rStyle w:val="FootnoteReference"/>
        </w:rPr>
        <w:footnoteRef/>
      </w:r>
      <w:r w:rsidRPr="00CE108A">
        <w:t xml:space="preserve"> </w:t>
      </w:r>
      <w:r w:rsidRPr="00CE108A">
        <w:tab/>
      </w:r>
      <w:r>
        <w:t>I</w:t>
      </w:r>
      <w:r w:rsidRPr="00CE108A">
        <w:t>ncluding related methodologies on the establishment of the performance framework where available</w:t>
      </w:r>
    </w:p>
  </w:footnote>
  <w:footnote w:id="4">
    <w:p w14:paraId="19347A1A" w14:textId="77777777" w:rsidR="00767075" w:rsidRPr="00CE108A" w:rsidRDefault="00767075" w:rsidP="008657DD">
      <w:pPr>
        <w:pStyle w:val="FootnoteText"/>
      </w:pPr>
      <w:r w:rsidRPr="00CE108A">
        <w:rPr>
          <w:rStyle w:val="FootnoteReference"/>
        </w:rPr>
        <w:footnoteRef/>
      </w:r>
      <w:r w:rsidRPr="00CE108A">
        <w:t xml:space="preserve"> </w:t>
      </w:r>
      <w:r w:rsidRPr="00CE108A">
        <w:tab/>
        <w:t xml:space="preserve">Bachtler, John (2013) </w:t>
      </w:r>
      <w:proofErr w:type="gramStart"/>
      <w:r w:rsidRPr="00CE108A">
        <w:rPr>
          <w:i/>
        </w:rPr>
        <w:t>Which</w:t>
      </w:r>
      <w:proofErr w:type="gramEnd"/>
      <w:r w:rsidRPr="00CE108A">
        <w:rPr>
          <w:i/>
        </w:rPr>
        <w:t xml:space="preserve"> way forward for Cohesion Policy Programmes in 2014-2020?</w:t>
      </w:r>
      <w:r w:rsidRPr="00CE108A">
        <w:t xml:space="preserve"> In: </w:t>
      </w:r>
      <w:proofErr w:type="spellStart"/>
      <w:r w:rsidRPr="00CE108A">
        <w:t>Nordregio</w:t>
      </w:r>
      <w:proofErr w:type="spellEnd"/>
      <w:r w:rsidRPr="00CE108A">
        <w:t xml:space="preserve"> News Issue 1, 2013 – What Future for EU Structural Fund Programmes? </w:t>
      </w:r>
      <w:proofErr w:type="gramStart"/>
      <w:r w:rsidRPr="00CE108A">
        <w:t>Online Source.</w:t>
      </w:r>
      <w:proofErr w:type="gramEnd"/>
    </w:p>
  </w:footnote>
  <w:footnote w:id="5">
    <w:p w14:paraId="0D3CF4F7" w14:textId="77777777" w:rsidR="00767075" w:rsidRPr="00F3283C" w:rsidRDefault="00767075">
      <w:pPr>
        <w:pStyle w:val="FootnoteText"/>
      </w:pPr>
      <w:r>
        <w:rPr>
          <w:rStyle w:val="FootnoteReference"/>
        </w:rPr>
        <w:footnoteRef/>
      </w:r>
      <w:r>
        <w:t xml:space="preserve"> </w:t>
      </w:r>
      <w:r w:rsidRPr="00F3283C">
        <w:tab/>
      </w:r>
      <w:r w:rsidRPr="002803CC">
        <w:t>European Commission (2013) Guidance Fiche Performance Framework Review and Reserve in 2014-2020. Version 3 – 19 July 2013. p. 6</w:t>
      </w:r>
    </w:p>
  </w:footnote>
  <w:footnote w:id="6">
    <w:p w14:paraId="768E6013" w14:textId="77777777" w:rsidR="00767075" w:rsidRPr="005C47B9" w:rsidRDefault="00767075">
      <w:pPr>
        <w:pStyle w:val="FootnoteText"/>
      </w:pPr>
      <w:r>
        <w:rPr>
          <w:rStyle w:val="FootnoteReference"/>
        </w:rPr>
        <w:footnoteRef/>
      </w:r>
      <w:r>
        <w:t xml:space="preserve"> </w:t>
      </w:r>
      <w:r>
        <w:tab/>
        <w:t xml:space="preserve">The aspects of how MS and regions selected indicators for the performance framework and how they fixed corresponding milestones and targets, which is also part of task 3 of this study, is discussed in chapter 3, </w:t>
      </w:r>
    </w:p>
  </w:footnote>
  <w:footnote w:id="7">
    <w:p w14:paraId="4F08A985" w14:textId="77777777" w:rsidR="00767075" w:rsidRPr="00EE264C" w:rsidRDefault="00767075">
      <w:pPr>
        <w:pStyle w:val="FootnoteText"/>
      </w:pPr>
      <w:r>
        <w:rPr>
          <w:rStyle w:val="FootnoteReference"/>
        </w:rPr>
        <w:footnoteRef/>
      </w:r>
      <w:r>
        <w:t xml:space="preserve"> </w:t>
      </w:r>
      <w:r>
        <w:tab/>
        <w:t xml:space="preserve">Additional information on the PAs methodology and mechanisms to ensure consistency in the functioning of the performance framework is available in chapter </w:t>
      </w:r>
      <w:r>
        <w:fldChar w:fldCharType="begin"/>
      </w:r>
      <w:r>
        <w:instrText xml:space="preserve"> REF _Ref433094453 \r \h </w:instrText>
      </w:r>
      <w:r>
        <w:fldChar w:fldCharType="separate"/>
      </w:r>
      <w:r>
        <w:t>2.4</w:t>
      </w:r>
      <w:r>
        <w:fldChar w:fldCharType="end"/>
      </w:r>
      <w:r>
        <w:t>.</w:t>
      </w:r>
    </w:p>
  </w:footnote>
  <w:footnote w:id="8">
    <w:p w14:paraId="1A5C2D75" w14:textId="77777777" w:rsidR="00767075" w:rsidRPr="006F7A49" w:rsidRDefault="00767075">
      <w:pPr>
        <w:pStyle w:val="FootnoteText"/>
      </w:pPr>
      <w:r>
        <w:rPr>
          <w:rStyle w:val="FootnoteReference"/>
        </w:rPr>
        <w:footnoteRef/>
      </w:r>
      <w:r>
        <w:t xml:space="preserve"> </w:t>
      </w:r>
      <w:r>
        <w:tab/>
      </w:r>
      <w:r w:rsidRPr="006F7A49">
        <w:t>Whereas, 34% of the IGJ OPs changed the milestones and targets, followed by 22% that changed their indicators, milestones and targets and 15</w:t>
      </w:r>
      <w:r>
        <w:t>% that changed their indicators;</w:t>
      </w:r>
    </w:p>
  </w:footnote>
  <w:footnote w:id="9">
    <w:p w14:paraId="6C69690A" w14:textId="107D4BF3" w:rsidR="00767075" w:rsidRPr="00797148" w:rsidRDefault="00767075">
      <w:pPr>
        <w:pStyle w:val="FootnoteText"/>
      </w:pPr>
      <w:r>
        <w:rPr>
          <w:rStyle w:val="FootnoteReference"/>
        </w:rPr>
        <w:footnoteRef/>
      </w:r>
      <w:r>
        <w:t xml:space="preserve"> </w:t>
      </w:r>
      <w:r>
        <w:tab/>
        <w:t xml:space="preserve">Sector OPs are national programmes with a specific focus (as compared to general regional development), see also </w:t>
      </w:r>
      <w:r w:rsidRPr="00797148">
        <w:t>text box on page 17.</w:t>
      </w:r>
    </w:p>
  </w:footnote>
  <w:footnote w:id="10">
    <w:p w14:paraId="5D48A8AF" w14:textId="77777777" w:rsidR="00767075" w:rsidRPr="00210B62" w:rsidRDefault="00767075">
      <w:pPr>
        <w:pStyle w:val="FootnoteText"/>
      </w:pPr>
    </w:p>
  </w:footnote>
  <w:footnote w:id="11">
    <w:p w14:paraId="3E14AC15" w14:textId="5412B032" w:rsidR="00767075" w:rsidRDefault="00767075">
      <w:pPr>
        <w:pStyle w:val="FootnoteText"/>
      </w:pPr>
      <w:r>
        <w:rPr>
          <w:rStyle w:val="FootnoteReference"/>
        </w:rPr>
        <w:footnoteRef/>
      </w:r>
      <w:r>
        <w:t xml:space="preserve"> </w:t>
      </w:r>
      <w:proofErr w:type="gramStart"/>
      <w:r>
        <w:t>Commission Implementing Regulation 215/2014 Article 6.</w:t>
      </w:r>
      <w:proofErr w:type="gramEnd"/>
    </w:p>
  </w:footnote>
  <w:footnote w:id="12">
    <w:p w14:paraId="477C30D8" w14:textId="6BFE582F" w:rsidR="00767075" w:rsidRPr="00E942E5" w:rsidRDefault="00767075">
      <w:pPr>
        <w:pStyle w:val="FootnoteText"/>
      </w:pPr>
      <w:r>
        <w:rPr>
          <w:rStyle w:val="FootnoteReference"/>
        </w:rPr>
        <w:footnoteRef/>
      </w:r>
      <w:r>
        <w:t xml:space="preserve"> </w:t>
      </w:r>
      <w:r>
        <w:tab/>
        <w:t xml:space="preserve">One finding, referring to a different aspect of complexity, i.e. measuring potential effects of sustainable urban development in one </w:t>
      </w:r>
      <w:proofErr w:type="spellStart"/>
      <w:r>
        <w:t>PAx</w:t>
      </w:r>
      <w:proofErr w:type="spellEnd"/>
      <w:r>
        <w:t>, has been highlighted by one interviewee, as the definition of proper and verifiable indicators and targets has been perceived as a challenge.</w:t>
      </w:r>
    </w:p>
  </w:footnote>
  <w:footnote w:id="13">
    <w:p w14:paraId="026A9E32" w14:textId="77777777" w:rsidR="00767075" w:rsidRPr="00E5279B" w:rsidRDefault="00767075" w:rsidP="00ED74BD">
      <w:pPr>
        <w:pStyle w:val="FootnoteText"/>
        <w:rPr>
          <w:szCs w:val="16"/>
        </w:rPr>
      </w:pPr>
      <w:r w:rsidRPr="00E5279B">
        <w:rPr>
          <w:rStyle w:val="FootnoteReference"/>
          <w:szCs w:val="16"/>
        </w:rPr>
        <w:footnoteRef/>
      </w:r>
      <w:r w:rsidRPr="00E5279B">
        <w:rPr>
          <w:szCs w:val="16"/>
        </w:rPr>
        <w:t xml:space="preserve"> </w:t>
      </w:r>
      <w:r w:rsidRPr="00E5279B">
        <w:rPr>
          <w:szCs w:val="16"/>
        </w:rPr>
        <w:tab/>
      </w:r>
      <w:r>
        <w:rPr>
          <w:szCs w:val="16"/>
        </w:rPr>
        <w:t>“</w:t>
      </w:r>
      <w:r w:rsidRPr="00E5279B">
        <w:rPr>
          <w:szCs w:val="16"/>
        </w:rPr>
        <w:t>Animation</w:t>
      </w:r>
      <w:r>
        <w:rPr>
          <w:szCs w:val="16"/>
        </w:rPr>
        <w:t>”</w:t>
      </w:r>
      <w:r w:rsidRPr="00E5279B">
        <w:rPr>
          <w:szCs w:val="16"/>
        </w:rPr>
        <w:t xml:space="preserve"> relates to information dissemination, promoting awareness of CLLD projects and other related activities.</w:t>
      </w:r>
    </w:p>
  </w:footnote>
  <w:footnote w:id="14">
    <w:p w14:paraId="3938E3B6" w14:textId="77777777" w:rsidR="00767075" w:rsidRPr="00CA5AF4" w:rsidRDefault="00767075" w:rsidP="0012604D">
      <w:pPr>
        <w:pStyle w:val="FootnoteText"/>
      </w:pPr>
      <w:r>
        <w:rPr>
          <w:rStyle w:val="FootnoteReference"/>
        </w:rPr>
        <w:footnoteRef/>
      </w:r>
      <w:r>
        <w:t xml:space="preserve"> </w:t>
      </w:r>
      <w:r>
        <w:tab/>
        <w:t>National guidelines meaning national guidance papers being available</w:t>
      </w:r>
    </w:p>
  </w:footnote>
  <w:footnote w:id="15">
    <w:p w14:paraId="56849515" w14:textId="77777777" w:rsidR="00767075" w:rsidRPr="00CA5AF4" w:rsidRDefault="00767075" w:rsidP="0012604D">
      <w:pPr>
        <w:pStyle w:val="FootnoteText"/>
      </w:pPr>
      <w:r>
        <w:rPr>
          <w:rStyle w:val="FootnoteReference"/>
        </w:rPr>
        <w:footnoteRef/>
      </w:r>
      <w:r>
        <w:t xml:space="preserve"> </w:t>
      </w:r>
      <w:r>
        <w:tab/>
        <w:t>Harmonised procedures meaning similar approaches taken by different Funds or regions due to agreed procedures at national level</w:t>
      </w:r>
    </w:p>
  </w:footnote>
  <w:footnote w:id="16">
    <w:p w14:paraId="4F43A1D4" w14:textId="77777777" w:rsidR="00767075" w:rsidRPr="006A7927" w:rsidRDefault="00767075">
      <w:pPr>
        <w:pStyle w:val="FootnoteText"/>
      </w:pPr>
      <w:r>
        <w:rPr>
          <w:rStyle w:val="FootnoteReference"/>
        </w:rPr>
        <w:footnoteRef/>
      </w:r>
      <w:r>
        <w:t xml:space="preserve"> </w:t>
      </w:r>
      <w:r>
        <w:tab/>
        <w:t xml:space="preserve">The arrangements set up at national level to ensure consistency in the functioning of the PF across programmes and funds, which is also part of task 2 of this study, is discussed in chapter 2.4., which focuses especially on these arrangements and processes. Additionally, the aspect of the performance reserve is reviewed in chapter </w:t>
      </w:r>
      <w:r>
        <w:fldChar w:fldCharType="begin"/>
      </w:r>
      <w:r>
        <w:instrText xml:space="preserve"> REF _Ref433011087 \r \h </w:instrText>
      </w:r>
      <w:r>
        <w:fldChar w:fldCharType="separate"/>
      </w:r>
      <w:r>
        <w:t>4</w:t>
      </w:r>
      <w:r>
        <w:fldChar w:fldCharType="end"/>
      </w:r>
      <w:r>
        <w:t>.</w:t>
      </w:r>
    </w:p>
  </w:footnote>
  <w:footnote w:id="17">
    <w:p w14:paraId="70A42EA9" w14:textId="77777777" w:rsidR="00767075" w:rsidRPr="00994D68" w:rsidRDefault="00767075" w:rsidP="004F06D3">
      <w:pPr>
        <w:pStyle w:val="FootnoteText"/>
      </w:pPr>
      <w:r>
        <w:rPr>
          <w:rStyle w:val="FootnoteReference"/>
        </w:rPr>
        <w:footnoteRef/>
      </w:r>
      <w:r>
        <w:t xml:space="preserve"> </w:t>
      </w:r>
      <w:r>
        <w:tab/>
      </w:r>
      <w:r w:rsidRPr="00994D68">
        <w:t>2014ES16RFSM001, 2014FR16M2TA001, 2014GR16M3TA001, 2014MT16RFSM001, 2014PL16CFTA001, 2014PT16RFTA001, 2014RO16RFTA001, 2</w:t>
      </w:r>
      <w:r>
        <w:t>014SK16RFTA001, 2014CZ16CFTA001</w:t>
      </w:r>
    </w:p>
  </w:footnote>
  <w:footnote w:id="18">
    <w:p w14:paraId="659F08C5" w14:textId="77777777" w:rsidR="00767075" w:rsidRPr="00C27149" w:rsidRDefault="00767075" w:rsidP="004F06D3">
      <w:pPr>
        <w:pStyle w:val="FootnoteText"/>
      </w:pPr>
      <w:r>
        <w:rPr>
          <w:rStyle w:val="FootnoteReference"/>
        </w:rPr>
        <w:footnoteRef/>
      </w:r>
      <w:r>
        <w:t xml:space="preserve"> </w:t>
      </w:r>
      <w:r>
        <w:tab/>
        <w:t>Categorisation following the relationship between programmes and NUTS regions as encoded in SFC 2014: “Regional programme: programme covering a single NUTS2 region or a single NUTS1 region (unless that region covers the whole country); multiregional programmes: covering more than one NUTS2 or NUTS1 region, but not the whole country; national programmes: covering the whole country (EC, 2015).</w:t>
      </w:r>
    </w:p>
  </w:footnote>
  <w:footnote w:id="19">
    <w:p w14:paraId="212065AE" w14:textId="77777777" w:rsidR="00767075" w:rsidRPr="008146B0" w:rsidRDefault="00767075" w:rsidP="004F06D3">
      <w:pPr>
        <w:pStyle w:val="FootnoteText"/>
      </w:pPr>
      <w:r>
        <w:rPr>
          <w:rStyle w:val="FootnoteReference"/>
        </w:rPr>
        <w:footnoteRef/>
      </w:r>
      <w:r>
        <w:t xml:space="preserve"> </w:t>
      </w:r>
      <w:r>
        <w:tab/>
        <w:t xml:space="preserve">One ETC programme, the INTERREG V-A </w:t>
      </w:r>
      <w:r w:rsidRPr="008146B0">
        <w:t>Italy-Croatia</w:t>
      </w:r>
      <w:r>
        <w:t xml:space="preserve"> programme is not included in the database/this report, as it has not been submitted to the EC by summer 2015. </w:t>
      </w:r>
    </w:p>
  </w:footnote>
  <w:footnote w:id="20">
    <w:p w14:paraId="72E97E34" w14:textId="59F4A02D" w:rsidR="00767075" w:rsidRPr="00F3283C" w:rsidRDefault="00767075">
      <w:pPr>
        <w:pStyle w:val="FootnoteText"/>
      </w:pPr>
      <w:r>
        <w:rPr>
          <w:rStyle w:val="FootnoteReference"/>
        </w:rPr>
        <w:footnoteRef/>
      </w:r>
      <w:r>
        <w:t xml:space="preserve"> </w:t>
      </w:r>
      <w:r w:rsidRPr="00F3283C">
        <w:tab/>
      </w:r>
      <w:r w:rsidRPr="002803CC">
        <w:t>European Commission (2013) Guidance Fiche Performance Framework Review and Reserve in 2014-2020. Version 3 – 19 July 2013.</w:t>
      </w:r>
      <w:r>
        <w:t xml:space="preserve"> p. 6</w:t>
      </w:r>
    </w:p>
  </w:footnote>
  <w:footnote w:id="21">
    <w:p w14:paraId="029B815D" w14:textId="77777777" w:rsidR="00767075" w:rsidRPr="00376E70" w:rsidRDefault="00767075">
      <w:pPr>
        <w:pStyle w:val="FootnoteText"/>
      </w:pPr>
      <w:r>
        <w:rPr>
          <w:rStyle w:val="FootnoteReference"/>
        </w:rPr>
        <w:footnoteRef/>
      </w:r>
      <w:r>
        <w:t xml:space="preserve"> </w:t>
      </w:r>
      <w:r>
        <w:tab/>
        <w:t>A detailed description of the use of indicator categories in the PF, including a brief description of the selection procedure of indicators for the performance framework, is available in the Annex.</w:t>
      </w:r>
    </w:p>
  </w:footnote>
  <w:footnote w:id="22">
    <w:p w14:paraId="73F1C47D" w14:textId="32F209A7" w:rsidR="00767075" w:rsidRDefault="00767075" w:rsidP="002F13C2">
      <w:pPr>
        <w:pStyle w:val="FootnoteText"/>
        <w:jc w:val="both"/>
      </w:pPr>
      <w:r>
        <w:rPr>
          <w:rStyle w:val="FootnoteReference"/>
        </w:rPr>
        <w:footnoteRef/>
      </w:r>
      <w:r>
        <w:t xml:space="preserve"> As indicated above, the performance framework has to include milestones and targets set for the output indicator. Lack of such indicator in analysed programmes may be due to error in encoding and will be investigated by the European Commission in order to ensure programmes full formal compliance with the Regulations.</w:t>
      </w:r>
    </w:p>
  </w:footnote>
  <w:footnote w:id="23">
    <w:p w14:paraId="2FB385A2" w14:textId="0969EE51" w:rsidR="00767075" w:rsidRPr="00FF3DEF" w:rsidRDefault="00767075" w:rsidP="00A3674A">
      <w:pPr>
        <w:pStyle w:val="FootnoteText"/>
        <w:rPr>
          <w:szCs w:val="16"/>
        </w:rPr>
      </w:pPr>
    </w:p>
  </w:footnote>
  <w:footnote w:id="24">
    <w:p w14:paraId="556339B6" w14:textId="77777777" w:rsidR="00767075" w:rsidRPr="00547633" w:rsidRDefault="00767075">
      <w:pPr>
        <w:rPr>
          <w:lang w:val="en-GB"/>
        </w:rPr>
      </w:pPr>
    </w:p>
  </w:footnote>
  <w:footnote w:id="25">
    <w:p w14:paraId="3DC5CD0A" w14:textId="77777777" w:rsidR="00767075" w:rsidRPr="00F3283C" w:rsidRDefault="00767075" w:rsidP="004645DC">
      <w:pPr>
        <w:pStyle w:val="FootnoteText"/>
      </w:pPr>
      <w:r>
        <w:rPr>
          <w:rStyle w:val="FootnoteReference"/>
        </w:rPr>
        <w:footnoteRef/>
      </w:r>
      <w:r>
        <w:t xml:space="preserve"> </w:t>
      </w:r>
      <w:r w:rsidRPr="00F3283C">
        <w:tab/>
      </w:r>
      <w:r w:rsidRPr="002803CC">
        <w:t>European Commission (2013) Guidance Fiche Performance Framework Review and Reserve in 2014-2020. Version 3 – 19 July 2013. p. 6</w:t>
      </w:r>
    </w:p>
  </w:footnote>
  <w:footnote w:id="26">
    <w:p w14:paraId="5E848873" w14:textId="095712F3" w:rsidR="00767075" w:rsidRPr="00886AC0" w:rsidRDefault="00767075" w:rsidP="00C07734">
      <w:pPr>
        <w:pStyle w:val="FootnoteText"/>
      </w:pPr>
      <w:r>
        <w:rPr>
          <w:rStyle w:val="FootnoteReference"/>
        </w:rPr>
        <w:footnoteRef/>
      </w:r>
      <w:r>
        <w:t xml:space="preserve"> </w:t>
      </w:r>
      <w:r>
        <w:tab/>
        <w:t xml:space="preserve">18 key implementation steps were identified for one complex </w:t>
      </w:r>
      <w:proofErr w:type="spellStart"/>
      <w:r>
        <w:t>PAx</w:t>
      </w:r>
      <w:proofErr w:type="spellEnd"/>
      <w:r>
        <w:t xml:space="preserve"> of a Greek programme, which identified 18 output indicators and 18 corresponding key implementation steps for their milestones (“approved projects”). </w:t>
      </w:r>
    </w:p>
  </w:footnote>
  <w:footnote w:id="27">
    <w:p w14:paraId="1D73996B" w14:textId="77777777" w:rsidR="00767075" w:rsidRPr="00433412" w:rsidRDefault="00767075" w:rsidP="00433412">
      <w:pPr>
        <w:pStyle w:val="FootnoteText"/>
      </w:pPr>
      <w:r>
        <w:rPr>
          <w:rStyle w:val="FootnoteReference"/>
        </w:rPr>
        <w:footnoteRef/>
      </w:r>
      <w:r>
        <w:t xml:space="preserve"> </w:t>
      </w:r>
      <w:r>
        <w:tab/>
        <w:t xml:space="preserve">TO6: </w:t>
      </w:r>
      <w:r w:rsidRPr="009E3E3A">
        <w:t>Preserving and protecting the environment and promoting resource efficiency</w:t>
      </w:r>
    </w:p>
  </w:footnote>
  <w:footnote w:id="28">
    <w:p w14:paraId="76D15816" w14:textId="77777777" w:rsidR="00767075" w:rsidRPr="0042180E" w:rsidRDefault="00767075">
      <w:pPr>
        <w:pStyle w:val="FootnoteText"/>
      </w:pPr>
      <w:r>
        <w:rPr>
          <w:rStyle w:val="FootnoteReference"/>
        </w:rPr>
        <w:footnoteRef/>
      </w:r>
      <w:r>
        <w:t xml:space="preserve"> </w:t>
      </w:r>
      <w:r>
        <w:tab/>
        <w:t xml:space="preserve">TO4: </w:t>
      </w:r>
      <w:r w:rsidRPr="009E3E3A">
        <w:t>Supporting the shift towards a low-carbon economy in all sectors</w:t>
      </w:r>
    </w:p>
  </w:footnote>
  <w:footnote w:id="29">
    <w:p w14:paraId="582D495D" w14:textId="77777777" w:rsidR="00767075" w:rsidRPr="00433412" w:rsidRDefault="00767075">
      <w:pPr>
        <w:pStyle w:val="FootnoteText"/>
      </w:pPr>
      <w:r>
        <w:rPr>
          <w:rStyle w:val="FootnoteReference"/>
        </w:rPr>
        <w:footnoteRef/>
      </w:r>
      <w:r>
        <w:t xml:space="preserve"> </w:t>
      </w:r>
      <w:r>
        <w:tab/>
        <w:t xml:space="preserve">TO7: </w:t>
      </w:r>
      <w:r w:rsidRPr="009E3E3A">
        <w:t>Promoting sustainable transport and removing bottlenecks in key network infrastructures</w:t>
      </w:r>
    </w:p>
  </w:footnote>
  <w:footnote w:id="30">
    <w:p w14:paraId="5C645AE9" w14:textId="77777777" w:rsidR="00767075" w:rsidRPr="00433412" w:rsidRDefault="00767075">
      <w:pPr>
        <w:pStyle w:val="FootnoteText"/>
      </w:pPr>
      <w:r>
        <w:rPr>
          <w:rStyle w:val="FootnoteReference"/>
        </w:rPr>
        <w:footnoteRef/>
      </w:r>
      <w:r>
        <w:t xml:space="preserve"> </w:t>
      </w:r>
      <w:r>
        <w:tab/>
        <w:t xml:space="preserve">TO1: </w:t>
      </w:r>
      <w:r w:rsidRPr="009E3E3A">
        <w:t>Strengthening research, technological development and innovation</w:t>
      </w:r>
    </w:p>
  </w:footnote>
  <w:footnote w:id="31">
    <w:p w14:paraId="1A61A971" w14:textId="789413A1" w:rsidR="00767075" w:rsidRPr="00FC6929" w:rsidRDefault="00767075">
      <w:pPr>
        <w:pStyle w:val="FootnoteText"/>
        <w:rPr>
          <w:lang w:val="en-AU"/>
        </w:rPr>
      </w:pPr>
      <w:r>
        <w:rPr>
          <w:rStyle w:val="FootnoteReference"/>
        </w:rPr>
        <w:footnoteRef/>
      </w:r>
      <w:r>
        <w:t xml:space="preserve"> </w:t>
      </w:r>
      <w:r w:rsidRPr="00FC6929">
        <w:rPr>
          <w:lang w:val="en-AU"/>
        </w:rPr>
        <w:tab/>
      </w:r>
      <w:r>
        <w:t xml:space="preserve">TO7: </w:t>
      </w:r>
      <w:r w:rsidRPr="009E3E3A">
        <w:t>Promoting sustainable transport and removing bottlenecks in key network infrastructures</w:t>
      </w:r>
    </w:p>
  </w:footnote>
  <w:footnote w:id="32">
    <w:p w14:paraId="11008C97" w14:textId="6F038BDA" w:rsidR="00767075" w:rsidRPr="00E86C96" w:rsidRDefault="00767075">
      <w:pPr>
        <w:pStyle w:val="FootnoteText"/>
        <w:rPr>
          <w:lang w:val="en-AU"/>
        </w:rPr>
      </w:pPr>
      <w:r>
        <w:rPr>
          <w:rStyle w:val="FootnoteReference"/>
        </w:rPr>
        <w:footnoteRef/>
      </w:r>
      <w:r>
        <w:t xml:space="preserve"> </w:t>
      </w:r>
      <w:r w:rsidRPr="00E86C96">
        <w:rPr>
          <w:lang w:val="en-AU"/>
        </w:rPr>
        <w:tab/>
        <w:t xml:space="preserve">Relevant </w:t>
      </w:r>
      <w:proofErr w:type="spellStart"/>
      <w:r>
        <w:rPr>
          <w:lang w:val="en-AU"/>
        </w:rPr>
        <w:t>PAx</w:t>
      </w:r>
      <w:proofErr w:type="spellEnd"/>
      <w:r w:rsidRPr="00E86C96">
        <w:rPr>
          <w:lang w:val="en-AU"/>
        </w:rPr>
        <w:t xml:space="preserve"> funded from ESF only</w:t>
      </w:r>
    </w:p>
  </w:footnote>
  <w:footnote w:id="33">
    <w:p w14:paraId="63EEAF12" w14:textId="77777777" w:rsidR="00767075" w:rsidRPr="003C18F0" w:rsidRDefault="00767075" w:rsidP="00370CD0">
      <w:pPr>
        <w:pStyle w:val="FootnoteText"/>
      </w:pPr>
      <w:r>
        <w:rPr>
          <w:rStyle w:val="FootnoteReference"/>
        </w:rPr>
        <w:footnoteRef/>
      </w:r>
      <w:r>
        <w:t xml:space="preserve"> </w:t>
      </w:r>
      <w:r>
        <w:tab/>
        <w:t>For methodological details, please see the chapter A.1.1.</w:t>
      </w:r>
    </w:p>
  </w:footnote>
  <w:footnote w:id="34">
    <w:p w14:paraId="56BF31D0" w14:textId="77777777" w:rsidR="00767075" w:rsidRPr="00E5279B" w:rsidRDefault="00767075" w:rsidP="00370CD0">
      <w:pPr>
        <w:pStyle w:val="FootnoteText"/>
        <w:rPr>
          <w:szCs w:val="16"/>
        </w:rPr>
      </w:pPr>
      <w:r w:rsidRPr="00E5279B">
        <w:rPr>
          <w:rStyle w:val="FootnoteReference"/>
          <w:szCs w:val="16"/>
        </w:rPr>
        <w:footnoteRef/>
      </w:r>
      <w:r w:rsidRPr="00E5279B">
        <w:rPr>
          <w:szCs w:val="16"/>
        </w:rPr>
        <w:t xml:space="preserve"> </w:t>
      </w:r>
      <w:r w:rsidRPr="00E5279B">
        <w:rPr>
          <w:szCs w:val="16"/>
        </w:rPr>
        <w:tab/>
        <w:t xml:space="preserve">When referring to “good indicator judgment”: 66-100% clear, moderate indicator judgment: 33-66% clear, low indicator judgment: 0-33% clear; </w:t>
      </w:r>
      <w:proofErr w:type="gramStart"/>
      <w:r w:rsidRPr="00E5279B">
        <w:rPr>
          <w:szCs w:val="16"/>
        </w:rPr>
        <w:t>n/a</w:t>
      </w:r>
      <w:proofErr w:type="gramEnd"/>
      <w:r w:rsidRPr="00E5279B">
        <w:rPr>
          <w:szCs w:val="16"/>
        </w:rPr>
        <w:t xml:space="preserve"> … indicator judgment not meaningful.</w:t>
      </w:r>
    </w:p>
  </w:footnote>
  <w:footnote w:id="35">
    <w:p w14:paraId="7FE6D518" w14:textId="77777777" w:rsidR="00767075" w:rsidRPr="003F7B0C" w:rsidRDefault="00767075">
      <w:pPr>
        <w:pStyle w:val="FootnoteText"/>
      </w:pPr>
      <w:r>
        <w:rPr>
          <w:rStyle w:val="FootnoteReference"/>
        </w:rPr>
        <w:footnoteRef/>
      </w:r>
      <w:r>
        <w:t xml:space="preserve"> </w:t>
      </w:r>
      <w:r w:rsidRPr="00F3283C">
        <w:t xml:space="preserve"> </w:t>
      </w:r>
      <w:r w:rsidRPr="00F3283C">
        <w:tab/>
      </w:r>
      <w:r w:rsidRPr="003F7B0C">
        <w:t>Particularly with common indicator 2 “Number of enterprises receiving grants”, and common indicator 9 “Increase in expected number of visits to supported sites of cultural or natural heritage and attractions”;</w:t>
      </w:r>
    </w:p>
  </w:footnote>
  <w:footnote w:id="36">
    <w:p w14:paraId="0CA0DF05" w14:textId="77777777" w:rsidR="00767075" w:rsidRPr="00E5279B" w:rsidRDefault="00767075" w:rsidP="005E6138">
      <w:pPr>
        <w:pStyle w:val="FootnoteText"/>
        <w:rPr>
          <w:szCs w:val="16"/>
        </w:rPr>
      </w:pPr>
      <w:r w:rsidRPr="00E5279B">
        <w:rPr>
          <w:rStyle w:val="FootnoteReference"/>
          <w:szCs w:val="16"/>
        </w:rPr>
        <w:footnoteRef/>
      </w:r>
      <w:r w:rsidRPr="00E5279B">
        <w:rPr>
          <w:szCs w:val="16"/>
        </w:rPr>
        <w:t xml:space="preserve"> </w:t>
      </w:r>
      <w:r w:rsidRPr="00E5279B">
        <w:rPr>
          <w:szCs w:val="16"/>
        </w:rPr>
        <w:tab/>
        <w:t xml:space="preserve">When referring to “good indicator judgment”: 66-100% clear, moderate indicator judgment: 33-66% clear, low indicator judgment: 0-33% clear; </w:t>
      </w:r>
      <w:proofErr w:type="gramStart"/>
      <w:r w:rsidRPr="00E5279B">
        <w:rPr>
          <w:szCs w:val="16"/>
        </w:rPr>
        <w:t>n/a</w:t>
      </w:r>
      <w:proofErr w:type="gramEnd"/>
      <w:r w:rsidRPr="00E5279B">
        <w:rPr>
          <w:szCs w:val="16"/>
        </w:rPr>
        <w:t xml:space="preserve"> … indicator judgment not meaningful.</w:t>
      </w:r>
    </w:p>
  </w:footnote>
  <w:footnote w:id="37">
    <w:p w14:paraId="584329A5" w14:textId="77777777" w:rsidR="00767075" w:rsidRPr="002A2727" w:rsidRDefault="00767075" w:rsidP="000C7785">
      <w:pPr>
        <w:pStyle w:val="FootnoteText"/>
      </w:pPr>
      <w:r>
        <w:rPr>
          <w:rStyle w:val="FootnoteReference"/>
        </w:rPr>
        <w:footnoteRef/>
      </w:r>
      <w:r>
        <w:t xml:space="preserve"> </w:t>
      </w:r>
      <w:r>
        <w:tab/>
        <w:t xml:space="preserve">2014FR05M0OP001, 2014FR16M0OP002and 2014FR16M0OP008 (1 </w:t>
      </w:r>
      <w:proofErr w:type="spellStart"/>
      <w:r>
        <w:t>PAx</w:t>
      </w:r>
      <w:proofErr w:type="spellEnd"/>
      <w:r>
        <w:t xml:space="preserve"> each)</w:t>
      </w:r>
    </w:p>
  </w:footnote>
  <w:footnote w:id="38">
    <w:p w14:paraId="5FB5D6A7" w14:textId="77777777" w:rsidR="00767075" w:rsidRPr="00E5279B" w:rsidRDefault="00767075" w:rsidP="003A7E37">
      <w:pPr>
        <w:pStyle w:val="FootnoteText"/>
        <w:rPr>
          <w:szCs w:val="16"/>
        </w:rPr>
      </w:pPr>
      <w:r w:rsidRPr="00E5279B">
        <w:rPr>
          <w:rStyle w:val="FootnoteReference"/>
          <w:szCs w:val="16"/>
        </w:rPr>
        <w:footnoteRef/>
      </w:r>
      <w:r w:rsidRPr="00E5279B">
        <w:rPr>
          <w:szCs w:val="16"/>
        </w:rPr>
        <w:t xml:space="preserve"> </w:t>
      </w:r>
      <w:r w:rsidRPr="00E5279B">
        <w:rPr>
          <w:szCs w:val="16"/>
        </w:rPr>
        <w:tab/>
        <w:t xml:space="preserve">Bachtler, John (2013) </w:t>
      </w:r>
      <w:proofErr w:type="gramStart"/>
      <w:r w:rsidRPr="00E5279B">
        <w:rPr>
          <w:i/>
          <w:szCs w:val="16"/>
        </w:rPr>
        <w:t>Which</w:t>
      </w:r>
      <w:proofErr w:type="gramEnd"/>
      <w:r w:rsidRPr="00E5279B">
        <w:rPr>
          <w:i/>
          <w:szCs w:val="16"/>
        </w:rPr>
        <w:t xml:space="preserve"> way forward for Cohesion Policy Programmes in 2014-2020?</w:t>
      </w:r>
      <w:r w:rsidRPr="00E5279B">
        <w:rPr>
          <w:szCs w:val="16"/>
        </w:rPr>
        <w:t xml:space="preserve"> In: </w:t>
      </w:r>
      <w:proofErr w:type="spellStart"/>
      <w:r w:rsidRPr="00E5279B">
        <w:rPr>
          <w:szCs w:val="16"/>
        </w:rPr>
        <w:t>Nordregio</w:t>
      </w:r>
      <w:proofErr w:type="spellEnd"/>
      <w:r w:rsidRPr="00E5279B">
        <w:rPr>
          <w:szCs w:val="16"/>
        </w:rPr>
        <w:t xml:space="preserve"> News Issue 1, 2013 – What Future for EU Structural Fund Programmes? </w:t>
      </w:r>
      <w:proofErr w:type="gramStart"/>
      <w:r w:rsidRPr="00E5279B">
        <w:rPr>
          <w:szCs w:val="16"/>
        </w:rPr>
        <w:t>Online Source.</w:t>
      </w:r>
      <w:proofErr w:type="gramEnd"/>
    </w:p>
  </w:footnote>
  <w:footnote w:id="39">
    <w:p w14:paraId="5DF8A2DA" w14:textId="77777777" w:rsidR="00767075" w:rsidRPr="00F76523" w:rsidRDefault="00767075" w:rsidP="00E8581F">
      <w:pPr>
        <w:pStyle w:val="FootnoteText"/>
      </w:pPr>
      <w:r>
        <w:rPr>
          <w:rStyle w:val="FootnoteReference"/>
        </w:rPr>
        <w:footnoteRef/>
      </w:r>
      <w:r>
        <w:t xml:space="preserve"> </w:t>
      </w:r>
      <w:r>
        <w:tab/>
      </w:r>
      <w:r w:rsidRPr="002803CC">
        <w:t xml:space="preserve">European Commission (2013) Guidance Fiche Performance Framework Review and Reserve in 2014-2020. Version 3 – 19 July 2013. p. </w:t>
      </w:r>
      <w:r>
        <w:t>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3F6D" w14:textId="77777777" w:rsidR="00767075" w:rsidRDefault="0076707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5B9B6" w14:textId="6AE6528A" w:rsidR="00767075" w:rsidRDefault="00767075" w:rsidP="00780B2C">
    <w:pPr>
      <w:pStyle w:val="Header"/>
      <w:jc w:val="center"/>
      <w:rPr>
        <w:rFonts w:ascii="Verdana" w:hAnsi="Verdana"/>
        <w:color w:val="808080" w:themeColor="background1" w:themeShade="80"/>
        <w:sz w:val="20"/>
        <w:lang w:val="en-GB"/>
      </w:rPr>
    </w:pPr>
    <w:r w:rsidRPr="00C70861">
      <w:rPr>
        <w:rFonts w:ascii="Verdana" w:hAnsi="Verdana"/>
        <w:color w:val="808080" w:themeColor="background1" w:themeShade="80"/>
        <w:sz w:val="20"/>
        <w:lang w:val="en-GB"/>
      </w:rPr>
      <w:t>The implementation of the performance frameworks in 2014-2020 ESI Funds</w:t>
    </w:r>
  </w:p>
  <w:p w14:paraId="06F875B4" w14:textId="77777777" w:rsidR="00767075" w:rsidRPr="00034576" w:rsidRDefault="00767075" w:rsidP="00780B2C">
    <w:pPr>
      <w:pStyle w:val="Header"/>
      <w:pBdr>
        <w:top w:val="single" w:sz="4" w:space="1" w:color="auto"/>
      </w:pBdr>
      <w:spacing w:after="0"/>
      <w:jc w:val="center"/>
      <w:rPr>
        <w:sz w:val="20"/>
        <w:lang w:val="en-G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D7E84" w14:textId="0FB05D5E" w:rsidR="00767075" w:rsidRPr="00034576" w:rsidRDefault="00767075" w:rsidP="0039475C">
    <w:pPr>
      <w:pStyle w:val="Header"/>
      <w:jc w:val="center"/>
      <w:rPr>
        <w:sz w:val="20"/>
        <w:lang w:val="en-GB"/>
      </w:rPr>
    </w:pPr>
    <w:r w:rsidRPr="00C70861">
      <w:rPr>
        <w:rFonts w:ascii="Verdana" w:hAnsi="Verdana"/>
        <w:color w:val="808080" w:themeColor="background1" w:themeShade="80"/>
        <w:sz w:val="20"/>
        <w:lang w:val="en-GB"/>
      </w:rPr>
      <w:t>The implementation of the performance frameworks in 2014-2020 ESI Funds</w:t>
    </w:r>
  </w:p>
  <w:p w14:paraId="71F52894" w14:textId="6522A269" w:rsidR="00767075" w:rsidRPr="0039475C" w:rsidRDefault="00767075" w:rsidP="0039475C">
    <w:pPr>
      <w:pStyle w:val="Header"/>
      <w:pBdr>
        <w:top w:val="single" w:sz="4" w:space="1" w:color="auto"/>
      </w:pBdr>
      <w:spacing w:after="0"/>
      <w:rPr>
        <w:lang w:val="en-G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E9B22" w14:textId="77777777" w:rsidR="00767075" w:rsidRPr="00034576" w:rsidRDefault="00767075" w:rsidP="00780B2C">
    <w:pPr>
      <w:pStyle w:val="Header"/>
      <w:jc w:val="center"/>
      <w:rPr>
        <w:sz w:val="20"/>
        <w:lang w:val="en-GB"/>
      </w:rPr>
    </w:pPr>
    <w:r w:rsidRPr="00C70861">
      <w:rPr>
        <w:rFonts w:ascii="Verdana" w:hAnsi="Verdana"/>
        <w:color w:val="808080" w:themeColor="background1" w:themeShade="80"/>
        <w:sz w:val="20"/>
        <w:lang w:val="en-GB"/>
      </w:rPr>
      <w:t>The implementation of the performance frameworks in 2014-2020 ESI Funds</w:t>
    </w:r>
    <w:r>
      <w:rPr>
        <w:rFonts w:ascii="Verdana" w:hAnsi="Verdana"/>
        <w:noProof/>
        <w:color w:val="808080" w:themeColor="background1" w:themeShade="80"/>
        <w:sz w:val="20"/>
        <w:lang w:val="en-GB" w:eastAsia="en-GB"/>
      </w:rPr>
      <mc:AlternateContent>
        <mc:Choice Requires="wps">
          <w:drawing>
            <wp:anchor distT="0" distB="0" distL="114300" distR="114300" simplePos="0" relativeHeight="251674629" behindDoc="0" locked="0" layoutInCell="1" allowOverlap="1" wp14:anchorId="535F9F1A" wp14:editId="16677D31">
              <wp:simplePos x="0" y="0"/>
              <wp:positionH relativeFrom="column">
                <wp:posOffset>10111</wp:posOffset>
              </wp:positionH>
              <wp:positionV relativeFrom="margin">
                <wp:posOffset>-267384</wp:posOffset>
              </wp:positionV>
              <wp:extent cx="5556739"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555673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674629;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" strokecolor="#7f7f7f [1612]">
              <w10:wrap anchory="margin"/>
            </v:line>
          </w:pict>
        </mc:Fallback>
      </mc:AlternateContent>
    </w:r>
  </w:p>
  <w:p w14:paraId="5F9B1893" w14:textId="77777777" w:rsidR="00767075" w:rsidRPr="00780B2C" w:rsidRDefault="00767075" w:rsidP="00780B2C">
    <w:pPr>
      <w:pStyle w:val="Header"/>
      <w:spacing w:after="0"/>
      <w:rPr>
        <w:lang w:val="en-G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F8EA" w14:textId="7323515E" w:rsidR="00767075" w:rsidRPr="00623ED0" w:rsidRDefault="00767075" w:rsidP="00623ED0">
    <w:pPr>
      <w:pStyle w:val="Header"/>
      <w:tabs>
        <w:tab w:val="left" w:pos="7513"/>
      </w:tabs>
      <w:spacing w:after="0"/>
      <w:jc w:val="center"/>
      <w:rPr>
        <w:noProof/>
        <w:lang w:val="en-GB" w:eastAsia="en-GB"/>
      </w:rPr>
    </w:pPr>
    <w:r>
      <w:rPr>
        <w:noProof/>
        <w:lang w:val="en-GB" w:eastAsia="en-GB"/>
      </w:rPr>
      <mc:AlternateContent>
        <mc:Choice Requires="wps">
          <w:drawing>
            <wp:anchor distT="0" distB="0" distL="114300" distR="114300" simplePos="0" relativeHeight="251658244" behindDoc="1" locked="0" layoutInCell="1" allowOverlap="1" wp14:anchorId="0D5A2A06" wp14:editId="18B85825">
              <wp:simplePos x="0" y="0"/>
              <wp:positionH relativeFrom="column">
                <wp:posOffset>-899853</wp:posOffset>
              </wp:positionH>
              <wp:positionV relativeFrom="margin">
                <wp:posOffset>-540385</wp:posOffset>
              </wp:positionV>
              <wp:extent cx="7560310" cy="1367905"/>
              <wp:effectExtent l="0" t="0" r="2540" b="381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367905"/>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70.85pt;margin-top:-42.55pt;width:595.3pt;height:107.7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" fillcolor="#004494" stroked="f" strokeweight="2pt">
              <v:path arrowok="t"/>
              <w10:wrap anchory="margin"/>
            </v:rect>
          </w:pict>
        </mc:Fallback>
      </mc:AlternateContent>
    </w:r>
    <w:r>
      <w:rPr>
        <w:noProof/>
        <w:lang w:val="en-GB" w:eastAsia="en-GB"/>
      </w:rPr>
      <w:drawing>
        <wp:anchor distT="0" distB="0" distL="114300" distR="114300" simplePos="0" relativeHeight="251658241" behindDoc="1" locked="0" layoutInCell="1" allowOverlap="1" wp14:anchorId="73AAB25B" wp14:editId="2CF56AED">
          <wp:simplePos x="0" y="0"/>
          <wp:positionH relativeFrom="margin">
            <wp:posOffset>-914285</wp:posOffset>
          </wp:positionH>
          <wp:positionV relativeFrom="margin">
            <wp:posOffset>15240</wp:posOffset>
          </wp:positionV>
          <wp:extent cx="7868188" cy="8188036"/>
          <wp:effectExtent l="0" t="0" r="0" b="3810"/>
          <wp:wrapNone/>
          <wp:docPr id="15" name="Picture 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anchor>
      </w:drawing>
    </w:r>
    <w:r>
      <w:rPr>
        <w:noProof/>
        <w:lang w:val="en-GB" w:eastAsia="en-GB"/>
      </w:rPr>
      <mc:AlternateContent>
        <mc:Choice Requires="wps">
          <w:drawing>
            <wp:anchor distT="0" distB="0" distL="114300" distR="114300" simplePos="0" relativeHeight="251658242" behindDoc="0" locked="0" layoutInCell="1" allowOverlap="1" wp14:anchorId="55CA9703" wp14:editId="581043A7">
              <wp:simplePos x="0" y="0"/>
              <wp:positionH relativeFrom="margin">
                <wp:posOffset>5830570</wp:posOffset>
              </wp:positionH>
              <wp:positionV relativeFrom="page">
                <wp:posOffset>138430</wp:posOffset>
              </wp:positionV>
              <wp:extent cx="622300" cy="1229360"/>
              <wp:effectExtent l="0" t="0" r="6350" b="889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D5ED2" w14:textId="77777777" w:rsidR="00767075" w:rsidRPr="00367149" w:rsidRDefault="00767075"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30" type="#_x0000_t202" style="position:absolute;left:0;text-align:left;margin-left:459.1pt;margin-top:10.9pt;width:49pt;height:96.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" filled="f" fillcolor="black" stroked="f">
              <v:textbox style="layout-flow:vertical" inset="0,0,0,0">
                <w:txbxContent>
                  <w:p w14:paraId="490D5ED2" w14:textId="77777777" w:rsidR="00767075" w:rsidRPr="00367149" w:rsidRDefault="00767075" w:rsidP="00367149">
                    <w:pPr>
                      <w:rPr>
                        <w:rFonts w:ascii="Verdana" w:hAnsi="Verdana"/>
                        <w:color w:val="FFFFFF" w:themeColor="background1"/>
                        <w:sz w:val="16"/>
                        <w:lang w:val="fr-BE"/>
                      </w:rPr>
                    </w:pPr>
                    <w:r w:rsidRPr="00367149">
                      <w:rPr>
                        <w:rFonts w:ascii="Verdana" w:hAnsi="Verdana"/>
                        <w:color w:val="FFFFFF" w:themeColor="background1"/>
                        <w:sz w:val="16"/>
                        <w:lang w:val="fr-BE"/>
                      </w:rPr>
                      <w:t xml:space="preserve">[Catalogue </w:t>
                    </w:r>
                    <w:proofErr w:type="spellStart"/>
                    <w:r w:rsidRPr="00367149">
                      <w:rPr>
                        <w:rFonts w:ascii="Verdana" w:hAnsi="Verdana"/>
                        <w:color w:val="FFFFFF" w:themeColor="background1"/>
                        <w:sz w:val="16"/>
                        <w:lang w:val="fr-BE"/>
                      </w:rPr>
                      <w:t>number</w:t>
                    </w:r>
                    <w:proofErr w:type="spellEnd"/>
                    <w:r w:rsidRPr="00367149">
                      <w:rPr>
                        <w:rFonts w:ascii="Verdana" w:hAnsi="Verdana"/>
                        <w:color w:val="FFFFFF" w:themeColor="background1"/>
                        <w:sz w:val="16"/>
                        <w:lang w:val="fr-BE"/>
                      </w:rPr>
                      <w:t>]</w:t>
                    </w:r>
                  </w:p>
                </w:txbxContent>
              </v:textbox>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767075" w14:paraId="63ECCB19" w14:textId="77777777">
      <w:trPr>
        <w:trHeight w:val="1597"/>
      </w:trPr>
      <w:tc>
        <w:tcPr>
          <w:tcW w:w="1117" w:type="dxa"/>
        </w:tcPr>
        <w:p w14:paraId="7BA7E18A" w14:textId="77777777" w:rsidR="00767075" w:rsidRDefault="00767075"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14:paraId="7284529B" w14:textId="77777777" w:rsidR="00767075" w:rsidRDefault="00767075" w:rsidP="007A4813">
          <w:pPr>
            <w:pStyle w:val="ZDGName"/>
            <w:jc w:val="center"/>
            <w:rPr>
              <w:rFonts w:ascii="Verdana" w:hAnsi="Verdana"/>
              <w:caps/>
              <w:sz w:val="18"/>
              <w:szCs w:val="18"/>
            </w:rPr>
          </w:pPr>
        </w:p>
        <w:p w14:paraId="5961FEAA" w14:textId="77777777" w:rsidR="00767075" w:rsidRPr="00DC39C7" w:rsidRDefault="00767075" w:rsidP="007A4813">
          <w:pPr>
            <w:jc w:val="center"/>
            <w:rPr>
              <w:rFonts w:ascii="Verdana" w:hAnsi="Verdana"/>
              <w:b/>
              <w:sz w:val="18"/>
              <w:szCs w:val="18"/>
              <w:u w:val="single"/>
            </w:rPr>
          </w:pPr>
          <w:proofErr w:type="spellStart"/>
          <w:r>
            <w:rPr>
              <w:rFonts w:ascii="Verdana" w:hAnsi="Verdana"/>
              <w:b/>
              <w:color w:val="808080"/>
              <w:sz w:val="18"/>
              <w:szCs w:val="18"/>
            </w:rPr>
            <w:t>Title</w:t>
          </w:r>
          <w:proofErr w:type="spellEnd"/>
          <w:r>
            <w:rPr>
              <w:rFonts w:ascii="Verdana" w:hAnsi="Verdana"/>
              <w:b/>
              <w:color w:val="808080"/>
              <w:sz w:val="18"/>
              <w:szCs w:val="18"/>
            </w:rPr>
            <w:t xml:space="preserve"> of the </w:t>
          </w:r>
          <w:r w:rsidRPr="002A726D">
            <w:rPr>
              <w:rStyle w:val="HeaderTitleChar"/>
            </w:rPr>
            <w:t>document</w:t>
          </w:r>
        </w:p>
      </w:tc>
      <w:tc>
        <w:tcPr>
          <w:tcW w:w="1146" w:type="dxa"/>
        </w:tcPr>
        <w:p w14:paraId="1F73B16D" w14:textId="77777777" w:rsidR="00767075" w:rsidRDefault="00767075" w:rsidP="00ED7DE3">
          <w:pPr>
            <w:pStyle w:val="ZCom"/>
          </w:pPr>
        </w:p>
        <w:p w14:paraId="346A6B21" w14:textId="77777777" w:rsidR="00767075" w:rsidRDefault="00767075" w:rsidP="00ED7DE3">
          <w:pPr>
            <w:pStyle w:val="ZDGName"/>
          </w:pPr>
        </w:p>
        <w:p w14:paraId="719CA43B" w14:textId="77777777" w:rsidR="00767075" w:rsidRDefault="00767075" w:rsidP="00ED7DE3">
          <w:pPr>
            <w:pStyle w:val="ZDGName"/>
          </w:pPr>
        </w:p>
        <w:p w14:paraId="21556412" w14:textId="77777777" w:rsidR="00767075" w:rsidRPr="007D46C5" w:rsidRDefault="00767075" w:rsidP="00ED7DE3">
          <w:pPr>
            <w:pStyle w:val="ZDGName"/>
          </w:pPr>
        </w:p>
      </w:tc>
    </w:tr>
  </w:tbl>
  <w:p w14:paraId="0E385FA4" w14:textId="77777777" w:rsidR="00767075" w:rsidRDefault="00767075" w:rsidP="005931F7">
    <w:pPr>
      <w:pStyle w:val="Header"/>
      <w:tabs>
        <w:tab w:val="clear" w:pos="8306"/>
      </w:tabs>
      <w:ind w:right="-7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A569D" w14:textId="77777777" w:rsidR="00767075" w:rsidRDefault="00767075" w:rsidP="000535B3">
    <w:pPr>
      <w:pStyle w:val="Header"/>
      <w:tabs>
        <w:tab w:val="clear" w:pos="4153"/>
        <w:tab w:val="center" w:pos="4536"/>
        <w:tab w:val="left" w:pos="7513"/>
      </w:tabs>
      <w:spacing w:after="0"/>
      <w:jc w:val="center"/>
    </w:pPr>
    <w:r>
      <w:rPr>
        <w:noProof/>
        <w:lang w:val="en-GB" w:eastAsia="en-GB"/>
      </w:rPr>
      <w:drawing>
        <wp:anchor distT="0" distB="0" distL="114300" distR="114300" simplePos="0" relativeHeight="251658240" behindDoc="1" locked="0" layoutInCell="1" allowOverlap="1" wp14:anchorId="7389818B" wp14:editId="224D8B5C">
          <wp:simplePos x="0" y="0"/>
          <wp:positionH relativeFrom="margin">
            <wp:posOffset>-903664</wp:posOffset>
          </wp:positionH>
          <wp:positionV relativeFrom="margin">
            <wp:posOffset>1155212</wp:posOffset>
          </wp:positionV>
          <wp:extent cx="7348855" cy="7425055"/>
          <wp:effectExtent l="0" t="0" r="4445" b="4445"/>
          <wp:wrapNone/>
          <wp:docPr id="7" name="Picture 7"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C:\Documents and Settings\lenain\Local Settings\Temporary Internet Files\Content.Word\griffe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8855" cy="7425055"/>
                  </a:xfrm>
                  <a:prstGeom prst="rect">
                    <a:avLst/>
                  </a:prstGeom>
                  <a:noFill/>
                </pic:spPr>
              </pic:pic>
            </a:graphicData>
          </a:graphic>
        </wp:anchor>
      </w:drawing>
    </w:r>
    <w:r>
      <w:rPr>
        <w:noProof/>
        <w:lang w:val="en-GB" w:eastAsia="en-GB"/>
      </w:rPr>
      <w:drawing>
        <wp:inline distT="0" distB="0" distL="0" distR="0" wp14:anchorId="73CCCC6A" wp14:editId="12CAE3E4">
          <wp:extent cx="2266950" cy="1743075"/>
          <wp:effectExtent l="0" t="0" r="0" b="0"/>
          <wp:docPr id="8" name="Picture 5" descr="LOGO-CE for Word EN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E for Word EN Positi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2B3AA" w14:textId="77777777" w:rsidR="00767075" w:rsidRPr="00A74EB3" w:rsidRDefault="00767075" w:rsidP="00A74EB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40A65" w14:textId="77777777" w:rsidR="00767075" w:rsidRPr="00034576" w:rsidRDefault="00767075" w:rsidP="00584B2E">
    <w:pPr>
      <w:pStyle w:val="Header"/>
      <w:jc w:val="center"/>
      <w:rPr>
        <w:sz w:val="20"/>
        <w:lang w:val="en-GB"/>
      </w:rPr>
    </w:pPr>
    <w:r w:rsidRPr="00C70861">
      <w:rPr>
        <w:rFonts w:ascii="Verdana" w:hAnsi="Verdana"/>
        <w:color w:val="808080" w:themeColor="background1" w:themeShade="80"/>
        <w:sz w:val="20"/>
        <w:lang w:val="en-GB"/>
      </w:rPr>
      <w:t>The implementation of the performance frameworks in 2014-2020 ESI Funds</w:t>
    </w:r>
    <w:r>
      <w:rPr>
        <w:rFonts w:ascii="Verdana" w:hAnsi="Verdana"/>
        <w:noProof/>
        <w:color w:val="808080" w:themeColor="background1" w:themeShade="80"/>
        <w:sz w:val="20"/>
        <w:lang w:val="en-GB" w:eastAsia="en-GB"/>
      </w:rPr>
      <mc:AlternateContent>
        <mc:Choice Requires="wps">
          <w:drawing>
            <wp:anchor distT="0" distB="0" distL="114300" distR="114300" simplePos="0" relativeHeight="251672581" behindDoc="0" locked="0" layoutInCell="1" allowOverlap="1" wp14:anchorId="11B3EC05" wp14:editId="3E72349D">
              <wp:simplePos x="0" y="0"/>
              <wp:positionH relativeFrom="column">
                <wp:posOffset>10111</wp:posOffset>
              </wp:positionH>
              <wp:positionV relativeFrom="margin">
                <wp:posOffset>-267384</wp:posOffset>
              </wp:positionV>
              <wp:extent cx="5556739" cy="0"/>
              <wp:effectExtent l="0" t="0" r="25400" b="19050"/>
              <wp:wrapNone/>
              <wp:docPr id="35" name="Straight Connector 35"/>
              <wp:cNvGraphicFramePr/>
              <a:graphic xmlns:a="http://schemas.openxmlformats.org/drawingml/2006/main">
                <a:graphicData uri="http://schemas.microsoft.com/office/word/2010/wordprocessingShape">
                  <wps:wsp>
                    <wps:cNvCnPr/>
                    <wps:spPr>
                      <a:xfrm>
                        <a:off x="0" y="0"/>
                        <a:ext cx="555673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5" o:spid="_x0000_s1026" style="position:absolute;z-index:251672581;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" strokecolor="#7f7f7f [1612]">
              <w10:wrap anchory="margin"/>
            </v:line>
          </w:pict>
        </mc:Fallback>
      </mc:AlternateContent>
    </w:r>
  </w:p>
  <w:p w14:paraId="12114BF0" w14:textId="77777777" w:rsidR="00767075" w:rsidRPr="00584B2E" w:rsidRDefault="00767075" w:rsidP="00302762">
    <w:pPr>
      <w:pStyle w:val="Header"/>
      <w:spacing w:after="0"/>
      <w:rPr>
        <w:lang w:val="en-G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DEAE9" w14:textId="77777777" w:rsidR="00767075" w:rsidRPr="00325724" w:rsidRDefault="00767075" w:rsidP="0032572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BC1EC" w14:textId="77777777" w:rsidR="00767075" w:rsidRPr="00E15F27" w:rsidRDefault="00767075" w:rsidP="00E15F27">
    <w:pPr>
      <w:pStyle w:val="Header"/>
      <w:jc w:val="center"/>
      <w:rPr>
        <w:rFonts w:ascii="Verdana" w:hAnsi="Verdana"/>
        <w:color w:val="808080" w:themeColor="background1" w:themeShade="80"/>
        <w:sz w:val="20"/>
        <w:lang w:val="fr-BE"/>
      </w:rPr>
    </w:pPr>
    <w:r>
      <w:rPr>
        <w:rFonts w:ascii="Verdana" w:hAnsi="Verdana"/>
        <w:color w:val="808080" w:themeColor="background1" w:themeShade="80"/>
        <w:sz w:val="20"/>
        <w:lang w:val="fr-BE"/>
      </w:rPr>
      <w:t>EUROPEAN COMMISSION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56E79" w14:textId="77777777" w:rsidR="00767075" w:rsidRPr="00034576" w:rsidRDefault="00767075" w:rsidP="00325724">
    <w:pPr>
      <w:pStyle w:val="Header"/>
      <w:jc w:val="center"/>
      <w:rPr>
        <w:sz w:val="20"/>
        <w:lang w:val="en-GB"/>
      </w:rPr>
    </w:pPr>
    <w:r w:rsidRPr="00C70861">
      <w:rPr>
        <w:rFonts w:ascii="Verdana" w:hAnsi="Verdana"/>
        <w:color w:val="808080" w:themeColor="background1" w:themeShade="80"/>
        <w:sz w:val="20"/>
        <w:lang w:val="en-GB"/>
      </w:rPr>
      <w:t>The implementation of the performance frameworks in 2014-2020 ESI Funds</w:t>
    </w:r>
    <w:r>
      <w:rPr>
        <w:rFonts w:ascii="Verdana" w:hAnsi="Verdana"/>
        <w:noProof/>
        <w:color w:val="808080" w:themeColor="background1" w:themeShade="80"/>
        <w:sz w:val="20"/>
        <w:lang w:val="en-GB" w:eastAsia="en-GB"/>
      </w:rPr>
      <mc:AlternateContent>
        <mc:Choice Requires="wps">
          <w:drawing>
            <wp:anchor distT="0" distB="0" distL="114300" distR="114300" simplePos="0" relativeHeight="251670533" behindDoc="0" locked="0" layoutInCell="1" allowOverlap="1" wp14:anchorId="31BD99D2" wp14:editId="51C2CD94">
              <wp:simplePos x="0" y="0"/>
              <wp:positionH relativeFrom="column">
                <wp:posOffset>10111</wp:posOffset>
              </wp:positionH>
              <wp:positionV relativeFrom="margin">
                <wp:posOffset>-267384</wp:posOffset>
              </wp:positionV>
              <wp:extent cx="5556739"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555673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0" o:spid="_x0000_s1026" style="position:absolute;z-index:251670533;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" strokecolor="#7f7f7f [1612]">
              <w10:wrap anchory="margin"/>
            </v:line>
          </w:pict>
        </mc:Fallback>
      </mc:AlternateContent>
    </w:r>
  </w:p>
  <w:p w14:paraId="0B7C11A5" w14:textId="77777777" w:rsidR="00767075" w:rsidRPr="00325724" w:rsidRDefault="00767075" w:rsidP="00302762">
    <w:pPr>
      <w:pStyle w:val="Header"/>
      <w:spacing w:after="0"/>
      <w:rPr>
        <w:lang w:val="en-G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E18F" w14:textId="2C3C73D7" w:rsidR="00767075" w:rsidRPr="00034576" w:rsidRDefault="00767075" w:rsidP="00C70861">
    <w:pPr>
      <w:pStyle w:val="Header"/>
      <w:jc w:val="center"/>
      <w:rPr>
        <w:sz w:val="20"/>
        <w:lang w:val="en-GB"/>
      </w:rPr>
    </w:pPr>
    <w:r w:rsidRPr="00C70861">
      <w:rPr>
        <w:rFonts w:ascii="Verdana" w:hAnsi="Verdana"/>
        <w:color w:val="808080" w:themeColor="background1" w:themeShade="80"/>
        <w:sz w:val="20"/>
        <w:lang w:val="en-GB"/>
      </w:rPr>
      <w:t>The implementation of the performance frameworks in 2014-2020 ESI Funds</w:t>
    </w:r>
    <w:r>
      <w:rPr>
        <w:rFonts w:ascii="Verdana" w:hAnsi="Verdana"/>
        <w:noProof/>
        <w:color w:val="808080" w:themeColor="background1" w:themeShade="80"/>
        <w:sz w:val="20"/>
        <w:lang w:val="en-GB" w:eastAsia="en-GB"/>
      </w:rPr>
      <mc:AlternateContent>
        <mc:Choice Requires="wps">
          <w:drawing>
            <wp:anchor distT="0" distB="0" distL="114300" distR="114300" simplePos="0" relativeHeight="251660293" behindDoc="0" locked="0" layoutInCell="1" allowOverlap="1" wp14:anchorId="32659C96" wp14:editId="7F350559">
              <wp:simplePos x="0" y="0"/>
              <wp:positionH relativeFrom="column">
                <wp:posOffset>10111</wp:posOffset>
              </wp:positionH>
              <wp:positionV relativeFrom="margin">
                <wp:posOffset>-267384</wp:posOffset>
              </wp:positionV>
              <wp:extent cx="5556739"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5556739"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5" o:spid="_x0000_s1026" style="position:absolute;z-index:251660293;visibility:visible;mso-wrap-style:square;mso-width-percent:0;mso-wrap-distance-left:9pt;mso-wrap-distance-top:0;mso-wrap-distance-right:9pt;mso-wrap-distance-bottom:0;mso-position-horizontal:absolute;mso-position-horizontal-relative:text;mso-position-vertical:absolute;mso-position-vertical-relative:margin;mso-width-percent:0;mso-width-relative:margin" from=".8pt,-21.05pt" to="43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" strokecolor="#7f7f7f [1612]">
              <w10:wrap anchory="margin"/>
            </v:line>
          </w:pict>
        </mc:Fallback>
      </mc:AlternateContent>
    </w:r>
  </w:p>
  <w:p w14:paraId="14C9BF99" w14:textId="77777777" w:rsidR="00767075" w:rsidRPr="00C70861" w:rsidRDefault="00767075" w:rsidP="00302762">
    <w:pPr>
      <w:spacing w:after="0"/>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060CA0"/>
    <w:multiLevelType w:val="hybridMultilevel"/>
    <w:tmpl w:val="2938B150"/>
    <w:lvl w:ilvl="0" w:tplc="41AE2C0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0AC72478"/>
    <w:multiLevelType w:val="hybridMultilevel"/>
    <w:tmpl w:val="71B6D9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7D7F59"/>
    <w:multiLevelType w:val="hybridMultilevel"/>
    <w:tmpl w:val="B8D2CB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048426E"/>
    <w:multiLevelType w:val="hybridMultilevel"/>
    <w:tmpl w:val="B95A570E"/>
    <w:lvl w:ilvl="0" w:tplc="319E08D6">
      <w:start w:val="1"/>
      <w:numFmt w:val="bullet"/>
      <w:pStyle w:val="BulletPoint1"/>
      <w:lvlText w:val="·"/>
      <w:lvlJc w:val="left"/>
      <w:pPr>
        <w:ind w:left="717" w:hanging="360"/>
      </w:pPr>
      <w:rPr>
        <w:rFonts w:ascii="Symbol" w:hAnsi="Symbol" w:cs="Symbol" w:hint="default"/>
        <w:color w:val="004696"/>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B73273"/>
    <w:multiLevelType w:val="hybridMultilevel"/>
    <w:tmpl w:val="45985136"/>
    <w:lvl w:ilvl="0" w:tplc="41AE2C04">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41AE2C04">
      <w:start w:val="1"/>
      <w:numFmt w:val="lowerLetter"/>
      <w:lvlText w:val="(%5)"/>
      <w:lvlJc w:val="left"/>
      <w:pPr>
        <w:ind w:left="3600" w:hanging="360"/>
      </w:pPr>
      <w:rPr>
        <w:rFonts w:hint="default"/>
      </w:r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nsid w:val="14692F5B"/>
    <w:multiLevelType w:val="hybridMultilevel"/>
    <w:tmpl w:val="24F8A646"/>
    <w:lvl w:ilvl="0" w:tplc="7DB88D2C">
      <w:start w:val="1"/>
      <w:numFmt w:val="bullet"/>
      <w:lvlText w:val=""/>
      <w:lvlJc w:val="left"/>
      <w:pPr>
        <w:ind w:left="720" w:hanging="360"/>
      </w:pPr>
      <w:rPr>
        <w:rFonts w:ascii="Webdings" w:hAnsi="Webdings" w:hint="default"/>
        <w:color w:val="A6A6A6"/>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B1231AE"/>
    <w:multiLevelType w:val="hybridMultilevel"/>
    <w:tmpl w:val="445254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CA2367C"/>
    <w:multiLevelType w:val="hybridMultilevel"/>
    <w:tmpl w:val="0046E32E"/>
    <w:lvl w:ilvl="0" w:tplc="365E2E54">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20"/>
        </w:tabs>
        <w:ind w:left="1020" w:hanging="360"/>
      </w:pPr>
      <w:rPr>
        <w:rFonts w:ascii="Courier New" w:hAnsi="Courier New" w:hint="default"/>
      </w:rPr>
    </w:lvl>
    <w:lvl w:ilvl="2" w:tplc="04080005" w:tentative="1">
      <w:start w:val="1"/>
      <w:numFmt w:val="bullet"/>
      <w:lvlText w:val=""/>
      <w:lvlJc w:val="left"/>
      <w:pPr>
        <w:tabs>
          <w:tab w:val="num" w:pos="1740"/>
        </w:tabs>
        <w:ind w:left="1740" w:hanging="360"/>
      </w:pPr>
      <w:rPr>
        <w:rFonts w:ascii="Wingdings" w:hAnsi="Wingdings" w:hint="default"/>
      </w:rPr>
    </w:lvl>
    <w:lvl w:ilvl="3" w:tplc="04080001" w:tentative="1">
      <w:start w:val="1"/>
      <w:numFmt w:val="bullet"/>
      <w:lvlText w:val=""/>
      <w:lvlJc w:val="left"/>
      <w:pPr>
        <w:tabs>
          <w:tab w:val="num" w:pos="2460"/>
        </w:tabs>
        <w:ind w:left="2460" w:hanging="360"/>
      </w:pPr>
      <w:rPr>
        <w:rFonts w:ascii="Symbol" w:hAnsi="Symbol" w:hint="default"/>
      </w:rPr>
    </w:lvl>
    <w:lvl w:ilvl="4" w:tplc="04080003" w:tentative="1">
      <w:start w:val="1"/>
      <w:numFmt w:val="bullet"/>
      <w:lvlText w:val="o"/>
      <w:lvlJc w:val="left"/>
      <w:pPr>
        <w:tabs>
          <w:tab w:val="num" w:pos="3180"/>
        </w:tabs>
        <w:ind w:left="3180" w:hanging="360"/>
      </w:pPr>
      <w:rPr>
        <w:rFonts w:ascii="Courier New" w:hAnsi="Courier New" w:hint="default"/>
      </w:rPr>
    </w:lvl>
    <w:lvl w:ilvl="5" w:tplc="04080005" w:tentative="1">
      <w:start w:val="1"/>
      <w:numFmt w:val="bullet"/>
      <w:lvlText w:val=""/>
      <w:lvlJc w:val="left"/>
      <w:pPr>
        <w:tabs>
          <w:tab w:val="num" w:pos="3900"/>
        </w:tabs>
        <w:ind w:left="3900" w:hanging="360"/>
      </w:pPr>
      <w:rPr>
        <w:rFonts w:ascii="Wingdings" w:hAnsi="Wingdings" w:hint="default"/>
      </w:rPr>
    </w:lvl>
    <w:lvl w:ilvl="6" w:tplc="04080001" w:tentative="1">
      <w:start w:val="1"/>
      <w:numFmt w:val="bullet"/>
      <w:lvlText w:val=""/>
      <w:lvlJc w:val="left"/>
      <w:pPr>
        <w:tabs>
          <w:tab w:val="num" w:pos="4620"/>
        </w:tabs>
        <w:ind w:left="4620" w:hanging="360"/>
      </w:pPr>
      <w:rPr>
        <w:rFonts w:ascii="Symbol" w:hAnsi="Symbol" w:hint="default"/>
      </w:rPr>
    </w:lvl>
    <w:lvl w:ilvl="7" w:tplc="04080003" w:tentative="1">
      <w:start w:val="1"/>
      <w:numFmt w:val="bullet"/>
      <w:lvlText w:val="o"/>
      <w:lvlJc w:val="left"/>
      <w:pPr>
        <w:tabs>
          <w:tab w:val="num" w:pos="5340"/>
        </w:tabs>
        <w:ind w:left="5340" w:hanging="360"/>
      </w:pPr>
      <w:rPr>
        <w:rFonts w:ascii="Courier New" w:hAnsi="Courier New" w:hint="default"/>
      </w:rPr>
    </w:lvl>
    <w:lvl w:ilvl="8" w:tplc="04080005" w:tentative="1">
      <w:start w:val="1"/>
      <w:numFmt w:val="bullet"/>
      <w:lvlText w:val=""/>
      <w:lvlJc w:val="left"/>
      <w:pPr>
        <w:tabs>
          <w:tab w:val="num" w:pos="6060"/>
        </w:tabs>
        <w:ind w:left="6060" w:hanging="360"/>
      </w:pPr>
      <w:rPr>
        <w:rFonts w:ascii="Wingdings" w:hAnsi="Wingdings" w:hint="default"/>
      </w:rPr>
    </w:lvl>
  </w:abstractNum>
  <w:abstractNum w:abstractNumId="11">
    <w:nsid w:val="1F734306"/>
    <w:multiLevelType w:val="multilevel"/>
    <w:tmpl w:val="9A0A0ABE"/>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E74578D"/>
    <w:multiLevelType w:val="hybridMultilevel"/>
    <w:tmpl w:val="EBD60A2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nsid w:val="32A51E39"/>
    <w:multiLevelType w:val="multilevel"/>
    <w:tmpl w:val="512A0756"/>
    <w:lvl w:ilvl="0">
      <w:start w:val="1"/>
      <w:numFmt w:val="decimal"/>
      <w:pStyle w:val="berschrift1Annex"/>
      <w:lvlText w:val="A.%1"/>
      <w:lvlJc w:val="left"/>
      <w:pPr>
        <w:ind w:left="425" w:hanging="425"/>
      </w:pPr>
      <w:rPr>
        <w:rFonts w:hint="default"/>
      </w:rPr>
    </w:lvl>
    <w:lvl w:ilvl="1">
      <w:start w:val="1"/>
      <w:numFmt w:val="decimal"/>
      <w:pStyle w:val="berschrift2Annex"/>
      <w:lvlText w:val="A.%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1">
    <w:nsid w:val="3F001D1A"/>
    <w:multiLevelType w:val="hybridMultilevel"/>
    <w:tmpl w:val="4F0E21C4"/>
    <w:lvl w:ilvl="0" w:tplc="67AE0446">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3">
    <w:nsid w:val="4B4A1CE1"/>
    <w:multiLevelType w:val="hybridMultilevel"/>
    <w:tmpl w:val="39062872"/>
    <w:lvl w:ilvl="0" w:tplc="EFF2D69A">
      <w:start w:val="1"/>
      <w:numFmt w:val="bullet"/>
      <w:pStyle w:val="BulletPoint2"/>
      <w:lvlText w:val="–"/>
      <w:lvlJc w:val="left"/>
      <w:pPr>
        <w:ind w:left="1080" w:hanging="360"/>
      </w:pPr>
      <w:rPr>
        <w:rFonts w:ascii="Verdana" w:hAnsi="Verdana" w:cs="Humnst777 Lt BT" w:hint="default"/>
        <w:color w:val="00469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5A3CAB"/>
    <w:multiLevelType w:val="hybridMultilevel"/>
    <w:tmpl w:val="63BA4DF0"/>
    <w:lvl w:ilvl="0" w:tplc="0C070001">
      <w:start w:val="1"/>
      <w:numFmt w:val="bullet"/>
      <w:lvlText w:val=""/>
      <w:lvlJc w:val="left"/>
      <w:pPr>
        <w:ind w:left="1080" w:hanging="360"/>
      </w:pPr>
      <w:rPr>
        <w:rFonts w:ascii="Symbol" w:hAnsi="Symbol" w:hint="default"/>
        <w:color w:val="00469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6">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7">
    <w:nsid w:val="55E162D5"/>
    <w:multiLevelType w:val="hybridMultilevel"/>
    <w:tmpl w:val="0B5AEA96"/>
    <w:lvl w:ilvl="0" w:tplc="2A08DE1A">
      <w:start w:val="1"/>
      <w:numFmt w:val="decimal"/>
      <w:pStyle w:val="Table"/>
      <w:lvlText w:val="Table %1."/>
      <w:lvlJc w:val="left"/>
      <w:pPr>
        <w:tabs>
          <w:tab w:val="num" w:pos="1844"/>
        </w:tabs>
        <w:ind w:left="1844" w:firstLine="0"/>
      </w:pPr>
      <w:rPr>
        <w:rFonts w:ascii="Verdana" w:hAnsi="Verdana" w:hint="default"/>
        <w:b/>
        <w:bCs/>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AC53F0"/>
    <w:multiLevelType w:val="hybridMultilevel"/>
    <w:tmpl w:val="C8224224"/>
    <w:lvl w:ilvl="0" w:tplc="365E2E54">
      <w:start w:val="1"/>
      <w:numFmt w:val="bullet"/>
      <w:lvlText w:val=""/>
      <w:lvlJc w:val="left"/>
      <w:pPr>
        <w:tabs>
          <w:tab w:val="num" w:pos="360"/>
        </w:tabs>
        <w:ind w:left="360" w:hanging="360"/>
      </w:pPr>
      <w:rPr>
        <w:rFonts w:ascii="Wingdings" w:hAnsi="Wingdings" w:hint="default"/>
        <w:sz w:val="16"/>
      </w:rPr>
    </w:lvl>
    <w:lvl w:ilvl="1" w:tplc="04080003" w:tentative="1">
      <w:start w:val="1"/>
      <w:numFmt w:val="bullet"/>
      <w:lvlText w:val="o"/>
      <w:lvlJc w:val="left"/>
      <w:pPr>
        <w:tabs>
          <w:tab w:val="num" w:pos="1020"/>
        </w:tabs>
        <w:ind w:left="1020" w:hanging="360"/>
      </w:pPr>
      <w:rPr>
        <w:rFonts w:ascii="Courier New" w:hAnsi="Courier New" w:hint="default"/>
      </w:rPr>
    </w:lvl>
    <w:lvl w:ilvl="2" w:tplc="04080005" w:tentative="1">
      <w:start w:val="1"/>
      <w:numFmt w:val="bullet"/>
      <w:lvlText w:val=""/>
      <w:lvlJc w:val="left"/>
      <w:pPr>
        <w:tabs>
          <w:tab w:val="num" w:pos="1740"/>
        </w:tabs>
        <w:ind w:left="1740" w:hanging="360"/>
      </w:pPr>
      <w:rPr>
        <w:rFonts w:ascii="Wingdings" w:hAnsi="Wingdings" w:hint="default"/>
      </w:rPr>
    </w:lvl>
    <w:lvl w:ilvl="3" w:tplc="04080001" w:tentative="1">
      <w:start w:val="1"/>
      <w:numFmt w:val="bullet"/>
      <w:lvlText w:val=""/>
      <w:lvlJc w:val="left"/>
      <w:pPr>
        <w:tabs>
          <w:tab w:val="num" w:pos="2460"/>
        </w:tabs>
        <w:ind w:left="2460" w:hanging="360"/>
      </w:pPr>
      <w:rPr>
        <w:rFonts w:ascii="Symbol" w:hAnsi="Symbol" w:hint="default"/>
      </w:rPr>
    </w:lvl>
    <w:lvl w:ilvl="4" w:tplc="04080003" w:tentative="1">
      <w:start w:val="1"/>
      <w:numFmt w:val="bullet"/>
      <w:lvlText w:val="o"/>
      <w:lvlJc w:val="left"/>
      <w:pPr>
        <w:tabs>
          <w:tab w:val="num" w:pos="3180"/>
        </w:tabs>
        <w:ind w:left="3180" w:hanging="360"/>
      </w:pPr>
      <w:rPr>
        <w:rFonts w:ascii="Courier New" w:hAnsi="Courier New" w:hint="default"/>
      </w:rPr>
    </w:lvl>
    <w:lvl w:ilvl="5" w:tplc="04080005" w:tentative="1">
      <w:start w:val="1"/>
      <w:numFmt w:val="bullet"/>
      <w:lvlText w:val=""/>
      <w:lvlJc w:val="left"/>
      <w:pPr>
        <w:tabs>
          <w:tab w:val="num" w:pos="3900"/>
        </w:tabs>
        <w:ind w:left="3900" w:hanging="360"/>
      </w:pPr>
      <w:rPr>
        <w:rFonts w:ascii="Wingdings" w:hAnsi="Wingdings" w:hint="default"/>
      </w:rPr>
    </w:lvl>
    <w:lvl w:ilvl="6" w:tplc="04080001" w:tentative="1">
      <w:start w:val="1"/>
      <w:numFmt w:val="bullet"/>
      <w:lvlText w:val=""/>
      <w:lvlJc w:val="left"/>
      <w:pPr>
        <w:tabs>
          <w:tab w:val="num" w:pos="4620"/>
        </w:tabs>
        <w:ind w:left="4620" w:hanging="360"/>
      </w:pPr>
      <w:rPr>
        <w:rFonts w:ascii="Symbol" w:hAnsi="Symbol" w:hint="default"/>
      </w:rPr>
    </w:lvl>
    <w:lvl w:ilvl="7" w:tplc="04080003" w:tentative="1">
      <w:start w:val="1"/>
      <w:numFmt w:val="bullet"/>
      <w:lvlText w:val="o"/>
      <w:lvlJc w:val="left"/>
      <w:pPr>
        <w:tabs>
          <w:tab w:val="num" w:pos="5340"/>
        </w:tabs>
        <w:ind w:left="5340" w:hanging="360"/>
      </w:pPr>
      <w:rPr>
        <w:rFonts w:ascii="Courier New" w:hAnsi="Courier New" w:hint="default"/>
      </w:rPr>
    </w:lvl>
    <w:lvl w:ilvl="8" w:tplc="04080005" w:tentative="1">
      <w:start w:val="1"/>
      <w:numFmt w:val="bullet"/>
      <w:lvlText w:val=""/>
      <w:lvlJc w:val="left"/>
      <w:pPr>
        <w:tabs>
          <w:tab w:val="num" w:pos="6060"/>
        </w:tabs>
        <w:ind w:left="6060" w:hanging="360"/>
      </w:pPr>
      <w:rPr>
        <w:rFonts w:ascii="Wingdings" w:hAnsi="Wingdings" w:hint="default"/>
      </w:rPr>
    </w:lvl>
  </w:abstractNum>
  <w:abstractNum w:abstractNumId="2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1">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2">
    <w:nsid w:val="672A0C4E"/>
    <w:multiLevelType w:val="hybridMultilevel"/>
    <w:tmpl w:val="7720A1E2"/>
    <w:lvl w:ilvl="0" w:tplc="4CC8FA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4">
    <w:nsid w:val="6E226626"/>
    <w:multiLevelType w:val="hybridMultilevel"/>
    <w:tmpl w:val="EBD60A2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B6236DC"/>
    <w:multiLevelType w:val="hybridMultilevel"/>
    <w:tmpl w:val="5E3E01B2"/>
    <w:lvl w:ilvl="0" w:tplc="76B21CCE">
      <w:start w:val="1"/>
      <w:numFmt w:val="decimal"/>
      <w:pStyle w:val="Figure"/>
      <w:lvlText w:val="Figure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C0301E"/>
    <w:multiLevelType w:val="hybridMultilevel"/>
    <w:tmpl w:val="EBD60A2A"/>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20"/>
  </w:num>
  <w:num w:numId="5">
    <w:abstractNumId w:val="13"/>
  </w:num>
  <w:num w:numId="6">
    <w:abstractNumId w:val="19"/>
  </w:num>
  <w:num w:numId="7">
    <w:abstractNumId w:val="31"/>
  </w:num>
  <w:num w:numId="8">
    <w:abstractNumId w:val="33"/>
  </w:num>
  <w:num w:numId="9">
    <w:abstractNumId w:val="17"/>
  </w:num>
  <w:num w:numId="10">
    <w:abstractNumId w:val="30"/>
  </w:num>
  <w:num w:numId="11">
    <w:abstractNumId w:val="29"/>
  </w:num>
  <w:num w:numId="12">
    <w:abstractNumId w:val="22"/>
  </w:num>
  <w:num w:numId="13">
    <w:abstractNumId w:val="26"/>
  </w:num>
  <w:num w:numId="14">
    <w:abstractNumId w:val="12"/>
  </w:num>
  <w:num w:numId="15">
    <w:abstractNumId w:val="18"/>
  </w:num>
  <w:num w:numId="16">
    <w:abstractNumId w:val="9"/>
  </w:num>
  <w:num w:numId="17">
    <w:abstractNumId w:val="14"/>
  </w:num>
  <w:num w:numId="18">
    <w:abstractNumId w:val="35"/>
  </w:num>
  <w:num w:numId="19">
    <w:abstractNumId w:val="23"/>
  </w:num>
  <w:num w:numId="20">
    <w:abstractNumId w:val="25"/>
  </w:num>
  <w:num w:numId="21">
    <w:abstractNumId w:val="28"/>
  </w:num>
  <w:num w:numId="22">
    <w:abstractNumId w:val="10"/>
  </w:num>
  <w:num w:numId="23">
    <w:abstractNumId w:val="4"/>
  </w:num>
  <w:num w:numId="24">
    <w:abstractNumId w:val="3"/>
  </w:num>
  <w:num w:numId="25">
    <w:abstractNumId w:val="8"/>
  </w:num>
  <w:num w:numId="26">
    <w:abstractNumId w:val="36"/>
  </w:num>
  <w:num w:numId="27">
    <w:abstractNumId w:val="27"/>
  </w:num>
  <w:num w:numId="28">
    <w:abstractNumId w:val="21"/>
  </w:num>
  <w:num w:numId="29">
    <w:abstractNumId w:val="5"/>
    <w:lvlOverride w:ilvl="0">
      <w:startOverride w:val="1"/>
    </w:lvlOverride>
  </w:num>
  <w:num w:numId="30">
    <w:abstractNumId w:val="6"/>
  </w:num>
  <w:num w:numId="31">
    <w:abstractNumId w:val="15"/>
  </w:num>
  <w:num w:numId="32">
    <w:abstractNumId w:val="34"/>
  </w:num>
  <w:num w:numId="33">
    <w:abstractNumId w:val="37"/>
  </w:num>
  <w:num w:numId="34">
    <w:abstractNumId w:val="2"/>
  </w:num>
  <w:num w:numId="35">
    <w:abstractNumId w:val="5"/>
  </w:num>
  <w:num w:numId="36">
    <w:abstractNumId w:val="5"/>
    <w:lvlOverride w:ilvl="0">
      <w:startOverride w:val="1"/>
    </w:lvlOverride>
  </w:num>
  <w:num w:numId="37">
    <w:abstractNumId w:val="7"/>
  </w:num>
  <w:num w:numId="38">
    <w:abstractNumId w:val="11"/>
  </w:num>
  <w:num w:numId="39">
    <w:abstractNumId w:val="11"/>
  </w:num>
  <w:num w:numId="40">
    <w:abstractNumId w:val="11"/>
  </w:num>
  <w:num w:numId="41">
    <w:abstractNumId w:val="11"/>
  </w:num>
  <w:num w:numId="42">
    <w:abstractNumId w:val="11"/>
  </w:num>
  <w:num w:numId="43">
    <w:abstractNumId w:val="16"/>
  </w:num>
  <w:num w:numId="44">
    <w:abstractNumId w:val="11"/>
  </w:num>
  <w:num w:numId="45">
    <w:abstractNumId w:val="5"/>
  </w:num>
  <w:num w:numId="46">
    <w:abstractNumId w:val="5"/>
  </w:num>
  <w:num w:numId="47">
    <w:abstractNumId w:val="5"/>
  </w:num>
  <w:num w:numId="48">
    <w:abstractNumId w:val="24"/>
  </w:num>
  <w:num w:numId="49">
    <w:abstractNumId w:val="36"/>
  </w:num>
  <w:num w:numId="50">
    <w:abstractNumId w:val="5"/>
  </w:num>
  <w:num w:numId="51">
    <w:abstractNumId w:val="32"/>
  </w:num>
  <w:numIdMacAtCleanup w:val="5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ephanie">
    <w15:presenceInfo w15:providerId="None" w15:userId="Stephani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hdrShapeDefaults>
    <o:shapedefaults v:ext="edit" spidmax="8193"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576"/>
    <w:rsid w:val="00000720"/>
    <w:rsid w:val="00000C5C"/>
    <w:rsid w:val="00001268"/>
    <w:rsid w:val="0000249A"/>
    <w:rsid w:val="000027D6"/>
    <w:rsid w:val="00002BD7"/>
    <w:rsid w:val="0000485E"/>
    <w:rsid w:val="00004D03"/>
    <w:rsid w:val="00004D86"/>
    <w:rsid w:val="00006061"/>
    <w:rsid w:val="00006DFA"/>
    <w:rsid w:val="00007583"/>
    <w:rsid w:val="00007C62"/>
    <w:rsid w:val="000105ED"/>
    <w:rsid w:val="00010889"/>
    <w:rsid w:val="00011230"/>
    <w:rsid w:val="00012209"/>
    <w:rsid w:val="00012460"/>
    <w:rsid w:val="00012FB1"/>
    <w:rsid w:val="00013192"/>
    <w:rsid w:val="0001346D"/>
    <w:rsid w:val="0001359D"/>
    <w:rsid w:val="000146E6"/>
    <w:rsid w:val="00014C39"/>
    <w:rsid w:val="000156F7"/>
    <w:rsid w:val="000166BA"/>
    <w:rsid w:val="000169C7"/>
    <w:rsid w:val="0001748A"/>
    <w:rsid w:val="000175A4"/>
    <w:rsid w:val="00020120"/>
    <w:rsid w:val="000201FE"/>
    <w:rsid w:val="0002044A"/>
    <w:rsid w:val="00020D5A"/>
    <w:rsid w:val="00020ECB"/>
    <w:rsid w:val="00022524"/>
    <w:rsid w:val="00022B14"/>
    <w:rsid w:val="00023095"/>
    <w:rsid w:val="000232F9"/>
    <w:rsid w:val="00023CDE"/>
    <w:rsid w:val="00024093"/>
    <w:rsid w:val="0002439A"/>
    <w:rsid w:val="00024D2B"/>
    <w:rsid w:val="00024F0D"/>
    <w:rsid w:val="000254C7"/>
    <w:rsid w:val="000260E4"/>
    <w:rsid w:val="000274C0"/>
    <w:rsid w:val="00027F15"/>
    <w:rsid w:val="00030154"/>
    <w:rsid w:val="0003019B"/>
    <w:rsid w:val="000302DD"/>
    <w:rsid w:val="0003039A"/>
    <w:rsid w:val="00030AC7"/>
    <w:rsid w:val="000313BD"/>
    <w:rsid w:val="000327E1"/>
    <w:rsid w:val="00032E9A"/>
    <w:rsid w:val="00033C7C"/>
    <w:rsid w:val="00034576"/>
    <w:rsid w:val="000352B3"/>
    <w:rsid w:val="0003531E"/>
    <w:rsid w:val="0003557F"/>
    <w:rsid w:val="00040CB5"/>
    <w:rsid w:val="000413BD"/>
    <w:rsid w:val="00041E23"/>
    <w:rsid w:val="000420DD"/>
    <w:rsid w:val="000426C8"/>
    <w:rsid w:val="0004328C"/>
    <w:rsid w:val="0004491A"/>
    <w:rsid w:val="00044DE0"/>
    <w:rsid w:val="00044F76"/>
    <w:rsid w:val="00045100"/>
    <w:rsid w:val="00045C58"/>
    <w:rsid w:val="00045F79"/>
    <w:rsid w:val="000474A7"/>
    <w:rsid w:val="00050692"/>
    <w:rsid w:val="0005092D"/>
    <w:rsid w:val="00052009"/>
    <w:rsid w:val="00052371"/>
    <w:rsid w:val="000535B3"/>
    <w:rsid w:val="00054E07"/>
    <w:rsid w:val="00055183"/>
    <w:rsid w:val="00055253"/>
    <w:rsid w:val="00055623"/>
    <w:rsid w:val="0005578F"/>
    <w:rsid w:val="000557B6"/>
    <w:rsid w:val="000565F4"/>
    <w:rsid w:val="0005664E"/>
    <w:rsid w:val="00056CC8"/>
    <w:rsid w:val="00057054"/>
    <w:rsid w:val="0006049E"/>
    <w:rsid w:val="00060790"/>
    <w:rsid w:val="0006237B"/>
    <w:rsid w:val="000624B2"/>
    <w:rsid w:val="00063074"/>
    <w:rsid w:val="00063A58"/>
    <w:rsid w:val="0006421C"/>
    <w:rsid w:val="00066136"/>
    <w:rsid w:val="00066782"/>
    <w:rsid w:val="0007031C"/>
    <w:rsid w:val="00070560"/>
    <w:rsid w:val="0007068C"/>
    <w:rsid w:val="000709CE"/>
    <w:rsid w:val="00070EB5"/>
    <w:rsid w:val="000713B5"/>
    <w:rsid w:val="00071D47"/>
    <w:rsid w:val="00072266"/>
    <w:rsid w:val="00073312"/>
    <w:rsid w:val="00074793"/>
    <w:rsid w:val="000749B7"/>
    <w:rsid w:val="0007524B"/>
    <w:rsid w:val="00075427"/>
    <w:rsid w:val="00076143"/>
    <w:rsid w:val="00076761"/>
    <w:rsid w:val="00080E2A"/>
    <w:rsid w:val="00082BE3"/>
    <w:rsid w:val="000843B3"/>
    <w:rsid w:val="00084589"/>
    <w:rsid w:val="000846B0"/>
    <w:rsid w:val="000850BF"/>
    <w:rsid w:val="0008569D"/>
    <w:rsid w:val="00085F0C"/>
    <w:rsid w:val="0008603C"/>
    <w:rsid w:val="000870A2"/>
    <w:rsid w:val="00087D59"/>
    <w:rsid w:val="0009026E"/>
    <w:rsid w:val="00091864"/>
    <w:rsid w:val="00091B5A"/>
    <w:rsid w:val="00092506"/>
    <w:rsid w:val="00092B4D"/>
    <w:rsid w:val="0009318D"/>
    <w:rsid w:val="00093E77"/>
    <w:rsid w:val="00093F12"/>
    <w:rsid w:val="00094908"/>
    <w:rsid w:val="0009492F"/>
    <w:rsid w:val="00094A1B"/>
    <w:rsid w:val="0009555A"/>
    <w:rsid w:val="000963B0"/>
    <w:rsid w:val="00096F14"/>
    <w:rsid w:val="00097276"/>
    <w:rsid w:val="00097CE4"/>
    <w:rsid w:val="000A0A2A"/>
    <w:rsid w:val="000A0E65"/>
    <w:rsid w:val="000A177E"/>
    <w:rsid w:val="000A1A41"/>
    <w:rsid w:val="000A1D9E"/>
    <w:rsid w:val="000A1E3C"/>
    <w:rsid w:val="000A1FDF"/>
    <w:rsid w:val="000A2328"/>
    <w:rsid w:val="000A26C4"/>
    <w:rsid w:val="000A3015"/>
    <w:rsid w:val="000A38F3"/>
    <w:rsid w:val="000A3BEB"/>
    <w:rsid w:val="000A3C6E"/>
    <w:rsid w:val="000A4B75"/>
    <w:rsid w:val="000A4E0A"/>
    <w:rsid w:val="000A50C1"/>
    <w:rsid w:val="000A5212"/>
    <w:rsid w:val="000A5535"/>
    <w:rsid w:val="000A7C43"/>
    <w:rsid w:val="000A7FCF"/>
    <w:rsid w:val="000B0B14"/>
    <w:rsid w:val="000B2281"/>
    <w:rsid w:val="000B28D7"/>
    <w:rsid w:val="000B4FFD"/>
    <w:rsid w:val="000B531D"/>
    <w:rsid w:val="000B56BC"/>
    <w:rsid w:val="000B5E0C"/>
    <w:rsid w:val="000B628A"/>
    <w:rsid w:val="000B62F1"/>
    <w:rsid w:val="000B6815"/>
    <w:rsid w:val="000B6A94"/>
    <w:rsid w:val="000B6E67"/>
    <w:rsid w:val="000B75C5"/>
    <w:rsid w:val="000C1114"/>
    <w:rsid w:val="000C1F71"/>
    <w:rsid w:val="000C3B1F"/>
    <w:rsid w:val="000C4081"/>
    <w:rsid w:val="000C445B"/>
    <w:rsid w:val="000C453A"/>
    <w:rsid w:val="000C5348"/>
    <w:rsid w:val="000C5994"/>
    <w:rsid w:val="000C649A"/>
    <w:rsid w:val="000C73CE"/>
    <w:rsid w:val="000C76A6"/>
    <w:rsid w:val="000C7785"/>
    <w:rsid w:val="000C7D62"/>
    <w:rsid w:val="000C7ED8"/>
    <w:rsid w:val="000D0C17"/>
    <w:rsid w:val="000D0E0C"/>
    <w:rsid w:val="000D17BE"/>
    <w:rsid w:val="000D1868"/>
    <w:rsid w:val="000D1C24"/>
    <w:rsid w:val="000D1F4A"/>
    <w:rsid w:val="000D203C"/>
    <w:rsid w:val="000D34D3"/>
    <w:rsid w:val="000D3A90"/>
    <w:rsid w:val="000D4C6C"/>
    <w:rsid w:val="000D50DE"/>
    <w:rsid w:val="000D52C0"/>
    <w:rsid w:val="000D5E1C"/>
    <w:rsid w:val="000D704A"/>
    <w:rsid w:val="000D7169"/>
    <w:rsid w:val="000D78A6"/>
    <w:rsid w:val="000E0807"/>
    <w:rsid w:val="000E08B1"/>
    <w:rsid w:val="000E1F83"/>
    <w:rsid w:val="000E2787"/>
    <w:rsid w:val="000E3E71"/>
    <w:rsid w:val="000E4B5F"/>
    <w:rsid w:val="000E4D61"/>
    <w:rsid w:val="000E5DF6"/>
    <w:rsid w:val="000E633D"/>
    <w:rsid w:val="000E6360"/>
    <w:rsid w:val="000E7A47"/>
    <w:rsid w:val="000E7D3A"/>
    <w:rsid w:val="000F0E0F"/>
    <w:rsid w:val="000F0E8F"/>
    <w:rsid w:val="000F11F8"/>
    <w:rsid w:val="000F16C8"/>
    <w:rsid w:val="000F1813"/>
    <w:rsid w:val="000F1CF7"/>
    <w:rsid w:val="000F2EF9"/>
    <w:rsid w:val="000F3109"/>
    <w:rsid w:val="000F3FB9"/>
    <w:rsid w:val="000F40C3"/>
    <w:rsid w:val="000F4CD4"/>
    <w:rsid w:val="000F6034"/>
    <w:rsid w:val="000F7333"/>
    <w:rsid w:val="00100442"/>
    <w:rsid w:val="001006F9"/>
    <w:rsid w:val="00100943"/>
    <w:rsid w:val="00101008"/>
    <w:rsid w:val="00101024"/>
    <w:rsid w:val="001011E8"/>
    <w:rsid w:val="001021D2"/>
    <w:rsid w:val="00103062"/>
    <w:rsid w:val="0010339F"/>
    <w:rsid w:val="00103ED8"/>
    <w:rsid w:val="00104CFF"/>
    <w:rsid w:val="001053D1"/>
    <w:rsid w:val="00105450"/>
    <w:rsid w:val="001069B4"/>
    <w:rsid w:val="00106BAB"/>
    <w:rsid w:val="00107FEE"/>
    <w:rsid w:val="001102E0"/>
    <w:rsid w:val="0011200B"/>
    <w:rsid w:val="001120DA"/>
    <w:rsid w:val="00112614"/>
    <w:rsid w:val="00112F91"/>
    <w:rsid w:val="0011334C"/>
    <w:rsid w:val="001133A5"/>
    <w:rsid w:val="001139B6"/>
    <w:rsid w:val="00114F60"/>
    <w:rsid w:val="001156BA"/>
    <w:rsid w:val="00115FA4"/>
    <w:rsid w:val="001161DE"/>
    <w:rsid w:val="001164FA"/>
    <w:rsid w:val="0011681E"/>
    <w:rsid w:val="0011690F"/>
    <w:rsid w:val="00117308"/>
    <w:rsid w:val="00120751"/>
    <w:rsid w:val="00121AB1"/>
    <w:rsid w:val="00121ECE"/>
    <w:rsid w:val="00122574"/>
    <w:rsid w:val="00122BCE"/>
    <w:rsid w:val="00122FA6"/>
    <w:rsid w:val="00123391"/>
    <w:rsid w:val="00123452"/>
    <w:rsid w:val="001239CD"/>
    <w:rsid w:val="00123D56"/>
    <w:rsid w:val="0012604D"/>
    <w:rsid w:val="00126C9E"/>
    <w:rsid w:val="0012701A"/>
    <w:rsid w:val="0013032E"/>
    <w:rsid w:val="00130ABD"/>
    <w:rsid w:val="0013190E"/>
    <w:rsid w:val="00131BE7"/>
    <w:rsid w:val="0013200E"/>
    <w:rsid w:val="00133143"/>
    <w:rsid w:val="00133F89"/>
    <w:rsid w:val="001351A0"/>
    <w:rsid w:val="001355C5"/>
    <w:rsid w:val="00135DCB"/>
    <w:rsid w:val="00135EB1"/>
    <w:rsid w:val="00136138"/>
    <w:rsid w:val="001363E8"/>
    <w:rsid w:val="0013758E"/>
    <w:rsid w:val="00137FD2"/>
    <w:rsid w:val="001407AE"/>
    <w:rsid w:val="00140999"/>
    <w:rsid w:val="00141116"/>
    <w:rsid w:val="001413A6"/>
    <w:rsid w:val="001415F4"/>
    <w:rsid w:val="001423F2"/>
    <w:rsid w:val="00144A2C"/>
    <w:rsid w:val="00144A72"/>
    <w:rsid w:val="0014552D"/>
    <w:rsid w:val="001456EB"/>
    <w:rsid w:val="0014596A"/>
    <w:rsid w:val="00145BC3"/>
    <w:rsid w:val="001466C4"/>
    <w:rsid w:val="001471F6"/>
    <w:rsid w:val="00147744"/>
    <w:rsid w:val="00147B8F"/>
    <w:rsid w:val="001501CE"/>
    <w:rsid w:val="00150783"/>
    <w:rsid w:val="00151577"/>
    <w:rsid w:val="001516DB"/>
    <w:rsid w:val="00152E57"/>
    <w:rsid w:val="00153D1D"/>
    <w:rsid w:val="00154AA0"/>
    <w:rsid w:val="00154F10"/>
    <w:rsid w:val="001555C5"/>
    <w:rsid w:val="0015590F"/>
    <w:rsid w:val="001566B4"/>
    <w:rsid w:val="0015689B"/>
    <w:rsid w:val="00156EC1"/>
    <w:rsid w:val="00156FD8"/>
    <w:rsid w:val="00157A47"/>
    <w:rsid w:val="00157A9F"/>
    <w:rsid w:val="00161134"/>
    <w:rsid w:val="00161378"/>
    <w:rsid w:val="00162675"/>
    <w:rsid w:val="00162C4C"/>
    <w:rsid w:val="00162EAD"/>
    <w:rsid w:val="001632DC"/>
    <w:rsid w:val="001636EC"/>
    <w:rsid w:val="001636EE"/>
    <w:rsid w:val="00163991"/>
    <w:rsid w:val="001647CD"/>
    <w:rsid w:val="00165A83"/>
    <w:rsid w:val="001661D4"/>
    <w:rsid w:val="001673F7"/>
    <w:rsid w:val="00167C1C"/>
    <w:rsid w:val="00167DCF"/>
    <w:rsid w:val="0017023F"/>
    <w:rsid w:val="00170246"/>
    <w:rsid w:val="00171D6E"/>
    <w:rsid w:val="001721B6"/>
    <w:rsid w:val="001721D4"/>
    <w:rsid w:val="00173732"/>
    <w:rsid w:val="00173A02"/>
    <w:rsid w:val="00173B1E"/>
    <w:rsid w:val="001741D2"/>
    <w:rsid w:val="00174262"/>
    <w:rsid w:val="001755F5"/>
    <w:rsid w:val="00176029"/>
    <w:rsid w:val="0017639C"/>
    <w:rsid w:val="00176BC4"/>
    <w:rsid w:val="00176F95"/>
    <w:rsid w:val="00177026"/>
    <w:rsid w:val="00177528"/>
    <w:rsid w:val="00180625"/>
    <w:rsid w:val="00180975"/>
    <w:rsid w:val="001821E0"/>
    <w:rsid w:val="001821E5"/>
    <w:rsid w:val="0018253C"/>
    <w:rsid w:val="001828C5"/>
    <w:rsid w:val="0018309B"/>
    <w:rsid w:val="001831F3"/>
    <w:rsid w:val="001835B8"/>
    <w:rsid w:val="001836F3"/>
    <w:rsid w:val="001843A7"/>
    <w:rsid w:val="00184538"/>
    <w:rsid w:val="0018480F"/>
    <w:rsid w:val="00185B64"/>
    <w:rsid w:val="00187A36"/>
    <w:rsid w:val="00187B5D"/>
    <w:rsid w:val="001901AA"/>
    <w:rsid w:val="00190839"/>
    <w:rsid w:val="001908C6"/>
    <w:rsid w:val="00190AEA"/>
    <w:rsid w:val="0019114C"/>
    <w:rsid w:val="0019179F"/>
    <w:rsid w:val="00192E9A"/>
    <w:rsid w:val="00193886"/>
    <w:rsid w:val="00194647"/>
    <w:rsid w:val="00195310"/>
    <w:rsid w:val="0019536F"/>
    <w:rsid w:val="00195834"/>
    <w:rsid w:val="001958F3"/>
    <w:rsid w:val="001960A8"/>
    <w:rsid w:val="001962B5"/>
    <w:rsid w:val="00197D0E"/>
    <w:rsid w:val="00197F84"/>
    <w:rsid w:val="001A0001"/>
    <w:rsid w:val="001A10EF"/>
    <w:rsid w:val="001A2021"/>
    <w:rsid w:val="001A24BC"/>
    <w:rsid w:val="001A272F"/>
    <w:rsid w:val="001A33AE"/>
    <w:rsid w:val="001A3654"/>
    <w:rsid w:val="001A3ECF"/>
    <w:rsid w:val="001A481D"/>
    <w:rsid w:val="001A56F0"/>
    <w:rsid w:val="001A5CB1"/>
    <w:rsid w:val="001A64A9"/>
    <w:rsid w:val="001A7525"/>
    <w:rsid w:val="001B0A87"/>
    <w:rsid w:val="001B1231"/>
    <w:rsid w:val="001B22C1"/>
    <w:rsid w:val="001B2B16"/>
    <w:rsid w:val="001B2BFB"/>
    <w:rsid w:val="001B3637"/>
    <w:rsid w:val="001B3E24"/>
    <w:rsid w:val="001B41ED"/>
    <w:rsid w:val="001B4B3E"/>
    <w:rsid w:val="001B571D"/>
    <w:rsid w:val="001B5E9A"/>
    <w:rsid w:val="001B65D6"/>
    <w:rsid w:val="001B7296"/>
    <w:rsid w:val="001C04C2"/>
    <w:rsid w:val="001C0A34"/>
    <w:rsid w:val="001C1023"/>
    <w:rsid w:val="001C30C8"/>
    <w:rsid w:val="001C37E2"/>
    <w:rsid w:val="001C48ED"/>
    <w:rsid w:val="001C561F"/>
    <w:rsid w:val="001C69DC"/>
    <w:rsid w:val="001C69E9"/>
    <w:rsid w:val="001C6F36"/>
    <w:rsid w:val="001C7698"/>
    <w:rsid w:val="001C773F"/>
    <w:rsid w:val="001D046A"/>
    <w:rsid w:val="001D1623"/>
    <w:rsid w:val="001D2A51"/>
    <w:rsid w:val="001D319C"/>
    <w:rsid w:val="001D333C"/>
    <w:rsid w:val="001D33A8"/>
    <w:rsid w:val="001D3870"/>
    <w:rsid w:val="001D3C33"/>
    <w:rsid w:val="001D493B"/>
    <w:rsid w:val="001D4CBB"/>
    <w:rsid w:val="001D552B"/>
    <w:rsid w:val="001D7F34"/>
    <w:rsid w:val="001E04FB"/>
    <w:rsid w:val="001E0E5B"/>
    <w:rsid w:val="001E155C"/>
    <w:rsid w:val="001E157B"/>
    <w:rsid w:val="001E17B8"/>
    <w:rsid w:val="001E1F78"/>
    <w:rsid w:val="001E470D"/>
    <w:rsid w:val="001E4F17"/>
    <w:rsid w:val="001E53E5"/>
    <w:rsid w:val="001E6AC6"/>
    <w:rsid w:val="001E7D7E"/>
    <w:rsid w:val="001F053B"/>
    <w:rsid w:val="001F0C79"/>
    <w:rsid w:val="001F354A"/>
    <w:rsid w:val="001F378C"/>
    <w:rsid w:val="001F42D4"/>
    <w:rsid w:val="001F4800"/>
    <w:rsid w:val="001F4C1B"/>
    <w:rsid w:val="001F4C73"/>
    <w:rsid w:val="001F4CB2"/>
    <w:rsid w:val="001F5EE6"/>
    <w:rsid w:val="001F608C"/>
    <w:rsid w:val="001F67A1"/>
    <w:rsid w:val="001F6FB9"/>
    <w:rsid w:val="0020029B"/>
    <w:rsid w:val="00200BE0"/>
    <w:rsid w:val="00203166"/>
    <w:rsid w:val="0020318C"/>
    <w:rsid w:val="00203347"/>
    <w:rsid w:val="0020398C"/>
    <w:rsid w:val="00204854"/>
    <w:rsid w:val="00204B3F"/>
    <w:rsid w:val="00205FC7"/>
    <w:rsid w:val="00206291"/>
    <w:rsid w:val="00206593"/>
    <w:rsid w:val="002065A0"/>
    <w:rsid w:val="002067A1"/>
    <w:rsid w:val="00206DF7"/>
    <w:rsid w:val="00206FB9"/>
    <w:rsid w:val="00207163"/>
    <w:rsid w:val="0020728A"/>
    <w:rsid w:val="002076BE"/>
    <w:rsid w:val="00207BFA"/>
    <w:rsid w:val="00207F41"/>
    <w:rsid w:val="0021087B"/>
    <w:rsid w:val="00210B62"/>
    <w:rsid w:val="002115A3"/>
    <w:rsid w:val="002119BC"/>
    <w:rsid w:val="0021201F"/>
    <w:rsid w:val="00212596"/>
    <w:rsid w:val="0021340C"/>
    <w:rsid w:val="00213AE8"/>
    <w:rsid w:val="00213C67"/>
    <w:rsid w:val="002140BA"/>
    <w:rsid w:val="002141CC"/>
    <w:rsid w:val="0021436A"/>
    <w:rsid w:val="002146E5"/>
    <w:rsid w:val="0021599B"/>
    <w:rsid w:val="00215A57"/>
    <w:rsid w:val="00215BBC"/>
    <w:rsid w:val="0021629A"/>
    <w:rsid w:val="002162AA"/>
    <w:rsid w:val="00216FD5"/>
    <w:rsid w:val="002170E4"/>
    <w:rsid w:val="00221BF6"/>
    <w:rsid w:val="0022215C"/>
    <w:rsid w:val="002221A9"/>
    <w:rsid w:val="002223AE"/>
    <w:rsid w:val="00222913"/>
    <w:rsid w:val="002229E0"/>
    <w:rsid w:val="00223126"/>
    <w:rsid w:val="00223C55"/>
    <w:rsid w:val="002243AA"/>
    <w:rsid w:val="00224C07"/>
    <w:rsid w:val="00224D0E"/>
    <w:rsid w:val="00225290"/>
    <w:rsid w:val="00230FAD"/>
    <w:rsid w:val="0023328F"/>
    <w:rsid w:val="00233EE9"/>
    <w:rsid w:val="002341E8"/>
    <w:rsid w:val="00234513"/>
    <w:rsid w:val="00234561"/>
    <w:rsid w:val="00234AFB"/>
    <w:rsid w:val="00234D14"/>
    <w:rsid w:val="00234DC3"/>
    <w:rsid w:val="002367E6"/>
    <w:rsid w:val="00236822"/>
    <w:rsid w:val="00236C52"/>
    <w:rsid w:val="00236DF3"/>
    <w:rsid w:val="002371D0"/>
    <w:rsid w:val="00237727"/>
    <w:rsid w:val="00237730"/>
    <w:rsid w:val="00240EE5"/>
    <w:rsid w:val="00241A4D"/>
    <w:rsid w:val="00241F35"/>
    <w:rsid w:val="00242602"/>
    <w:rsid w:val="002428E7"/>
    <w:rsid w:val="00243A1C"/>
    <w:rsid w:val="0024447E"/>
    <w:rsid w:val="00245148"/>
    <w:rsid w:val="00245F4A"/>
    <w:rsid w:val="00246A1B"/>
    <w:rsid w:val="00246A5A"/>
    <w:rsid w:val="00247A9A"/>
    <w:rsid w:val="00247E9A"/>
    <w:rsid w:val="00250F48"/>
    <w:rsid w:val="002512E9"/>
    <w:rsid w:val="0025211B"/>
    <w:rsid w:val="00252E0D"/>
    <w:rsid w:val="002531B6"/>
    <w:rsid w:val="002553DC"/>
    <w:rsid w:val="00255775"/>
    <w:rsid w:val="00255C2A"/>
    <w:rsid w:val="0025646D"/>
    <w:rsid w:val="0025701F"/>
    <w:rsid w:val="002571B7"/>
    <w:rsid w:val="00260E80"/>
    <w:rsid w:val="00261136"/>
    <w:rsid w:val="00261172"/>
    <w:rsid w:val="0026172C"/>
    <w:rsid w:val="0026261D"/>
    <w:rsid w:val="002632EB"/>
    <w:rsid w:val="002636C0"/>
    <w:rsid w:val="0026455D"/>
    <w:rsid w:val="002645C2"/>
    <w:rsid w:val="002653B3"/>
    <w:rsid w:val="00265F0A"/>
    <w:rsid w:val="002663DE"/>
    <w:rsid w:val="00266ED9"/>
    <w:rsid w:val="002675E2"/>
    <w:rsid w:val="0026795B"/>
    <w:rsid w:val="00270506"/>
    <w:rsid w:val="0027096D"/>
    <w:rsid w:val="00270EB8"/>
    <w:rsid w:val="002711A6"/>
    <w:rsid w:val="00272C87"/>
    <w:rsid w:val="00272D03"/>
    <w:rsid w:val="00272FA3"/>
    <w:rsid w:val="00273665"/>
    <w:rsid w:val="002737A9"/>
    <w:rsid w:val="00274D12"/>
    <w:rsid w:val="00274F18"/>
    <w:rsid w:val="00274FCC"/>
    <w:rsid w:val="0027581D"/>
    <w:rsid w:val="0027596F"/>
    <w:rsid w:val="002760C1"/>
    <w:rsid w:val="00277012"/>
    <w:rsid w:val="00277A20"/>
    <w:rsid w:val="00277C75"/>
    <w:rsid w:val="002803CC"/>
    <w:rsid w:val="002818C7"/>
    <w:rsid w:val="00282256"/>
    <w:rsid w:val="00283231"/>
    <w:rsid w:val="0028348E"/>
    <w:rsid w:val="002841E7"/>
    <w:rsid w:val="002845DA"/>
    <w:rsid w:val="00285FD9"/>
    <w:rsid w:val="0028670F"/>
    <w:rsid w:val="00286778"/>
    <w:rsid w:val="002867FF"/>
    <w:rsid w:val="00287DEA"/>
    <w:rsid w:val="00290350"/>
    <w:rsid w:val="00290F1C"/>
    <w:rsid w:val="0029249E"/>
    <w:rsid w:val="00292903"/>
    <w:rsid w:val="002932BA"/>
    <w:rsid w:val="00295783"/>
    <w:rsid w:val="00296EF0"/>
    <w:rsid w:val="002971BE"/>
    <w:rsid w:val="00297753"/>
    <w:rsid w:val="002A0E2A"/>
    <w:rsid w:val="002A1C4C"/>
    <w:rsid w:val="002A2209"/>
    <w:rsid w:val="002A25A5"/>
    <w:rsid w:val="002A2738"/>
    <w:rsid w:val="002A2E0E"/>
    <w:rsid w:val="002A32AF"/>
    <w:rsid w:val="002A3CA2"/>
    <w:rsid w:val="002A3CF2"/>
    <w:rsid w:val="002A40D2"/>
    <w:rsid w:val="002A475F"/>
    <w:rsid w:val="002A598B"/>
    <w:rsid w:val="002A5C54"/>
    <w:rsid w:val="002A726D"/>
    <w:rsid w:val="002B07A6"/>
    <w:rsid w:val="002B1046"/>
    <w:rsid w:val="002B17F0"/>
    <w:rsid w:val="002B1BA3"/>
    <w:rsid w:val="002B284D"/>
    <w:rsid w:val="002B2A3E"/>
    <w:rsid w:val="002B2BF0"/>
    <w:rsid w:val="002C0BDE"/>
    <w:rsid w:val="002C0D3E"/>
    <w:rsid w:val="002C0EEC"/>
    <w:rsid w:val="002C138B"/>
    <w:rsid w:val="002C1B92"/>
    <w:rsid w:val="002C2F3C"/>
    <w:rsid w:val="002C420C"/>
    <w:rsid w:val="002C47F9"/>
    <w:rsid w:val="002C4A68"/>
    <w:rsid w:val="002C653D"/>
    <w:rsid w:val="002C6F14"/>
    <w:rsid w:val="002C723E"/>
    <w:rsid w:val="002D0D51"/>
    <w:rsid w:val="002D1315"/>
    <w:rsid w:val="002D1BF4"/>
    <w:rsid w:val="002D2020"/>
    <w:rsid w:val="002D222C"/>
    <w:rsid w:val="002D2C3E"/>
    <w:rsid w:val="002D363E"/>
    <w:rsid w:val="002D4249"/>
    <w:rsid w:val="002D461F"/>
    <w:rsid w:val="002D4E7F"/>
    <w:rsid w:val="002D52C0"/>
    <w:rsid w:val="002D628A"/>
    <w:rsid w:val="002D6D57"/>
    <w:rsid w:val="002D719C"/>
    <w:rsid w:val="002E0310"/>
    <w:rsid w:val="002E2411"/>
    <w:rsid w:val="002E2FBF"/>
    <w:rsid w:val="002E3CC9"/>
    <w:rsid w:val="002E3E25"/>
    <w:rsid w:val="002E4BA1"/>
    <w:rsid w:val="002E534D"/>
    <w:rsid w:val="002E62E5"/>
    <w:rsid w:val="002E651A"/>
    <w:rsid w:val="002E6693"/>
    <w:rsid w:val="002E732E"/>
    <w:rsid w:val="002E770C"/>
    <w:rsid w:val="002E782C"/>
    <w:rsid w:val="002F086A"/>
    <w:rsid w:val="002F09A8"/>
    <w:rsid w:val="002F13C2"/>
    <w:rsid w:val="002F1592"/>
    <w:rsid w:val="002F15DC"/>
    <w:rsid w:val="002F1FC2"/>
    <w:rsid w:val="002F21D2"/>
    <w:rsid w:val="002F311C"/>
    <w:rsid w:val="002F3388"/>
    <w:rsid w:val="002F5290"/>
    <w:rsid w:val="002F5770"/>
    <w:rsid w:val="002F59A3"/>
    <w:rsid w:val="002F6AFC"/>
    <w:rsid w:val="00300F73"/>
    <w:rsid w:val="0030120E"/>
    <w:rsid w:val="0030184C"/>
    <w:rsid w:val="00302762"/>
    <w:rsid w:val="0030325A"/>
    <w:rsid w:val="003032AE"/>
    <w:rsid w:val="003038F9"/>
    <w:rsid w:val="00303E38"/>
    <w:rsid w:val="003052D0"/>
    <w:rsid w:val="00305378"/>
    <w:rsid w:val="0030548D"/>
    <w:rsid w:val="00305D2C"/>
    <w:rsid w:val="00305E1D"/>
    <w:rsid w:val="00305F3B"/>
    <w:rsid w:val="003064AB"/>
    <w:rsid w:val="003065B8"/>
    <w:rsid w:val="003069DF"/>
    <w:rsid w:val="00306B22"/>
    <w:rsid w:val="00306EF5"/>
    <w:rsid w:val="00306F0B"/>
    <w:rsid w:val="0030731E"/>
    <w:rsid w:val="00310C79"/>
    <w:rsid w:val="00311A11"/>
    <w:rsid w:val="00311D14"/>
    <w:rsid w:val="003126B9"/>
    <w:rsid w:val="00312FE1"/>
    <w:rsid w:val="0031320E"/>
    <w:rsid w:val="003132A7"/>
    <w:rsid w:val="00314B6A"/>
    <w:rsid w:val="00314D14"/>
    <w:rsid w:val="003156F8"/>
    <w:rsid w:val="00315841"/>
    <w:rsid w:val="00315B74"/>
    <w:rsid w:val="00315E7E"/>
    <w:rsid w:val="00315F65"/>
    <w:rsid w:val="003165E6"/>
    <w:rsid w:val="003167AE"/>
    <w:rsid w:val="0032006D"/>
    <w:rsid w:val="00320742"/>
    <w:rsid w:val="003224B3"/>
    <w:rsid w:val="003224E0"/>
    <w:rsid w:val="003225B6"/>
    <w:rsid w:val="00323B84"/>
    <w:rsid w:val="003248EF"/>
    <w:rsid w:val="00324FD6"/>
    <w:rsid w:val="00325724"/>
    <w:rsid w:val="0032676B"/>
    <w:rsid w:val="003269B5"/>
    <w:rsid w:val="00326A4A"/>
    <w:rsid w:val="00327B57"/>
    <w:rsid w:val="00331094"/>
    <w:rsid w:val="003317BB"/>
    <w:rsid w:val="00331BA5"/>
    <w:rsid w:val="00331F3F"/>
    <w:rsid w:val="00332136"/>
    <w:rsid w:val="00332F13"/>
    <w:rsid w:val="0033444F"/>
    <w:rsid w:val="003352E6"/>
    <w:rsid w:val="00336248"/>
    <w:rsid w:val="003369EF"/>
    <w:rsid w:val="00336CAA"/>
    <w:rsid w:val="00336E04"/>
    <w:rsid w:val="00336FF2"/>
    <w:rsid w:val="00336FF9"/>
    <w:rsid w:val="00337660"/>
    <w:rsid w:val="003376DB"/>
    <w:rsid w:val="00337E56"/>
    <w:rsid w:val="00340459"/>
    <w:rsid w:val="00340D40"/>
    <w:rsid w:val="003413A0"/>
    <w:rsid w:val="003416C6"/>
    <w:rsid w:val="00342414"/>
    <w:rsid w:val="00343108"/>
    <w:rsid w:val="0034359B"/>
    <w:rsid w:val="0034420D"/>
    <w:rsid w:val="003446AE"/>
    <w:rsid w:val="0034518D"/>
    <w:rsid w:val="00345DE4"/>
    <w:rsid w:val="00346A21"/>
    <w:rsid w:val="003505A2"/>
    <w:rsid w:val="003506BB"/>
    <w:rsid w:val="00350D85"/>
    <w:rsid w:val="00351784"/>
    <w:rsid w:val="003518FE"/>
    <w:rsid w:val="00353185"/>
    <w:rsid w:val="00355EDC"/>
    <w:rsid w:val="00356146"/>
    <w:rsid w:val="003566D6"/>
    <w:rsid w:val="00356DFE"/>
    <w:rsid w:val="00356ECF"/>
    <w:rsid w:val="0035765C"/>
    <w:rsid w:val="0035794B"/>
    <w:rsid w:val="00357A3B"/>
    <w:rsid w:val="003603EC"/>
    <w:rsid w:val="0036138A"/>
    <w:rsid w:val="0036158E"/>
    <w:rsid w:val="0036161A"/>
    <w:rsid w:val="00361798"/>
    <w:rsid w:val="00362BCE"/>
    <w:rsid w:val="0036365C"/>
    <w:rsid w:val="00363789"/>
    <w:rsid w:val="00363F27"/>
    <w:rsid w:val="0036404E"/>
    <w:rsid w:val="003644A8"/>
    <w:rsid w:val="00364774"/>
    <w:rsid w:val="00364A0E"/>
    <w:rsid w:val="003658D4"/>
    <w:rsid w:val="003662DA"/>
    <w:rsid w:val="00367149"/>
    <w:rsid w:val="00367476"/>
    <w:rsid w:val="00367E0C"/>
    <w:rsid w:val="0037036B"/>
    <w:rsid w:val="00370CD0"/>
    <w:rsid w:val="0037235C"/>
    <w:rsid w:val="0037383F"/>
    <w:rsid w:val="003738BF"/>
    <w:rsid w:val="0037482B"/>
    <w:rsid w:val="00374FC5"/>
    <w:rsid w:val="00375184"/>
    <w:rsid w:val="003752F8"/>
    <w:rsid w:val="00375841"/>
    <w:rsid w:val="003758C1"/>
    <w:rsid w:val="003760E6"/>
    <w:rsid w:val="00376A31"/>
    <w:rsid w:val="00376E70"/>
    <w:rsid w:val="003773FA"/>
    <w:rsid w:val="003778AE"/>
    <w:rsid w:val="00380B80"/>
    <w:rsid w:val="003819E6"/>
    <w:rsid w:val="00381CFE"/>
    <w:rsid w:val="00381FF0"/>
    <w:rsid w:val="00382FB6"/>
    <w:rsid w:val="00382FF6"/>
    <w:rsid w:val="0038335A"/>
    <w:rsid w:val="00383B95"/>
    <w:rsid w:val="00384253"/>
    <w:rsid w:val="0038553A"/>
    <w:rsid w:val="00386FF3"/>
    <w:rsid w:val="003878B2"/>
    <w:rsid w:val="00390D7A"/>
    <w:rsid w:val="00390FAB"/>
    <w:rsid w:val="0039110A"/>
    <w:rsid w:val="00391A0B"/>
    <w:rsid w:val="00391A3F"/>
    <w:rsid w:val="00392346"/>
    <w:rsid w:val="00393387"/>
    <w:rsid w:val="0039399E"/>
    <w:rsid w:val="00394591"/>
    <w:rsid w:val="003946BF"/>
    <w:rsid w:val="0039475C"/>
    <w:rsid w:val="003949D2"/>
    <w:rsid w:val="00394B08"/>
    <w:rsid w:val="00394C03"/>
    <w:rsid w:val="003958FA"/>
    <w:rsid w:val="00396105"/>
    <w:rsid w:val="00397293"/>
    <w:rsid w:val="003A0824"/>
    <w:rsid w:val="003A12EB"/>
    <w:rsid w:val="003A181D"/>
    <w:rsid w:val="003A1B34"/>
    <w:rsid w:val="003A2846"/>
    <w:rsid w:val="003A2F34"/>
    <w:rsid w:val="003A3412"/>
    <w:rsid w:val="003A356C"/>
    <w:rsid w:val="003A42A6"/>
    <w:rsid w:val="003A4447"/>
    <w:rsid w:val="003A4CF1"/>
    <w:rsid w:val="003A5224"/>
    <w:rsid w:val="003A6BE7"/>
    <w:rsid w:val="003A7E37"/>
    <w:rsid w:val="003B03F8"/>
    <w:rsid w:val="003B062D"/>
    <w:rsid w:val="003B1540"/>
    <w:rsid w:val="003B1D52"/>
    <w:rsid w:val="003B2E1E"/>
    <w:rsid w:val="003B3499"/>
    <w:rsid w:val="003B5FD1"/>
    <w:rsid w:val="003B6E5E"/>
    <w:rsid w:val="003B72A7"/>
    <w:rsid w:val="003B7D1C"/>
    <w:rsid w:val="003B7DA6"/>
    <w:rsid w:val="003B7EA8"/>
    <w:rsid w:val="003C0113"/>
    <w:rsid w:val="003C036E"/>
    <w:rsid w:val="003C10B8"/>
    <w:rsid w:val="003C18F0"/>
    <w:rsid w:val="003C1B7C"/>
    <w:rsid w:val="003C1EE9"/>
    <w:rsid w:val="003C362A"/>
    <w:rsid w:val="003C3747"/>
    <w:rsid w:val="003C396F"/>
    <w:rsid w:val="003C3BFB"/>
    <w:rsid w:val="003C3F17"/>
    <w:rsid w:val="003C4CB8"/>
    <w:rsid w:val="003C4F66"/>
    <w:rsid w:val="003C5ACF"/>
    <w:rsid w:val="003C7193"/>
    <w:rsid w:val="003C72F5"/>
    <w:rsid w:val="003C7A25"/>
    <w:rsid w:val="003D03D1"/>
    <w:rsid w:val="003D0A4D"/>
    <w:rsid w:val="003D0E85"/>
    <w:rsid w:val="003D199C"/>
    <w:rsid w:val="003D1AB2"/>
    <w:rsid w:val="003D3A67"/>
    <w:rsid w:val="003D3BB3"/>
    <w:rsid w:val="003D4AEC"/>
    <w:rsid w:val="003D575C"/>
    <w:rsid w:val="003D5995"/>
    <w:rsid w:val="003D6E0A"/>
    <w:rsid w:val="003D70D3"/>
    <w:rsid w:val="003D757D"/>
    <w:rsid w:val="003D7D8D"/>
    <w:rsid w:val="003E0429"/>
    <w:rsid w:val="003E07D5"/>
    <w:rsid w:val="003E08F8"/>
    <w:rsid w:val="003E0DDE"/>
    <w:rsid w:val="003E1A6E"/>
    <w:rsid w:val="003E1C2A"/>
    <w:rsid w:val="003E1CCA"/>
    <w:rsid w:val="003E2077"/>
    <w:rsid w:val="003E4242"/>
    <w:rsid w:val="003E6A38"/>
    <w:rsid w:val="003E74DB"/>
    <w:rsid w:val="003E7BED"/>
    <w:rsid w:val="003F02EE"/>
    <w:rsid w:val="003F05B1"/>
    <w:rsid w:val="003F20AA"/>
    <w:rsid w:val="003F2C6D"/>
    <w:rsid w:val="003F30B9"/>
    <w:rsid w:val="003F3BAA"/>
    <w:rsid w:val="003F4360"/>
    <w:rsid w:val="003F45F8"/>
    <w:rsid w:val="003F4DEC"/>
    <w:rsid w:val="003F5472"/>
    <w:rsid w:val="003F5884"/>
    <w:rsid w:val="003F5A6C"/>
    <w:rsid w:val="003F6184"/>
    <w:rsid w:val="003F6AF1"/>
    <w:rsid w:val="003F6B72"/>
    <w:rsid w:val="003F6BBA"/>
    <w:rsid w:val="003F7B0C"/>
    <w:rsid w:val="003F7D18"/>
    <w:rsid w:val="00400711"/>
    <w:rsid w:val="004010EE"/>
    <w:rsid w:val="004041F1"/>
    <w:rsid w:val="0040547C"/>
    <w:rsid w:val="00407943"/>
    <w:rsid w:val="00407FD2"/>
    <w:rsid w:val="0041006A"/>
    <w:rsid w:val="00411576"/>
    <w:rsid w:val="004128AE"/>
    <w:rsid w:val="0041339C"/>
    <w:rsid w:val="00414A60"/>
    <w:rsid w:val="004166C8"/>
    <w:rsid w:val="00416CBB"/>
    <w:rsid w:val="00420798"/>
    <w:rsid w:val="00420E4C"/>
    <w:rsid w:val="0042180E"/>
    <w:rsid w:val="00421895"/>
    <w:rsid w:val="00421918"/>
    <w:rsid w:val="00423131"/>
    <w:rsid w:val="00423F63"/>
    <w:rsid w:val="004250AC"/>
    <w:rsid w:val="00425632"/>
    <w:rsid w:val="0042615B"/>
    <w:rsid w:val="004263E6"/>
    <w:rsid w:val="0042672E"/>
    <w:rsid w:val="0042674C"/>
    <w:rsid w:val="0042777A"/>
    <w:rsid w:val="004307D9"/>
    <w:rsid w:val="00430977"/>
    <w:rsid w:val="004312DE"/>
    <w:rsid w:val="00431AE5"/>
    <w:rsid w:val="00431B3F"/>
    <w:rsid w:val="00431CD0"/>
    <w:rsid w:val="00432DAD"/>
    <w:rsid w:val="00433412"/>
    <w:rsid w:val="0043394B"/>
    <w:rsid w:val="00433C85"/>
    <w:rsid w:val="00434D63"/>
    <w:rsid w:val="00434FB5"/>
    <w:rsid w:val="00435883"/>
    <w:rsid w:val="00436620"/>
    <w:rsid w:val="0043701A"/>
    <w:rsid w:val="004413F3"/>
    <w:rsid w:val="004415FA"/>
    <w:rsid w:val="00441AA7"/>
    <w:rsid w:val="0044209A"/>
    <w:rsid w:val="004429E0"/>
    <w:rsid w:val="00442E9B"/>
    <w:rsid w:val="00443372"/>
    <w:rsid w:val="00443445"/>
    <w:rsid w:val="00443926"/>
    <w:rsid w:val="00444281"/>
    <w:rsid w:val="0044503B"/>
    <w:rsid w:val="004460E6"/>
    <w:rsid w:val="00446197"/>
    <w:rsid w:val="00446C11"/>
    <w:rsid w:val="00446FD7"/>
    <w:rsid w:val="00450931"/>
    <w:rsid w:val="00450944"/>
    <w:rsid w:val="00451E30"/>
    <w:rsid w:val="00452D92"/>
    <w:rsid w:val="00453D7E"/>
    <w:rsid w:val="00454473"/>
    <w:rsid w:val="00454A53"/>
    <w:rsid w:val="00455157"/>
    <w:rsid w:val="00455233"/>
    <w:rsid w:val="00455CBE"/>
    <w:rsid w:val="00456FC8"/>
    <w:rsid w:val="00457E71"/>
    <w:rsid w:val="00460D0D"/>
    <w:rsid w:val="0046105F"/>
    <w:rsid w:val="004614A6"/>
    <w:rsid w:val="00461D0A"/>
    <w:rsid w:val="00462166"/>
    <w:rsid w:val="004627E8"/>
    <w:rsid w:val="00463317"/>
    <w:rsid w:val="00463421"/>
    <w:rsid w:val="0046385D"/>
    <w:rsid w:val="00463E82"/>
    <w:rsid w:val="004645DC"/>
    <w:rsid w:val="00464606"/>
    <w:rsid w:val="004646EF"/>
    <w:rsid w:val="00464DFA"/>
    <w:rsid w:val="00465B74"/>
    <w:rsid w:val="00465FD4"/>
    <w:rsid w:val="0046649C"/>
    <w:rsid w:val="004668C7"/>
    <w:rsid w:val="004670F1"/>
    <w:rsid w:val="00467381"/>
    <w:rsid w:val="00470FE2"/>
    <w:rsid w:val="00472275"/>
    <w:rsid w:val="0047288E"/>
    <w:rsid w:val="004739FB"/>
    <w:rsid w:val="00474D7F"/>
    <w:rsid w:val="004757EF"/>
    <w:rsid w:val="004777C2"/>
    <w:rsid w:val="00481050"/>
    <w:rsid w:val="004815D4"/>
    <w:rsid w:val="00482D6E"/>
    <w:rsid w:val="00483A20"/>
    <w:rsid w:val="00483C6C"/>
    <w:rsid w:val="00484198"/>
    <w:rsid w:val="004849C6"/>
    <w:rsid w:val="00487F4D"/>
    <w:rsid w:val="00490292"/>
    <w:rsid w:val="0049036C"/>
    <w:rsid w:val="00490555"/>
    <w:rsid w:val="0049076E"/>
    <w:rsid w:val="00492A1F"/>
    <w:rsid w:val="00492D6B"/>
    <w:rsid w:val="00493114"/>
    <w:rsid w:val="004941D7"/>
    <w:rsid w:val="00494A24"/>
    <w:rsid w:val="00494E9C"/>
    <w:rsid w:val="00496E64"/>
    <w:rsid w:val="004972C1"/>
    <w:rsid w:val="00497A9B"/>
    <w:rsid w:val="004A02FC"/>
    <w:rsid w:val="004A05A9"/>
    <w:rsid w:val="004A1554"/>
    <w:rsid w:val="004A1A48"/>
    <w:rsid w:val="004A2693"/>
    <w:rsid w:val="004A424B"/>
    <w:rsid w:val="004A43A1"/>
    <w:rsid w:val="004A4589"/>
    <w:rsid w:val="004A4810"/>
    <w:rsid w:val="004A4C16"/>
    <w:rsid w:val="004A515C"/>
    <w:rsid w:val="004A5B41"/>
    <w:rsid w:val="004A5C9F"/>
    <w:rsid w:val="004A5ED4"/>
    <w:rsid w:val="004A6099"/>
    <w:rsid w:val="004A647D"/>
    <w:rsid w:val="004A6EFE"/>
    <w:rsid w:val="004B08F9"/>
    <w:rsid w:val="004B0FCE"/>
    <w:rsid w:val="004B0FD1"/>
    <w:rsid w:val="004B2CE6"/>
    <w:rsid w:val="004B317D"/>
    <w:rsid w:val="004B32D0"/>
    <w:rsid w:val="004B378A"/>
    <w:rsid w:val="004B4D19"/>
    <w:rsid w:val="004B4FE4"/>
    <w:rsid w:val="004B58FE"/>
    <w:rsid w:val="004B5C3E"/>
    <w:rsid w:val="004B5E0A"/>
    <w:rsid w:val="004C0100"/>
    <w:rsid w:val="004C04CC"/>
    <w:rsid w:val="004C05E4"/>
    <w:rsid w:val="004C060E"/>
    <w:rsid w:val="004C13C1"/>
    <w:rsid w:val="004C23DD"/>
    <w:rsid w:val="004C28DE"/>
    <w:rsid w:val="004C33EE"/>
    <w:rsid w:val="004C34AE"/>
    <w:rsid w:val="004C3D7E"/>
    <w:rsid w:val="004C4289"/>
    <w:rsid w:val="004C43B7"/>
    <w:rsid w:val="004C5920"/>
    <w:rsid w:val="004C5AC4"/>
    <w:rsid w:val="004C6A1F"/>
    <w:rsid w:val="004C6D64"/>
    <w:rsid w:val="004C71F4"/>
    <w:rsid w:val="004C733C"/>
    <w:rsid w:val="004C7B55"/>
    <w:rsid w:val="004C7DED"/>
    <w:rsid w:val="004D0677"/>
    <w:rsid w:val="004D1254"/>
    <w:rsid w:val="004D1370"/>
    <w:rsid w:val="004D1E96"/>
    <w:rsid w:val="004D2121"/>
    <w:rsid w:val="004D2710"/>
    <w:rsid w:val="004D3DDB"/>
    <w:rsid w:val="004D43FC"/>
    <w:rsid w:val="004D45AE"/>
    <w:rsid w:val="004D4E6A"/>
    <w:rsid w:val="004D5C70"/>
    <w:rsid w:val="004D78AD"/>
    <w:rsid w:val="004D7992"/>
    <w:rsid w:val="004D7A6A"/>
    <w:rsid w:val="004D7FBE"/>
    <w:rsid w:val="004E0CEF"/>
    <w:rsid w:val="004E0E18"/>
    <w:rsid w:val="004E1380"/>
    <w:rsid w:val="004E139E"/>
    <w:rsid w:val="004E206D"/>
    <w:rsid w:val="004E22DC"/>
    <w:rsid w:val="004E26FB"/>
    <w:rsid w:val="004E29ED"/>
    <w:rsid w:val="004E3540"/>
    <w:rsid w:val="004E3F13"/>
    <w:rsid w:val="004E4374"/>
    <w:rsid w:val="004E4689"/>
    <w:rsid w:val="004E49FA"/>
    <w:rsid w:val="004E5230"/>
    <w:rsid w:val="004E5341"/>
    <w:rsid w:val="004E5F90"/>
    <w:rsid w:val="004E5FB9"/>
    <w:rsid w:val="004E6C7F"/>
    <w:rsid w:val="004E7957"/>
    <w:rsid w:val="004E7F22"/>
    <w:rsid w:val="004F06D3"/>
    <w:rsid w:val="004F0778"/>
    <w:rsid w:val="004F080F"/>
    <w:rsid w:val="004F10AE"/>
    <w:rsid w:val="004F1A9F"/>
    <w:rsid w:val="004F247A"/>
    <w:rsid w:val="004F2510"/>
    <w:rsid w:val="004F30F9"/>
    <w:rsid w:val="004F3D4E"/>
    <w:rsid w:val="004F4802"/>
    <w:rsid w:val="004F5D57"/>
    <w:rsid w:val="004F6104"/>
    <w:rsid w:val="004F6961"/>
    <w:rsid w:val="004F6BF5"/>
    <w:rsid w:val="004F769A"/>
    <w:rsid w:val="004F7A2A"/>
    <w:rsid w:val="004F7EF8"/>
    <w:rsid w:val="00500CA0"/>
    <w:rsid w:val="005015EE"/>
    <w:rsid w:val="00501D06"/>
    <w:rsid w:val="00502271"/>
    <w:rsid w:val="005027C9"/>
    <w:rsid w:val="0050283B"/>
    <w:rsid w:val="00502E18"/>
    <w:rsid w:val="00502EE1"/>
    <w:rsid w:val="00502F25"/>
    <w:rsid w:val="00502F67"/>
    <w:rsid w:val="00503DA8"/>
    <w:rsid w:val="00504619"/>
    <w:rsid w:val="005054C0"/>
    <w:rsid w:val="00505B9E"/>
    <w:rsid w:val="00505DF9"/>
    <w:rsid w:val="00505E86"/>
    <w:rsid w:val="00506408"/>
    <w:rsid w:val="005069D0"/>
    <w:rsid w:val="00507868"/>
    <w:rsid w:val="00507F13"/>
    <w:rsid w:val="00510853"/>
    <w:rsid w:val="00511DB7"/>
    <w:rsid w:val="0051399F"/>
    <w:rsid w:val="00513C05"/>
    <w:rsid w:val="00513E5A"/>
    <w:rsid w:val="00514228"/>
    <w:rsid w:val="00515F27"/>
    <w:rsid w:val="00516BB9"/>
    <w:rsid w:val="00517060"/>
    <w:rsid w:val="00520463"/>
    <w:rsid w:val="00520840"/>
    <w:rsid w:val="00520E53"/>
    <w:rsid w:val="0052120B"/>
    <w:rsid w:val="00523067"/>
    <w:rsid w:val="00523471"/>
    <w:rsid w:val="00523710"/>
    <w:rsid w:val="00523A92"/>
    <w:rsid w:val="00523AC8"/>
    <w:rsid w:val="00523AE3"/>
    <w:rsid w:val="005250A8"/>
    <w:rsid w:val="00525BE1"/>
    <w:rsid w:val="0052754F"/>
    <w:rsid w:val="0052767C"/>
    <w:rsid w:val="00532268"/>
    <w:rsid w:val="005323D1"/>
    <w:rsid w:val="005352EC"/>
    <w:rsid w:val="00536B4D"/>
    <w:rsid w:val="00537761"/>
    <w:rsid w:val="00537D05"/>
    <w:rsid w:val="005402C4"/>
    <w:rsid w:val="0054037F"/>
    <w:rsid w:val="00540C5A"/>
    <w:rsid w:val="00540E65"/>
    <w:rsid w:val="00541528"/>
    <w:rsid w:val="00542493"/>
    <w:rsid w:val="005427A7"/>
    <w:rsid w:val="005428CA"/>
    <w:rsid w:val="00542908"/>
    <w:rsid w:val="00542AFE"/>
    <w:rsid w:val="00542D7E"/>
    <w:rsid w:val="00543974"/>
    <w:rsid w:val="00544DF8"/>
    <w:rsid w:val="0054572C"/>
    <w:rsid w:val="00546109"/>
    <w:rsid w:val="0054698A"/>
    <w:rsid w:val="00546A63"/>
    <w:rsid w:val="005470C4"/>
    <w:rsid w:val="00547633"/>
    <w:rsid w:val="0054788C"/>
    <w:rsid w:val="00550EFC"/>
    <w:rsid w:val="00552100"/>
    <w:rsid w:val="00552161"/>
    <w:rsid w:val="0055434B"/>
    <w:rsid w:val="00554DEA"/>
    <w:rsid w:val="00556A09"/>
    <w:rsid w:val="00560429"/>
    <w:rsid w:val="00561460"/>
    <w:rsid w:val="005619C0"/>
    <w:rsid w:val="00561F61"/>
    <w:rsid w:val="0056262C"/>
    <w:rsid w:val="0056298A"/>
    <w:rsid w:val="00562C10"/>
    <w:rsid w:val="005632BA"/>
    <w:rsid w:val="005639F1"/>
    <w:rsid w:val="00563B7D"/>
    <w:rsid w:val="00564348"/>
    <w:rsid w:val="0056442A"/>
    <w:rsid w:val="00564722"/>
    <w:rsid w:val="0056581B"/>
    <w:rsid w:val="00567369"/>
    <w:rsid w:val="005677CD"/>
    <w:rsid w:val="00567BFA"/>
    <w:rsid w:val="00567D8A"/>
    <w:rsid w:val="005700A1"/>
    <w:rsid w:val="005704AB"/>
    <w:rsid w:val="00571055"/>
    <w:rsid w:val="00571726"/>
    <w:rsid w:val="005724BE"/>
    <w:rsid w:val="0057275E"/>
    <w:rsid w:val="00572DCA"/>
    <w:rsid w:val="005740FE"/>
    <w:rsid w:val="005741D0"/>
    <w:rsid w:val="00574381"/>
    <w:rsid w:val="005759A1"/>
    <w:rsid w:val="00575AE9"/>
    <w:rsid w:val="00577EC6"/>
    <w:rsid w:val="00580248"/>
    <w:rsid w:val="005816A2"/>
    <w:rsid w:val="00582B31"/>
    <w:rsid w:val="00582E52"/>
    <w:rsid w:val="0058411C"/>
    <w:rsid w:val="005848E1"/>
    <w:rsid w:val="00584B2E"/>
    <w:rsid w:val="00584E6C"/>
    <w:rsid w:val="0058510E"/>
    <w:rsid w:val="00586218"/>
    <w:rsid w:val="00587013"/>
    <w:rsid w:val="00591AB0"/>
    <w:rsid w:val="005923F1"/>
    <w:rsid w:val="00592539"/>
    <w:rsid w:val="00592685"/>
    <w:rsid w:val="00592C59"/>
    <w:rsid w:val="005930EF"/>
    <w:rsid w:val="005931F7"/>
    <w:rsid w:val="00594347"/>
    <w:rsid w:val="005953E5"/>
    <w:rsid w:val="00595A39"/>
    <w:rsid w:val="00596223"/>
    <w:rsid w:val="005A0118"/>
    <w:rsid w:val="005A0E4C"/>
    <w:rsid w:val="005A3AAF"/>
    <w:rsid w:val="005A504F"/>
    <w:rsid w:val="005A5062"/>
    <w:rsid w:val="005A517E"/>
    <w:rsid w:val="005A59E2"/>
    <w:rsid w:val="005A677D"/>
    <w:rsid w:val="005B159C"/>
    <w:rsid w:val="005B3246"/>
    <w:rsid w:val="005B3910"/>
    <w:rsid w:val="005B39E4"/>
    <w:rsid w:val="005B4538"/>
    <w:rsid w:val="005B5E9B"/>
    <w:rsid w:val="005B68DF"/>
    <w:rsid w:val="005B75CB"/>
    <w:rsid w:val="005C0161"/>
    <w:rsid w:val="005C1425"/>
    <w:rsid w:val="005C1E76"/>
    <w:rsid w:val="005C2673"/>
    <w:rsid w:val="005C47B9"/>
    <w:rsid w:val="005C47C8"/>
    <w:rsid w:val="005C4940"/>
    <w:rsid w:val="005C6427"/>
    <w:rsid w:val="005C65FC"/>
    <w:rsid w:val="005C6663"/>
    <w:rsid w:val="005C672B"/>
    <w:rsid w:val="005C6A31"/>
    <w:rsid w:val="005C752E"/>
    <w:rsid w:val="005C7D14"/>
    <w:rsid w:val="005D0B8F"/>
    <w:rsid w:val="005D1920"/>
    <w:rsid w:val="005D27EB"/>
    <w:rsid w:val="005D3101"/>
    <w:rsid w:val="005D3DCB"/>
    <w:rsid w:val="005D46AE"/>
    <w:rsid w:val="005D4B02"/>
    <w:rsid w:val="005D51A6"/>
    <w:rsid w:val="005D56DB"/>
    <w:rsid w:val="005D5C76"/>
    <w:rsid w:val="005D6C83"/>
    <w:rsid w:val="005D6FAF"/>
    <w:rsid w:val="005D73B0"/>
    <w:rsid w:val="005E03ED"/>
    <w:rsid w:val="005E05BF"/>
    <w:rsid w:val="005E2288"/>
    <w:rsid w:val="005E319B"/>
    <w:rsid w:val="005E3B35"/>
    <w:rsid w:val="005E55DE"/>
    <w:rsid w:val="005E5A07"/>
    <w:rsid w:val="005E6138"/>
    <w:rsid w:val="005E6373"/>
    <w:rsid w:val="005E6B23"/>
    <w:rsid w:val="005E6CD7"/>
    <w:rsid w:val="005E6DB4"/>
    <w:rsid w:val="005E7505"/>
    <w:rsid w:val="005E75DD"/>
    <w:rsid w:val="005E7D0D"/>
    <w:rsid w:val="005F0127"/>
    <w:rsid w:val="005F0B9A"/>
    <w:rsid w:val="005F1498"/>
    <w:rsid w:val="005F1A0D"/>
    <w:rsid w:val="005F1B3E"/>
    <w:rsid w:val="005F1C7E"/>
    <w:rsid w:val="005F1F7D"/>
    <w:rsid w:val="005F3246"/>
    <w:rsid w:val="005F400C"/>
    <w:rsid w:val="005F427A"/>
    <w:rsid w:val="005F49D5"/>
    <w:rsid w:val="005F53E8"/>
    <w:rsid w:val="005F5F7D"/>
    <w:rsid w:val="005F7784"/>
    <w:rsid w:val="0060014F"/>
    <w:rsid w:val="00600A70"/>
    <w:rsid w:val="00601B08"/>
    <w:rsid w:val="006029BA"/>
    <w:rsid w:val="006031EE"/>
    <w:rsid w:val="0060408C"/>
    <w:rsid w:val="00604EBC"/>
    <w:rsid w:val="00605453"/>
    <w:rsid w:val="006059E3"/>
    <w:rsid w:val="00605A1F"/>
    <w:rsid w:val="00605F9F"/>
    <w:rsid w:val="006066FB"/>
    <w:rsid w:val="00606F50"/>
    <w:rsid w:val="006072CC"/>
    <w:rsid w:val="00607BF6"/>
    <w:rsid w:val="006102C6"/>
    <w:rsid w:val="006104F1"/>
    <w:rsid w:val="006114C0"/>
    <w:rsid w:val="00612370"/>
    <w:rsid w:val="006129B3"/>
    <w:rsid w:val="00612C93"/>
    <w:rsid w:val="00612DFA"/>
    <w:rsid w:val="0061465A"/>
    <w:rsid w:val="00614981"/>
    <w:rsid w:val="00614DAF"/>
    <w:rsid w:val="006162DF"/>
    <w:rsid w:val="00616637"/>
    <w:rsid w:val="0061689F"/>
    <w:rsid w:val="00616EF6"/>
    <w:rsid w:val="006171CF"/>
    <w:rsid w:val="00617875"/>
    <w:rsid w:val="006204FF"/>
    <w:rsid w:val="00621AB9"/>
    <w:rsid w:val="00621BE9"/>
    <w:rsid w:val="00621CEF"/>
    <w:rsid w:val="00621F46"/>
    <w:rsid w:val="006221CB"/>
    <w:rsid w:val="0062243D"/>
    <w:rsid w:val="006229D8"/>
    <w:rsid w:val="00622C6B"/>
    <w:rsid w:val="00622FA9"/>
    <w:rsid w:val="00623C28"/>
    <w:rsid w:val="00623ED0"/>
    <w:rsid w:val="00623F01"/>
    <w:rsid w:val="00624340"/>
    <w:rsid w:val="0062498E"/>
    <w:rsid w:val="0062763A"/>
    <w:rsid w:val="00630C20"/>
    <w:rsid w:val="00630C7F"/>
    <w:rsid w:val="00630FCC"/>
    <w:rsid w:val="0063117C"/>
    <w:rsid w:val="006317A3"/>
    <w:rsid w:val="00631F5A"/>
    <w:rsid w:val="006326EA"/>
    <w:rsid w:val="00632F93"/>
    <w:rsid w:val="006336CA"/>
    <w:rsid w:val="00633774"/>
    <w:rsid w:val="00633B0E"/>
    <w:rsid w:val="00633BE4"/>
    <w:rsid w:val="00634B15"/>
    <w:rsid w:val="0063528F"/>
    <w:rsid w:val="0063587C"/>
    <w:rsid w:val="006359C4"/>
    <w:rsid w:val="00635D62"/>
    <w:rsid w:val="00635FD7"/>
    <w:rsid w:val="006368B2"/>
    <w:rsid w:val="006369F0"/>
    <w:rsid w:val="00637891"/>
    <w:rsid w:val="00637A2C"/>
    <w:rsid w:val="00640B9F"/>
    <w:rsid w:val="00640D4D"/>
    <w:rsid w:val="006426DD"/>
    <w:rsid w:val="006434B3"/>
    <w:rsid w:val="006436C9"/>
    <w:rsid w:val="006447B3"/>
    <w:rsid w:val="00645258"/>
    <w:rsid w:val="00646187"/>
    <w:rsid w:val="00646C13"/>
    <w:rsid w:val="00647C70"/>
    <w:rsid w:val="00650F8F"/>
    <w:rsid w:val="006524B2"/>
    <w:rsid w:val="00652BD4"/>
    <w:rsid w:val="00652EFF"/>
    <w:rsid w:val="00653B14"/>
    <w:rsid w:val="006541AB"/>
    <w:rsid w:val="0065422E"/>
    <w:rsid w:val="006548A7"/>
    <w:rsid w:val="00655E9C"/>
    <w:rsid w:val="00656219"/>
    <w:rsid w:val="00657893"/>
    <w:rsid w:val="0066080D"/>
    <w:rsid w:val="00660F1F"/>
    <w:rsid w:val="0066110E"/>
    <w:rsid w:val="006614C6"/>
    <w:rsid w:val="00662177"/>
    <w:rsid w:val="00662B0C"/>
    <w:rsid w:val="00662E62"/>
    <w:rsid w:val="00662F92"/>
    <w:rsid w:val="00662FE2"/>
    <w:rsid w:val="00663ADD"/>
    <w:rsid w:val="00663DA8"/>
    <w:rsid w:val="00663DF2"/>
    <w:rsid w:val="00664E98"/>
    <w:rsid w:val="00665336"/>
    <w:rsid w:val="0066564B"/>
    <w:rsid w:val="00666851"/>
    <w:rsid w:val="006668ED"/>
    <w:rsid w:val="00666A40"/>
    <w:rsid w:val="00666EA8"/>
    <w:rsid w:val="00667EF5"/>
    <w:rsid w:val="00670D03"/>
    <w:rsid w:val="006713B6"/>
    <w:rsid w:val="00673AA7"/>
    <w:rsid w:val="00673EEC"/>
    <w:rsid w:val="00675BBD"/>
    <w:rsid w:val="0067656D"/>
    <w:rsid w:val="00676E04"/>
    <w:rsid w:val="00680483"/>
    <w:rsid w:val="0068087F"/>
    <w:rsid w:val="006817A9"/>
    <w:rsid w:val="0068190F"/>
    <w:rsid w:val="0068242C"/>
    <w:rsid w:val="0068297E"/>
    <w:rsid w:val="00682C51"/>
    <w:rsid w:val="00682C5B"/>
    <w:rsid w:val="00683E07"/>
    <w:rsid w:val="006849FF"/>
    <w:rsid w:val="006875E7"/>
    <w:rsid w:val="00687DC9"/>
    <w:rsid w:val="00687E9C"/>
    <w:rsid w:val="006903B5"/>
    <w:rsid w:val="006904F9"/>
    <w:rsid w:val="00690A95"/>
    <w:rsid w:val="00690D0A"/>
    <w:rsid w:val="00690DA5"/>
    <w:rsid w:val="00690E99"/>
    <w:rsid w:val="00690F72"/>
    <w:rsid w:val="006914AD"/>
    <w:rsid w:val="00691607"/>
    <w:rsid w:val="00691DF4"/>
    <w:rsid w:val="00692BB1"/>
    <w:rsid w:val="00692EB7"/>
    <w:rsid w:val="00693978"/>
    <w:rsid w:val="00694340"/>
    <w:rsid w:val="006943F5"/>
    <w:rsid w:val="00694436"/>
    <w:rsid w:val="00695953"/>
    <w:rsid w:val="00696241"/>
    <w:rsid w:val="00697350"/>
    <w:rsid w:val="00697E13"/>
    <w:rsid w:val="006A12BF"/>
    <w:rsid w:val="006A14A0"/>
    <w:rsid w:val="006A19D0"/>
    <w:rsid w:val="006A1B80"/>
    <w:rsid w:val="006A1FFC"/>
    <w:rsid w:val="006A231F"/>
    <w:rsid w:val="006A3514"/>
    <w:rsid w:val="006A41B0"/>
    <w:rsid w:val="006A4EE3"/>
    <w:rsid w:val="006A4F6B"/>
    <w:rsid w:val="006A5046"/>
    <w:rsid w:val="006A5274"/>
    <w:rsid w:val="006A5442"/>
    <w:rsid w:val="006A5A9E"/>
    <w:rsid w:val="006A5E1C"/>
    <w:rsid w:val="006A6301"/>
    <w:rsid w:val="006A6585"/>
    <w:rsid w:val="006A7927"/>
    <w:rsid w:val="006B15D1"/>
    <w:rsid w:val="006B2165"/>
    <w:rsid w:val="006B24EC"/>
    <w:rsid w:val="006B2565"/>
    <w:rsid w:val="006B26AA"/>
    <w:rsid w:val="006B28FF"/>
    <w:rsid w:val="006B2BAC"/>
    <w:rsid w:val="006B2BE3"/>
    <w:rsid w:val="006B3800"/>
    <w:rsid w:val="006B394F"/>
    <w:rsid w:val="006B41E2"/>
    <w:rsid w:val="006B46E7"/>
    <w:rsid w:val="006B4FEA"/>
    <w:rsid w:val="006B57D2"/>
    <w:rsid w:val="006B6B92"/>
    <w:rsid w:val="006B6F70"/>
    <w:rsid w:val="006B759B"/>
    <w:rsid w:val="006C06F4"/>
    <w:rsid w:val="006C0826"/>
    <w:rsid w:val="006C1582"/>
    <w:rsid w:val="006C17EC"/>
    <w:rsid w:val="006C305E"/>
    <w:rsid w:val="006C428E"/>
    <w:rsid w:val="006C4482"/>
    <w:rsid w:val="006C54AB"/>
    <w:rsid w:val="006C55F1"/>
    <w:rsid w:val="006C5C73"/>
    <w:rsid w:val="006C5DDF"/>
    <w:rsid w:val="006C6518"/>
    <w:rsid w:val="006C7A1B"/>
    <w:rsid w:val="006D13C5"/>
    <w:rsid w:val="006D140C"/>
    <w:rsid w:val="006D14DB"/>
    <w:rsid w:val="006D2421"/>
    <w:rsid w:val="006D2B53"/>
    <w:rsid w:val="006D49D9"/>
    <w:rsid w:val="006D4C42"/>
    <w:rsid w:val="006D4D36"/>
    <w:rsid w:val="006D4F87"/>
    <w:rsid w:val="006D51C3"/>
    <w:rsid w:val="006D5567"/>
    <w:rsid w:val="006D578F"/>
    <w:rsid w:val="006D57BA"/>
    <w:rsid w:val="006D636F"/>
    <w:rsid w:val="006E0028"/>
    <w:rsid w:val="006E00FE"/>
    <w:rsid w:val="006E030B"/>
    <w:rsid w:val="006E08B0"/>
    <w:rsid w:val="006E0A91"/>
    <w:rsid w:val="006E1669"/>
    <w:rsid w:val="006E1F12"/>
    <w:rsid w:val="006E1FF1"/>
    <w:rsid w:val="006E23A8"/>
    <w:rsid w:val="006E2B53"/>
    <w:rsid w:val="006E31D9"/>
    <w:rsid w:val="006E3921"/>
    <w:rsid w:val="006E3FF8"/>
    <w:rsid w:val="006E41AA"/>
    <w:rsid w:val="006E546D"/>
    <w:rsid w:val="006E6103"/>
    <w:rsid w:val="006E6F8D"/>
    <w:rsid w:val="006E724A"/>
    <w:rsid w:val="006F021D"/>
    <w:rsid w:val="006F12F6"/>
    <w:rsid w:val="006F1A5C"/>
    <w:rsid w:val="006F1D45"/>
    <w:rsid w:val="006F2335"/>
    <w:rsid w:val="006F2C50"/>
    <w:rsid w:val="006F3034"/>
    <w:rsid w:val="006F3042"/>
    <w:rsid w:val="006F3673"/>
    <w:rsid w:val="006F4EFE"/>
    <w:rsid w:val="006F51C4"/>
    <w:rsid w:val="006F5B8E"/>
    <w:rsid w:val="006F5D3A"/>
    <w:rsid w:val="006F7A49"/>
    <w:rsid w:val="00701053"/>
    <w:rsid w:val="00701CA9"/>
    <w:rsid w:val="007036CC"/>
    <w:rsid w:val="00704144"/>
    <w:rsid w:val="00704CFB"/>
    <w:rsid w:val="007054D0"/>
    <w:rsid w:val="00705E51"/>
    <w:rsid w:val="00705EFA"/>
    <w:rsid w:val="00706D0F"/>
    <w:rsid w:val="0070786B"/>
    <w:rsid w:val="00707DB1"/>
    <w:rsid w:val="00707F5B"/>
    <w:rsid w:val="00710EB6"/>
    <w:rsid w:val="00711001"/>
    <w:rsid w:val="0071161C"/>
    <w:rsid w:val="00712368"/>
    <w:rsid w:val="0071242D"/>
    <w:rsid w:val="00713494"/>
    <w:rsid w:val="00713B44"/>
    <w:rsid w:val="00714665"/>
    <w:rsid w:val="00715F11"/>
    <w:rsid w:val="0071640B"/>
    <w:rsid w:val="00716EA3"/>
    <w:rsid w:val="00717281"/>
    <w:rsid w:val="00717DAF"/>
    <w:rsid w:val="00720EA5"/>
    <w:rsid w:val="00721BBB"/>
    <w:rsid w:val="0072216B"/>
    <w:rsid w:val="007227D9"/>
    <w:rsid w:val="00723245"/>
    <w:rsid w:val="00723386"/>
    <w:rsid w:val="0072479C"/>
    <w:rsid w:val="00724A97"/>
    <w:rsid w:val="0072566C"/>
    <w:rsid w:val="00725EA2"/>
    <w:rsid w:val="0073005D"/>
    <w:rsid w:val="00730189"/>
    <w:rsid w:val="0073055E"/>
    <w:rsid w:val="00731886"/>
    <w:rsid w:val="007327E5"/>
    <w:rsid w:val="00732B17"/>
    <w:rsid w:val="00732D7A"/>
    <w:rsid w:val="007334E1"/>
    <w:rsid w:val="007339D8"/>
    <w:rsid w:val="007354C7"/>
    <w:rsid w:val="007358EF"/>
    <w:rsid w:val="00736EED"/>
    <w:rsid w:val="0073701E"/>
    <w:rsid w:val="007370DF"/>
    <w:rsid w:val="00737DF8"/>
    <w:rsid w:val="007400FB"/>
    <w:rsid w:val="00741279"/>
    <w:rsid w:val="0074159E"/>
    <w:rsid w:val="007415CA"/>
    <w:rsid w:val="007419AE"/>
    <w:rsid w:val="007420B4"/>
    <w:rsid w:val="00744471"/>
    <w:rsid w:val="00746762"/>
    <w:rsid w:val="00747C62"/>
    <w:rsid w:val="00750033"/>
    <w:rsid w:val="0075017C"/>
    <w:rsid w:val="00750A21"/>
    <w:rsid w:val="007514D1"/>
    <w:rsid w:val="00752639"/>
    <w:rsid w:val="00753AEB"/>
    <w:rsid w:val="00753AF0"/>
    <w:rsid w:val="00754517"/>
    <w:rsid w:val="007553C0"/>
    <w:rsid w:val="0075570E"/>
    <w:rsid w:val="00755808"/>
    <w:rsid w:val="00756683"/>
    <w:rsid w:val="00757383"/>
    <w:rsid w:val="007612E3"/>
    <w:rsid w:val="0076171D"/>
    <w:rsid w:val="00761AE4"/>
    <w:rsid w:val="00762AD5"/>
    <w:rsid w:val="00763741"/>
    <w:rsid w:val="00763B10"/>
    <w:rsid w:val="00763D7F"/>
    <w:rsid w:val="00765330"/>
    <w:rsid w:val="00765A50"/>
    <w:rsid w:val="00766E15"/>
    <w:rsid w:val="00767075"/>
    <w:rsid w:val="0076772E"/>
    <w:rsid w:val="007704EA"/>
    <w:rsid w:val="00771817"/>
    <w:rsid w:val="00771DC9"/>
    <w:rsid w:val="007724AB"/>
    <w:rsid w:val="00772743"/>
    <w:rsid w:val="00772C6A"/>
    <w:rsid w:val="00773036"/>
    <w:rsid w:val="00773509"/>
    <w:rsid w:val="00774583"/>
    <w:rsid w:val="0077459B"/>
    <w:rsid w:val="00774777"/>
    <w:rsid w:val="00775185"/>
    <w:rsid w:val="00776309"/>
    <w:rsid w:val="007763B3"/>
    <w:rsid w:val="00776C3A"/>
    <w:rsid w:val="00776C95"/>
    <w:rsid w:val="00776EAA"/>
    <w:rsid w:val="007801B3"/>
    <w:rsid w:val="007803C8"/>
    <w:rsid w:val="00780B2C"/>
    <w:rsid w:val="00781294"/>
    <w:rsid w:val="007824CB"/>
    <w:rsid w:val="00782967"/>
    <w:rsid w:val="007842EB"/>
    <w:rsid w:val="00784864"/>
    <w:rsid w:val="00785283"/>
    <w:rsid w:val="0078533D"/>
    <w:rsid w:val="0078543C"/>
    <w:rsid w:val="00785D4A"/>
    <w:rsid w:val="0079010D"/>
    <w:rsid w:val="00791E23"/>
    <w:rsid w:val="00792AE0"/>
    <w:rsid w:val="00792E00"/>
    <w:rsid w:val="00793AA3"/>
    <w:rsid w:val="00793E0B"/>
    <w:rsid w:val="00794453"/>
    <w:rsid w:val="00794C45"/>
    <w:rsid w:val="0079545D"/>
    <w:rsid w:val="00795CCD"/>
    <w:rsid w:val="00796910"/>
    <w:rsid w:val="00797004"/>
    <w:rsid w:val="00797148"/>
    <w:rsid w:val="007A0562"/>
    <w:rsid w:val="007A0BFD"/>
    <w:rsid w:val="007A0E3E"/>
    <w:rsid w:val="007A11DF"/>
    <w:rsid w:val="007A1547"/>
    <w:rsid w:val="007A1D15"/>
    <w:rsid w:val="007A2D82"/>
    <w:rsid w:val="007A38B9"/>
    <w:rsid w:val="007A42DF"/>
    <w:rsid w:val="007A4813"/>
    <w:rsid w:val="007A4EA0"/>
    <w:rsid w:val="007A5107"/>
    <w:rsid w:val="007A772C"/>
    <w:rsid w:val="007B134E"/>
    <w:rsid w:val="007B28AF"/>
    <w:rsid w:val="007B2C60"/>
    <w:rsid w:val="007B3945"/>
    <w:rsid w:val="007B45A8"/>
    <w:rsid w:val="007B49C5"/>
    <w:rsid w:val="007B5076"/>
    <w:rsid w:val="007B51C4"/>
    <w:rsid w:val="007B51C9"/>
    <w:rsid w:val="007B5E46"/>
    <w:rsid w:val="007B6A9E"/>
    <w:rsid w:val="007B7917"/>
    <w:rsid w:val="007B79D1"/>
    <w:rsid w:val="007C0200"/>
    <w:rsid w:val="007C0ACB"/>
    <w:rsid w:val="007C1114"/>
    <w:rsid w:val="007C1A48"/>
    <w:rsid w:val="007C23C2"/>
    <w:rsid w:val="007C2435"/>
    <w:rsid w:val="007C243D"/>
    <w:rsid w:val="007C39C0"/>
    <w:rsid w:val="007C4856"/>
    <w:rsid w:val="007C495D"/>
    <w:rsid w:val="007C4E99"/>
    <w:rsid w:val="007C5431"/>
    <w:rsid w:val="007C556D"/>
    <w:rsid w:val="007C63C4"/>
    <w:rsid w:val="007C63DA"/>
    <w:rsid w:val="007C6ED1"/>
    <w:rsid w:val="007D17B0"/>
    <w:rsid w:val="007D231A"/>
    <w:rsid w:val="007D24A7"/>
    <w:rsid w:val="007D27D6"/>
    <w:rsid w:val="007D2882"/>
    <w:rsid w:val="007D3AAB"/>
    <w:rsid w:val="007D4423"/>
    <w:rsid w:val="007D4555"/>
    <w:rsid w:val="007D46C5"/>
    <w:rsid w:val="007D4E27"/>
    <w:rsid w:val="007D6570"/>
    <w:rsid w:val="007D78D3"/>
    <w:rsid w:val="007D7973"/>
    <w:rsid w:val="007D7B0D"/>
    <w:rsid w:val="007E0E54"/>
    <w:rsid w:val="007E11FC"/>
    <w:rsid w:val="007E17C9"/>
    <w:rsid w:val="007E3826"/>
    <w:rsid w:val="007E3FDA"/>
    <w:rsid w:val="007E497F"/>
    <w:rsid w:val="007E4EBC"/>
    <w:rsid w:val="007E511D"/>
    <w:rsid w:val="007E5426"/>
    <w:rsid w:val="007E5753"/>
    <w:rsid w:val="007E7290"/>
    <w:rsid w:val="007E75CB"/>
    <w:rsid w:val="007F0099"/>
    <w:rsid w:val="007F0C42"/>
    <w:rsid w:val="007F15FC"/>
    <w:rsid w:val="007F1A44"/>
    <w:rsid w:val="007F3473"/>
    <w:rsid w:val="007F3651"/>
    <w:rsid w:val="007F3E98"/>
    <w:rsid w:val="007F3F6C"/>
    <w:rsid w:val="007F5AA5"/>
    <w:rsid w:val="007F6C8C"/>
    <w:rsid w:val="007F6DD7"/>
    <w:rsid w:val="007F78FE"/>
    <w:rsid w:val="007F7AA5"/>
    <w:rsid w:val="007F7DCA"/>
    <w:rsid w:val="00800CC5"/>
    <w:rsid w:val="0080142F"/>
    <w:rsid w:val="00801B9A"/>
    <w:rsid w:val="00801EB4"/>
    <w:rsid w:val="00802E01"/>
    <w:rsid w:val="00802E4A"/>
    <w:rsid w:val="0080376D"/>
    <w:rsid w:val="00803A74"/>
    <w:rsid w:val="00803CA5"/>
    <w:rsid w:val="008045DD"/>
    <w:rsid w:val="008055FB"/>
    <w:rsid w:val="008056FA"/>
    <w:rsid w:val="00805B88"/>
    <w:rsid w:val="00805CDA"/>
    <w:rsid w:val="0080613D"/>
    <w:rsid w:val="008063EC"/>
    <w:rsid w:val="008064C2"/>
    <w:rsid w:val="00806B09"/>
    <w:rsid w:val="0081013A"/>
    <w:rsid w:val="00810277"/>
    <w:rsid w:val="00811EAF"/>
    <w:rsid w:val="008128FA"/>
    <w:rsid w:val="00812F44"/>
    <w:rsid w:val="008130CE"/>
    <w:rsid w:val="00813F65"/>
    <w:rsid w:val="008146B0"/>
    <w:rsid w:val="0081478D"/>
    <w:rsid w:val="00816AD1"/>
    <w:rsid w:val="008172EF"/>
    <w:rsid w:val="008177A0"/>
    <w:rsid w:val="0082020E"/>
    <w:rsid w:val="00821100"/>
    <w:rsid w:val="00824218"/>
    <w:rsid w:val="008242CD"/>
    <w:rsid w:val="008245FE"/>
    <w:rsid w:val="00824640"/>
    <w:rsid w:val="008248A8"/>
    <w:rsid w:val="00824A90"/>
    <w:rsid w:val="00824C4A"/>
    <w:rsid w:val="00824FCF"/>
    <w:rsid w:val="008251D4"/>
    <w:rsid w:val="008266FA"/>
    <w:rsid w:val="00826A62"/>
    <w:rsid w:val="008274F3"/>
    <w:rsid w:val="00827D6D"/>
    <w:rsid w:val="0083058C"/>
    <w:rsid w:val="008307C4"/>
    <w:rsid w:val="008311E1"/>
    <w:rsid w:val="00831794"/>
    <w:rsid w:val="00831E62"/>
    <w:rsid w:val="0083211B"/>
    <w:rsid w:val="008326EB"/>
    <w:rsid w:val="008329CE"/>
    <w:rsid w:val="00832D56"/>
    <w:rsid w:val="00833189"/>
    <w:rsid w:val="00833ACC"/>
    <w:rsid w:val="00834598"/>
    <w:rsid w:val="00834EEF"/>
    <w:rsid w:val="008351A7"/>
    <w:rsid w:val="00835DFD"/>
    <w:rsid w:val="008364C8"/>
    <w:rsid w:val="00836565"/>
    <w:rsid w:val="0083670B"/>
    <w:rsid w:val="00841A91"/>
    <w:rsid w:val="00841DEC"/>
    <w:rsid w:val="00841EB3"/>
    <w:rsid w:val="00841FFD"/>
    <w:rsid w:val="00842430"/>
    <w:rsid w:val="00842FB8"/>
    <w:rsid w:val="00843568"/>
    <w:rsid w:val="00843570"/>
    <w:rsid w:val="0084359A"/>
    <w:rsid w:val="008436B2"/>
    <w:rsid w:val="00843C65"/>
    <w:rsid w:val="00843C92"/>
    <w:rsid w:val="00843DAF"/>
    <w:rsid w:val="00843FF8"/>
    <w:rsid w:val="0084424E"/>
    <w:rsid w:val="0084441F"/>
    <w:rsid w:val="00844512"/>
    <w:rsid w:val="008451F7"/>
    <w:rsid w:val="00845832"/>
    <w:rsid w:val="00845B29"/>
    <w:rsid w:val="0084621B"/>
    <w:rsid w:val="00846902"/>
    <w:rsid w:val="00846EC7"/>
    <w:rsid w:val="008471DD"/>
    <w:rsid w:val="0085182E"/>
    <w:rsid w:val="00852A36"/>
    <w:rsid w:val="00852C98"/>
    <w:rsid w:val="0085317A"/>
    <w:rsid w:val="00853779"/>
    <w:rsid w:val="00853AC0"/>
    <w:rsid w:val="00853DD1"/>
    <w:rsid w:val="00853DEC"/>
    <w:rsid w:val="00853E6C"/>
    <w:rsid w:val="00854EA4"/>
    <w:rsid w:val="00855153"/>
    <w:rsid w:val="008556DD"/>
    <w:rsid w:val="008558F9"/>
    <w:rsid w:val="008560EB"/>
    <w:rsid w:val="00856993"/>
    <w:rsid w:val="00856B44"/>
    <w:rsid w:val="00856F13"/>
    <w:rsid w:val="00857275"/>
    <w:rsid w:val="00857AC7"/>
    <w:rsid w:val="00857BEF"/>
    <w:rsid w:val="00860322"/>
    <w:rsid w:val="0086324E"/>
    <w:rsid w:val="00863DE0"/>
    <w:rsid w:val="008641A1"/>
    <w:rsid w:val="00864D8D"/>
    <w:rsid w:val="00864EE5"/>
    <w:rsid w:val="00865310"/>
    <w:rsid w:val="008657DD"/>
    <w:rsid w:val="008659E8"/>
    <w:rsid w:val="00866416"/>
    <w:rsid w:val="0086757F"/>
    <w:rsid w:val="008708C6"/>
    <w:rsid w:val="00870FFC"/>
    <w:rsid w:val="008712FF"/>
    <w:rsid w:val="0087308E"/>
    <w:rsid w:val="00873380"/>
    <w:rsid w:val="008739F4"/>
    <w:rsid w:val="0087421C"/>
    <w:rsid w:val="00874B12"/>
    <w:rsid w:val="00874B50"/>
    <w:rsid w:val="00875CA0"/>
    <w:rsid w:val="00876031"/>
    <w:rsid w:val="00876C6B"/>
    <w:rsid w:val="008805B1"/>
    <w:rsid w:val="00880F93"/>
    <w:rsid w:val="0088145F"/>
    <w:rsid w:val="00882825"/>
    <w:rsid w:val="00882D68"/>
    <w:rsid w:val="00882F67"/>
    <w:rsid w:val="008833F5"/>
    <w:rsid w:val="0088405F"/>
    <w:rsid w:val="008851EE"/>
    <w:rsid w:val="008853ED"/>
    <w:rsid w:val="00885BF6"/>
    <w:rsid w:val="0088671C"/>
    <w:rsid w:val="008871AB"/>
    <w:rsid w:val="00890039"/>
    <w:rsid w:val="00891126"/>
    <w:rsid w:val="00891402"/>
    <w:rsid w:val="0089181E"/>
    <w:rsid w:val="00892A92"/>
    <w:rsid w:val="00892F96"/>
    <w:rsid w:val="00893A72"/>
    <w:rsid w:val="00894D42"/>
    <w:rsid w:val="00895A90"/>
    <w:rsid w:val="00895F8E"/>
    <w:rsid w:val="0089701E"/>
    <w:rsid w:val="00897192"/>
    <w:rsid w:val="008977AF"/>
    <w:rsid w:val="00897AFE"/>
    <w:rsid w:val="008A12C2"/>
    <w:rsid w:val="008A14F9"/>
    <w:rsid w:val="008A17CC"/>
    <w:rsid w:val="008A1EF0"/>
    <w:rsid w:val="008A2610"/>
    <w:rsid w:val="008A2B93"/>
    <w:rsid w:val="008A3B45"/>
    <w:rsid w:val="008A4131"/>
    <w:rsid w:val="008A498A"/>
    <w:rsid w:val="008A4C41"/>
    <w:rsid w:val="008A4CB5"/>
    <w:rsid w:val="008A5353"/>
    <w:rsid w:val="008A564F"/>
    <w:rsid w:val="008A66CB"/>
    <w:rsid w:val="008A688C"/>
    <w:rsid w:val="008A779E"/>
    <w:rsid w:val="008B0181"/>
    <w:rsid w:val="008B0FCF"/>
    <w:rsid w:val="008B1F44"/>
    <w:rsid w:val="008B2DD1"/>
    <w:rsid w:val="008B3C0C"/>
    <w:rsid w:val="008B40BA"/>
    <w:rsid w:val="008B46B3"/>
    <w:rsid w:val="008B6F8F"/>
    <w:rsid w:val="008B7276"/>
    <w:rsid w:val="008B7658"/>
    <w:rsid w:val="008B7ABA"/>
    <w:rsid w:val="008C0291"/>
    <w:rsid w:val="008C2176"/>
    <w:rsid w:val="008C29AF"/>
    <w:rsid w:val="008C2B2E"/>
    <w:rsid w:val="008C4EC9"/>
    <w:rsid w:val="008C504B"/>
    <w:rsid w:val="008C61ED"/>
    <w:rsid w:val="008C73FA"/>
    <w:rsid w:val="008D189B"/>
    <w:rsid w:val="008D28AC"/>
    <w:rsid w:val="008D2EAA"/>
    <w:rsid w:val="008D3029"/>
    <w:rsid w:val="008D41A2"/>
    <w:rsid w:val="008D49F2"/>
    <w:rsid w:val="008D4A7C"/>
    <w:rsid w:val="008D5FE5"/>
    <w:rsid w:val="008D608C"/>
    <w:rsid w:val="008D6495"/>
    <w:rsid w:val="008D6FD6"/>
    <w:rsid w:val="008D744B"/>
    <w:rsid w:val="008E0263"/>
    <w:rsid w:val="008E1240"/>
    <w:rsid w:val="008E1602"/>
    <w:rsid w:val="008E2DFD"/>
    <w:rsid w:val="008E3204"/>
    <w:rsid w:val="008E6313"/>
    <w:rsid w:val="008F0D9C"/>
    <w:rsid w:val="008F1184"/>
    <w:rsid w:val="008F1A4A"/>
    <w:rsid w:val="008F25BE"/>
    <w:rsid w:val="008F2869"/>
    <w:rsid w:val="008F5104"/>
    <w:rsid w:val="008F5CB4"/>
    <w:rsid w:val="008F68D3"/>
    <w:rsid w:val="008F6908"/>
    <w:rsid w:val="008F71DD"/>
    <w:rsid w:val="008F739E"/>
    <w:rsid w:val="0090004A"/>
    <w:rsid w:val="00900525"/>
    <w:rsid w:val="00900FE0"/>
    <w:rsid w:val="009020E9"/>
    <w:rsid w:val="0090295F"/>
    <w:rsid w:val="009041C1"/>
    <w:rsid w:val="00904DBF"/>
    <w:rsid w:val="0090584E"/>
    <w:rsid w:val="0090593F"/>
    <w:rsid w:val="009072AB"/>
    <w:rsid w:val="00907A22"/>
    <w:rsid w:val="00907FC8"/>
    <w:rsid w:val="0091066F"/>
    <w:rsid w:val="00910BEB"/>
    <w:rsid w:val="00912286"/>
    <w:rsid w:val="009126FB"/>
    <w:rsid w:val="009130E1"/>
    <w:rsid w:val="009144C0"/>
    <w:rsid w:val="00914782"/>
    <w:rsid w:val="00914918"/>
    <w:rsid w:val="00915F35"/>
    <w:rsid w:val="00916179"/>
    <w:rsid w:val="00917280"/>
    <w:rsid w:val="009177A2"/>
    <w:rsid w:val="00917A60"/>
    <w:rsid w:val="00920364"/>
    <w:rsid w:val="00920E84"/>
    <w:rsid w:val="00921334"/>
    <w:rsid w:val="009226F7"/>
    <w:rsid w:val="009241B0"/>
    <w:rsid w:val="0092447E"/>
    <w:rsid w:val="00925BB3"/>
    <w:rsid w:val="00925BF2"/>
    <w:rsid w:val="009265A4"/>
    <w:rsid w:val="00930AF4"/>
    <w:rsid w:val="00930DAA"/>
    <w:rsid w:val="00931E7A"/>
    <w:rsid w:val="0093267C"/>
    <w:rsid w:val="00932695"/>
    <w:rsid w:val="009327CB"/>
    <w:rsid w:val="0093287F"/>
    <w:rsid w:val="0093290A"/>
    <w:rsid w:val="0093312F"/>
    <w:rsid w:val="00933269"/>
    <w:rsid w:val="00933867"/>
    <w:rsid w:val="00933C49"/>
    <w:rsid w:val="00933F69"/>
    <w:rsid w:val="009349E8"/>
    <w:rsid w:val="009351E7"/>
    <w:rsid w:val="009356D2"/>
    <w:rsid w:val="009365E6"/>
    <w:rsid w:val="009370CD"/>
    <w:rsid w:val="0093786C"/>
    <w:rsid w:val="00937EC8"/>
    <w:rsid w:val="00937F87"/>
    <w:rsid w:val="00941474"/>
    <w:rsid w:val="00942397"/>
    <w:rsid w:val="00942478"/>
    <w:rsid w:val="00942C1E"/>
    <w:rsid w:val="00942C45"/>
    <w:rsid w:val="00943CC2"/>
    <w:rsid w:val="00943D1F"/>
    <w:rsid w:val="00943F09"/>
    <w:rsid w:val="00944474"/>
    <w:rsid w:val="009448F4"/>
    <w:rsid w:val="00944E36"/>
    <w:rsid w:val="00945601"/>
    <w:rsid w:val="00946079"/>
    <w:rsid w:val="009461F6"/>
    <w:rsid w:val="009463FC"/>
    <w:rsid w:val="009465EC"/>
    <w:rsid w:val="009466D8"/>
    <w:rsid w:val="0094688A"/>
    <w:rsid w:val="009474FE"/>
    <w:rsid w:val="009475CD"/>
    <w:rsid w:val="00947C47"/>
    <w:rsid w:val="00950965"/>
    <w:rsid w:val="00951338"/>
    <w:rsid w:val="00951564"/>
    <w:rsid w:val="00951D6A"/>
    <w:rsid w:val="0095201B"/>
    <w:rsid w:val="00952932"/>
    <w:rsid w:val="00952E95"/>
    <w:rsid w:val="00952EF4"/>
    <w:rsid w:val="0095388A"/>
    <w:rsid w:val="00954758"/>
    <w:rsid w:val="00955098"/>
    <w:rsid w:val="0095596E"/>
    <w:rsid w:val="00955F37"/>
    <w:rsid w:val="00956B5F"/>
    <w:rsid w:val="009578C8"/>
    <w:rsid w:val="00957FF5"/>
    <w:rsid w:val="009605DB"/>
    <w:rsid w:val="009605EA"/>
    <w:rsid w:val="00960903"/>
    <w:rsid w:val="00960C7A"/>
    <w:rsid w:val="00960E13"/>
    <w:rsid w:val="00961121"/>
    <w:rsid w:val="009614F9"/>
    <w:rsid w:val="0096312C"/>
    <w:rsid w:val="009638B3"/>
    <w:rsid w:val="00964311"/>
    <w:rsid w:val="0096465D"/>
    <w:rsid w:val="00965773"/>
    <w:rsid w:val="00965B22"/>
    <w:rsid w:val="0096616A"/>
    <w:rsid w:val="009661A0"/>
    <w:rsid w:val="00966204"/>
    <w:rsid w:val="009666FF"/>
    <w:rsid w:val="00966F6B"/>
    <w:rsid w:val="0096722A"/>
    <w:rsid w:val="0096780F"/>
    <w:rsid w:val="00967E7B"/>
    <w:rsid w:val="00971A15"/>
    <w:rsid w:val="00971D2B"/>
    <w:rsid w:val="00971DF1"/>
    <w:rsid w:val="00971E70"/>
    <w:rsid w:val="00972EE7"/>
    <w:rsid w:val="00973045"/>
    <w:rsid w:val="0097481D"/>
    <w:rsid w:val="00974E5E"/>
    <w:rsid w:val="00974FE8"/>
    <w:rsid w:val="009750F9"/>
    <w:rsid w:val="009751DE"/>
    <w:rsid w:val="0097684A"/>
    <w:rsid w:val="009770A3"/>
    <w:rsid w:val="009779A5"/>
    <w:rsid w:val="00977A21"/>
    <w:rsid w:val="00977E97"/>
    <w:rsid w:val="00977F58"/>
    <w:rsid w:val="009808F6"/>
    <w:rsid w:val="00981908"/>
    <w:rsid w:val="00982F57"/>
    <w:rsid w:val="00983DFC"/>
    <w:rsid w:val="00983FBC"/>
    <w:rsid w:val="009841FD"/>
    <w:rsid w:val="00984792"/>
    <w:rsid w:val="00985C6A"/>
    <w:rsid w:val="009861B2"/>
    <w:rsid w:val="0098639D"/>
    <w:rsid w:val="009865DE"/>
    <w:rsid w:val="009879D0"/>
    <w:rsid w:val="00990E40"/>
    <w:rsid w:val="0099272A"/>
    <w:rsid w:val="00992C1D"/>
    <w:rsid w:val="00992E6D"/>
    <w:rsid w:val="009945FD"/>
    <w:rsid w:val="00994B99"/>
    <w:rsid w:val="00994D68"/>
    <w:rsid w:val="00994E08"/>
    <w:rsid w:val="00995F6B"/>
    <w:rsid w:val="00996792"/>
    <w:rsid w:val="009967A8"/>
    <w:rsid w:val="0099703C"/>
    <w:rsid w:val="00997A94"/>
    <w:rsid w:val="00997F4A"/>
    <w:rsid w:val="009A0B23"/>
    <w:rsid w:val="009A0F02"/>
    <w:rsid w:val="009A1B6F"/>
    <w:rsid w:val="009A1E4F"/>
    <w:rsid w:val="009A214E"/>
    <w:rsid w:val="009A27AE"/>
    <w:rsid w:val="009A3968"/>
    <w:rsid w:val="009A39BE"/>
    <w:rsid w:val="009A472A"/>
    <w:rsid w:val="009A5728"/>
    <w:rsid w:val="009A58DF"/>
    <w:rsid w:val="009A604D"/>
    <w:rsid w:val="009A6B6D"/>
    <w:rsid w:val="009A7F5A"/>
    <w:rsid w:val="009B0509"/>
    <w:rsid w:val="009B09E2"/>
    <w:rsid w:val="009B1068"/>
    <w:rsid w:val="009B1474"/>
    <w:rsid w:val="009B34A1"/>
    <w:rsid w:val="009B4472"/>
    <w:rsid w:val="009B5100"/>
    <w:rsid w:val="009B5778"/>
    <w:rsid w:val="009B5C4E"/>
    <w:rsid w:val="009B5F28"/>
    <w:rsid w:val="009B62B0"/>
    <w:rsid w:val="009B6318"/>
    <w:rsid w:val="009B68E4"/>
    <w:rsid w:val="009B7741"/>
    <w:rsid w:val="009B7868"/>
    <w:rsid w:val="009B7E44"/>
    <w:rsid w:val="009C0484"/>
    <w:rsid w:val="009C0922"/>
    <w:rsid w:val="009C128A"/>
    <w:rsid w:val="009C19A6"/>
    <w:rsid w:val="009C1CBE"/>
    <w:rsid w:val="009C244D"/>
    <w:rsid w:val="009C27E4"/>
    <w:rsid w:val="009C39B8"/>
    <w:rsid w:val="009C3B63"/>
    <w:rsid w:val="009C40A3"/>
    <w:rsid w:val="009C4260"/>
    <w:rsid w:val="009C48F2"/>
    <w:rsid w:val="009C549C"/>
    <w:rsid w:val="009C6179"/>
    <w:rsid w:val="009C7F27"/>
    <w:rsid w:val="009D04FF"/>
    <w:rsid w:val="009D064B"/>
    <w:rsid w:val="009D1AF7"/>
    <w:rsid w:val="009D43F7"/>
    <w:rsid w:val="009D4BA3"/>
    <w:rsid w:val="009D50E7"/>
    <w:rsid w:val="009D5FE7"/>
    <w:rsid w:val="009D6152"/>
    <w:rsid w:val="009D6ABA"/>
    <w:rsid w:val="009D6C76"/>
    <w:rsid w:val="009D6F38"/>
    <w:rsid w:val="009D71B4"/>
    <w:rsid w:val="009D7310"/>
    <w:rsid w:val="009D7EB3"/>
    <w:rsid w:val="009E041C"/>
    <w:rsid w:val="009E07A4"/>
    <w:rsid w:val="009E0D35"/>
    <w:rsid w:val="009E11C4"/>
    <w:rsid w:val="009E17EF"/>
    <w:rsid w:val="009E26D7"/>
    <w:rsid w:val="009E3CFE"/>
    <w:rsid w:val="009E3E3A"/>
    <w:rsid w:val="009E5BF4"/>
    <w:rsid w:val="009E67B4"/>
    <w:rsid w:val="009E6C0D"/>
    <w:rsid w:val="009E6EAE"/>
    <w:rsid w:val="009E789E"/>
    <w:rsid w:val="009E7933"/>
    <w:rsid w:val="009E7C3F"/>
    <w:rsid w:val="009E7CC0"/>
    <w:rsid w:val="009F0DB3"/>
    <w:rsid w:val="009F1B88"/>
    <w:rsid w:val="009F1C9B"/>
    <w:rsid w:val="009F1FDE"/>
    <w:rsid w:val="009F286C"/>
    <w:rsid w:val="009F5464"/>
    <w:rsid w:val="009F753F"/>
    <w:rsid w:val="009F7864"/>
    <w:rsid w:val="00A013AC"/>
    <w:rsid w:val="00A02109"/>
    <w:rsid w:val="00A036FF"/>
    <w:rsid w:val="00A0452B"/>
    <w:rsid w:val="00A0513C"/>
    <w:rsid w:val="00A051DD"/>
    <w:rsid w:val="00A060D3"/>
    <w:rsid w:val="00A060D7"/>
    <w:rsid w:val="00A0699E"/>
    <w:rsid w:val="00A06D14"/>
    <w:rsid w:val="00A07018"/>
    <w:rsid w:val="00A077CF"/>
    <w:rsid w:val="00A10702"/>
    <w:rsid w:val="00A1185C"/>
    <w:rsid w:val="00A12886"/>
    <w:rsid w:val="00A12D3A"/>
    <w:rsid w:val="00A12E9B"/>
    <w:rsid w:val="00A13530"/>
    <w:rsid w:val="00A1374F"/>
    <w:rsid w:val="00A145D0"/>
    <w:rsid w:val="00A1571F"/>
    <w:rsid w:val="00A15D8A"/>
    <w:rsid w:val="00A1677B"/>
    <w:rsid w:val="00A20009"/>
    <w:rsid w:val="00A20D7A"/>
    <w:rsid w:val="00A20FF6"/>
    <w:rsid w:val="00A21EFE"/>
    <w:rsid w:val="00A22853"/>
    <w:rsid w:val="00A23822"/>
    <w:rsid w:val="00A243B2"/>
    <w:rsid w:val="00A24A59"/>
    <w:rsid w:val="00A25096"/>
    <w:rsid w:val="00A255FF"/>
    <w:rsid w:val="00A25BEB"/>
    <w:rsid w:val="00A27ADE"/>
    <w:rsid w:val="00A27C1B"/>
    <w:rsid w:val="00A27E75"/>
    <w:rsid w:val="00A30023"/>
    <w:rsid w:val="00A30C4D"/>
    <w:rsid w:val="00A3213B"/>
    <w:rsid w:val="00A321F1"/>
    <w:rsid w:val="00A33A9A"/>
    <w:rsid w:val="00A347CF"/>
    <w:rsid w:val="00A35421"/>
    <w:rsid w:val="00A35614"/>
    <w:rsid w:val="00A3674A"/>
    <w:rsid w:val="00A36AA3"/>
    <w:rsid w:val="00A36AFF"/>
    <w:rsid w:val="00A36F15"/>
    <w:rsid w:val="00A37D41"/>
    <w:rsid w:val="00A40046"/>
    <w:rsid w:val="00A4204D"/>
    <w:rsid w:val="00A42083"/>
    <w:rsid w:val="00A438A9"/>
    <w:rsid w:val="00A43B29"/>
    <w:rsid w:val="00A440C9"/>
    <w:rsid w:val="00A44797"/>
    <w:rsid w:val="00A44841"/>
    <w:rsid w:val="00A46DDD"/>
    <w:rsid w:val="00A4746C"/>
    <w:rsid w:val="00A50808"/>
    <w:rsid w:val="00A55BAA"/>
    <w:rsid w:val="00A55BD0"/>
    <w:rsid w:val="00A565DC"/>
    <w:rsid w:val="00A57EC2"/>
    <w:rsid w:val="00A57F09"/>
    <w:rsid w:val="00A600CB"/>
    <w:rsid w:val="00A603C6"/>
    <w:rsid w:val="00A604C1"/>
    <w:rsid w:val="00A60884"/>
    <w:rsid w:val="00A60FD5"/>
    <w:rsid w:val="00A61680"/>
    <w:rsid w:val="00A616C3"/>
    <w:rsid w:val="00A621BD"/>
    <w:rsid w:val="00A627D6"/>
    <w:rsid w:val="00A62C03"/>
    <w:rsid w:val="00A63217"/>
    <w:rsid w:val="00A639D4"/>
    <w:rsid w:val="00A65B40"/>
    <w:rsid w:val="00A65D77"/>
    <w:rsid w:val="00A66AF4"/>
    <w:rsid w:val="00A67FB2"/>
    <w:rsid w:val="00A700CE"/>
    <w:rsid w:val="00A70F39"/>
    <w:rsid w:val="00A71A5C"/>
    <w:rsid w:val="00A71B12"/>
    <w:rsid w:val="00A72060"/>
    <w:rsid w:val="00A72619"/>
    <w:rsid w:val="00A73378"/>
    <w:rsid w:val="00A74133"/>
    <w:rsid w:val="00A74A8D"/>
    <w:rsid w:val="00A74EB3"/>
    <w:rsid w:val="00A754B1"/>
    <w:rsid w:val="00A754C8"/>
    <w:rsid w:val="00A7567F"/>
    <w:rsid w:val="00A75BD1"/>
    <w:rsid w:val="00A761E3"/>
    <w:rsid w:val="00A76DFE"/>
    <w:rsid w:val="00A77130"/>
    <w:rsid w:val="00A7723A"/>
    <w:rsid w:val="00A77243"/>
    <w:rsid w:val="00A778D5"/>
    <w:rsid w:val="00A82E83"/>
    <w:rsid w:val="00A83B6C"/>
    <w:rsid w:val="00A83C70"/>
    <w:rsid w:val="00A83E63"/>
    <w:rsid w:val="00A84655"/>
    <w:rsid w:val="00A84C85"/>
    <w:rsid w:val="00A85610"/>
    <w:rsid w:val="00A85763"/>
    <w:rsid w:val="00A8589F"/>
    <w:rsid w:val="00A85D27"/>
    <w:rsid w:val="00A86A21"/>
    <w:rsid w:val="00A86B22"/>
    <w:rsid w:val="00A87C4F"/>
    <w:rsid w:val="00A87F02"/>
    <w:rsid w:val="00A90939"/>
    <w:rsid w:val="00A909E0"/>
    <w:rsid w:val="00A90C16"/>
    <w:rsid w:val="00A92099"/>
    <w:rsid w:val="00A9262C"/>
    <w:rsid w:val="00A92E21"/>
    <w:rsid w:val="00A92E86"/>
    <w:rsid w:val="00A932C0"/>
    <w:rsid w:val="00A9386C"/>
    <w:rsid w:val="00A93D18"/>
    <w:rsid w:val="00A9423A"/>
    <w:rsid w:val="00A943DB"/>
    <w:rsid w:val="00A94E45"/>
    <w:rsid w:val="00A950D8"/>
    <w:rsid w:val="00A9553B"/>
    <w:rsid w:val="00A96252"/>
    <w:rsid w:val="00A9641D"/>
    <w:rsid w:val="00A96744"/>
    <w:rsid w:val="00A97887"/>
    <w:rsid w:val="00AA0B4A"/>
    <w:rsid w:val="00AA2D3F"/>
    <w:rsid w:val="00AA37A8"/>
    <w:rsid w:val="00AA4227"/>
    <w:rsid w:val="00AA49D5"/>
    <w:rsid w:val="00AA5D5A"/>
    <w:rsid w:val="00AA676A"/>
    <w:rsid w:val="00AA6D40"/>
    <w:rsid w:val="00AA75D5"/>
    <w:rsid w:val="00AA778E"/>
    <w:rsid w:val="00AA7C5A"/>
    <w:rsid w:val="00AA7E68"/>
    <w:rsid w:val="00AB0B28"/>
    <w:rsid w:val="00AB0E36"/>
    <w:rsid w:val="00AB1020"/>
    <w:rsid w:val="00AB1329"/>
    <w:rsid w:val="00AB1FA6"/>
    <w:rsid w:val="00AB2B27"/>
    <w:rsid w:val="00AB352F"/>
    <w:rsid w:val="00AB4653"/>
    <w:rsid w:val="00AB5028"/>
    <w:rsid w:val="00AB6008"/>
    <w:rsid w:val="00AB6635"/>
    <w:rsid w:val="00AB6965"/>
    <w:rsid w:val="00AB77D7"/>
    <w:rsid w:val="00AB7D48"/>
    <w:rsid w:val="00AB7E72"/>
    <w:rsid w:val="00AC1443"/>
    <w:rsid w:val="00AC157C"/>
    <w:rsid w:val="00AC1A5B"/>
    <w:rsid w:val="00AC1F47"/>
    <w:rsid w:val="00AC2A77"/>
    <w:rsid w:val="00AC353D"/>
    <w:rsid w:val="00AC5C0D"/>
    <w:rsid w:val="00AC71C0"/>
    <w:rsid w:val="00AC72C7"/>
    <w:rsid w:val="00AC7CF7"/>
    <w:rsid w:val="00AD1AAC"/>
    <w:rsid w:val="00AD2691"/>
    <w:rsid w:val="00AD4845"/>
    <w:rsid w:val="00AD4D4B"/>
    <w:rsid w:val="00AD4E6D"/>
    <w:rsid w:val="00AD5428"/>
    <w:rsid w:val="00AD5CA9"/>
    <w:rsid w:val="00AD696A"/>
    <w:rsid w:val="00AD7CFD"/>
    <w:rsid w:val="00AE0926"/>
    <w:rsid w:val="00AE1496"/>
    <w:rsid w:val="00AE2278"/>
    <w:rsid w:val="00AE3B2C"/>
    <w:rsid w:val="00AE40BA"/>
    <w:rsid w:val="00AE40D6"/>
    <w:rsid w:val="00AE4473"/>
    <w:rsid w:val="00AE4993"/>
    <w:rsid w:val="00AE4A88"/>
    <w:rsid w:val="00AE551E"/>
    <w:rsid w:val="00AE55A7"/>
    <w:rsid w:val="00AE6035"/>
    <w:rsid w:val="00AE620E"/>
    <w:rsid w:val="00AE6EC8"/>
    <w:rsid w:val="00AE7399"/>
    <w:rsid w:val="00AE7C03"/>
    <w:rsid w:val="00AF0861"/>
    <w:rsid w:val="00AF08E1"/>
    <w:rsid w:val="00AF0C2B"/>
    <w:rsid w:val="00AF1620"/>
    <w:rsid w:val="00AF1803"/>
    <w:rsid w:val="00AF1B41"/>
    <w:rsid w:val="00AF42B4"/>
    <w:rsid w:val="00AF44DA"/>
    <w:rsid w:val="00AF4CEC"/>
    <w:rsid w:val="00AF502E"/>
    <w:rsid w:val="00AF50F4"/>
    <w:rsid w:val="00AF55E3"/>
    <w:rsid w:val="00AF6000"/>
    <w:rsid w:val="00AF6CB3"/>
    <w:rsid w:val="00AF701F"/>
    <w:rsid w:val="00AF7845"/>
    <w:rsid w:val="00AF7919"/>
    <w:rsid w:val="00AF7C79"/>
    <w:rsid w:val="00AF7DDB"/>
    <w:rsid w:val="00AF7F8C"/>
    <w:rsid w:val="00B003EB"/>
    <w:rsid w:val="00B00E00"/>
    <w:rsid w:val="00B011EC"/>
    <w:rsid w:val="00B02228"/>
    <w:rsid w:val="00B0378C"/>
    <w:rsid w:val="00B0388F"/>
    <w:rsid w:val="00B04112"/>
    <w:rsid w:val="00B045DF"/>
    <w:rsid w:val="00B0492C"/>
    <w:rsid w:val="00B04BDD"/>
    <w:rsid w:val="00B05D39"/>
    <w:rsid w:val="00B065B6"/>
    <w:rsid w:val="00B067F8"/>
    <w:rsid w:val="00B113E2"/>
    <w:rsid w:val="00B12480"/>
    <w:rsid w:val="00B129DE"/>
    <w:rsid w:val="00B1374D"/>
    <w:rsid w:val="00B138E3"/>
    <w:rsid w:val="00B13E0E"/>
    <w:rsid w:val="00B14036"/>
    <w:rsid w:val="00B14205"/>
    <w:rsid w:val="00B14884"/>
    <w:rsid w:val="00B15429"/>
    <w:rsid w:val="00B155F2"/>
    <w:rsid w:val="00B1560A"/>
    <w:rsid w:val="00B15654"/>
    <w:rsid w:val="00B1589A"/>
    <w:rsid w:val="00B15B0B"/>
    <w:rsid w:val="00B1638C"/>
    <w:rsid w:val="00B172A6"/>
    <w:rsid w:val="00B17FFC"/>
    <w:rsid w:val="00B209A0"/>
    <w:rsid w:val="00B20A70"/>
    <w:rsid w:val="00B2163D"/>
    <w:rsid w:val="00B216C7"/>
    <w:rsid w:val="00B21726"/>
    <w:rsid w:val="00B22140"/>
    <w:rsid w:val="00B2225B"/>
    <w:rsid w:val="00B231F5"/>
    <w:rsid w:val="00B245A4"/>
    <w:rsid w:val="00B24A7F"/>
    <w:rsid w:val="00B24D10"/>
    <w:rsid w:val="00B252CF"/>
    <w:rsid w:val="00B26DF8"/>
    <w:rsid w:val="00B2759C"/>
    <w:rsid w:val="00B31214"/>
    <w:rsid w:val="00B31ADB"/>
    <w:rsid w:val="00B3378D"/>
    <w:rsid w:val="00B351A0"/>
    <w:rsid w:val="00B352E1"/>
    <w:rsid w:val="00B358AF"/>
    <w:rsid w:val="00B369D2"/>
    <w:rsid w:val="00B401B5"/>
    <w:rsid w:val="00B41958"/>
    <w:rsid w:val="00B41EC6"/>
    <w:rsid w:val="00B41F6B"/>
    <w:rsid w:val="00B425C0"/>
    <w:rsid w:val="00B4396C"/>
    <w:rsid w:val="00B439B3"/>
    <w:rsid w:val="00B43DAC"/>
    <w:rsid w:val="00B44140"/>
    <w:rsid w:val="00B44450"/>
    <w:rsid w:val="00B46461"/>
    <w:rsid w:val="00B46F46"/>
    <w:rsid w:val="00B474CE"/>
    <w:rsid w:val="00B475C5"/>
    <w:rsid w:val="00B50DAE"/>
    <w:rsid w:val="00B53DF4"/>
    <w:rsid w:val="00B54EF7"/>
    <w:rsid w:val="00B55075"/>
    <w:rsid w:val="00B559CF"/>
    <w:rsid w:val="00B5653B"/>
    <w:rsid w:val="00B56591"/>
    <w:rsid w:val="00B57589"/>
    <w:rsid w:val="00B5760C"/>
    <w:rsid w:val="00B5772C"/>
    <w:rsid w:val="00B57994"/>
    <w:rsid w:val="00B604F7"/>
    <w:rsid w:val="00B60C78"/>
    <w:rsid w:val="00B60CE5"/>
    <w:rsid w:val="00B60ED6"/>
    <w:rsid w:val="00B62019"/>
    <w:rsid w:val="00B624F3"/>
    <w:rsid w:val="00B62E55"/>
    <w:rsid w:val="00B62FA3"/>
    <w:rsid w:val="00B631A9"/>
    <w:rsid w:val="00B632CF"/>
    <w:rsid w:val="00B6348E"/>
    <w:rsid w:val="00B63729"/>
    <w:rsid w:val="00B6391A"/>
    <w:rsid w:val="00B65020"/>
    <w:rsid w:val="00B65F6B"/>
    <w:rsid w:val="00B6615B"/>
    <w:rsid w:val="00B672DE"/>
    <w:rsid w:val="00B67611"/>
    <w:rsid w:val="00B67936"/>
    <w:rsid w:val="00B67D2A"/>
    <w:rsid w:val="00B7029D"/>
    <w:rsid w:val="00B70D46"/>
    <w:rsid w:val="00B7113F"/>
    <w:rsid w:val="00B71989"/>
    <w:rsid w:val="00B71E58"/>
    <w:rsid w:val="00B724D8"/>
    <w:rsid w:val="00B726FE"/>
    <w:rsid w:val="00B73A78"/>
    <w:rsid w:val="00B73AB7"/>
    <w:rsid w:val="00B74080"/>
    <w:rsid w:val="00B749A7"/>
    <w:rsid w:val="00B74C92"/>
    <w:rsid w:val="00B7783B"/>
    <w:rsid w:val="00B801FA"/>
    <w:rsid w:val="00B80D30"/>
    <w:rsid w:val="00B81FA9"/>
    <w:rsid w:val="00B82CBB"/>
    <w:rsid w:val="00B82DE0"/>
    <w:rsid w:val="00B83029"/>
    <w:rsid w:val="00B843B3"/>
    <w:rsid w:val="00B8474C"/>
    <w:rsid w:val="00B850D0"/>
    <w:rsid w:val="00B855B1"/>
    <w:rsid w:val="00B86082"/>
    <w:rsid w:val="00B87C28"/>
    <w:rsid w:val="00B90C86"/>
    <w:rsid w:val="00B913FD"/>
    <w:rsid w:val="00B9193E"/>
    <w:rsid w:val="00B922B6"/>
    <w:rsid w:val="00B92305"/>
    <w:rsid w:val="00B936F4"/>
    <w:rsid w:val="00B943AA"/>
    <w:rsid w:val="00B944FC"/>
    <w:rsid w:val="00B95027"/>
    <w:rsid w:val="00B95205"/>
    <w:rsid w:val="00B95438"/>
    <w:rsid w:val="00B954F7"/>
    <w:rsid w:val="00B956B9"/>
    <w:rsid w:val="00B96A46"/>
    <w:rsid w:val="00B97D05"/>
    <w:rsid w:val="00B97D50"/>
    <w:rsid w:val="00BA0461"/>
    <w:rsid w:val="00BA0A63"/>
    <w:rsid w:val="00BA1E68"/>
    <w:rsid w:val="00BA2817"/>
    <w:rsid w:val="00BA3481"/>
    <w:rsid w:val="00BA356C"/>
    <w:rsid w:val="00BA369B"/>
    <w:rsid w:val="00BA3832"/>
    <w:rsid w:val="00BA5315"/>
    <w:rsid w:val="00BA62BA"/>
    <w:rsid w:val="00BA66E2"/>
    <w:rsid w:val="00BA6781"/>
    <w:rsid w:val="00BA6FE1"/>
    <w:rsid w:val="00BB07DF"/>
    <w:rsid w:val="00BB14E1"/>
    <w:rsid w:val="00BB150F"/>
    <w:rsid w:val="00BB1A76"/>
    <w:rsid w:val="00BB208D"/>
    <w:rsid w:val="00BB2397"/>
    <w:rsid w:val="00BB3CD1"/>
    <w:rsid w:val="00BB3DD2"/>
    <w:rsid w:val="00BB3E7E"/>
    <w:rsid w:val="00BB47AA"/>
    <w:rsid w:val="00BB5415"/>
    <w:rsid w:val="00BB58ED"/>
    <w:rsid w:val="00BB6113"/>
    <w:rsid w:val="00BB6E54"/>
    <w:rsid w:val="00BB6EA2"/>
    <w:rsid w:val="00BB7D32"/>
    <w:rsid w:val="00BB7F12"/>
    <w:rsid w:val="00BC04C2"/>
    <w:rsid w:val="00BC09BC"/>
    <w:rsid w:val="00BC0B99"/>
    <w:rsid w:val="00BC1134"/>
    <w:rsid w:val="00BC1E1D"/>
    <w:rsid w:val="00BC383B"/>
    <w:rsid w:val="00BC38CF"/>
    <w:rsid w:val="00BC4266"/>
    <w:rsid w:val="00BC48F1"/>
    <w:rsid w:val="00BC5759"/>
    <w:rsid w:val="00BC6013"/>
    <w:rsid w:val="00BC6048"/>
    <w:rsid w:val="00BC6840"/>
    <w:rsid w:val="00BC7BCA"/>
    <w:rsid w:val="00BC7D1B"/>
    <w:rsid w:val="00BD06EE"/>
    <w:rsid w:val="00BD0996"/>
    <w:rsid w:val="00BD0F4F"/>
    <w:rsid w:val="00BD153F"/>
    <w:rsid w:val="00BD241C"/>
    <w:rsid w:val="00BD3EDB"/>
    <w:rsid w:val="00BD55E8"/>
    <w:rsid w:val="00BD5A7E"/>
    <w:rsid w:val="00BD5BFC"/>
    <w:rsid w:val="00BD5CC5"/>
    <w:rsid w:val="00BD6020"/>
    <w:rsid w:val="00BD7201"/>
    <w:rsid w:val="00BD7205"/>
    <w:rsid w:val="00BD73ED"/>
    <w:rsid w:val="00BD7857"/>
    <w:rsid w:val="00BD7858"/>
    <w:rsid w:val="00BE0037"/>
    <w:rsid w:val="00BE00FA"/>
    <w:rsid w:val="00BE11DE"/>
    <w:rsid w:val="00BE1FB8"/>
    <w:rsid w:val="00BE2796"/>
    <w:rsid w:val="00BE2E9D"/>
    <w:rsid w:val="00BE33F8"/>
    <w:rsid w:val="00BE3542"/>
    <w:rsid w:val="00BE370E"/>
    <w:rsid w:val="00BE3717"/>
    <w:rsid w:val="00BE3807"/>
    <w:rsid w:val="00BE3F84"/>
    <w:rsid w:val="00BE532D"/>
    <w:rsid w:val="00BE55E6"/>
    <w:rsid w:val="00BE5B3B"/>
    <w:rsid w:val="00BE74C1"/>
    <w:rsid w:val="00BF1C97"/>
    <w:rsid w:val="00BF251E"/>
    <w:rsid w:val="00BF2A79"/>
    <w:rsid w:val="00BF2FF1"/>
    <w:rsid w:val="00BF385D"/>
    <w:rsid w:val="00BF54DC"/>
    <w:rsid w:val="00BF5BF6"/>
    <w:rsid w:val="00BF5D48"/>
    <w:rsid w:val="00BF6248"/>
    <w:rsid w:val="00BF6AA3"/>
    <w:rsid w:val="00BF6CCA"/>
    <w:rsid w:val="00BF7451"/>
    <w:rsid w:val="00BF7E6B"/>
    <w:rsid w:val="00BF7F76"/>
    <w:rsid w:val="00C003E3"/>
    <w:rsid w:val="00C00580"/>
    <w:rsid w:val="00C00679"/>
    <w:rsid w:val="00C015DD"/>
    <w:rsid w:val="00C01DD1"/>
    <w:rsid w:val="00C0212A"/>
    <w:rsid w:val="00C02386"/>
    <w:rsid w:val="00C026B8"/>
    <w:rsid w:val="00C04FCC"/>
    <w:rsid w:val="00C0507D"/>
    <w:rsid w:val="00C0509B"/>
    <w:rsid w:val="00C05AE4"/>
    <w:rsid w:val="00C067F6"/>
    <w:rsid w:val="00C07734"/>
    <w:rsid w:val="00C0773A"/>
    <w:rsid w:val="00C07B71"/>
    <w:rsid w:val="00C07E06"/>
    <w:rsid w:val="00C11EE9"/>
    <w:rsid w:val="00C1214A"/>
    <w:rsid w:val="00C13690"/>
    <w:rsid w:val="00C13813"/>
    <w:rsid w:val="00C1450D"/>
    <w:rsid w:val="00C14D32"/>
    <w:rsid w:val="00C153E4"/>
    <w:rsid w:val="00C15451"/>
    <w:rsid w:val="00C15ED5"/>
    <w:rsid w:val="00C17726"/>
    <w:rsid w:val="00C2042A"/>
    <w:rsid w:val="00C20B5F"/>
    <w:rsid w:val="00C2120A"/>
    <w:rsid w:val="00C220D3"/>
    <w:rsid w:val="00C224A6"/>
    <w:rsid w:val="00C22609"/>
    <w:rsid w:val="00C24459"/>
    <w:rsid w:val="00C244CD"/>
    <w:rsid w:val="00C2497E"/>
    <w:rsid w:val="00C24BEE"/>
    <w:rsid w:val="00C25BD8"/>
    <w:rsid w:val="00C263E9"/>
    <w:rsid w:val="00C27149"/>
    <w:rsid w:val="00C275E8"/>
    <w:rsid w:val="00C31B15"/>
    <w:rsid w:val="00C338B4"/>
    <w:rsid w:val="00C339C2"/>
    <w:rsid w:val="00C3463A"/>
    <w:rsid w:val="00C34C1B"/>
    <w:rsid w:val="00C34FB6"/>
    <w:rsid w:val="00C35D7F"/>
    <w:rsid w:val="00C363A5"/>
    <w:rsid w:val="00C3712E"/>
    <w:rsid w:val="00C3788F"/>
    <w:rsid w:val="00C37ADC"/>
    <w:rsid w:val="00C37EB0"/>
    <w:rsid w:val="00C40711"/>
    <w:rsid w:val="00C40F5A"/>
    <w:rsid w:val="00C412C0"/>
    <w:rsid w:val="00C41531"/>
    <w:rsid w:val="00C42197"/>
    <w:rsid w:val="00C42BFD"/>
    <w:rsid w:val="00C434C0"/>
    <w:rsid w:val="00C4455F"/>
    <w:rsid w:val="00C44842"/>
    <w:rsid w:val="00C47780"/>
    <w:rsid w:val="00C4794F"/>
    <w:rsid w:val="00C47C91"/>
    <w:rsid w:val="00C50D33"/>
    <w:rsid w:val="00C51A9F"/>
    <w:rsid w:val="00C51DCD"/>
    <w:rsid w:val="00C52A3A"/>
    <w:rsid w:val="00C53785"/>
    <w:rsid w:val="00C53F8B"/>
    <w:rsid w:val="00C55070"/>
    <w:rsid w:val="00C55CB9"/>
    <w:rsid w:val="00C55E2C"/>
    <w:rsid w:val="00C56554"/>
    <w:rsid w:val="00C56C1C"/>
    <w:rsid w:val="00C56CC8"/>
    <w:rsid w:val="00C57113"/>
    <w:rsid w:val="00C57499"/>
    <w:rsid w:val="00C60165"/>
    <w:rsid w:val="00C60621"/>
    <w:rsid w:val="00C6098F"/>
    <w:rsid w:val="00C61AFD"/>
    <w:rsid w:val="00C620CF"/>
    <w:rsid w:val="00C62A99"/>
    <w:rsid w:val="00C62D64"/>
    <w:rsid w:val="00C638CE"/>
    <w:rsid w:val="00C6431B"/>
    <w:rsid w:val="00C64B59"/>
    <w:rsid w:val="00C659C8"/>
    <w:rsid w:val="00C65F02"/>
    <w:rsid w:val="00C65F9F"/>
    <w:rsid w:val="00C67B08"/>
    <w:rsid w:val="00C70188"/>
    <w:rsid w:val="00C705D2"/>
    <w:rsid w:val="00C70861"/>
    <w:rsid w:val="00C711E2"/>
    <w:rsid w:val="00C7239F"/>
    <w:rsid w:val="00C72E49"/>
    <w:rsid w:val="00C7347D"/>
    <w:rsid w:val="00C73BAD"/>
    <w:rsid w:val="00C74170"/>
    <w:rsid w:val="00C74172"/>
    <w:rsid w:val="00C7467D"/>
    <w:rsid w:val="00C75A3E"/>
    <w:rsid w:val="00C76298"/>
    <w:rsid w:val="00C77A0C"/>
    <w:rsid w:val="00C77F7D"/>
    <w:rsid w:val="00C80071"/>
    <w:rsid w:val="00C80FE3"/>
    <w:rsid w:val="00C8113F"/>
    <w:rsid w:val="00C8297C"/>
    <w:rsid w:val="00C831A3"/>
    <w:rsid w:val="00C83E34"/>
    <w:rsid w:val="00C8617C"/>
    <w:rsid w:val="00C8679C"/>
    <w:rsid w:val="00C8725D"/>
    <w:rsid w:val="00C87CD1"/>
    <w:rsid w:val="00C90721"/>
    <w:rsid w:val="00C91BB1"/>
    <w:rsid w:val="00C92672"/>
    <w:rsid w:val="00C933FD"/>
    <w:rsid w:val="00C9353E"/>
    <w:rsid w:val="00C94311"/>
    <w:rsid w:val="00C949F6"/>
    <w:rsid w:val="00C94E39"/>
    <w:rsid w:val="00C94F1F"/>
    <w:rsid w:val="00C95B9C"/>
    <w:rsid w:val="00C95E99"/>
    <w:rsid w:val="00C961A3"/>
    <w:rsid w:val="00C971A6"/>
    <w:rsid w:val="00C97366"/>
    <w:rsid w:val="00C97771"/>
    <w:rsid w:val="00C97C7E"/>
    <w:rsid w:val="00CA0164"/>
    <w:rsid w:val="00CA12AE"/>
    <w:rsid w:val="00CA12E2"/>
    <w:rsid w:val="00CA25DA"/>
    <w:rsid w:val="00CA2A4A"/>
    <w:rsid w:val="00CA2BE2"/>
    <w:rsid w:val="00CA2DC7"/>
    <w:rsid w:val="00CA363D"/>
    <w:rsid w:val="00CA6D6B"/>
    <w:rsid w:val="00CB003D"/>
    <w:rsid w:val="00CB0970"/>
    <w:rsid w:val="00CB17F2"/>
    <w:rsid w:val="00CB1A41"/>
    <w:rsid w:val="00CB1C2E"/>
    <w:rsid w:val="00CB1E5D"/>
    <w:rsid w:val="00CB20AF"/>
    <w:rsid w:val="00CB26D7"/>
    <w:rsid w:val="00CB2B4B"/>
    <w:rsid w:val="00CB2EF4"/>
    <w:rsid w:val="00CB318D"/>
    <w:rsid w:val="00CB411C"/>
    <w:rsid w:val="00CB4216"/>
    <w:rsid w:val="00CB4906"/>
    <w:rsid w:val="00CB4B46"/>
    <w:rsid w:val="00CB5568"/>
    <w:rsid w:val="00CB6840"/>
    <w:rsid w:val="00CB6CA4"/>
    <w:rsid w:val="00CB71A6"/>
    <w:rsid w:val="00CB78E5"/>
    <w:rsid w:val="00CB79F0"/>
    <w:rsid w:val="00CB7B0C"/>
    <w:rsid w:val="00CB7C96"/>
    <w:rsid w:val="00CB7CC4"/>
    <w:rsid w:val="00CC0947"/>
    <w:rsid w:val="00CC0DC7"/>
    <w:rsid w:val="00CC1F6C"/>
    <w:rsid w:val="00CC32AF"/>
    <w:rsid w:val="00CC4562"/>
    <w:rsid w:val="00CC4DFD"/>
    <w:rsid w:val="00CC5B54"/>
    <w:rsid w:val="00CC5BC2"/>
    <w:rsid w:val="00CC62B7"/>
    <w:rsid w:val="00CC6577"/>
    <w:rsid w:val="00CC6B7D"/>
    <w:rsid w:val="00CC6BC5"/>
    <w:rsid w:val="00CC6ED0"/>
    <w:rsid w:val="00CC7008"/>
    <w:rsid w:val="00CC7B52"/>
    <w:rsid w:val="00CD08CF"/>
    <w:rsid w:val="00CD0985"/>
    <w:rsid w:val="00CD2A65"/>
    <w:rsid w:val="00CD31C2"/>
    <w:rsid w:val="00CD3AE6"/>
    <w:rsid w:val="00CD4FBF"/>
    <w:rsid w:val="00CD6043"/>
    <w:rsid w:val="00CD6AF8"/>
    <w:rsid w:val="00CD76F5"/>
    <w:rsid w:val="00CD7755"/>
    <w:rsid w:val="00CD7D8A"/>
    <w:rsid w:val="00CE00F5"/>
    <w:rsid w:val="00CE0ABC"/>
    <w:rsid w:val="00CE0C5C"/>
    <w:rsid w:val="00CE108A"/>
    <w:rsid w:val="00CE2897"/>
    <w:rsid w:val="00CE326E"/>
    <w:rsid w:val="00CE37CF"/>
    <w:rsid w:val="00CE3A93"/>
    <w:rsid w:val="00CE3CF4"/>
    <w:rsid w:val="00CE5B19"/>
    <w:rsid w:val="00CE6365"/>
    <w:rsid w:val="00CE6AA1"/>
    <w:rsid w:val="00CE73E1"/>
    <w:rsid w:val="00CE7ACB"/>
    <w:rsid w:val="00CF0228"/>
    <w:rsid w:val="00CF06A1"/>
    <w:rsid w:val="00CF1237"/>
    <w:rsid w:val="00CF13B8"/>
    <w:rsid w:val="00CF1630"/>
    <w:rsid w:val="00CF1B72"/>
    <w:rsid w:val="00CF3570"/>
    <w:rsid w:val="00CF5F41"/>
    <w:rsid w:val="00CF6952"/>
    <w:rsid w:val="00CF790F"/>
    <w:rsid w:val="00CF7967"/>
    <w:rsid w:val="00CF7A6D"/>
    <w:rsid w:val="00D0073A"/>
    <w:rsid w:val="00D00AA6"/>
    <w:rsid w:val="00D0117D"/>
    <w:rsid w:val="00D01759"/>
    <w:rsid w:val="00D01B46"/>
    <w:rsid w:val="00D020C8"/>
    <w:rsid w:val="00D025D6"/>
    <w:rsid w:val="00D029EB"/>
    <w:rsid w:val="00D02BAF"/>
    <w:rsid w:val="00D02EE6"/>
    <w:rsid w:val="00D03099"/>
    <w:rsid w:val="00D032FB"/>
    <w:rsid w:val="00D045C4"/>
    <w:rsid w:val="00D04640"/>
    <w:rsid w:val="00D04886"/>
    <w:rsid w:val="00D048DE"/>
    <w:rsid w:val="00D0664F"/>
    <w:rsid w:val="00D06DC9"/>
    <w:rsid w:val="00D076C1"/>
    <w:rsid w:val="00D103B0"/>
    <w:rsid w:val="00D10884"/>
    <w:rsid w:val="00D10C1D"/>
    <w:rsid w:val="00D11F81"/>
    <w:rsid w:val="00D1266C"/>
    <w:rsid w:val="00D13E35"/>
    <w:rsid w:val="00D13EEB"/>
    <w:rsid w:val="00D140FE"/>
    <w:rsid w:val="00D14DD8"/>
    <w:rsid w:val="00D15564"/>
    <w:rsid w:val="00D158F1"/>
    <w:rsid w:val="00D167A0"/>
    <w:rsid w:val="00D16C1A"/>
    <w:rsid w:val="00D17572"/>
    <w:rsid w:val="00D17D0F"/>
    <w:rsid w:val="00D21395"/>
    <w:rsid w:val="00D216C0"/>
    <w:rsid w:val="00D21E8F"/>
    <w:rsid w:val="00D221D4"/>
    <w:rsid w:val="00D22772"/>
    <w:rsid w:val="00D24032"/>
    <w:rsid w:val="00D244A7"/>
    <w:rsid w:val="00D24666"/>
    <w:rsid w:val="00D24A5A"/>
    <w:rsid w:val="00D2538B"/>
    <w:rsid w:val="00D25565"/>
    <w:rsid w:val="00D25A63"/>
    <w:rsid w:val="00D25C99"/>
    <w:rsid w:val="00D264CE"/>
    <w:rsid w:val="00D27862"/>
    <w:rsid w:val="00D27982"/>
    <w:rsid w:val="00D27D3E"/>
    <w:rsid w:val="00D307E2"/>
    <w:rsid w:val="00D31284"/>
    <w:rsid w:val="00D31DCB"/>
    <w:rsid w:val="00D334A4"/>
    <w:rsid w:val="00D337DD"/>
    <w:rsid w:val="00D33DC9"/>
    <w:rsid w:val="00D35663"/>
    <w:rsid w:val="00D363D0"/>
    <w:rsid w:val="00D36D0E"/>
    <w:rsid w:val="00D36E4D"/>
    <w:rsid w:val="00D371B9"/>
    <w:rsid w:val="00D374EA"/>
    <w:rsid w:val="00D3782E"/>
    <w:rsid w:val="00D4060C"/>
    <w:rsid w:val="00D4162B"/>
    <w:rsid w:val="00D419C0"/>
    <w:rsid w:val="00D41C5D"/>
    <w:rsid w:val="00D43D9D"/>
    <w:rsid w:val="00D44787"/>
    <w:rsid w:val="00D45121"/>
    <w:rsid w:val="00D45452"/>
    <w:rsid w:val="00D45BA6"/>
    <w:rsid w:val="00D45ED1"/>
    <w:rsid w:val="00D478B4"/>
    <w:rsid w:val="00D47BE8"/>
    <w:rsid w:val="00D50215"/>
    <w:rsid w:val="00D50256"/>
    <w:rsid w:val="00D51A22"/>
    <w:rsid w:val="00D53B2D"/>
    <w:rsid w:val="00D54128"/>
    <w:rsid w:val="00D5420B"/>
    <w:rsid w:val="00D5452D"/>
    <w:rsid w:val="00D546C8"/>
    <w:rsid w:val="00D54DAD"/>
    <w:rsid w:val="00D54EC4"/>
    <w:rsid w:val="00D54F4F"/>
    <w:rsid w:val="00D550B2"/>
    <w:rsid w:val="00D551BD"/>
    <w:rsid w:val="00D55C45"/>
    <w:rsid w:val="00D561E0"/>
    <w:rsid w:val="00D56C7E"/>
    <w:rsid w:val="00D56C86"/>
    <w:rsid w:val="00D56E97"/>
    <w:rsid w:val="00D57A25"/>
    <w:rsid w:val="00D62EBB"/>
    <w:rsid w:val="00D63776"/>
    <w:rsid w:val="00D63A23"/>
    <w:rsid w:val="00D63E48"/>
    <w:rsid w:val="00D64C3C"/>
    <w:rsid w:val="00D65211"/>
    <w:rsid w:val="00D654E9"/>
    <w:rsid w:val="00D6601B"/>
    <w:rsid w:val="00D672E0"/>
    <w:rsid w:val="00D679D1"/>
    <w:rsid w:val="00D70A7F"/>
    <w:rsid w:val="00D71872"/>
    <w:rsid w:val="00D71E24"/>
    <w:rsid w:val="00D72997"/>
    <w:rsid w:val="00D732BC"/>
    <w:rsid w:val="00D7332C"/>
    <w:rsid w:val="00D73381"/>
    <w:rsid w:val="00D734C5"/>
    <w:rsid w:val="00D742D4"/>
    <w:rsid w:val="00D7496E"/>
    <w:rsid w:val="00D7626D"/>
    <w:rsid w:val="00D764CF"/>
    <w:rsid w:val="00D7674E"/>
    <w:rsid w:val="00D76AAC"/>
    <w:rsid w:val="00D76F6D"/>
    <w:rsid w:val="00D774A7"/>
    <w:rsid w:val="00D81FAB"/>
    <w:rsid w:val="00D82E4F"/>
    <w:rsid w:val="00D8368E"/>
    <w:rsid w:val="00D83D06"/>
    <w:rsid w:val="00D83E69"/>
    <w:rsid w:val="00D840C1"/>
    <w:rsid w:val="00D84432"/>
    <w:rsid w:val="00D84481"/>
    <w:rsid w:val="00D84566"/>
    <w:rsid w:val="00D84802"/>
    <w:rsid w:val="00D848DC"/>
    <w:rsid w:val="00D8559D"/>
    <w:rsid w:val="00D85B42"/>
    <w:rsid w:val="00D85D91"/>
    <w:rsid w:val="00D86526"/>
    <w:rsid w:val="00D87727"/>
    <w:rsid w:val="00D878A7"/>
    <w:rsid w:val="00D87D07"/>
    <w:rsid w:val="00D90237"/>
    <w:rsid w:val="00D919C1"/>
    <w:rsid w:val="00D92382"/>
    <w:rsid w:val="00D923EF"/>
    <w:rsid w:val="00D92C81"/>
    <w:rsid w:val="00D92DD7"/>
    <w:rsid w:val="00D930F6"/>
    <w:rsid w:val="00D93780"/>
    <w:rsid w:val="00D9426D"/>
    <w:rsid w:val="00D94434"/>
    <w:rsid w:val="00D9460D"/>
    <w:rsid w:val="00D95184"/>
    <w:rsid w:val="00D97250"/>
    <w:rsid w:val="00DA0882"/>
    <w:rsid w:val="00DA1AB7"/>
    <w:rsid w:val="00DA2123"/>
    <w:rsid w:val="00DA2C29"/>
    <w:rsid w:val="00DA348E"/>
    <w:rsid w:val="00DA3494"/>
    <w:rsid w:val="00DA423F"/>
    <w:rsid w:val="00DA42B4"/>
    <w:rsid w:val="00DA4621"/>
    <w:rsid w:val="00DA4ABF"/>
    <w:rsid w:val="00DA4C12"/>
    <w:rsid w:val="00DA540F"/>
    <w:rsid w:val="00DA5638"/>
    <w:rsid w:val="00DA607E"/>
    <w:rsid w:val="00DA7557"/>
    <w:rsid w:val="00DA7700"/>
    <w:rsid w:val="00DA77EB"/>
    <w:rsid w:val="00DB0AFE"/>
    <w:rsid w:val="00DB14A0"/>
    <w:rsid w:val="00DB193F"/>
    <w:rsid w:val="00DB1DCA"/>
    <w:rsid w:val="00DB2A63"/>
    <w:rsid w:val="00DB2E4D"/>
    <w:rsid w:val="00DB3536"/>
    <w:rsid w:val="00DB4F3B"/>
    <w:rsid w:val="00DB6362"/>
    <w:rsid w:val="00DB6481"/>
    <w:rsid w:val="00DB6BB9"/>
    <w:rsid w:val="00DB7C97"/>
    <w:rsid w:val="00DC0ECB"/>
    <w:rsid w:val="00DC1D2E"/>
    <w:rsid w:val="00DC2A48"/>
    <w:rsid w:val="00DC39C7"/>
    <w:rsid w:val="00DC4614"/>
    <w:rsid w:val="00DC50AF"/>
    <w:rsid w:val="00DC56FE"/>
    <w:rsid w:val="00DC6618"/>
    <w:rsid w:val="00DC704E"/>
    <w:rsid w:val="00DC7207"/>
    <w:rsid w:val="00DD1689"/>
    <w:rsid w:val="00DD1A87"/>
    <w:rsid w:val="00DD1B8A"/>
    <w:rsid w:val="00DD1BED"/>
    <w:rsid w:val="00DD211F"/>
    <w:rsid w:val="00DD2827"/>
    <w:rsid w:val="00DD2891"/>
    <w:rsid w:val="00DD3B6D"/>
    <w:rsid w:val="00DD4225"/>
    <w:rsid w:val="00DD44C9"/>
    <w:rsid w:val="00DD47B9"/>
    <w:rsid w:val="00DD5DD5"/>
    <w:rsid w:val="00DD7386"/>
    <w:rsid w:val="00DE0722"/>
    <w:rsid w:val="00DE0A4E"/>
    <w:rsid w:val="00DE1174"/>
    <w:rsid w:val="00DE1382"/>
    <w:rsid w:val="00DE1CD2"/>
    <w:rsid w:val="00DE24FE"/>
    <w:rsid w:val="00DE3213"/>
    <w:rsid w:val="00DE4229"/>
    <w:rsid w:val="00DE520C"/>
    <w:rsid w:val="00DE5325"/>
    <w:rsid w:val="00DE578C"/>
    <w:rsid w:val="00DE6666"/>
    <w:rsid w:val="00DE6DC9"/>
    <w:rsid w:val="00DE6E8D"/>
    <w:rsid w:val="00DE79DE"/>
    <w:rsid w:val="00DE7B8F"/>
    <w:rsid w:val="00DE7E51"/>
    <w:rsid w:val="00DF08B4"/>
    <w:rsid w:val="00DF2209"/>
    <w:rsid w:val="00DF250F"/>
    <w:rsid w:val="00DF263E"/>
    <w:rsid w:val="00DF331D"/>
    <w:rsid w:val="00DF426A"/>
    <w:rsid w:val="00DF51C6"/>
    <w:rsid w:val="00DF6936"/>
    <w:rsid w:val="00DF6B9F"/>
    <w:rsid w:val="00DF6C4B"/>
    <w:rsid w:val="00DF739B"/>
    <w:rsid w:val="00DF79C0"/>
    <w:rsid w:val="00E0052C"/>
    <w:rsid w:val="00E00DFD"/>
    <w:rsid w:val="00E00E37"/>
    <w:rsid w:val="00E02204"/>
    <w:rsid w:val="00E0227C"/>
    <w:rsid w:val="00E0274F"/>
    <w:rsid w:val="00E0316C"/>
    <w:rsid w:val="00E034F0"/>
    <w:rsid w:val="00E03796"/>
    <w:rsid w:val="00E04023"/>
    <w:rsid w:val="00E041C5"/>
    <w:rsid w:val="00E048E2"/>
    <w:rsid w:val="00E05C0C"/>
    <w:rsid w:val="00E107D1"/>
    <w:rsid w:val="00E11ABA"/>
    <w:rsid w:val="00E12222"/>
    <w:rsid w:val="00E12648"/>
    <w:rsid w:val="00E13A89"/>
    <w:rsid w:val="00E146A8"/>
    <w:rsid w:val="00E15714"/>
    <w:rsid w:val="00E15C78"/>
    <w:rsid w:val="00E15D0C"/>
    <w:rsid w:val="00E15F27"/>
    <w:rsid w:val="00E1675F"/>
    <w:rsid w:val="00E17650"/>
    <w:rsid w:val="00E22769"/>
    <w:rsid w:val="00E227A5"/>
    <w:rsid w:val="00E233B5"/>
    <w:rsid w:val="00E23680"/>
    <w:rsid w:val="00E2386B"/>
    <w:rsid w:val="00E238DB"/>
    <w:rsid w:val="00E24130"/>
    <w:rsid w:val="00E24ED6"/>
    <w:rsid w:val="00E257FF"/>
    <w:rsid w:val="00E26A35"/>
    <w:rsid w:val="00E26AE3"/>
    <w:rsid w:val="00E26FE0"/>
    <w:rsid w:val="00E27491"/>
    <w:rsid w:val="00E2758C"/>
    <w:rsid w:val="00E278AA"/>
    <w:rsid w:val="00E27E4D"/>
    <w:rsid w:val="00E30538"/>
    <w:rsid w:val="00E30699"/>
    <w:rsid w:val="00E309FD"/>
    <w:rsid w:val="00E30CE7"/>
    <w:rsid w:val="00E323EE"/>
    <w:rsid w:val="00E33125"/>
    <w:rsid w:val="00E3336C"/>
    <w:rsid w:val="00E33776"/>
    <w:rsid w:val="00E357AC"/>
    <w:rsid w:val="00E36325"/>
    <w:rsid w:val="00E3635E"/>
    <w:rsid w:val="00E371D4"/>
    <w:rsid w:val="00E37366"/>
    <w:rsid w:val="00E37D83"/>
    <w:rsid w:val="00E37F39"/>
    <w:rsid w:val="00E40EFB"/>
    <w:rsid w:val="00E41036"/>
    <w:rsid w:val="00E41245"/>
    <w:rsid w:val="00E41393"/>
    <w:rsid w:val="00E41A34"/>
    <w:rsid w:val="00E42583"/>
    <w:rsid w:val="00E4356C"/>
    <w:rsid w:val="00E43C6D"/>
    <w:rsid w:val="00E43E43"/>
    <w:rsid w:val="00E4485F"/>
    <w:rsid w:val="00E44A6C"/>
    <w:rsid w:val="00E44CC4"/>
    <w:rsid w:val="00E4564D"/>
    <w:rsid w:val="00E45D49"/>
    <w:rsid w:val="00E46572"/>
    <w:rsid w:val="00E4661F"/>
    <w:rsid w:val="00E46720"/>
    <w:rsid w:val="00E468AB"/>
    <w:rsid w:val="00E47232"/>
    <w:rsid w:val="00E4742D"/>
    <w:rsid w:val="00E5279B"/>
    <w:rsid w:val="00E52A1D"/>
    <w:rsid w:val="00E531BD"/>
    <w:rsid w:val="00E55138"/>
    <w:rsid w:val="00E55B4E"/>
    <w:rsid w:val="00E56AE8"/>
    <w:rsid w:val="00E576CB"/>
    <w:rsid w:val="00E57F25"/>
    <w:rsid w:val="00E60476"/>
    <w:rsid w:val="00E61524"/>
    <w:rsid w:val="00E61645"/>
    <w:rsid w:val="00E6183D"/>
    <w:rsid w:val="00E61FD9"/>
    <w:rsid w:val="00E62BF3"/>
    <w:rsid w:val="00E644C7"/>
    <w:rsid w:val="00E64FA5"/>
    <w:rsid w:val="00E656EC"/>
    <w:rsid w:val="00E6570C"/>
    <w:rsid w:val="00E65710"/>
    <w:rsid w:val="00E65984"/>
    <w:rsid w:val="00E65E27"/>
    <w:rsid w:val="00E662D8"/>
    <w:rsid w:val="00E668E5"/>
    <w:rsid w:val="00E66B74"/>
    <w:rsid w:val="00E67189"/>
    <w:rsid w:val="00E67680"/>
    <w:rsid w:val="00E676CE"/>
    <w:rsid w:val="00E67C7F"/>
    <w:rsid w:val="00E705E0"/>
    <w:rsid w:val="00E70FD1"/>
    <w:rsid w:val="00E71525"/>
    <w:rsid w:val="00E71F90"/>
    <w:rsid w:val="00E72BB2"/>
    <w:rsid w:val="00E73038"/>
    <w:rsid w:val="00E731BC"/>
    <w:rsid w:val="00E734E4"/>
    <w:rsid w:val="00E73BBB"/>
    <w:rsid w:val="00E74123"/>
    <w:rsid w:val="00E743EB"/>
    <w:rsid w:val="00E7475A"/>
    <w:rsid w:val="00E74CDC"/>
    <w:rsid w:val="00E75D0D"/>
    <w:rsid w:val="00E75F7D"/>
    <w:rsid w:val="00E764E6"/>
    <w:rsid w:val="00E7762E"/>
    <w:rsid w:val="00E77B01"/>
    <w:rsid w:val="00E77C3B"/>
    <w:rsid w:val="00E805F0"/>
    <w:rsid w:val="00E817A0"/>
    <w:rsid w:val="00E81B5E"/>
    <w:rsid w:val="00E81F44"/>
    <w:rsid w:val="00E81F73"/>
    <w:rsid w:val="00E82B92"/>
    <w:rsid w:val="00E82D20"/>
    <w:rsid w:val="00E8581F"/>
    <w:rsid w:val="00E8593C"/>
    <w:rsid w:val="00E85AED"/>
    <w:rsid w:val="00E862F4"/>
    <w:rsid w:val="00E864CF"/>
    <w:rsid w:val="00E86794"/>
    <w:rsid w:val="00E86C96"/>
    <w:rsid w:val="00E876A9"/>
    <w:rsid w:val="00E904F6"/>
    <w:rsid w:val="00E90838"/>
    <w:rsid w:val="00E90C79"/>
    <w:rsid w:val="00E919C1"/>
    <w:rsid w:val="00E91D9A"/>
    <w:rsid w:val="00E940A2"/>
    <w:rsid w:val="00E942E5"/>
    <w:rsid w:val="00E9545A"/>
    <w:rsid w:val="00E95486"/>
    <w:rsid w:val="00E95653"/>
    <w:rsid w:val="00E9584B"/>
    <w:rsid w:val="00E97129"/>
    <w:rsid w:val="00E975A8"/>
    <w:rsid w:val="00E97D04"/>
    <w:rsid w:val="00E97DD7"/>
    <w:rsid w:val="00EA1C55"/>
    <w:rsid w:val="00EA1D91"/>
    <w:rsid w:val="00EA211F"/>
    <w:rsid w:val="00EA2AC8"/>
    <w:rsid w:val="00EA375A"/>
    <w:rsid w:val="00EA396E"/>
    <w:rsid w:val="00EA3DAA"/>
    <w:rsid w:val="00EA4142"/>
    <w:rsid w:val="00EA43C7"/>
    <w:rsid w:val="00EA484C"/>
    <w:rsid w:val="00EA4A77"/>
    <w:rsid w:val="00EA6B4A"/>
    <w:rsid w:val="00EA73DF"/>
    <w:rsid w:val="00EA7A08"/>
    <w:rsid w:val="00EA7EB8"/>
    <w:rsid w:val="00EB0051"/>
    <w:rsid w:val="00EB0094"/>
    <w:rsid w:val="00EB0309"/>
    <w:rsid w:val="00EB0694"/>
    <w:rsid w:val="00EB1762"/>
    <w:rsid w:val="00EB1958"/>
    <w:rsid w:val="00EB211A"/>
    <w:rsid w:val="00EB24EE"/>
    <w:rsid w:val="00EB2FA2"/>
    <w:rsid w:val="00EB4A5D"/>
    <w:rsid w:val="00EB5890"/>
    <w:rsid w:val="00EB58E6"/>
    <w:rsid w:val="00EB682C"/>
    <w:rsid w:val="00EC00A5"/>
    <w:rsid w:val="00EC050F"/>
    <w:rsid w:val="00EC0D39"/>
    <w:rsid w:val="00EC1FF2"/>
    <w:rsid w:val="00EC20B2"/>
    <w:rsid w:val="00EC33E3"/>
    <w:rsid w:val="00EC37BC"/>
    <w:rsid w:val="00EC40E6"/>
    <w:rsid w:val="00EC411A"/>
    <w:rsid w:val="00EC439C"/>
    <w:rsid w:val="00EC47F3"/>
    <w:rsid w:val="00EC5CAB"/>
    <w:rsid w:val="00EC6DE8"/>
    <w:rsid w:val="00EC729B"/>
    <w:rsid w:val="00EC7EB6"/>
    <w:rsid w:val="00ED0216"/>
    <w:rsid w:val="00ED20F1"/>
    <w:rsid w:val="00ED2182"/>
    <w:rsid w:val="00ED291F"/>
    <w:rsid w:val="00ED2B11"/>
    <w:rsid w:val="00ED2B86"/>
    <w:rsid w:val="00ED308C"/>
    <w:rsid w:val="00ED3625"/>
    <w:rsid w:val="00ED4056"/>
    <w:rsid w:val="00ED52E2"/>
    <w:rsid w:val="00ED61FE"/>
    <w:rsid w:val="00ED74BD"/>
    <w:rsid w:val="00ED7B7C"/>
    <w:rsid w:val="00ED7D13"/>
    <w:rsid w:val="00ED7DE3"/>
    <w:rsid w:val="00EE05C9"/>
    <w:rsid w:val="00EE0D0E"/>
    <w:rsid w:val="00EE264C"/>
    <w:rsid w:val="00EE37B2"/>
    <w:rsid w:val="00EE4747"/>
    <w:rsid w:val="00EE49C3"/>
    <w:rsid w:val="00EE60CF"/>
    <w:rsid w:val="00EE649A"/>
    <w:rsid w:val="00EE776C"/>
    <w:rsid w:val="00EE7CB7"/>
    <w:rsid w:val="00EF0A14"/>
    <w:rsid w:val="00EF0A5B"/>
    <w:rsid w:val="00EF1E92"/>
    <w:rsid w:val="00EF1E94"/>
    <w:rsid w:val="00EF2D45"/>
    <w:rsid w:val="00EF4376"/>
    <w:rsid w:val="00EF4DDC"/>
    <w:rsid w:val="00EF4EC4"/>
    <w:rsid w:val="00EF51D6"/>
    <w:rsid w:val="00EF54CC"/>
    <w:rsid w:val="00EF5532"/>
    <w:rsid w:val="00EF5D52"/>
    <w:rsid w:val="00EF610A"/>
    <w:rsid w:val="00EF6849"/>
    <w:rsid w:val="00EF7057"/>
    <w:rsid w:val="00F022A2"/>
    <w:rsid w:val="00F02DF6"/>
    <w:rsid w:val="00F03461"/>
    <w:rsid w:val="00F053A2"/>
    <w:rsid w:val="00F05D48"/>
    <w:rsid w:val="00F06654"/>
    <w:rsid w:val="00F06D5D"/>
    <w:rsid w:val="00F06E9A"/>
    <w:rsid w:val="00F070EF"/>
    <w:rsid w:val="00F07271"/>
    <w:rsid w:val="00F07446"/>
    <w:rsid w:val="00F1041E"/>
    <w:rsid w:val="00F10C52"/>
    <w:rsid w:val="00F11903"/>
    <w:rsid w:val="00F11A71"/>
    <w:rsid w:val="00F126C0"/>
    <w:rsid w:val="00F127A9"/>
    <w:rsid w:val="00F12FD7"/>
    <w:rsid w:val="00F133EB"/>
    <w:rsid w:val="00F135DF"/>
    <w:rsid w:val="00F13D81"/>
    <w:rsid w:val="00F142A3"/>
    <w:rsid w:val="00F14F8A"/>
    <w:rsid w:val="00F153A7"/>
    <w:rsid w:val="00F15507"/>
    <w:rsid w:val="00F158A3"/>
    <w:rsid w:val="00F158CB"/>
    <w:rsid w:val="00F16CA4"/>
    <w:rsid w:val="00F16F70"/>
    <w:rsid w:val="00F17361"/>
    <w:rsid w:val="00F17DE6"/>
    <w:rsid w:val="00F20A42"/>
    <w:rsid w:val="00F2196E"/>
    <w:rsid w:val="00F21AD6"/>
    <w:rsid w:val="00F21C22"/>
    <w:rsid w:val="00F229CE"/>
    <w:rsid w:val="00F22F23"/>
    <w:rsid w:val="00F2386B"/>
    <w:rsid w:val="00F23F1B"/>
    <w:rsid w:val="00F240C0"/>
    <w:rsid w:val="00F24DBF"/>
    <w:rsid w:val="00F24F8F"/>
    <w:rsid w:val="00F252D3"/>
    <w:rsid w:val="00F255FE"/>
    <w:rsid w:val="00F2633F"/>
    <w:rsid w:val="00F26E93"/>
    <w:rsid w:val="00F27A22"/>
    <w:rsid w:val="00F31925"/>
    <w:rsid w:val="00F319C9"/>
    <w:rsid w:val="00F3224B"/>
    <w:rsid w:val="00F3283C"/>
    <w:rsid w:val="00F34FF2"/>
    <w:rsid w:val="00F36626"/>
    <w:rsid w:val="00F3767D"/>
    <w:rsid w:val="00F37809"/>
    <w:rsid w:val="00F37850"/>
    <w:rsid w:val="00F40552"/>
    <w:rsid w:val="00F40D6C"/>
    <w:rsid w:val="00F40DD3"/>
    <w:rsid w:val="00F4118B"/>
    <w:rsid w:val="00F42090"/>
    <w:rsid w:val="00F424A1"/>
    <w:rsid w:val="00F42C62"/>
    <w:rsid w:val="00F462A6"/>
    <w:rsid w:val="00F46A0E"/>
    <w:rsid w:val="00F46AFB"/>
    <w:rsid w:val="00F4767B"/>
    <w:rsid w:val="00F477A1"/>
    <w:rsid w:val="00F50793"/>
    <w:rsid w:val="00F509D9"/>
    <w:rsid w:val="00F51995"/>
    <w:rsid w:val="00F51C6A"/>
    <w:rsid w:val="00F52150"/>
    <w:rsid w:val="00F52C97"/>
    <w:rsid w:val="00F52E8F"/>
    <w:rsid w:val="00F53D04"/>
    <w:rsid w:val="00F55266"/>
    <w:rsid w:val="00F55526"/>
    <w:rsid w:val="00F561AE"/>
    <w:rsid w:val="00F5647F"/>
    <w:rsid w:val="00F565C2"/>
    <w:rsid w:val="00F56DF7"/>
    <w:rsid w:val="00F5728F"/>
    <w:rsid w:val="00F57EDE"/>
    <w:rsid w:val="00F6021F"/>
    <w:rsid w:val="00F61429"/>
    <w:rsid w:val="00F61A4A"/>
    <w:rsid w:val="00F61A5C"/>
    <w:rsid w:val="00F62D7B"/>
    <w:rsid w:val="00F64766"/>
    <w:rsid w:val="00F64F46"/>
    <w:rsid w:val="00F65BD4"/>
    <w:rsid w:val="00F66349"/>
    <w:rsid w:val="00F6750E"/>
    <w:rsid w:val="00F67FE1"/>
    <w:rsid w:val="00F70800"/>
    <w:rsid w:val="00F7176E"/>
    <w:rsid w:val="00F72B31"/>
    <w:rsid w:val="00F733E9"/>
    <w:rsid w:val="00F73A2D"/>
    <w:rsid w:val="00F74747"/>
    <w:rsid w:val="00F74949"/>
    <w:rsid w:val="00F758E9"/>
    <w:rsid w:val="00F75B8F"/>
    <w:rsid w:val="00F76931"/>
    <w:rsid w:val="00F77254"/>
    <w:rsid w:val="00F775F6"/>
    <w:rsid w:val="00F77708"/>
    <w:rsid w:val="00F77A86"/>
    <w:rsid w:val="00F77D7E"/>
    <w:rsid w:val="00F80223"/>
    <w:rsid w:val="00F804A3"/>
    <w:rsid w:val="00F80A7D"/>
    <w:rsid w:val="00F815F3"/>
    <w:rsid w:val="00F816B9"/>
    <w:rsid w:val="00F81833"/>
    <w:rsid w:val="00F825F7"/>
    <w:rsid w:val="00F83008"/>
    <w:rsid w:val="00F86B23"/>
    <w:rsid w:val="00F86E34"/>
    <w:rsid w:val="00F900E0"/>
    <w:rsid w:val="00F905FF"/>
    <w:rsid w:val="00F924A5"/>
    <w:rsid w:val="00F93788"/>
    <w:rsid w:val="00F93B49"/>
    <w:rsid w:val="00F94020"/>
    <w:rsid w:val="00F94531"/>
    <w:rsid w:val="00F94CA8"/>
    <w:rsid w:val="00F96ED4"/>
    <w:rsid w:val="00F97AAF"/>
    <w:rsid w:val="00F97EB3"/>
    <w:rsid w:val="00FA02A5"/>
    <w:rsid w:val="00FA1178"/>
    <w:rsid w:val="00FA1FAE"/>
    <w:rsid w:val="00FA23CD"/>
    <w:rsid w:val="00FA257B"/>
    <w:rsid w:val="00FA3AA9"/>
    <w:rsid w:val="00FA3C28"/>
    <w:rsid w:val="00FA5965"/>
    <w:rsid w:val="00FA5E1E"/>
    <w:rsid w:val="00FA6CC5"/>
    <w:rsid w:val="00FA7279"/>
    <w:rsid w:val="00FA73C3"/>
    <w:rsid w:val="00FA7483"/>
    <w:rsid w:val="00FA7F96"/>
    <w:rsid w:val="00FB0065"/>
    <w:rsid w:val="00FB0647"/>
    <w:rsid w:val="00FB148E"/>
    <w:rsid w:val="00FB177B"/>
    <w:rsid w:val="00FB32AC"/>
    <w:rsid w:val="00FB3915"/>
    <w:rsid w:val="00FB3FD0"/>
    <w:rsid w:val="00FB414E"/>
    <w:rsid w:val="00FB435D"/>
    <w:rsid w:val="00FB463D"/>
    <w:rsid w:val="00FB6571"/>
    <w:rsid w:val="00FB7C44"/>
    <w:rsid w:val="00FC1421"/>
    <w:rsid w:val="00FC14D8"/>
    <w:rsid w:val="00FC1A5A"/>
    <w:rsid w:val="00FC2249"/>
    <w:rsid w:val="00FC36D7"/>
    <w:rsid w:val="00FC399E"/>
    <w:rsid w:val="00FC3C1B"/>
    <w:rsid w:val="00FC4B4E"/>
    <w:rsid w:val="00FC4FDF"/>
    <w:rsid w:val="00FC5366"/>
    <w:rsid w:val="00FC564C"/>
    <w:rsid w:val="00FC6929"/>
    <w:rsid w:val="00FC7929"/>
    <w:rsid w:val="00FD00F5"/>
    <w:rsid w:val="00FD097A"/>
    <w:rsid w:val="00FD148E"/>
    <w:rsid w:val="00FD29FB"/>
    <w:rsid w:val="00FD2D77"/>
    <w:rsid w:val="00FD4761"/>
    <w:rsid w:val="00FD6892"/>
    <w:rsid w:val="00FD70F0"/>
    <w:rsid w:val="00FE0380"/>
    <w:rsid w:val="00FE0510"/>
    <w:rsid w:val="00FE0A80"/>
    <w:rsid w:val="00FE115F"/>
    <w:rsid w:val="00FE1560"/>
    <w:rsid w:val="00FE2861"/>
    <w:rsid w:val="00FE2C2F"/>
    <w:rsid w:val="00FE38AD"/>
    <w:rsid w:val="00FE4B10"/>
    <w:rsid w:val="00FE5338"/>
    <w:rsid w:val="00FE6678"/>
    <w:rsid w:val="00FF002C"/>
    <w:rsid w:val="00FF0238"/>
    <w:rsid w:val="00FF06F7"/>
    <w:rsid w:val="00FF25E4"/>
    <w:rsid w:val="00FF33E6"/>
    <w:rsid w:val="00FF3840"/>
    <w:rsid w:val="00FF394C"/>
    <w:rsid w:val="00FF3C44"/>
    <w:rsid w:val="00FF3DEF"/>
    <w:rsid w:val="00FF4045"/>
    <w:rsid w:val="00FF5A54"/>
    <w:rsid w:val="00FF5FEA"/>
    <w:rsid w:val="00FF6257"/>
    <w:rsid w:val="00FF67A9"/>
    <w:rsid w:val="00FF6AE9"/>
    <w:rsid w:val="00FF6FD5"/>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style="mso-position-vertical-relative:margin" fillcolor="#002395" stroke="f">
      <v:fill color="#002395"/>
      <v:stroke on="f"/>
    </o:shapedefaults>
    <o:shapelayout v:ext="edit">
      <o:idmap v:ext="edit" data="1"/>
    </o:shapelayout>
  </w:shapeDefaults>
  <w:decimalSymbol w:val=","/>
  <w:listSeparator w:val=";"/>
  <w14:docId w14:val="0A445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nhideWhenUsed="0"/>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35DFD"/>
    <w:pPr>
      <w:spacing w:after="240"/>
      <w:jc w:val="both"/>
    </w:pPr>
    <w:rPr>
      <w:sz w:val="24"/>
      <w:lang w:val="fr-FR" w:eastAsia="en-US"/>
    </w:rPr>
  </w:style>
  <w:style w:type="paragraph" w:styleId="Heading1">
    <w:name w:val="heading 1"/>
    <w:basedOn w:val="Normal"/>
    <w:next w:val="Text1"/>
    <w:link w:val="Heading1Char"/>
    <w:rsid w:val="00835DFD"/>
    <w:pPr>
      <w:keepNext/>
      <w:pageBreakBefore/>
      <w:numPr>
        <w:numId w:val="3"/>
      </w:numPr>
      <w:spacing w:after="480"/>
      <w:ind w:left="482" w:hanging="482"/>
      <w:jc w:val="left"/>
      <w:outlineLvl w:val="0"/>
    </w:pPr>
    <w:rPr>
      <w:b/>
      <w:smallCaps/>
    </w:rPr>
  </w:style>
  <w:style w:type="paragraph" w:styleId="Heading2">
    <w:name w:val="heading 2"/>
    <w:basedOn w:val="Normal"/>
    <w:next w:val="Text2"/>
    <w:link w:val="Heading2Char"/>
    <w:qFormat/>
    <w:rsid w:val="00A0452B"/>
    <w:pPr>
      <w:keepNext/>
      <w:numPr>
        <w:ilvl w:val="1"/>
        <w:numId w:val="3"/>
      </w:numPr>
      <w:tabs>
        <w:tab w:val="clear" w:pos="1200"/>
      </w:tabs>
      <w:spacing w:before="360"/>
      <w:ind w:left="567" w:hanging="567"/>
      <w:jc w:val="left"/>
      <w:outlineLvl w:val="1"/>
    </w:pPr>
    <w:rPr>
      <w:rFonts w:ascii="Verdana" w:hAnsi="Verdana"/>
      <w:b/>
      <w:sz w:val="20"/>
      <w:lang w:val="en-GB"/>
    </w:rPr>
  </w:style>
  <w:style w:type="paragraph" w:styleId="Heading3">
    <w:name w:val="heading 3"/>
    <w:basedOn w:val="Normal"/>
    <w:next w:val="Text3"/>
    <w:link w:val="Heading3Char"/>
    <w:qFormat/>
    <w:rsid w:val="00AF502E"/>
    <w:pPr>
      <w:keepNext/>
      <w:numPr>
        <w:ilvl w:val="2"/>
        <w:numId w:val="3"/>
      </w:numPr>
      <w:tabs>
        <w:tab w:val="clear" w:pos="1920"/>
      </w:tabs>
      <w:spacing w:before="240"/>
      <w:ind w:left="709" w:hanging="709"/>
      <w:jc w:val="left"/>
      <w:outlineLvl w:val="2"/>
    </w:pPr>
    <w:rPr>
      <w:rFonts w:ascii="Verdana" w:hAnsi="Verdana"/>
      <w:sz w:val="20"/>
    </w:rPr>
  </w:style>
  <w:style w:type="paragraph" w:styleId="Heading4">
    <w:name w:val="heading 4"/>
    <w:basedOn w:val="Normal"/>
    <w:next w:val="Text4"/>
    <w:link w:val="Heading4Char"/>
    <w:autoRedefine/>
    <w:rsid w:val="00D57A25"/>
    <w:pPr>
      <w:keepNext/>
      <w:numPr>
        <w:ilvl w:val="3"/>
        <w:numId w:val="3"/>
      </w:numPr>
      <w:tabs>
        <w:tab w:val="clear" w:pos="1920"/>
      </w:tabs>
      <w:spacing w:before="240"/>
      <w:ind w:left="851" w:hanging="851"/>
      <w:jc w:val="left"/>
      <w:outlineLvl w:val="3"/>
    </w:pPr>
    <w:rPr>
      <w:rFonts w:ascii="Verdana" w:hAnsi="Verdana"/>
      <w:sz w:val="20"/>
    </w:rPr>
  </w:style>
  <w:style w:type="paragraph" w:styleId="Heading5">
    <w:name w:val="heading 5"/>
    <w:basedOn w:val="Normal"/>
    <w:next w:val="Normal"/>
    <w:link w:val="Heading5Char"/>
    <w:rsid w:val="00461D0A"/>
    <w:pPr>
      <w:tabs>
        <w:tab w:val="num" w:pos="0"/>
      </w:tabs>
      <w:spacing w:before="240" w:after="60"/>
      <w:outlineLvl w:val="4"/>
    </w:pPr>
    <w:rPr>
      <w:rFonts w:ascii="Arial" w:hAnsi="Arial"/>
      <w:sz w:val="22"/>
    </w:rPr>
  </w:style>
  <w:style w:type="paragraph" w:styleId="Heading6">
    <w:name w:val="heading 6"/>
    <w:basedOn w:val="Normal"/>
    <w:next w:val="Normal"/>
    <w:link w:val="Heading6Char"/>
    <w:rsid w:val="00461D0A"/>
    <w:pPr>
      <w:tabs>
        <w:tab w:val="num" w:pos="0"/>
      </w:tabs>
      <w:spacing w:before="240" w:after="60"/>
      <w:outlineLvl w:val="5"/>
    </w:pPr>
    <w:rPr>
      <w:rFonts w:ascii="Arial" w:hAnsi="Arial"/>
      <w:i/>
      <w:sz w:val="22"/>
    </w:rPr>
  </w:style>
  <w:style w:type="paragraph" w:styleId="Heading7">
    <w:name w:val="heading 7"/>
    <w:basedOn w:val="Normal"/>
    <w:next w:val="Normal"/>
    <w:link w:val="Heading7Char"/>
    <w:rsid w:val="00461D0A"/>
    <w:pPr>
      <w:tabs>
        <w:tab w:val="num" w:pos="0"/>
      </w:tabs>
      <w:spacing w:before="240" w:after="60"/>
      <w:outlineLvl w:val="6"/>
    </w:pPr>
    <w:rPr>
      <w:rFonts w:ascii="Arial" w:hAnsi="Arial"/>
      <w:sz w:val="20"/>
    </w:rPr>
  </w:style>
  <w:style w:type="paragraph" w:styleId="Heading8">
    <w:name w:val="heading 8"/>
    <w:basedOn w:val="Normal"/>
    <w:next w:val="Normal"/>
    <w:link w:val="Heading8Char"/>
    <w:rsid w:val="00461D0A"/>
    <w:pPr>
      <w:tabs>
        <w:tab w:val="num" w:pos="0"/>
      </w:tabs>
      <w:spacing w:before="240" w:after="60"/>
      <w:outlineLvl w:val="7"/>
    </w:pPr>
    <w:rPr>
      <w:rFonts w:ascii="Arial" w:hAnsi="Arial"/>
      <w:i/>
      <w:sz w:val="20"/>
    </w:rPr>
  </w:style>
  <w:style w:type="paragraph" w:styleId="Heading9">
    <w:name w:val="heading 9"/>
    <w:basedOn w:val="Normal"/>
    <w:next w:val="Normal"/>
    <w:link w:val="Heading9Char"/>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52A1D"/>
    <w:rPr>
      <w:rFonts w:ascii="Tahoma" w:hAnsi="Tahoma" w:cs="Tahoma"/>
      <w:sz w:val="16"/>
      <w:szCs w:val="16"/>
    </w:rPr>
  </w:style>
  <w:style w:type="character" w:customStyle="1" w:styleId="SprechblasentextZeichen">
    <w:name w:val="Sprechblasentext Zeichen"/>
    <w:basedOn w:val="DefaultParagraphFont"/>
    <w:uiPriority w:val="99"/>
    <w:semiHidden/>
    <w:rsid w:val="00097662"/>
    <w:rPr>
      <w:rFonts w:ascii="Lucida Grande" w:hAnsi="Lucida Grande"/>
      <w:sz w:val="18"/>
      <w:szCs w:val="18"/>
    </w:rPr>
  </w:style>
  <w:style w:type="character" w:customStyle="1" w:styleId="SprechblasentextZeichen0">
    <w:name w:val="Sprechblasentext Zeichen"/>
    <w:basedOn w:val="DefaultParagraphFont"/>
    <w:uiPriority w:val="99"/>
    <w:semiHidden/>
    <w:rsid w:val="00534F2F"/>
    <w:rPr>
      <w:rFonts w:ascii="Lucida Grande" w:hAnsi="Lucida Grande"/>
      <w:sz w:val="18"/>
      <w:szCs w:val="18"/>
    </w:rPr>
  </w:style>
  <w:style w:type="character" w:customStyle="1" w:styleId="BalloonTextChar">
    <w:name w:val="Balloon Text Char"/>
    <w:basedOn w:val="DefaultParagraphFont"/>
    <w:link w:val="BalloonText"/>
    <w:semiHidden/>
    <w:rsid w:val="00653737"/>
    <w:rPr>
      <w:rFonts w:ascii="Lucida Grande" w:hAnsi="Lucida Grande"/>
      <w:sz w:val="18"/>
      <w:szCs w:val="18"/>
    </w:rPr>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link w:val="BodyTextChar"/>
    <w:rsid w:val="00461D0A"/>
    <w:pPr>
      <w:spacing w:after="120"/>
    </w:pPr>
  </w:style>
  <w:style w:type="paragraph" w:styleId="BodyText2">
    <w:name w:val="Body Text 2"/>
    <w:basedOn w:val="Normal"/>
    <w:link w:val="BodyText2Char"/>
    <w:rsid w:val="00461D0A"/>
    <w:pPr>
      <w:spacing w:after="120" w:line="480" w:lineRule="auto"/>
    </w:pPr>
  </w:style>
  <w:style w:type="paragraph" w:styleId="BodyText3">
    <w:name w:val="Body Text 3"/>
    <w:basedOn w:val="Normal"/>
    <w:link w:val="BodyText3Char"/>
    <w:rsid w:val="00461D0A"/>
    <w:pPr>
      <w:spacing w:after="120"/>
    </w:pPr>
    <w:rPr>
      <w:sz w:val="16"/>
    </w:rPr>
  </w:style>
  <w:style w:type="paragraph" w:styleId="BodyTextFirstIndent">
    <w:name w:val="Body Text First Indent"/>
    <w:basedOn w:val="BodyText"/>
    <w:link w:val="BodyTextFirstIndentChar"/>
    <w:rsid w:val="00461D0A"/>
    <w:pPr>
      <w:ind w:firstLine="210"/>
    </w:pPr>
  </w:style>
  <w:style w:type="paragraph" w:styleId="BodyTextIndent">
    <w:name w:val="Body Text Indent"/>
    <w:basedOn w:val="Normal"/>
    <w:link w:val="BodyTextIndentChar"/>
    <w:rsid w:val="00461D0A"/>
    <w:pPr>
      <w:spacing w:after="120"/>
      <w:ind w:left="283"/>
    </w:pPr>
  </w:style>
  <w:style w:type="paragraph" w:styleId="BodyTextFirstIndent2">
    <w:name w:val="Body Text First Indent 2"/>
    <w:basedOn w:val="BodyTextIndent"/>
    <w:link w:val="BodyTextFirstIndent2Char"/>
    <w:rsid w:val="00461D0A"/>
    <w:pPr>
      <w:ind w:firstLine="210"/>
    </w:pPr>
  </w:style>
  <w:style w:type="paragraph" w:styleId="BodyTextIndent2">
    <w:name w:val="Body Text Indent 2"/>
    <w:basedOn w:val="Normal"/>
    <w:link w:val="BodyTextIndent2Char"/>
    <w:rsid w:val="00461D0A"/>
    <w:pPr>
      <w:spacing w:after="120" w:line="480" w:lineRule="auto"/>
      <w:ind w:left="283"/>
    </w:pPr>
  </w:style>
  <w:style w:type="paragraph" w:styleId="BodyTextIndent3">
    <w:name w:val="Body Text Indent 3"/>
    <w:basedOn w:val="Normal"/>
    <w:link w:val="BodyTextIndent3Char"/>
    <w:rsid w:val="00461D0A"/>
    <w:pPr>
      <w:spacing w:after="120"/>
      <w:ind w:left="283"/>
    </w:pPr>
    <w:rPr>
      <w:sz w:val="16"/>
    </w:rPr>
  </w:style>
  <w:style w:type="paragraph" w:styleId="Caption">
    <w:name w:val="caption"/>
    <w:aliases w:val="Inscription,Beschriftung Char Char Char,Beschriftung Char,FigureText,FigureText1,FigureText2,FigureText3,FigureText11,FigureText21"/>
    <w:basedOn w:val="Normal"/>
    <w:next w:val="Normal"/>
    <w:link w:val="CaptionChar"/>
    <w:uiPriority w:val="35"/>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link w:val="ClosingChar"/>
    <w:rsid w:val="00461D0A"/>
    <w:pPr>
      <w:ind w:left="4252"/>
    </w:pPr>
  </w:style>
  <w:style w:type="paragraph" w:styleId="CommentText">
    <w:name w:val="annotation text"/>
    <w:basedOn w:val="Normal"/>
    <w:link w:val="CommentTextChar"/>
    <w:semiHidden/>
    <w:rsid w:val="00461D0A"/>
    <w:rPr>
      <w:sz w:val="20"/>
    </w:rPr>
  </w:style>
  <w:style w:type="paragraph" w:styleId="Date">
    <w:name w:val="Date"/>
    <w:basedOn w:val="Normal"/>
    <w:next w:val="References"/>
    <w:link w:val="DateChar"/>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link w:val="DocumentMapChar"/>
    <w:uiPriority w:val="99"/>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link w:val="EndnoteTextChar"/>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ootnote,fn,single space,FOOTNOTES,Schriftart: 9 pt,Schriftart: 10 pt,Schriftart: 8 pt,Podrozdział,o,Footnote Text Char2,Footnote Text Char1 Char,Footnote Text Char2 Char Char,Footnote Text Char1 Char Char Char,Char Char,Fußnotentext arial"/>
    <w:basedOn w:val="Normal"/>
    <w:link w:val="FootnoteTextChar"/>
    <w:rsid w:val="00E5279B"/>
    <w:pPr>
      <w:spacing w:after="0"/>
      <w:ind w:left="284" w:hanging="284"/>
      <w:jc w:val="left"/>
    </w:pPr>
    <w:rPr>
      <w:rFonts w:ascii="Verdana" w:hAnsi="Verdana"/>
      <w:sz w:val="16"/>
      <w:lang w:val="en-GB"/>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link w:val="MacroTextChar"/>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link w:val="MessageHeaderChar"/>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link w:val="NoteHeadingChar"/>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rsid w:val="00461D0A"/>
    <w:rPr>
      <w:rFonts w:ascii="Courier New" w:hAnsi="Courier New"/>
      <w:sz w:val="20"/>
    </w:rPr>
  </w:style>
  <w:style w:type="paragraph" w:styleId="Salutation">
    <w:name w:val="Salutation"/>
    <w:basedOn w:val="Normal"/>
    <w:next w:val="Normal"/>
    <w:link w:val="SalutationChar"/>
    <w:rsid w:val="00461D0A"/>
  </w:style>
  <w:style w:type="paragraph" w:styleId="Signature">
    <w:name w:val="Signature"/>
    <w:basedOn w:val="Normal"/>
    <w:next w:val="Enclosures"/>
    <w:link w:val="SignatureChar"/>
    <w:rsid w:val="00461D0A"/>
    <w:pPr>
      <w:tabs>
        <w:tab w:val="left" w:pos="5103"/>
      </w:tabs>
      <w:spacing w:before="1200" w:after="0"/>
      <w:ind w:left="5103"/>
      <w:jc w:val="center"/>
    </w:pPr>
  </w:style>
  <w:style w:type="paragraph" w:styleId="Subtitle">
    <w:name w:val="Subtitle"/>
    <w:basedOn w:val="Normal"/>
    <w:link w:val="SubtitleChar"/>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uiPriority w:val="99"/>
    <w:rsid w:val="00306B22"/>
    <w:pPr>
      <w:tabs>
        <w:tab w:val="right" w:pos="9061"/>
      </w:tabs>
      <w:spacing w:after="0"/>
      <w:ind w:left="1276" w:right="851" w:hanging="1276"/>
      <w:jc w:val="left"/>
    </w:pPr>
    <w:rPr>
      <w:rFonts w:ascii="Verdana" w:hAnsi="Verdana"/>
      <w:noProof/>
      <w:sz w:val="16"/>
      <w:szCs w:val="16"/>
    </w:rPr>
  </w:style>
  <w:style w:type="paragraph" w:styleId="Title">
    <w:name w:val="Title"/>
    <w:basedOn w:val="Normal"/>
    <w:next w:val="SubTitle1"/>
    <w:link w:val="TitleChar"/>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C24BEE"/>
    <w:pPr>
      <w:tabs>
        <w:tab w:val="right" w:pos="9061"/>
      </w:tabs>
      <w:spacing w:before="240" w:after="0"/>
      <w:ind w:left="567" w:right="851" w:hanging="567"/>
      <w:jc w:val="left"/>
    </w:pPr>
    <w:rPr>
      <w:rFonts w:ascii="Verdana" w:hAnsi="Verdana"/>
      <w:b/>
      <w:noProof/>
      <w:sz w:val="18"/>
      <w:szCs w:val="18"/>
    </w:rPr>
  </w:style>
  <w:style w:type="paragraph" w:styleId="TOC2">
    <w:name w:val="toc 2"/>
    <w:basedOn w:val="Normal"/>
    <w:next w:val="Normal"/>
    <w:uiPriority w:val="39"/>
    <w:rsid w:val="000565F4"/>
    <w:pPr>
      <w:tabs>
        <w:tab w:val="right" w:pos="9061"/>
      </w:tabs>
      <w:spacing w:after="0"/>
      <w:ind w:left="567" w:right="851" w:hanging="567"/>
      <w:jc w:val="left"/>
    </w:pPr>
    <w:rPr>
      <w:rFonts w:ascii="Verdana" w:hAnsi="Verdana"/>
      <w:bCs/>
      <w:noProof/>
      <w:sz w:val="18"/>
      <w:szCs w:val="18"/>
    </w:rPr>
  </w:style>
  <w:style w:type="paragraph" w:styleId="TOC3">
    <w:name w:val="toc 3"/>
    <w:basedOn w:val="Normal"/>
    <w:next w:val="Normal"/>
    <w:uiPriority w:val="39"/>
    <w:qFormat/>
    <w:rsid w:val="000565F4"/>
    <w:pPr>
      <w:tabs>
        <w:tab w:val="right" w:pos="9061"/>
      </w:tabs>
      <w:spacing w:after="0"/>
      <w:ind w:left="1276" w:right="851" w:hanging="709"/>
      <w:jc w:val="left"/>
    </w:pPr>
    <w:rPr>
      <w:rFonts w:ascii="Verdana" w:hAnsi="Verdana"/>
      <w:noProof/>
      <w:sz w:val="18"/>
      <w:szCs w:val="18"/>
    </w:rPr>
  </w:style>
  <w:style w:type="paragraph" w:styleId="TOC4">
    <w:name w:val="toc 4"/>
    <w:basedOn w:val="Normal"/>
    <w:next w:val="Normal"/>
    <w:uiPriority w:val="39"/>
    <w:rsid w:val="00461D0A"/>
    <w:pPr>
      <w:spacing w:after="0"/>
      <w:ind w:left="720"/>
      <w:jc w:val="left"/>
    </w:pPr>
    <w:rPr>
      <w:rFonts w:asciiTheme="minorHAnsi" w:hAnsiTheme="minorHAnsi"/>
      <w:sz w:val="20"/>
    </w:rPr>
  </w:style>
  <w:style w:type="paragraph" w:styleId="TOC5">
    <w:name w:val="toc 5"/>
    <w:basedOn w:val="Normal"/>
    <w:next w:val="Normal"/>
    <w:uiPriority w:val="39"/>
    <w:rsid w:val="00461D0A"/>
    <w:pPr>
      <w:spacing w:after="0"/>
      <w:ind w:left="960"/>
      <w:jc w:val="left"/>
    </w:pPr>
    <w:rPr>
      <w:rFonts w:asciiTheme="minorHAnsi" w:hAnsiTheme="minorHAnsi"/>
      <w:sz w:val="20"/>
    </w:rPr>
  </w:style>
  <w:style w:type="paragraph" w:styleId="TOC6">
    <w:name w:val="toc 6"/>
    <w:basedOn w:val="Normal"/>
    <w:next w:val="Normal"/>
    <w:autoRedefine/>
    <w:uiPriority w:val="39"/>
    <w:rsid w:val="00461D0A"/>
    <w:pPr>
      <w:spacing w:after="0"/>
      <w:ind w:left="1200"/>
      <w:jc w:val="left"/>
    </w:pPr>
    <w:rPr>
      <w:rFonts w:asciiTheme="minorHAnsi" w:hAnsiTheme="minorHAnsi"/>
      <w:sz w:val="20"/>
    </w:rPr>
  </w:style>
  <w:style w:type="paragraph" w:styleId="TOC7">
    <w:name w:val="toc 7"/>
    <w:basedOn w:val="Normal"/>
    <w:next w:val="Normal"/>
    <w:autoRedefine/>
    <w:uiPriority w:val="39"/>
    <w:rsid w:val="00461D0A"/>
    <w:pPr>
      <w:spacing w:after="0"/>
      <w:ind w:left="1440"/>
      <w:jc w:val="left"/>
    </w:pPr>
    <w:rPr>
      <w:rFonts w:asciiTheme="minorHAnsi" w:hAnsiTheme="minorHAnsi"/>
      <w:sz w:val="20"/>
    </w:rPr>
  </w:style>
  <w:style w:type="paragraph" w:styleId="TOC8">
    <w:name w:val="toc 8"/>
    <w:basedOn w:val="Normal"/>
    <w:next w:val="Normal"/>
    <w:autoRedefine/>
    <w:uiPriority w:val="39"/>
    <w:rsid w:val="00461D0A"/>
    <w:pPr>
      <w:spacing w:after="0"/>
      <w:ind w:left="1680"/>
      <w:jc w:val="left"/>
    </w:pPr>
    <w:rPr>
      <w:rFonts w:asciiTheme="minorHAnsi" w:hAnsiTheme="minorHAnsi"/>
      <w:sz w:val="20"/>
    </w:rPr>
  </w:style>
  <w:style w:type="paragraph" w:styleId="TOC9">
    <w:name w:val="toc 9"/>
    <w:basedOn w:val="Normal"/>
    <w:next w:val="Normal"/>
    <w:autoRedefine/>
    <w:uiPriority w:val="39"/>
    <w:rsid w:val="00461D0A"/>
    <w:pPr>
      <w:spacing w:after="0"/>
      <w:ind w:left="1920"/>
      <w:jc w:val="left"/>
    </w:pPr>
    <w:rPr>
      <w:rFonts w:asciiTheme="minorHAnsi" w:hAnsiTheme="minorHAnsi"/>
      <w:sz w:val="20"/>
    </w:r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symbol,Footnote reference number,Times 10 Point,Exposant 3 Point,EN Footnote Reference,note TESI,-E Fu§notenzeichen,SUPERS,Fussnota,Footnote Reference Number,-E Fußnotenzeichen,Footnote Reference/,number,ftref"/>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 1"/>
    <w:basedOn w:val="NormalIndent"/>
    <w:link w:val="BulletPoint1Zchn"/>
    <w:qFormat/>
    <w:rsid w:val="003165E6"/>
    <w:pPr>
      <w:numPr>
        <w:numId w:val="35"/>
      </w:numPr>
      <w:contextualSpacing/>
    </w:pPr>
    <w:rPr>
      <w:rFonts w:ascii="Verdana" w:hAnsi="Verdana"/>
      <w:sz w:val="18"/>
      <w:lang w:val="en-GB"/>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444281"/>
    <w:pPr>
      <w:widowControl w:val="0"/>
      <w:autoSpaceDE w:val="0"/>
      <w:autoSpaceDN w:val="0"/>
      <w:adjustRightInd w:val="0"/>
    </w:pPr>
    <w:rPr>
      <w:b w:val="0"/>
      <w:sz w:val="22"/>
      <w:szCs w:val="22"/>
      <w:lang w:val="en-GB"/>
    </w:rPr>
  </w:style>
  <w:style w:type="character" w:customStyle="1" w:styleId="NormalIndentChar">
    <w:name w:val="Normal Indent Char"/>
    <w:link w:val="NormalIndent"/>
    <w:rsid w:val="007A4813"/>
    <w:rPr>
      <w:sz w:val="24"/>
      <w:lang w:val="fr-FR"/>
    </w:rPr>
  </w:style>
  <w:style w:type="character" w:customStyle="1" w:styleId="BulletPoint1Zchn">
    <w:name w:val="Bullet Point 1 Zchn"/>
    <w:basedOn w:val="NormalIndentChar"/>
    <w:link w:val="BulletPoint1"/>
    <w:rsid w:val="003165E6"/>
    <w:rPr>
      <w:rFonts w:ascii="Verdana" w:hAnsi="Verdana"/>
      <w:sz w:val="18"/>
      <w:lang w:val="en-GB" w:eastAsia="en-US"/>
    </w:rPr>
  </w:style>
  <w:style w:type="paragraph" w:customStyle="1" w:styleId="BulletPoint2">
    <w:name w:val="Bullet Point 2"/>
    <w:basedOn w:val="NormalIndent"/>
    <w:link w:val="BulletPoint2Char"/>
    <w:qFormat/>
    <w:rsid w:val="00EF51D6"/>
    <w:pPr>
      <w:numPr>
        <w:numId w:val="19"/>
      </w:numPr>
      <w:ind w:left="568" w:hanging="284"/>
      <w:contextualSpacing/>
    </w:pPr>
    <w:rPr>
      <w:rFonts w:ascii="Verdana" w:hAnsi="Verdana"/>
      <w:sz w:val="18"/>
      <w:lang w:val="en-GB"/>
    </w:rPr>
  </w:style>
  <w:style w:type="character" w:customStyle="1" w:styleId="HeadingChar">
    <w:name w:val="Heading Char"/>
    <w:link w:val="Heading"/>
    <w:rsid w:val="00444281"/>
    <w:rPr>
      <w:rFonts w:ascii="Verdana" w:hAnsi="Verdana"/>
      <w:b/>
      <w:caps/>
      <w:sz w:val="22"/>
      <w:szCs w:val="22"/>
      <w:lang w:val="en-GB" w:eastAsia="en-US"/>
    </w:rPr>
  </w:style>
  <w:style w:type="paragraph" w:customStyle="1" w:styleId="Body">
    <w:name w:val="Body"/>
    <w:basedOn w:val="Normal"/>
    <w:link w:val="BodyChar"/>
    <w:qFormat/>
    <w:rsid w:val="00952EF4"/>
    <w:rPr>
      <w:rFonts w:ascii="Verdana" w:hAnsi="Verdana"/>
      <w:sz w:val="18"/>
      <w:lang w:val="en-GB"/>
    </w:rPr>
  </w:style>
  <w:style w:type="character" w:customStyle="1" w:styleId="BulletPoint2Char">
    <w:name w:val="Bullet Point 2 Char"/>
    <w:link w:val="BulletPoint2"/>
    <w:rsid w:val="00EF51D6"/>
    <w:rPr>
      <w:rFonts w:ascii="Verdana" w:hAnsi="Verdana"/>
      <w:sz w:val="18"/>
      <w:lang w:val="en-GB" w:eastAsia="en-US"/>
    </w:rPr>
  </w:style>
  <w:style w:type="paragraph" w:customStyle="1" w:styleId="Heading20">
    <w:name w:val="Heading2"/>
    <w:basedOn w:val="Heading2"/>
    <w:link w:val="Heading2Char0"/>
    <w:autoRedefine/>
    <w:qFormat/>
    <w:rsid w:val="00EB0051"/>
    <w:pPr>
      <w:numPr>
        <w:ilvl w:val="0"/>
        <w:numId w:val="0"/>
      </w:numPr>
    </w:pPr>
    <w:rPr>
      <w:i/>
    </w:rPr>
  </w:style>
  <w:style w:type="character" w:customStyle="1" w:styleId="BodyChar">
    <w:name w:val="Body Char"/>
    <w:link w:val="Body"/>
    <w:rsid w:val="00952EF4"/>
    <w:rPr>
      <w:rFonts w:ascii="Verdana" w:hAnsi="Verdana"/>
      <w:sz w:val="18"/>
      <w:lang w:val="en-GB"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EB0051"/>
    <w:rPr>
      <w:rFonts w:ascii="Verdana" w:hAnsi="Verdana"/>
      <w:b/>
      <w:i/>
      <w:lang w:val="en-GB"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0"/>
    <w:qFormat/>
    <w:rsid w:val="001D2A51"/>
    <w:pPr>
      <w:ind w:left="0"/>
    </w:pPr>
    <w:rPr>
      <w:i/>
      <w:sz w:val="20"/>
    </w:rPr>
  </w:style>
  <w:style w:type="character" w:customStyle="1" w:styleId="SubtitleChar0">
    <w:name w:val="Subtitle_ Char"/>
    <w:basedOn w:val="Heading2Char0"/>
    <w:link w:val="Subtitle0"/>
    <w:rsid w:val="001D2A51"/>
    <w:rPr>
      <w:rFonts w:ascii="Verdana" w:hAnsi="Verdana"/>
      <w:b/>
      <w:i/>
      <w:sz w:val="24"/>
      <w:lang w:val="fr-FR" w:eastAsia="en-US"/>
    </w:rPr>
  </w:style>
  <w:style w:type="paragraph" w:customStyle="1" w:styleId="Headingone">
    <w:name w:val="Heading one"/>
    <w:basedOn w:val="Heading1"/>
    <w:link w:val="HeadingoneChar"/>
    <w:qFormat/>
    <w:rsid w:val="0038335A"/>
    <w:pPr>
      <w:ind w:left="480" w:hanging="480"/>
    </w:pPr>
    <w:rPr>
      <w:rFonts w:ascii="Verdana" w:hAnsi="Verdana"/>
      <w:bCs/>
      <w:caps/>
      <w:smallCaps w:val="0"/>
      <w:sz w:val="22"/>
      <w:szCs w:val="22"/>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oneChar">
    <w:name w:val="Heading one Char"/>
    <w:basedOn w:val="DefaultParagraphFont"/>
    <w:link w:val="Headingone"/>
    <w:rsid w:val="0038335A"/>
    <w:rPr>
      <w:rFonts w:ascii="Verdana" w:hAnsi="Verdana"/>
      <w:b/>
      <w:bCs/>
      <w:caps/>
      <w:sz w:val="22"/>
      <w:szCs w:val="22"/>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Default">
    <w:name w:val="Default"/>
    <w:rsid w:val="00A85D27"/>
    <w:pPr>
      <w:autoSpaceDE w:val="0"/>
      <w:autoSpaceDN w:val="0"/>
      <w:adjustRightInd w:val="0"/>
    </w:pPr>
    <w:rPr>
      <w:color w:val="000000"/>
      <w:sz w:val="24"/>
      <w:szCs w:val="24"/>
      <w:lang w:val="en-GB"/>
    </w:rPr>
  </w:style>
  <w:style w:type="paragraph" w:styleId="ListParagraph">
    <w:name w:val="List Paragraph"/>
    <w:basedOn w:val="Normal"/>
    <w:link w:val="ListParagraphChar"/>
    <w:uiPriority w:val="34"/>
    <w:qFormat/>
    <w:rsid w:val="00513E5A"/>
    <w:pPr>
      <w:spacing w:after="200" w:line="276" w:lineRule="auto"/>
      <w:ind w:left="720"/>
      <w:contextualSpacing/>
      <w:jc w:val="left"/>
    </w:pPr>
    <w:rPr>
      <w:rFonts w:ascii="Calibri" w:eastAsia="Calibri" w:hAnsi="Calibri"/>
      <w:sz w:val="22"/>
      <w:szCs w:val="22"/>
      <w:lang w:val="sv-SE"/>
    </w:rPr>
  </w:style>
  <w:style w:type="character" w:customStyle="1" w:styleId="ListParagraphChar">
    <w:name w:val="List Paragraph Char"/>
    <w:basedOn w:val="DefaultParagraphFont"/>
    <w:link w:val="ListParagraph"/>
    <w:uiPriority w:val="34"/>
    <w:rsid w:val="00513E5A"/>
    <w:rPr>
      <w:rFonts w:ascii="Calibri" w:eastAsia="Calibri" w:hAnsi="Calibri"/>
      <w:sz w:val="22"/>
      <w:szCs w:val="22"/>
      <w:lang w:val="sv-SE" w:eastAsia="en-US"/>
    </w:rPr>
  </w:style>
  <w:style w:type="character" w:styleId="CommentReference">
    <w:name w:val="annotation reference"/>
    <w:basedOn w:val="DefaultParagraphFont"/>
    <w:rsid w:val="0054037F"/>
    <w:rPr>
      <w:sz w:val="18"/>
      <w:szCs w:val="18"/>
    </w:rPr>
  </w:style>
  <w:style w:type="paragraph" w:styleId="CommentSubject">
    <w:name w:val="annotation subject"/>
    <w:basedOn w:val="CommentText"/>
    <w:next w:val="CommentText"/>
    <w:link w:val="CommentSubjectChar"/>
    <w:rsid w:val="0054037F"/>
    <w:rPr>
      <w:b/>
      <w:bCs/>
    </w:rPr>
  </w:style>
  <w:style w:type="character" w:customStyle="1" w:styleId="CommentTextChar">
    <w:name w:val="Comment Text Char"/>
    <w:basedOn w:val="DefaultParagraphFont"/>
    <w:link w:val="CommentText"/>
    <w:semiHidden/>
    <w:rsid w:val="0054037F"/>
    <w:rPr>
      <w:lang w:val="fr-FR" w:eastAsia="en-US"/>
    </w:rPr>
  </w:style>
  <w:style w:type="character" w:customStyle="1" w:styleId="CommentSubjectChar">
    <w:name w:val="Comment Subject Char"/>
    <w:basedOn w:val="CommentTextChar"/>
    <w:link w:val="CommentSubject"/>
    <w:rsid w:val="0054037F"/>
    <w:rPr>
      <w:b/>
      <w:bCs/>
      <w:lang w:val="fr-FR" w:eastAsia="en-US"/>
    </w:rPr>
  </w:style>
  <w:style w:type="paragraph" w:customStyle="1" w:styleId="CM1">
    <w:name w:val="CM1"/>
    <w:basedOn w:val="Default"/>
    <w:next w:val="Default"/>
    <w:uiPriority w:val="99"/>
    <w:rsid w:val="007D7B0D"/>
    <w:rPr>
      <w:rFonts w:ascii="EUAlbertina" w:hAnsi="EUAlbertina"/>
      <w:color w:val="auto"/>
      <w:lang w:val="sv-SE"/>
    </w:rPr>
  </w:style>
  <w:style w:type="paragraph" w:customStyle="1" w:styleId="CM3">
    <w:name w:val="CM3"/>
    <w:basedOn w:val="Default"/>
    <w:next w:val="Default"/>
    <w:uiPriority w:val="99"/>
    <w:rsid w:val="007D7B0D"/>
    <w:rPr>
      <w:rFonts w:ascii="EUAlbertina" w:hAnsi="EUAlbertina"/>
      <w:color w:val="auto"/>
      <w:lang w:val="sv-SE"/>
    </w:rPr>
  </w:style>
  <w:style w:type="character" w:customStyle="1" w:styleId="CaptionChar">
    <w:name w:val="Caption Char"/>
    <w:aliases w:val="Inscription Char,Beschriftung Char Char Char Char,Beschriftung Char Char,FigureText Char,FigureText1 Char,FigureText2 Char,FigureText3 Char,FigureText11 Char,FigureText21 Char"/>
    <w:link w:val="Caption"/>
    <w:uiPriority w:val="35"/>
    <w:rsid w:val="00755808"/>
    <w:rPr>
      <w:b/>
      <w:sz w:val="24"/>
      <w:lang w:val="fr-FR" w:eastAsia="en-US"/>
    </w:rPr>
  </w:style>
  <w:style w:type="paragraph" w:customStyle="1" w:styleId="HeadingBody">
    <w:name w:val="Heading Body"/>
    <w:basedOn w:val="Normal"/>
    <w:link w:val="HeadingBodyChar"/>
    <w:qFormat/>
    <w:rsid w:val="00755808"/>
    <w:pPr>
      <w:spacing w:after="120"/>
    </w:pPr>
    <w:rPr>
      <w:rFonts w:ascii="Verdana" w:hAnsi="Verdana"/>
      <w:b/>
      <w:sz w:val="20"/>
      <w:szCs w:val="18"/>
      <w:lang w:val="en-GB"/>
    </w:rPr>
  </w:style>
  <w:style w:type="character" w:customStyle="1" w:styleId="HeadingBodyChar">
    <w:name w:val="Heading Body Char"/>
    <w:basedOn w:val="DefaultParagraphFont"/>
    <w:link w:val="HeadingBody"/>
    <w:rsid w:val="00755808"/>
    <w:rPr>
      <w:rFonts w:ascii="Verdana" w:hAnsi="Verdana"/>
      <w:b/>
      <w:szCs w:val="18"/>
      <w:lang w:val="en-GB" w:eastAsia="en-US"/>
    </w:rPr>
  </w:style>
  <w:style w:type="character" w:styleId="PageNumber">
    <w:name w:val="page number"/>
    <w:basedOn w:val="DefaultParagraphFont"/>
    <w:rsid w:val="0020728A"/>
  </w:style>
  <w:style w:type="paragraph" w:styleId="Revision">
    <w:name w:val="Revision"/>
    <w:hidden/>
    <w:uiPriority w:val="99"/>
    <w:semiHidden/>
    <w:rsid w:val="001A7525"/>
    <w:rPr>
      <w:sz w:val="24"/>
      <w:lang w:val="fr-FR" w:eastAsia="en-US"/>
    </w:rPr>
  </w:style>
  <w:style w:type="character" w:styleId="IntenseEmphasis">
    <w:name w:val="Intense Emphasis"/>
    <w:basedOn w:val="DefaultParagraphFont"/>
    <w:uiPriority w:val="21"/>
    <w:qFormat/>
    <w:rsid w:val="003C396F"/>
    <w:rPr>
      <w:b/>
      <w:bCs/>
      <w:i/>
      <w:iCs/>
      <w:color w:val="4F81BD" w:themeColor="accent1"/>
    </w:rPr>
  </w:style>
  <w:style w:type="paragraph" w:customStyle="1" w:styleId="doc-ti">
    <w:name w:val="doc-ti"/>
    <w:basedOn w:val="Normal"/>
    <w:rsid w:val="00F55266"/>
    <w:pPr>
      <w:spacing w:before="100" w:beforeAutospacing="1" w:after="100" w:afterAutospacing="1"/>
      <w:jc w:val="left"/>
    </w:pPr>
    <w:rPr>
      <w:rFonts w:ascii="Times" w:hAnsi="Times"/>
      <w:sz w:val="20"/>
      <w:lang w:val="en-US"/>
    </w:rPr>
  </w:style>
  <w:style w:type="paragraph" w:customStyle="1" w:styleId="ti-grseq-1">
    <w:name w:val="ti-grseq-1"/>
    <w:basedOn w:val="Normal"/>
    <w:rsid w:val="00F55266"/>
    <w:pPr>
      <w:spacing w:before="100" w:beforeAutospacing="1" w:after="100" w:afterAutospacing="1"/>
      <w:jc w:val="left"/>
    </w:pPr>
    <w:rPr>
      <w:rFonts w:ascii="Times" w:hAnsi="Times"/>
      <w:sz w:val="20"/>
      <w:lang w:val="en-US"/>
    </w:rPr>
  </w:style>
  <w:style w:type="character" w:customStyle="1" w:styleId="bold">
    <w:name w:val="bold"/>
    <w:basedOn w:val="DefaultParagraphFont"/>
    <w:rsid w:val="00F55266"/>
  </w:style>
  <w:style w:type="paragraph" w:customStyle="1" w:styleId="tbl-hdr">
    <w:name w:val="tbl-hdr"/>
    <w:basedOn w:val="Normal"/>
    <w:rsid w:val="00F55266"/>
    <w:pPr>
      <w:spacing w:before="100" w:beforeAutospacing="1" w:after="100" w:afterAutospacing="1"/>
      <w:jc w:val="left"/>
    </w:pPr>
    <w:rPr>
      <w:rFonts w:ascii="Times" w:hAnsi="Times"/>
      <w:sz w:val="20"/>
      <w:lang w:val="en-US"/>
    </w:rPr>
  </w:style>
  <w:style w:type="paragraph" w:customStyle="1" w:styleId="Figure">
    <w:name w:val="Figure"/>
    <w:basedOn w:val="Body"/>
    <w:next w:val="Body"/>
    <w:link w:val="FigureChar"/>
    <w:autoRedefine/>
    <w:qFormat/>
    <w:rsid w:val="00EF0A14"/>
    <w:pPr>
      <w:keepNext/>
      <w:numPr>
        <w:numId w:val="26"/>
      </w:numPr>
      <w:spacing w:before="120" w:after="120"/>
      <w:jc w:val="left"/>
    </w:pPr>
    <w:rPr>
      <w:b/>
      <w:color w:val="000000" w:themeColor="text1"/>
      <w:sz w:val="16"/>
    </w:rPr>
  </w:style>
  <w:style w:type="character" w:customStyle="1" w:styleId="FigureChar">
    <w:name w:val="Figure Char"/>
    <w:basedOn w:val="BodyChar"/>
    <w:link w:val="Figure"/>
    <w:rsid w:val="00EF0A14"/>
    <w:rPr>
      <w:rFonts w:ascii="Verdana" w:hAnsi="Verdana"/>
      <w:b/>
      <w:color w:val="000000" w:themeColor="text1"/>
      <w:sz w:val="16"/>
      <w:lang w:val="en-GB" w:eastAsia="en-US"/>
    </w:rPr>
  </w:style>
  <w:style w:type="paragraph" w:customStyle="1" w:styleId="BeschriftungTab">
    <w:name w:val="Beschriftung_Tab"/>
    <w:basedOn w:val="Caption"/>
    <w:qFormat/>
    <w:rsid w:val="00B624F3"/>
    <w:pPr>
      <w:keepNext/>
      <w:ind w:left="851" w:hanging="851"/>
      <w:jc w:val="left"/>
    </w:pPr>
    <w:rPr>
      <w:rFonts w:ascii="Humnst777 BT" w:hAnsi="Humnst777 BT"/>
      <w:b w:val="0"/>
      <w:sz w:val="16"/>
      <w:szCs w:val="16"/>
      <w:lang w:val="en-GB" w:eastAsia="de-DE"/>
    </w:rPr>
  </w:style>
  <w:style w:type="paragraph" w:customStyle="1" w:styleId="Aufzhlung">
    <w:name w:val="Aufzählung"/>
    <w:basedOn w:val="ListBullet"/>
    <w:qFormat/>
    <w:rsid w:val="00B624F3"/>
    <w:pPr>
      <w:spacing w:after="120" w:line="280" w:lineRule="atLeast"/>
    </w:pPr>
    <w:rPr>
      <w:rFonts w:ascii="Humnst777 Lt BT" w:hAnsi="Humnst777 Lt BT"/>
      <w:sz w:val="20"/>
      <w:lang w:val="en-GB" w:eastAsia="de-DE"/>
    </w:rPr>
  </w:style>
  <w:style w:type="paragraph" w:customStyle="1" w:styleId="Table">
    <w:name w:val="Table"/>
    <w:basedOn w:val="Figure"/>
    <w:link w:val="TableChar"/>
    <w:qFormat/>
    <w:rsid w:val="00F2633F"/>
    <w:pPr>
      <w:numPr>
        <w:numId w:val="27"/>
      </w:numPr>
      <w:tabs>
        <w:tab w:val="clear" w:pos="1844"/>
      </w:tabs>
      <w:ind w:left="993" w:hanging="993"/>
    </w:pPr>
    <w:rPr>
      <w:szCs w:val="16"/>
    </w:rPr>
  </w:style>
  <w:style w:type="character" w:customStyle="1" w:styleId="TableChar">
    <w:name w:val="Table Char"/>
    <w:basedOn w:val="FigureChar"/>
    <w:link w:val="Table"/>
    <w:rsid w:val="00F2633F"/>
    <w:rPr>
      <w:rFonts w:ascii="Verdana" w:hAnsi="Verdana"/>
      <w:b/>
      <w:color w:val="000000" w:themeColor="text1"/>
      <w:sz w:val="16"/>
      <w:szCs w:val="16"/>
      <w:lang w:val="en-GB" w:eastAsia="en-US"/>
    </w:rPr>
  </w:style>
  <w:style w:type="character" w:customStyle="1" w:styleId="FootnoteTextChar">
    <w:name w:val="Footnote Text Char"/>
    <w:aliases w:val="Footnote Char,fn Char,single space Char,FOOTNOTES Char,Schriftart: 9 pt Char,Schriftart: 10 pt Char,Schriftart: 8 pt Char,Podrozdział Char,o Char,Footnote Text Char2 Char,Footnote Text Char1 Char Char,Char Char Char"/>
    <w:basedOn w:val="DefaultParagraphFont"/>
    <w:link w:val="FootnoteText"/>
    <w:rsid w:val="00E5279B"/>
    <w:rPr>
      <w:rFonts w:ascii="Verdana" w:hAnsi="Verdana"/>
      <w:sz w:val="16"/>
      <w:lang w:val="en-GB" w:eastAsia="en-US"/>
    </w:rPr>
  </w:style>
  <w:style w:type="character" w:customStyle="1" w:styleId="BodyZchn">
    <w:name w:val="Body Zchn"/>
    <w:rsid w:val="00B624F3"/>
    <w:rPr>
      <w:rFonts w:ascii="Verdana" w:hAnsi="Verdana"/>
      <w:sz w:val="18"/>
      <w:lang w:val="en-GB" w:eastAsia="en-US"/>
    </w:rPr>
  </w:style>
  <w:style w:type="character" w:customStyle="1" w:styleId="FooterChar2">
    <w:name w:val="Footer Char2"/>
    <w:uiPriority w:val="99"/>
    <w:rsid w:val="00B624F3"/>
    <w:rPr>
      <w:rFonts w:ascii="Arial" w:hAnsi="Arial"/>
      <w:sz w:val="16"/>
      <w:lang w:val="fr-FR"/>
    </w:rPr>
  </w:style>
  <w:style w:type="character" w:customStyle="1" w:styleId="Heading1Char">
    <w:name w:val="Heading 1 Char"/>
    <w:basedOn w:val="DefaultParagraphFont"/>
    <w:link w:val="Heading1"/>
    <w:rsid w:val="00835DFD"/>
    <w:rPr>
      <w:b/>
      <w:smallCaps/>
      <w:sz w:val="24"/>
      <w:lang w:val="fr-FR" w:eastAsia="en-US"/>
    </w:rPr>
  </w:style>
  <w:style w:type="character" w:customStyle="1" w:styleId="Heading2Char">
    <w:name w:val="Heading 2 Char"/>
    <w:basedOn w:val="DefaultParagraphFont"/>
    <w:link w:val="Heading2"/>
    <w:rsid w:val="00A0452B"/>
    <w:rPr>
      <w:rFonts w:ascii="Verdana" w:hAnsi="Verdana"/>
      <w:b/>
      <w:lang w:val="en-GB" w:eastAsia="en-US"/>
    </w:rPr>
  </w:style>
  <w:style w:type="character" w:customStyle="1" w:styleId="Heading3Char">
    <w:name w:val="Heading 3 Char"/>
    <w:basedOn w:val="DefaultParagraphFont"/>
    <w:link w:val="Heading3"/>
    <w:rsid w:val="00AF502E"/>
    <w:rPr>
      <w:rFonts w:ascii="Verdana" w:hAnsi="Verdana"/>
      <w:lang w:val="fr-FR" w:eastAsia="en-US"/>
    </w:rPr>
  </w:style>
  <w:style w:type="character" w:customStyle="1" w:styleId="Heading4Char">
    <w:name w:val="Heading 4 Char"/>
    <w:basedOn w:val="DefaultParagraphFont"/>
    <w:link w:val="Heading4"/>
    <w:rsid w:val="00D57A25"/>
    <w:rPr>
      <w:rFonts w:ascii="Verdana" w:hAnsi="Verdana"/>
      <w:lang w:val="fr-FR" w:eastAsia="en-US"/>
    </w:rPr>
  </w:style>
  <w:style w:type="character" w:customStyle="1" w:styleId="Heading5Char">
    <w:name w:val="Heading 5 Char"/>
    <w:basedOn w:val="DefaultParagraphFont"/>
    <w:link w:val="Heading5"/>
    <w:rsid w:val="00B624F3"/>
    <w:rPr>
      <w:rFonts w:ascii="Arial" w:hAnsi="Arial"/>
      <w:sz w:val="22"/>
      <w:lang w:val="fr-FR" w:eastAsia="en-US"/>
    </w:rPr>
  </w:style>
  <w:style w:type="character" w:customStyle="1" w:styleId="Heading6Char">
    <w:name w:val="Heading 6 Char"/>
    <w:basedOn w:val="DefaultParagraphFont"/>
    <w:link w:val="Heading6"/>
    <w:rsid w:val="00B624F3"/>
    <w:rPr>
      <w:rFonts w:ascii="Arial" w:hAnsi="Arial"/>
      <w:i/>
      <w:sz w:val="22"/>
      <w:lang w:val="fr-FR" w:eastAsia="en-US"/>
    </w:rPr>
  </w:style>
  <w:style w:type="character" w:customStyle="1" w:styleId="Heading7Char">
    <w:name w:val="Heading 7 Char"/>
    <w:basedOn w:val="DefaultParagraphFont"/>
    <w:link w:val="Heading7"/>
    <w:rsid w:val="00B624F3"/>
    <w:rPr>
      <w:rFonts w:ascii="Arial" w:hAnsi="Arial"/>
      <w:lang w:val="fr-FR" w:eastAsia="en-US"/>
    </w:rPr>
  </w:style>
  <w:style w:type="character" w:customStyle="1" w:styleId="Heading8Char">
    <w:name w:val="Heading 8 Char"/>
    <w:basedOn w:val="DefaultParagraphFont"/>
    <w:link w:val="Heading8"/>
    <w:rsid w:val="00B624F3"/>
    <w:rPr>
      <w:rFonts w:ascii="Arial" w:hAnsi="Arial"/>
      <w:i/>
      <w:lang w:val="fr-FR" w:eastAsia="en-US"/>
    </w:rPr>
  </w:style>
  <w:style w:type="character" w:customStyle="1" w:styleId="Heading9Char">
    <w:name w:val="Heading 9 Char"/>
    <w:basedOn w:val="DefaultParagraphFont"/>
    <w:link w:val="Heading9"/>
    <w:rsid w:val="00B624F3"/>
    <w:rPr>
      <w:rFonts w:ascii="Arial" w:hAnsi="Arial"/>
      <w:i/>
      <w:sz w:val="18"/>
      <w:lang w:val="fr-FR" w:eastAsia="en-US"/>
    </w:rPr>
  </w:style>
  <w:style w:type="character" w:customStyle="1" w:styleId="BodyTextChar">
    <w:name w:val="Body Text Char"/>
    <w:basedOn w:val="DefaultParagraphFont"/>
    <w:link w:val="BodyText"/>
    <w:rsid w:val="00B624F3"/>
    <w:rPr>
      <w:sz w:val="24"/>
      <w:lang w:val="fr-FR" w:eastAsia="en-US"/>
    </w:rPr>
  </w:style>
  <w:style w:type="character" w:customStyle="1" w:styleId="BodyText2Char">
    <w:name w:val="Body Text 2 Char"/>
    <w:basedOn w:val="DefaultParagraphFont"/>
    <w:link w:val="BodyText2"/>
    <w:rsid w:val="00B624F3"/>
    <w:rPr>
      <w:sz w:val="24"/>
      <w:lang w:val="fr-FR" w:eastAsia="en-US"/>
    </w:rPr>
  </w:style>
  <w:style w:type="character" w:customStyle="1" w:styleId="BodyText3Char">
    <w:name w:val="Body Text 3 Char"/>
    <w:basedOn w:val="DefaultParagraphFont"/>
    <w:link w:val="BodyText3"/>
    <w:rsid w:val="00B624F3"/>
    <w:rPr>
      <w:sz w:val="16"/>
      <w:lang w:val="fr-FR" w:eastAsia="en-US"/>
    </w:rPr>
  </w:style>
  <w:style w:type="character" w:customStyle="1" w:styleId="BodyTextFirstIndentChar">
    <w:name w:val="Body Text First Indent Char"/>
    <w:basedOn w:val="BodyTextChar"/>
    <w:link w:val="BodyTextFirstIndent"/>
    <w:rsid w:val="00B624F3"/>
    <w:rPr>
      <w:sz w:val="24"/>
      <w:lang w:val="fr-FR" w:eastAsia="en-US"/>
    </w:rPr>
  </w:style>
  <w:style w:type="character" w:customStyle="1" w:styleId="BodyTextIndentChar">
    <w:name w:val="Body Text Indent Char"/>
    <w:basedOn w:val="DefaultParagraphFont"/>
    <w:link w:val="BodyTextIndent"/>
    <w:rsid w:val="00B624F3"/>
    <w:rPr>
      <w:sz w:val="24"/>
      <w:lang w:val="fr-FR" w:eastAsia="en-US"/>
    </w:rPr>
  </w:style>
  <w:style w:type="character" w:customStyle="1" w:styleId="BodyTextFirstIndent2Char">
    <w:name w:val="Body Text First Indent 2 Char"/>
    <w:basedOn w:val="BodyTextIndentChar"/>
    <w:link w:val="BodyTextFirstIndent2"/>
    <w:rsid w:val="00B624F3"/>
    <w:rPr>
      <w:sz w:val="24"/>
      <w:lang w:val="fr-FR" w:eastAsia="en-US"/>
    </w:rPr>
  </w:style>
  <w:style w:type="character" w:customStyle="1" w:styleId="BodyTextIndent2Char">
    <w:name w:val="Body Text Indent 2 Char"/>
    <w:basedOn w:val="DefaultParagraphFont"/>
    <w:link w:val="BodyTextIndent2"/>
    <w:rsid w:val="00B624F3"/>
    <w:rPr>
      <w:sz w:val="24"/>
      <w:lang w:val="fr-FR" w:eastAsia="en-US"/>
    </w:rPr>
  </w:style>
  <w:style w:type="character" w:customStyle="1" w:styleId="BodyTextIndent3Char">
    <w:name w:val="Body Text Indent 3 Char"/>
    <w:basedOn w:val="DefaultParagraphFont"/>
    <w:link w:val="BodyTextIndent3"/>
    <w:rsid w:val="00B624F3"/>
    <w:rPr>
      <w:sz w:val="16"/>
      <w:lang w:val="fr-FR" w:eastAsia="en-US"/>
    </w:rPr>
  </w:style>
  <w:style w:type="character" w:customStyle="1" w:styleId="ClosingChar">
    <w:name w:val="Closing Char"/>
    <w:basedOn w:val="DefaultParagraphFont"/>
    <w:link w:val="Closing"/>
    <w:rsid w:val="00B624F3"/>
    <w:rPr>
      <w:sz w:val="24"/>
      <w:lang w:val="fr-FR" w:eastAsia="en-US"/>
    </w:rPr>
  </w:style>
  <w:style w:type="character" w:customStyle="1" w:styleId="DateChar">
    <w:name w:val="Date Char"/>
    <w:basedOn w:val="DefaultParagraphFont"/>
    <w:link w:val="Date"/>
    <w:rsid w:val="00B624F3"/>
    <w:rPr>
      <w:sz w:val="24"/>
      <w:lang w:val="fr-FR" w:eastAsia="en-US"/>
    </w:rPr>
  </w:style>
  <w:style w:type="character" w:customStyle="1" w:styleId="DocumentMapChar">
    <w:name w:val="Document Map Char"/>
    <w:basedOn w:val="DefaultParagraphFont"/>
    <w:link w:val="DocumentMap"/>
    <w:uiPriority w:val="99"/>
    <w:semiHidden/>
    <w:rsid w:val="00B624F3"/>
    <w:rPr>
      <w:rFonts w:ascii="Tahoma" w:hAnsi="Tahoma"/>
      <w:sz w:val="24"/>
      <w:shd w:val="clear" w:color="auto" w:fill="000080"/>
      <w:lang w:val="fr-FR" w:eastAsia="en-US"/>
    </w:rPr>
  </w:style>
  <w:style w:type="character" w:customStyle="1" w:styleId="EndnoteTextChar">
    <w:name w:val="Endnote Text Char"/>
    <w:basedOn w:val="DefaultParagraphFont"/>
    <w:link w:val="EndnoteText"/>
    <w:semiHidden/>
    <w:rsid w:val="00B624F3"/>
    <w:rPr>
      <w:lang w:val="fr-FR" w:eastAsia="en-US"/>
    </w:rPr>
  </w:style>
  <w:style w:type="character" w:customStyle="1" w:styleId="MacroTextChar">
    <w:name w:val="Macro Text Char"/>
    <w:basedOn w:val="DefaultParagraphFont"/>
    <w:link w:val="MacroText"/>
    <w:semiHidden/>
    <w:rsid w:val="00B624F3"/>
    <w:rPr>
      <w:rFonts w:ascii="Courier New" w:hAnsi="Courier New"/>
      <w:lang w:val="en-GB" w:eastAsia="en-US"/>
    </w:rPr>
  </w:style>
  <w:style w:type="character" w:customStyle="1" w:styleId="MessageHeaderChar">
    <w:name w:val="Message Header Char"/>
    <w:basedOn w:val="DefaultParagraphFont"/>
    <w:link w:val="MessageHeader"/>
    <w:rsid w:val="00B624F3"/>
    <w:rPr>
      <w:rFonts w:ascii="Arial" w:hAnsi="Arial"/>
      <w:sz w:val="24"/>
      <w:shd w:val="pct20" w:color="auto" w:fill="auto"/>
      <w:lang w:val="fr-FR" w:eastAsia="en-US"/>
    </w:rPr>
  </w:style>
  <w:style w:type="character" w:customStyle="1" w:styleId="NoteHeadingChar">
    <w:name w:val="Note Heading Char"/>
    <w:basedOn w:val="DefaultParagraphFont"/>
    <w:link w:val="NoteHeading"/>
    <w:rsid w:val="00B624F3"/>
    <w:rPr>
      <w:sz w:val="24"/>
      <w:lang w:val="fr-FR" w:eastAsia="en-US"/>
    </w:rPr>
  </w:style>
  <w:style w:type="character" w:customStyle="1" w:styleId="PlainTextChar">
    <w:name w:val="Plain Text Char"/>
    <w:basedOn w:val="DefaultParagraphFont"/>
    <w:link w:val="PlainText"/>
    <w:rsid w:val="00B624F3"/>
    <w:rPr>
      <w:rFonts w:ascii="Courier New" w:hAnsi="Courier New"/>
      <w:lang w:val="fr-FR" w:eastAsia="en-US"/>
    </w:rPr>
  </w:style>
  <w:style w:type="character" w:customStyle="1" w:styleId="SalutationChar">
    <w:name w:val="Salutation Char"/>
    <w:basedOn w:val="DefaultParagraphFont"/>
    <w:link w:val="Salutation"/>
    <w:rsid w:val="00B624F3"/>
    <w:rPr>
      <w:sz w:val="24"/>
      <w:lang w:val="fr-FR" w:eastAsia="en-US"/>
    </w:rPr>
  </w:style>
  <w:style w:type="character" w:customStyle="1" w:styleId="SignatureChar">
    <w:name w:val="Signature Char"/>
    <w:basedOn w:val="DefaultParagraphFont"/>
    <w:link w:val="Signature"/>
    <w:rsid w:val="00B624F3"/>
    <w:rPr>
      <w:sz w:val="24"/>
      <w:lang w:val="fr-FR" w:eastAsia="en-US"/>
    </w:rPr>
  </w:style>
  <w:style w:type="character" w:customStyle="1" w:styleId="SubtitleChar">
    <w:name w:val="Subtitle Char"/>
    <w:basedOn w:val="DefaultParagraphFont"/>
    <w:link w:val="Subtitle"/>
    <w:rsid w:val="00B624F3"/>
    <w:rPr>
      <w:rFonts w:ascii="Arial" w:hAnsi="Arial"/>
      <w:sz w:val="24"/>
      <w:lang w:val="fr-FR" w:eastAsia="en-US"/>
    </w:rPr>
  </w:style>
  <w:style w:type="character" w:customStyle="1" w:styleId="TitleChar">
    <w:name w:val="Title Char"/>
    <w:basedOn w:val="DefaultParagraphFont"/>
    <w:link w:val="Title"/>
    <w:rsid w:val="00B624F3"/>
    <w:rPr>
      <w:b/>
      <w:kern w:val="28"/>
      <w:sz w:val="48"/>
      <w:lang w:val="fr-FR" w:eastAsia="en-US"/>
    </w:rPr>
  </w:style>
  <w:style w:type="character" w:styleId="SubtleEmphasis">
    <w:name w:val="Subtle Emphasis"/>
    <w:basedOn w:val="DefaultParagraphFont"/>
    <w:uiPriority w:val="19"/>
    <w:qFormat/>
    <w:rsid w:val="00B624F3"/>
    <w:rPr>
      <w:i/>
      <w:iCs/>
      <w:color w:val="808080" w:themeColor="text1" w:themeTint="7F"/>
    </w:rPr>
  </w:style>
  <w:style w:type="character" w:customStyle="1" w:styleId="apple-converted-space">
    <w:name w:val="apple-converted-space"/>
    <w:basedOn w:val="DefaultParagraphFont"/>
    <w:rsid w:val="00B624F3"/>
  </w:style>
  <w:style w:type="character" w:styleId="Strong">
    <w:name w:val="Strong"/>
    <w:basedOn w:val="DefaultParagraphFont"/>
    <w:uiPriority w:val="22"/>
    <w:qFormat/>
    <w:rsid w:val="00B624F3"/>
    <w:rPr>
      <w:b/>
      <w:bCs/>
    </w:rPr>
  </w:style>
  <w:style w:type="paragraph" w:styleId="NoSpacing">
    <w:name w:val="No Spacing"/>
    <w:uiPriority w:val="1"/>
    <w:qFormat/>
    <w:rsid w:val="00B624F3"/>
    <w:rPr>
      <w:rFonts w:asciiTheme="minorHAnsi" w:eastAsiaTheme="minorHAnsi" w:hAnsiTheme="minorHAnsi" w:cstheme="minorBidi"/>
      <w:sz w:val="22"/>
      <w:szCs w:val="22"/>
      <w:lang w:val="en-US" w:eastAsia="en-US"/>
    </w:rPr>
  </w:style>
  <w:style w:type="paragraph" w:styleId="NormalWeb">
    <w:name w:val="Normal (Web)"/>
    <w:basedOn w:val="Normal"/>
    <w:uiPriority w:val="99"/>
    <w:unhideWhenUsed/>
    <w:rsid w:val="00952EF4"/>
    <w:pPr>
      <w:spacing w:before="100" w:beforeAutospacing="1" w:after="119"/>
      <w:jc w:val="left"/>
    </w:pPr>
    <w:rPr>
      <w:szCs w:val="24"/>
      <w:lang w:val="en-CA" w:eastAsia="en-CA"/>
    </w:rPr>
  </w:style>
  <w:style w:type="paragraph" w:customStyle="1" w:styleId="Abbildung">
    <w:name w:val="Abbildung"/>
    <w:basedOn w:val="Body"/>
    <w:rsid w:val="00D57A25"/>
    <w:pPr>
      <w:spacing w:after="0"/>
      <w:jc w:val="left"/>
    </w:pPr>
    <w:rPr>
      <w:noProof/>
      <w:sz w:val="20"/>
      <w:lang w:val="de-AT" w:eastAsia="de-AT"/>
    </w:rPr>
  </w:style>
  <w:style w:type="paragraph" w:customStyle="1" w:styleId="Source">
    <w:name w:val="Source"/>
    <w:basedOn w:val="Body"/>
    <w:rsid w:val="00D57A25"/>
    <w:pPr>
      <w:spacing w:before="80"/>
      <w:jc w:val="left"/>
    </w:pPr>
    <w:rPr>
      <w:sz w:val="16"/>
      <w:szCs w:val="16"/>
    </w:rPr>
  </w:style>
  <w:style w:type="paragraph" w:customStyle="1" w:styleId="Tabletext">
    <w:name w:val="Table_text"/>
    <w:basedOn w:val="Body"/>
    <w:rsid w:val="007F6DD7"/>
    <w:pPr>
      <w:spacing w:before="20" w:after="20"/>
      <w:jc w:val="left"/>
    </w:pPr>
    <w:rPr>
      <w:sz w:val="16"/>
      <w:szCs w:val="16"/>
    </w:rPr>
  </w:style>
  <w:style w:type="paragraph" w:customStyle="1" w:styleId="Tabelle">
    <w:name w:val="Tabelle"/>
    <w:basedOn w:val="Normal"/>
    <w:rsid w:val="006336CA"/>
    <w:pPr>
      <w:spacing w:before="40" w:after="40"/>
      <w:jc w:val="left"/>
    </w:pPr>
    <w:rPr>
      <w:rFonts w:ascii="Humnst777 Lt BT" w:hAnsi="Humnst777 Lt BT" w:cs="Arial"/>
      <w:sz w:val="16"/>
      <w:lang w:val="en-GB" w:eastAsia="de-DE"/>
    </w:rPr>
  </w:style>
  <w:style w:type="paragraph" w:customStyle="1" w:styleId="Zwischenberschrift">
    <w:name w:val="Zwischenüberschrift"/>
    <w:basedOn w:val="Body"/>
    <w:next w:val="Body"/>
    <w:rsid w:val="00843C65"/>
    <w:pPr>
      <w:keepNext/>
      <w:spacing w:before="120"/>
      <w:jc w:val="left"/>
    </w:pPr>
    <w:rPr>
      <w:b/>
      <w:bCs/>
    </w:rPr>
  </w:style>
  <w:style w:type="paragraph" w:customStyle="1" w:styleId="berschrift1Annex">
    <w:name w:val="Überschrift 1_Annex"/>
    <w:basedOn w:val="Headingone"/>
    <w:next w:val="Body"/>
    <w:rsid w:val="002760C1"/>
    <w:pPr>
      <w:numPr>
        <w:numId w:val="43"/>
      </w:numPr>
      <w:ind w:left="709" w:hanging="709"/>
    </w:pPr>
  </w:style>
  <w:style w:type="paragraph" w:customStyle="1" w:styleId="berschrift2Annex">
    <w:name w:val="Überschrift 2_Annex"/>
    <w:basedOn w:val="Heading2"/>
    <w:next w:val="Body"/>
    <w:rsid w:val="002760C1"/>
    <w:pPr>
      <w:numPr>
        <w:numId w:val="43"/>
      </w:numPr>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Hyperlink" w:uiPriority="99"/>
    <w:lsdException w:name="Strong" w:semiHidden="0" w:uiPriority="22" w:unhideWhenUsed="0" w:qFormat="1"/>
    <w:lsdException w:name="Emphasis" w:semiHidden="0" w:unhideWhenUsed="0"/>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35DFD"/>
    <w:pPr>
      <w:spacing w:after="240"/>
      <w:jc w:val="both"/>
    </w:pPr>
    <w:rPr>
      <w:sz w:val="24"/>
      <w:lang w:val="fr-FR" w:eastAsia="en-US"/>
    </w:rPr>
  </w:style>
  <w:style w:type="paragraph" w:styleId="Heading1">
    <w:name w:val="heading 1"/>
    <w:basedOn w:val="Normal"/>
    <w:next w:val="Text1"/>
    <w:link w:val="Heading1Char"/>
    <w:rsid w:val="00835DFD"/>
    <w:pPr>
      <w:keepNext/>
      <w:pageBreakBefore/>
      <w:numPr>
        <w:numId w:val="3"/>
      </w:numPr>
      <w:spacing w:after="480"/>
      <w:ind w:left="482" w:hanging="482"/>
      <w:jc w:val="left"/>
      <w:outlineLvl w:val="0"/>
    </w:pPr>
    <w:rPr>
      <w:b/>
      <w:smallCaps/>
    </w:rPr>
  </w:style>
  <w:style w:type="paragraph" w:styleId="Heading2">
    <w:name w:val="heading 2"/>
    <w:basedOn w:val="Normal"/>
    <w:next w:val="Text2"/>
    <w:link w:val="Heading2Char"/>
    <w:qFormat/>
    <w:rsid w:val="00A0452B"/>
    <w:pPr>
      <w:keepNext/>
      <w:numPr>
        <w:ilvl w:val="1"/>
        <w:numId w:val="3"/>
      </w:numPr>
      <w:tabs>
        <w:tab w:val="clear" w:pos="1200"/>
      </w:tabs>
      <w:spacing w:before="360"/>
      <w:ind w:left="567" w:hanging="567"/>
      <w:jc w:val="left"/>
      <w:outlineLvl w:val="1"/>
    </w:pPr>
    <w:rPr>
      <w:rFonts w:ascii="Verdana" w:hAnsi="Verdana"/>
      <w:b/>
      <w:sz w:val="20"/>
      <w:lang w:val="en-GB"/>
    </w:rPr>
  </w:style>
  <w:style w:type="paragraph" w:styleId="Heading3">
    <w:name w:val="heading 3"/>
    <w:basedOn w:val="Normal"/>
    <w:next w:val="Text3"/>
    <w:link w:val="Heading3Char"/>
    <w:qFormat/>
    <w:rsid w:val="00AF502E"/>
    <w:pPr>
      <w:keepNext/>
      <w:numPr>
        <w:ilvl w:val="2"/>
        <w:numId w:val="3"/>
      </w:numPr>
      <w:tabs>
        <w:tab w:val="clear" w:pos="1920"/>
      </w:tabs>
      <w:spacing w:before="240"/>
      <w:ind w:left="709" w:hanging="709"/>
      <w:jc w:val="left"/>
      <w:outlineLvl w:val="2"/>
    </w:pPr>
    <w:rPr>
      <w:rFonts w:ascii="Verdana" w:hAnsi="Verdana"/>
      <w:sz w:val="20"/>
    </w:rPr>
  </w:style>
  <w:style w:type="paragraph" w:styleId="Heading4">
    <w:name w:val="heading 4"/>
    <w:basedOn w:val="Normal"/>
    <w:next w:val="Text4"/>
    <w:link w:val="Heading4Char"/>
    <w:autoRedefine/>
    <w:rsid w:val="00D57A25"/>
    <w:pPr>
      <w:keepNext/>
      <w:numPr>
        <w:ilvl w:val="3"/>
        <w:numId w:val="3"/>
      </w:numPr>
      <w:tabs>
        <w:tab w:val="clear" w:pos="1920"/>
      </w:tabs>
      <w:spacing w:before="240"/>
      <w:ind w:left="851" w:hanging="851"/>
      <w:jc w:val="left"/>
      <w:outlineLvl w:val="3"/>
    </w:pPr>
    <w:rPr>
      <w:rFonts w:ascii="Verdana" w:hAnsi="Verdana"/>
      <w:sz w:val="20"/>
    </w:rPr>
  </w:style>
  <w:style w:type="paragraph" w:styleId="Heading5">
    <w:name w:val="heading 5"/>
    <w:basedOn w:val="Normal"/>
    <w:next w:val="Normal"/>
    <w:link w:val="Heading5Char"/>
    <w:rsid w:val="00461D0A"/>
    <w:pPr>
      <w:tabs>
        <w:tab w:val="num" w:pos="0"/>
      </w:tabs>
      <w:spacing w:before="240" w:after="60"/>
      <w:outlineLvl w:val="4"/>
    </w:pPr>
    <w:rPr>
      <w:rFonts w:ascii="Arial" w:hAnsi="Arial"/>
      <w:sz w:val="22"/>
    </w:rPr>
  </w:style>
  <w:style w:type="paragraph" w:styleId="Heading6">
    <w:name w:val="heading 6"/>
    <w:basedOn w:val="Normal"/>
    <w:next w:val="Normal"/>
    <w:link w:val="Heading6Char"/>
    <w:rsid w:val="00461D0A"/>
    <w:pPr>
      <w:tabs>
        <w:tab w:val="num" w:pos="0"/>
      </w:tabs>
      <w:spacing w:before="240" w:after="60"/>
      <w:outlineLvl w:val="5"/>
    </w:pPr>
    <w:rPr>
      <w:rFonts w:ascii="Arial" w:hAnsi="Arial"/>
      <w:i/>
      <w:sz w:val="22"/>
    </w:rPr>
  </w:style>
  <w:style w:type="paragraph" w:styleId="Heading7">
    <w:name w:val="heading 7"/>
    <w:basedOn w:val="Normal"/>
    <w:next w:val="Normal"/>
    <w:link w:val="Heading7Char"/>
    <w:rsid w:val="00461D0A"/>
    <w:pPr>
      <w:tabs>
        <w:tab w:val="num" w:pos="0"/>
      </w:tabs>
      <w:spacing w:before="240" w:after="60"/>
      <w:outlineLvl w:val="6"/>
    </w:pPr>
    <w:rPr>
      <w:rFonts w:ascii="Arial" w:hAnsi="Arial"/>
      <w:sz w:val="20"/>
    </w:rPr>
  </w:style>
  <w:style w:type="paragraph" w:styleId="Heading8">
    <w:name w:val="heading 8"/>
    <w:basedOn w:val="Normal"/>
    <w:next w:val="Normal"/>
    <w:link w:val="Heading8Char"/>
    <w:rsid w:val="00461D0A"/>
    <w:pPr>
      <w:tabs>
        <w:tab w:val="num" w:pos="0"/>
      </w:tabs>
      <w:spacing w:before="240" w:after="60"/>
      <w:outlineLvl w:val="7"/>
    </w:pPr>
    <w:rPr>
      <w:rFonts w:ascii="Arial" w:hAnsi="Arial"/>
      <w:i/>
      <w:sz w:val="20"/>
    </w:rPr>
  </w:style>
  <w:style w:type="paragraph" w:styleId="Heading9">
    <w:name w:val="heading 9"/>
    <w:basedOn w:val="Normal"/>
    <w:next w:val="Normal"/>
    <w:link w:val="Heading9Char"/>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52A1D"/>
    <w:rPr>
      <w:rFonts w:ascii="Tahoma" w:hAnsi="Tahoma" w:cs="Tahoma"/>
      <w:sz w:val="16"/>
      <w:szCs w:val="16"/>
    </w:rPr>
  </w:style>
  <w:style w:type="character" w:customStyle="1" w:styleId="SprechblasentextZeichen">
    <w:name w:val="Sprechblasentext Zeichen"/>
    <w:basedOn w:val="DefaultParagraphFont"/>
    <w:uiPriority w:val="99"/>
    <w:semiHidden/>
    <w:rsid w:val="00097662"/>
    <w:rPr>
      <w:rFonts w:ascii="Lucida Grande" w:hAnsi="Lucida Grande"/>
      <w:sz w:val="18"/>
      <w:szCs w:val="18"/>
    </w:rPr>
  </w:style>
  <w:style w:type="character" w:customStyle="1" w:styleId="SprechblasentextZeichen0">
    <w:name w:val="Sprechblasentext Zeichen"/>
    <w:basedOn w:val="DefaultParagraphFont"/>
    <w:uiPriority w:val="99"/>
    <w:semiHidden/>
    <w:rsid w:val="00534F2F"/>
    <w:rPr>
      <w:rFonts w:ascii="Lucida Grande" w:hAnsi="Lucida Grande"/>
      <w:sz w:val="18"/>
      <w:szCs w:val="18"/>
    </w:rPr>
  </w:style>
  <w:style w:type="character" w:customStyle="1" w:styleId="BalloonTextChar">
    <w:name w:val="Balloon Text Char"/>
    <w:basedOn w:val="DefaultParagraphFont"/>
    <w:link w:val="BalloonText"/>
    <w:semiHidden/>
    <w:rsid w:val="00653737"/>
    <w:rPr>
      <w:rFonts w:ascii="Lucida Grande" w:hAnsi="Lucida Grande"/>
      <w:sz w:val="18"/>
      <w:szCs w:val="18"/>
    </w:rPr>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link w:val="BodyTextChar"/>
    <w:rsid w:val="00461D0A"/>
    <w:pPr>
      <w:spacing w:after="120"/>
    </w:pPr>
  </w:style>
  <w:style w:type="paragraph" w:styleId="BodyText2">
    <w:name w:val="Body Text 2"/>
    <w:basedOn w:val="Normal"/>
    <w:link w:val="BodyText2Char"/>
    <w:rsid w:val="00461D0A"/>
    <w:pPr>
      <w:spacing w:after="120" w:line="480" w:lineRule="auto"/>
    </w:pPr>
  </w:style>
  <w:style w:type="paragraph" w:styleId="BodyText3">
    <w:name w:val="Body Text 3"/>
    <w:basedOn w:val="Normal"/>
    <w:link w:val="BodyText3Char"/>
    <w:rsid w:val="00461D0A"/>
    <w:pPr>
      <w:spacing w:after="120"/>
    </w:pPr>
    <w:rPr>
      <w:sz w:val="16"/>
    </w:rPr>
  </w:style>
  <w:style w:type="paragraph" w:styleId="BodyTextFirstIndent">
    <w:name w:val="Body Text First Indent"/>
    <w:basedOn w:val="BodyText"/>
    <w:link w:val="BodyTextFirstIndentChar"/>
    <w:rsid w:val="00461D0A"/>
    <w:pPr>
      <w:ind w:firstLine="210"/>
    </w:pPr>
  </w:style>
  <w:style w:type="paragraph" w:styleId="BodyTextIndent">
    <w:name w:val="Body Text Indent"/>
    <w:basedOn w:val="Normal"/>
    <w:link w:val="BodyTextIndentChar"/>
    <w:rsid w:val="00461D0A"/>
    <w:pPr>
      <w:spacing w:after="120"/>
      <w:ind w:left="283"/>
    </w:pPr>
  </w:style>
  <w:style w:type="paragraph" w:styleId="BodyTextFirstIndent2">
    <w:name w:val="Body Text First Indent 2"/>
    <w:basedOn w:val="BodyTextIndent"/>
    <w:link w:val="BodyTextFirstIndent2Char"/>
    <w:rsid w:val="00461D0A"/>
    <w:pPr>
      <w:ind w:firstLine="210"/>
    </w:pPr>
  </w:style>
  <w:style w:type="paragraph" w:styleId="BodyTextIndent2">
    <w:name w:val="Body Text Indent 2"/>
    <w:basedOn w:val="Normal"/>
    <w:link w:val="BodyTextIndent2Char"/>
    <w:rsid w:val="00461D0A"/>
    <w:pPr>
      <w:spacing w:after="120" w:line="480" w:lineRule="auto"/>
      <w:ind w:left="283"/>
    </w:pPr>
  </w:style>
  <w:style w:type="paragraph" w:styleId="BodyTextIndent3">
    <w:name w:val="Body Text Indent 3"/>
    <w:basedOn w:val="Normal"/>
    <w:link w:val="BodyTextIndent3Char"/>
    <w:rsid w:val="00461D0A"/>
    <w:pPr>
      <w:spacing w:after="120"/>
      <w:ind w:left="283"/>
    </w:pPr>
    <w:rPr>
      <w:sz w:val="16"/>
    </w:rPr>
  </w:style>
  <w:style w:type="paragraph" w:styleId="Caption">
    <w:name w:val="caption"/>
    <w:aliases w:val="Inscription,Beschriftung Char Char Char,Beschriftung Char,FigureText,FigureText1,FigureText2,FigureText3,FigureText11,FigureText21"/>
    <w:basedOn w:val="Normal"/>
    <w:next w:val="Normal"/>
    <w:link w:val="CaptionChar"/>
    <w:uiPriority w:val="35"/>
    <w:qFormat/>
    <w:rsid w:val="00461D0A"/>
    <w:pPr>
      <w:spacing w:before="120" w:after="120"/>
    </w:pPr>
    <w:rPr>
      <w:b/>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link w:val="ClosingChar"/>
    <w:rsid w:val="00461D0A"/>
    <w:pPr>
      <w:ind w:left="4252"/>
    </w:pPr>
  </w:style>
  <w:style w:type="paragraph" w:styleId="CommentText">
    <w:name w:val="annotation text"/>
    <w:basedOn w:val="Normal"/>
    <w:link w:val="CommentTextChar"/>
    <w:semiHidden/>
    <w:rsid w:val="00461D0A"/>
    <w:rPr>
      <w:sz w:val="20"/>
    </w:rPr>
  </w:style>
  <w:style w:type="paragraph" w:styleId="Date">
    <w:name w:val="Date"/>
    <w:basedOn w:val="Normal"/>
    <w:next w:val="References"/>
    <w:link w:val="DateChar"/>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link w:val="DocumentMapChar"/>
    <w:uiPriority w:val="99"/>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link w:val="EndnoteTextChar"/>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aliases w:val="Footnote,fn,single space,FOOTNOTES,Schriftart: 9 pt,Schriftart: 10 pt,Schriftart: 8 pt,Podrozdział,o,Footnote Text Char2,Footnote Text Char1 Char,Footnote Text Char2 Char Char,Footnote Text Char1 Char Char Char,Char Char,Fußnotentext arial"/>
    <w:basedOn w:val="Normal"/>
    <w:link w:val="FootnoteTextChar"/>
    <w:rsid w:val="00E5279B"/>
    <w:pPr>
      <w:spacing w:after="0"/>
      <w:ind w:left="284" w:hanging="284"/>
      <w:jc w:val="left"/>
    </w:pPr>
    <w:rPr>
      <w:rFonts w:ascii="Verdana" w:hAnsi="Verdana"/>
      <w:sz w:val="16"/>
      <w:lang w:val="en-GB"/>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link w:val="MacroTextChar"/>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link w:val="MessageHeaderChar"/>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link w:val="NoteHeadingChar"/>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link w:val="PlainTextChar"/>
    <w:rsid w:val="00461D0A"/>
    <w:rPr>
      <w:rFonts w:ascii="Courier New" w:hAnsi="Courier New"/>
      <w:sz w:val="20"/>
    </w:rPr>
  </w:style>
  <w:style w:type="paragraph" w:styleId="Salutation">
    <w:name w:val="Salutation"/>
    <w:basedOn w:val="Normal"/>
    <w:next w:val="Normal"/>
    <w:link w:val="SalutationChar"/>
    <w:rsid w:val="00461D0A"/>
  </w:style>
  <w:style w:type="paragraph" w:styleId="Signature">
    <w:name w:val="Signature"/>
    <w:basedOn w:val="Normal"/>
    <w:next w:val="Enclosures"/>
    <w:link w:val="SignatureChar"/>
    <w:rsid w:val="00461D0A"/>
    <w:pPr>
      <w:tabs>
        <w:tab w:val="left" w:pos="5103"/>
      </w:tabs>
      <w:spacing w:before="1200" w:after="0"/>
      <w:ind w:left="5103"/>
      <w:jc w:val="center"/>
    </w:pPr>
  </w:style>
  <w:style w:type="paragraph" w:styleId="Subtitle">
    <w:name w:val="Subtitle"/>
    <w:basedOn w:val="Normal"/>
    <w:link w:val="SubtitleChar"/>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uiPriority w:val="99"/>
    <w:rsid w:val="00306B22"/>
    <w:pPr>
      <w:tabs>
        <w:tab w:val="right" w:pos="9061"/>
      </w:tabs>
      <w:spacing w:after="0"/>
      <w:ind w:left="1276" w:right="851" w:hanging="1276"/>
      <w:jc w:val="left"/>
    </w:pPr>
    <w:rPr>
      <w:rFonts w:ascii="Verdana" w:hAnsi="Verdana"/>
      <w:noProof/>
      <w:sz w:val="16"/>
      <w:szCs w:val="16"/>
    </w:rPr>
  </w:style>
  <w:style w:type="paragraph" w:styleId="Title">
    <w:name w:val="Title"/>
    <w:basedOn w:val="Normal"/>
    <w:next w:val="SubTitle1"/>
    <w:link w:val="TitleChar"/>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uiPriority w:val="39"/>
    <w:rsid w:val="00C24BEE"/>
    <w:pPr>
      <w:tabs>
        <w:tab w:val="right" w:pos="9061"/>
      </w:tabs>
      <w:spacing w:before="240" w:after="0"/>
      <w:ind w:left="567" w:right="851" w:hanging="567"/>
      <w:jc w:val="left"/>
    </w:pPr>
    <w:rPr>
      <w:rFonts w:ascii="Verdana" w:hAnsi="Verdana"/>
      <w:b/>
      <w:noProof/>
      <w:sz w:val="18"/>
      <w:szCs w:val="18"/>
    </w:rPr>
  </w:style>
  <w:style w:type="paragraph" w:styleId="TOC2">
    <w:name w:val="toc 2"/>
    <w:basedOn w:val="Normal"/>
    <w:next w:val="Normal"/>
    <w:uiPriority w:val="39"/>
    <w:rsid w:val="000565F4"/>
    <w:pPr>
      <w:tabs>
        <w:tab w:val="right" w:pos="9061"/>
      </w:tabs>
      <w:spacing w:after="0"/>
      <w:ind w:left="567" w:right="851" w:hanging="567"/>
      <w:jc w:val="left"/>
    </w:pPr>
    <w:rPr>
      <w:rFonts w:ascii="Verdana" w:hAnsi="Verdana"/>
      <w:bCs/>
      <w:noProof/>
      <w:sz w:val="18"/>
      <w:szCs w:val="18"/>
    </w:rPr>
  </w:style>
  <w:style w:type="paragraph" w:styleId="TOC3">
    <w:name w:val="toc 3"/>
    <w:basedOn w:val="Normal"/>
    <w:next w:val="Normal"/>
    <w:uiPriority w:val="39"/>
    <w:qFormat/>
    <w:rsid w:val="000565F4"/>
    <w:pPr>
      <w:tabs>
        <w:tab w:val="right" w:pos="9061"/>
      </w:tabs>
      <w:spacing w:after="0"/>
      <w:ind w:left="1276" w:right="851" w:hanging="709"/>
      <w:jc w:val="left"/>
    </w:pPr>
    <w:rPr>
      <w:rFonts w:ascii="Verdana" w:hAnsi="Verdana"/>
      <w:noProof/>
      <w:sz w:val="18"/>
      <w:szCs w:val="18"/>
    </w:rPr>
  </w:style>
  <w:style w:type="paragraph" w:styleId="TOC4">
    <w:name w:val="toc 4"/>
    <w:basedOn w:val="Normal"/>
    <w:next w:val="Normal"/>
    <w:uiPriority w:val="39"/>
    <w:rsid w:val="00461D0A"/>
    <w:pPr>
      <w:spacing w:after="0"/>
      <w:ind w:left="720"/>
      <w:jc w:val="left"/>
    </w:pPr>
    <w:rPr>
      <w:rFonts w:asciiTheme="minorHAnsi" w:hAnsiTheme="minorHAnsi"/>
      <w:sz w:val="20"/>
    </w:rPr>
  </w:style>
  <w:style w:type="paragraph" w:styleId="TOC5">
    <w:name w:val="toc 5"/>
    <w:basedOn w:val="Normal"/>
    <w:next w:val="Normal"/>
    <w:uiPriority w:val="39"/>
    <w:rsid w:val="00461D0A"/>
    <w:pPr>
      <w:spacing w:after="0"/>
      <w:ind w:left="960"/>
      <w:jc w:val="left"/>
    </w:pPr>
    <w:rPr>
      <w:rFonts w:asciiTheme="minorHAnsi" w:hAnsiTheme="minorHAnsi"/>
      <w:sz w:val="20"/>
    </w:rPr>
  </w:style>
  <w:style w:type="paragraph" w:styleId="TOC6">
    <w:name w:val="toc 6"/>
    <w:basedOn w:val="Normal"/>
    <w:next w:val="Normal"/>
    <w:autoRedefine/>
    <w:uiPriority w:val="39"/>
    <w:rsid w:val="00461D0A"/>
    <w:pPr>
      <w:spacing w:after="0"/>
      <w:ind w:left="1200"/>
      <w:jc w:val="left"/>
    </w:pPr>
    <w:rPr>
      <w:rFonts w:asciiTheme="minorHAnsi" w:hAnsiTheme="minorHAnsi"/>
      <w:sz w:val="20"/>
    </w:rPr>
  </w:style>
  <w:style w:type="paragraph" w:styleId="TOC7">
    <w:name w:val="toc 7"/>
    <w:basedOn w:val="Normal"/>
    <w:next w:val="Normal"/>
    <w:autoRedefine/>
    <w:uiPriority w:val="39"/>
    <w:rsid w:val="00461D0A"/>
    <w:pPr>
      <w:spacing w:after="0"/>
      <w:ind w:left="1440"/>
      <w:jc w:val="left"/>
    </w:pPr>
    <w:rPr>
      <w:rFonts w:asciiTheme="minorHAnsi" w:hAnsiTheme="minorHAnsi"/>
      <w:sz w:val="20"/>
    </w:rPr>
  </w:style>
  <w:style w:type="paragraph" w:styleId="TOC8">
    <w:name w:val="toc 8"/>
    <w:basedOn w:val="Normal"/>
    <w:next w:val="Normal"/>
    <w:autoRedefine/>
    <w:uiPriority w:val="39"/>
    <w:rsid w:val="00461D0A"/>
    <w:pPr>
      <w:spacing w:after="0"/>
      <w:ind w:left="1680"/>
      <w:jc w:val="left"/>
    </w:pPr>
    <w:rPr>
      <w:rFonts w:asciiTheme="minorHAnsi" w:hAnsiTheme="minorHAnsi"/>
      <w:sz w:val="20"/>
    </w:rPr>
  </w:style>
  <w:style w:type="paragraph" w:styleId="TOC9">
    <w:name w:val="toc 9"/>
    <w:basedOn w:val="Normal"/>
    <w:next w:val="Normal"/>
    <w:autoRedefine/>
    <w:uiPriority w:val="39"/>
    <w:rsid w:val="00461D0A"/>
    <w:pPr>
      <w:spacing w:after="0"/>
      <w:ind w:left="1920"/>
      <w:jc w:val="left"/>
    </w:pPr>
    <w:rPr>
      <w:rFonts w:asciiTheme="minorHAnsi" w:hAnsiTheme="minorHAnsi"/>
      <w:sz w:val="20"/>
    </w:r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aliases w:val="Footnote symbol,Footnote reference number,Times 10 Point,Exposant 3 Point,EN Footnote Reference,note TESI,-E Fu§notenzeichen,SUPERS,Fussnota,Footnote Reference Number,-E Fußnotenzeichen,Footnote Reference/,number,ftref"/>
    <w:rsid w:val="00CD08CF"/>
    <w:rPr>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 1"/>
    <w:basedOn w:val="NormalIndent"/>
    <w:link w:val="BulletPoint1Zchn"/>
    <w:qFormat/>
    <w:rsid w:val="003165E6"/>
    <w:pPr>
      <w:numPr>
        <w:numId w:val="35"/>
      </w:numPr>
      <w:contextualSpacing/>
    </w:pPr>
    <w:rPr>
      <w:rFonts w:ascii="Verdana" w:hAnsi="Verdana"/>
      <w:sz w:val="18"/>
      <w:lang w:val="en-GB"/>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qFormat/>
    <w:rsid w:val="00444281"/>
    <w:pPr>
      <w:widowControl w:val="0"/>
      <w:autoSpaceDE w:val="0"/>
      <w:autoSpaceDN w:val="0"/>
      <w:adjustRightInd w:val="0"/>
    </w:pPr>
    <w:rPr>
      <w:b w:val="0"/>
      <w:sz w:val="22"/>
      <w:szCs w:val="22"/>
      <w:lang w:val="en-GB"/>
    </w:rPr>
  </w:style>
  <w:style w:type="character" w:customStyle="1" w:styleId="NormalIndentChar">
    <w:name w:val="Normal Indent Char"/>
    <w:link w:val="NormalIndent"/>
    <w:rsid w:val="007A4813"/>
    <w:rPr>
      <w:sz w:val="24"/>
      <w:lang w:val="fr-FR"/>
    </w:rPr>
  </w:style>
  <w:style w:type="character" w:customStyle="1" w:styleId="BulletPoint1Zchn">
    <w:name w:val="Bullet Point 1 Zchn"/>
    <w:basedOn w:val="NormalIndentChar"/>
    <w:link w:val="BulletPoint1"/>
    <w:rsid w:val="003165E6"/>
    <w:rPr>
      <w:rFonts w:ascii="Verdana" w:hAnsi="Verdana"/>
      <w:sz w:val="18"/>
      <w:lang w:val="en-GB" w:eastAsia="en-US"/>
    </w:rPr>
  </w:style>
  <w:style w:type="paragraph" w:customStyle="1" w:styleId="BulletPoint2">
    <w:name w:val="Bullet Point 2"/>
    <w:basedOn w:val="NormalIndent"/>
    <w:link w:val="BulletPoint2Char"/>
    <w:qFormat/>
    <w:rsid w:val="00EF51D6"/>
    <w:pPr>
      <w:numPr>
        <w:numId w:val="19"/>
      </w:numPr>
      <w:ind w:left="568" w:hanging="284"/>
      <w:contextualSpacing/>
    </w:pPr>
    <w:rPr>
      <w:rFonts w:ascii="Verdana" w:hAnsi="Verdana"/>
      <w:sz w:val="18"/>
      <w:lang w:val="en-GB"/>
    </w:rPr>
  </w:style>
  <w:style w:type="character" w:customStyle="1" w:styleId="HeadingChar">
    <w:name w:val="Heading Char"/>
    <w:link w:val="Heading"/>
    <w:rsid w:val="00444281"/>
    <w:rPr>
      <w:rFonts w:ascii="Verdana" w:hAnsi="Verdana"/>
      <w:b/>
      <w:caps/>
      <w:sz w:val="22"/>
      <w:szCs w:val="22"/>
      <w:lang w:val="en-GB" w:eastAsia="en-US"/>
    </w:rPr>
  </w:style>
  <w:style w:type="paragraph" w:customStyle="1" w:styleId="Body">
    <w:name w:val="Body"/>
    <w:basedOn w:val="Normal"/>
    <w:link w:val="BodyChar"/>
    <w:qFormat/>
    <w:rsid w:val="00952EF4"/>
    <w:rPr>
      <w:rFonts w:ascii="Verdana" w:hAnsi="Verdana"/>
      <w:sz w:val="18"/>
      <w:lang w:val="en-GB"/>
    </w:rPr>
  </w:style>
  <w:style w:type="character" w:customStyle="1" w:styleId="BulletPoint2Char">
    <w:name w:val="Bullet Point 2 Char"/>
    <w:link w:val="BulletPoint2"/>
    <w:rsid w:val="00EF51D6"/>
    <w:rPr>
      <w:rFonts w:ascii="Verdana" w:hAnsi="Verdana"/>
      <w:sz w:val="18"/>
      <w:lang w:val="en-GB" w:eastAsia="en-US"/>
    </w:rPr>
  </w:style>
  <w:style w:type="paragraph" w:customStyle="1" w:styleId="Heading20">
    <w:name w:val="Heading2"/>
    <w:basedOn w:val="Heading2"/>
    <w:link w:val="Heading2Char0"/>
    <w:autoRedefine/>
    <w:qFormat/>
    <w:rsid w:val="00EB0051"/>
    <w:pPr>
      <w:numPr>
        <w:ilvl w:val="0"/>
        <w:numId w:val="0"/>
      </w:numPr>
    </w:pPr>
    <w:rPr>
      <w:i/>
    </w:rPr>
  </w:style>
  <w:style w:type="character" w:customStyle="1" w:styleId="BodyChar">
    <w:name w:val="Body Char"/>
    <w:link w:val="Body"/>
    <w:rsid w:val="00952EF4"/>
    <w:rPr>
      <w:rFonts w:ascii="Verdana" w:hAnsi="Verdana"/>
      <w:sz w:val="18"/>
      <w:lang w:val="en-GB" w:eastAsia="en-US"/>
    </w:rPr>
  </w:style>
  <w:style w:type="table" w:styleId="TableGrid">
    <w:name w:val="Table Grid"/>
    <w:aliases w:val="Document Table"/>
    <w:basedOn w:val="TableNormal"/>
    <w:uiPriority w:val="59"/>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sid w:val="00EB0051"/>
    <w:rPr>
      <w:rFonts w:ascii="Verdana" w:hAnsi="Verdana"/>
      <w:b/>
      <w:i/>
      <w:lang w:val="en-GB"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rsid w:val="00F5647F"/>
    <w:pPr>
      <w:spacing w:after="0"/>
    </w:pPr>
    <w:rPr>
      <w:i/>
      <w:noProof/>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outlineLvl w:val="9"/>
    </w:pPr>
    <w:rPr>
      <w:rFonts w:asciiTheme="majorHAnsi" w:eastAsiaTheme="majorEastAsia" w:hAnsiTheme="majorHAnsi" w:cstheme="majorBidi"/>
      <w:bCs/>
      <w:smallCaps w:val="0"/>
      <w:color w:val="365F91" w:themeColor="accent1" w:themeShade="BF"/>
      <w:sz w:val="28"/>
      <w:szCs w:val="28"/>
      <w:lang w:val="en-US"/>
    </w:rPr>
  </w:style>
  <w:style w:type="paragraph" w:customStyle="1" w:styleId="Title2">
    <w:name w:val="Title 2"/>
    <w:basedOn w:val="Normal"/>
    <w:rsid w:val="00B14205"/>
    <w:pPr>
      <w:numPr>
        <w:numId w:val="20"/>
      </w:numPr>
    </w:pPr>
  </w:style>
  <w:style w:type="paragraph" w:customStyle="1" w:styleId="Subtitle0">
    <w:name w:val="Subtitle_"/>
    <w:basedOn w:val="TOC2"/>
    <w:link w:val="SubtitleChar0"/>
    <w:qFormat/>
    <w:rsid w:val="001D2A51"/>
    <w:pPr>
      <w:ind w:left="0"/>
    </w:pPr>
    <w:rPr>
      <w:i/>
      <w:sz w:val="20"/>
    </w:rPr>
  </w:style>
  <w:style w:type="character" w:customStyle="1" w:styleId="SubtitleChar0">
    <w:name w:val="Subtitle_ Char"/>
    <w:basedOn w:val="Heading2Char0"/>
    <w:link w:val="Subtitle0"/>
    <w:rsid w:val="001D2A51"/>
    <w:rPr>
      <w:rFonts w:ascii="Verdana" w:hAnsi="Verdana"/>
      <w:b/>
      <w:i/>
      <w:sz w:val="24"/>
      <w:lang w:val="fr-FR" w:eastAsia="en-US"/>
    </w:rPr>
  </w:style>
  <w:style w:type="paragraph" w:customStyle="1" w:styleId="Headingone">
    <w:name w:val="Heading one"/>
    <w:basedOn w:val="Heading1"/>
    <w:link w:val="HeadingoneChar"/>
    <w:qFormat/>
    <w:rsid w:val="0038335A"/>
    <w:pPr>
      <w:ind w:left="480" w:hanging="480"/>
    </w:pPr>
    <w:rPr>
      <w:rFonts w:ascii="Verdana" w:hAnsi="Verdana"/>
      <w:bCs/>
      <w:caps/>
      <w:smallCaps w:val="0"/>
      <w:sz w:val="22"/>
      <w:szCs w:val="22"/>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oneChar">
    <w:name w:val="Heading one Char"/>
    <w:basedOn w:val="DefaultParagraphFont"/>
    <w:link w:val="Headingone"/>
    <w:rsid w:val="0038335A"/>
    <w:rPr>
      <w:rFonts w:ascii="Verdana" w:hAnsi="Verdana"/>
      <w:b/>
      <w:bCs/>
      <w:caps/>
      <w:sz w:val="22"/>
      <w:szCs w:val="22"/>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paragraph" w:customStyle="1" w:styleId="Default">
    <w:name w:val="Default"/>
    <w:rsid w:val="00A85D27"/>
    <w:pPr>
      <w:autoSpaceDE w:val="0"/>
      <w:autoSpaceDN w:val="0"/>
      <w:adjustRightInd w:val="0"/>
    </w:pPr>
    <w:rPr>
      <w:color w:val="000000"/>
      <w:sz w:val="24"/>
      <w:szCs w:val="24"/>
      <w:lang w:val="en-GB"/>
    </w:rPr>
  </w:style>
  <w:style w:type="paragraph" w:styleId="ListParagraph">
    <w:name w:val="List Paragraph"/>
    <w:basedOn w:val="Normal"/>
    <w:link w:val="ListParagraphChar"/>
    <w:uiPriority w:val="34"/>
    <w:qFormat/>
    <w:rsid w:val="00513E5A"/>
    <w:pPr>
      <w:spacing w:after="200" w:line="276" w:lineRule="auto"/>
      <w:ind w:left="720"/>
      <w:contextualSpacing/>
      <w:jc w:val="left"/>
    </w:pPr>
    <w:rPr>
      <w:rFonts w:ascii="Calibri" w:eastAsia="Calibri" w:hAnsi="Calibri"/>
      <w:sz w:val="22"/>
      <w:szCs w:val="22"/>
      <w:lang w:val="sv-SE"/>
    </w:rPr>
  </w:style>
  <w:style w:type="character" w:customStyle="1" w:styleId="ListParagraphChar">
    <w:name w:val="List Paragraph Char"/>
    <w:basedOn w:val="DefaultParagraphFont"/>
    <w:link w:val="ListParagraph"/>
    <w:uiPriority w:val="34"/>
    <w:rsid w:val="00513E5A"/>
    <w:rPr>
      <w:rFonts w:ascii="Calibri" w:eastAsia="Calibri" w:hAnsi="Calibri"/>
      <w:sz w:val="22"/>
      <w:szCs w:val="22"/>
      <w:lang w:val="sv-SE" w:eastAsia="en-US"/>
    </w:rPr>
  </w:style>
  <w:style w:type="character" w:styleId="CommentReference">
    <w:name w:val="annotation reference"/>
    <w:basedOn w:val="DefaultParagraphFont"/>
    <w:rsid w:val="0054037F"/>
    <w:rPr>
      <w:sz w:val="18"/>
      <w:szCs w:val="18"/>
    </w:rPr>
  </w:style>
  <w:style w:type="paragraph" w:styleId="CommentSubject">
    <w:name w:val="annotation subject"/>
    <w:basedOn w:val="CommentText"/>
    <w:next w:val="CommentText"/>
    <w:link w:val="CommentSubjectChar"/>
    <w:rsid w:val="0054037F"/>
    <w:rPr>
      <w:b/>
      <w:bCs/>
    </w:rPr>
  </w:style>
  <w:style w:type="character" w:customStyle="1" w:styleId="CommentTextChar">
    <w:name w:val="Comment Text Char"/>
    <w:basedOn w:val="DefaultParagraphFont"/>
    <w:link w:val="CommentText"/>
    <w:semiHidden/>
    <w:rsid w:val="0054037F"/>
    <w:rPr>
      <w:lang w:val="fr-FR" w:eastAsia="en-US"/>
    </w:rPr>
  </w:style>
  <w:style w:type="character" w:customStyle="1" w:styleId="CommentSubjectChar">
    <w:name w:val="Comment Subject Char"/>
    <w:basedOn w:val="CommentTextChar"/>
    <w:link w:val="CommentSubject"/>
    <w:rsid w:val="0054037F"/>
    <w:rPr>
      <w:b/>
      <w:bCs/>
      <w:lang w:val="fr-FR" w:eastAsia="en-US"/>
    </w:rPr>
  </w:style>
  <w:style w:type="paragraph" w:customStyle="1" w:styleId="CM1">
    <w:name w:val="CM1"/>
    <w:basedOn w:val="Default"/>
    <w:next w:val="Default"/>
    <w:uiPriority w:val="99"/>
    <w:rsid w:val="007D7B0D"/>
    <w:rPr>
      <w:rFonts w:ascii="EUAlbertina" w:hAnsi="EUAlbertina"/>
      <w:color w:val="auto"/>
      <w:lang w:val="sv-SE"/>
    </w:rPr>
  </w:style>
  <w:style w:type="paragraph" w:customStyle="1" w:styleId="CM3">
    <w:name w:val="CM3"/>
    <w:basedOn w:val="Default"/>
    <w:next w:val="Default"/>
    <w:uiPriority w:val="99"/>
    <w:rsid w:val="007D7B0D"/>
    <w:rPr>
      <w:rFonts w:ascii="EUAlbertina" w:hAnsi="EUAlbertina"/>
      <w:color w:val="auto"/>
      <w:lang w:val="sv-SE"/>
    </w:rPr>
  </w:style>
  <w:style w:type="character" w:customStyle="1" w:styleId="CaptionChar">
    <w:name w:val="Caption Char"/>
    <w:aliases w:val="Inscription Char,Beschriftung Char Char Char Char,Beschriftung Char Char,FigureText Char,FigureText1 Char,FigureText2 Char,FigureText3 Char,FigureText11 Char,FigureText21 Char"/>
    <w:link w:val="Caption"/>
    <w:uiPriority w:val="35"/>
    <w:rsid w:val="00755808"/>
    <w:rPr>
      <w:b/>
      <w:sz w:val="24"/>
      <w:lang w:val="fr-FR" w:eastAsia="en-US"/>
    </w:rPr>
  </w:style>
  <w:style w:type="paragraph" w:customStyle="1" w:styleId="HeadingBody">
    <w:name w:val="Heading Body"/>
    <w:basedOn w:val="Normal"/>
    <w:link w:val="HeadingBodyChar"/>
    <w:qFormat/>
    <w:rsid w:val="00755808"/>
    <w:pPr>
      <w:spacing w:after="120"/>
    </w:pPr>
    <w:rPr>
      <w:rFonts w:ascii="Verdana" w:hAnsi="Verdana"/>
      <w:b/>
      <w:sz w:val="20"/>
      <w:szCs w:val="18"/>
      <w:lang w:val="en-GB"/>
    </w:rPr>
  </w:style>
  <w:style w:type="character" w:customStyle="1" w:styleId="HeadingBodyChar">
    <w:name w:val="Heading Body Char"/>
    <w:basedOn w:val="DefaultParagraphFont"/>
    <w:link w:val="HeadingBody"/>
    <w:rsid w:val="00755808"/>
    <w:rPr>
      <w:rFonts w:ascii="Verdana" w:hAnsi="Verdana"/>
      <w:b/>
      <w:szCs w:val="18"/>
      <w:lang w:val="en-GB" w:eastAsia="en-US"/>
    </w:rPr>
  </w:style>
  <w:style w:type="character" w:styleId="PageNumber">
    <w:name w:val="page number"/>
    <w:basedOn w:val="DefaultParagraphFont"/>
    <w:rsid w:val="0020728A"/>
  </w:style>
  <w:style w:type="paragraph" w:styleId="Revision">
    <w:name w:val="Revision"/>
    <w:hidden/>
    <w:uiPriority w:val="99"/>
    <w:semiHidden/>
    <w:rsid w:val="001A7525"/>
    <w:rPr>
      <w:sz w:val="24"/>
      <w:lang w:val="fr-FR" w:eastAsia="en-US"/>
    </w:rPr>
  </w:style>
  <w:style w:type="character" w:styleId="IntenseEmphasis">
    <w:name w:val="Intense Emphasis"/>
    <w:basedOn w:val="DefaultParagraphFont"/>
    <w:uiPriority w:val="21"/>
    <w:qFormat/>
    <w:rsid w:val="003C396F"/>
    <w:rPr>
      <w:b/>
      <w:bCs/>
      <w:i/>
      <w:iCs/>
      <w:color w:val="4F81BD" w:themeColor="accent1"/>
    </w:rPr>
  </w:style>
  <w:style w:type="paragraph" w:customStyle="1" w:styleId="doc-ti">
    <w:name w:val="doc-ti"/>
    <w:basedOn w:val="Normal"/>
    <w:rsid w:val="00F55266"/>
    <w:pPr>
      <w:spacing w:before="100" w:beforeAutospacing="1" w:after="100" w:afterAutospacing="1"/>
      <w:jc w:val="left"/>
    </w:pPr>
    <w:rPr>
      <w:rFonts w:ascii="Times" w:hAnsi="Times"/>
      <w:sz w:val="20"/>
      <w:lang w:val="en-US"/>
    </w:rPr>
  </w:style>
  <w:style w:type="paragraph" w:customStyle="1" w:styleId="ti-grseq-1">
    <w:name w:val="ti-grseq-1"/>
    <w:basedOn w:val="Normal"/>
    <w:rsid w:val="00F55266"/>
    <w:pPr>
      <w:spacing w:before="100" w:beforeAutospacing="1" w:after="100" w:afterAutospacing="1"/>
      <w:jc w:val="left"/>
    </w:pPr>
    <w:rPr>
      <w:rFonts w:ascii="Times" w:hAnsi="Times"/>
      <w:sz w:val="20"/>
      <w:lang w:val="en-US"/>
    </w:rPr>
  </w:style>
  <w:style w:type="character" w:customStyle="1" w:styleId="bold">
    <w:name w:val="bold"/>
    <w:basedOn w:val="DefaultParagraphFont"/>
    <w:rsid w:val="00F55266"/>
  </w:style>
  <w:style w:type="paragraph" w:customStyle="1" w:styleId="tbl-hdr">
    <w:name w:val="tbl-hdr"/>
    <w:basedOn w:val="Normal"/>
    <w:rsid w:val="00F55266"/>
    <w:pPr>
      <w:spacing w:before="100" w:beforeAutospacing="1" w:after="100" w:afterAutospacing="1"/>
      <w:jc w:val="left"/>
    </w:pPr>
    <w:rPr>
      <w:rFonts w:ascii="Times" w:hAnsi="Times"/>
      <w:sz w:val="20"/>
      <w:lang w:val="en-US"/>
    </w:rPr>
  </w:style>
  <w:style w:type="paragraph" w:customStyle="1" w:styleId="Figure">
    <w:name w:val="Figure"/>
    <w:basedOn w:val="Body"/>
    <w:next w:val="Body"/>
    <w:link w:val="FigureChar"/>
    <w:autoRedefine/>
    <w:qFormat/>
    <w:rsid w:val="00EF0A14"/>
    <w:pPr>
      <w:keepNext/>
      <w:numPr>
        <w:numId w:val="26"/>
      </w:numPr>
      <w:spacing w:before="120" w:after="120"/>
      <w:jc w:val="left"/>
    </w:pPr>
    <w:rPr>
      <w:b/>
      <w:color w:val="000000" w:themeColor="text1"/>
      <w:sz w:val="16"/>
    </w:rPr>
  </w:style>
  <w:style w:type="character" w:customStyle="1" w:styleId="FigureChar">
    <w:name w:val="Figure Char"/>
    <w:basedOn w:val="BodyChar"/>
    <w:link w:val="Figure"/>
    <w:rsid w:val="00EF0A14"/>
    <w:rPr>
      <w:rFonts w:ascii="Verdana" w:hAnsi="Verdana"/>
      <w:b/>
      <w:color w:val="000000" w:themeColor="text1"/>
      <w:sz w:val="16"/>
      <w:lang w:val="en-GB" w:eastAsia="en-US"/>
    </w:rPr>
  </w:style>
  <w:style w:type="paragraph" w:customStyle="1" w:styleId="BeschriftungTab">
    <w:name w:val="Beschriftung_Tab"/>
    <w:basedOn w:val="Caption"/>
    <w:qFormat/>
    <w:rsid w:val="00B624F3"/>
    <w:pPr>
      <w:keepNext/>
      <w:ind w:left="851" w:hanging="851"/>
      <w:jc w:val="left"/>
    </w:pPr>
    <w:rPr>
      <w:rFonts w:ascii="Humnst777 BT" w:hAnsi="Humnst777 BT"/>
      <w:b w:val="0"/>
      <w:sz w:val="16"/>
      <w:szCs w:val="16"/>
      <w:lang w:val="en-GB" w:eastAsia="de-DE"/>
    </w:rPr>
  </w:style>
  <w:style w:type="paragraph" w:customStyle="1" w:styleId="Aufzhlung">
    <w:name w:val="Aufzählung"/>
    <w:basedOn w:val="ListBullet"/>
    <w:qFormat/>
    <w:rsid w:val="00B624F3"/>
    <w:pPr>
      <w:spacing w:after="120" w:line="280" w:lineRule="atLeast"/>
    </w:pPr>
    <w:rPr>
      <w:rFonts w:ascii="Humnst777 Lt BT" w:hAnsi="Humnst777 Lt BT"/>
      <w:sz w:val="20"/>
      <w:lang w:val="en-GB" w:eastAsia="de-DE"/>
    </w:rPr>
  </w:style>
  <w:style w:type="paragraph" w:customStyle="1" w:styleId="Table">
    <w:name w:val="Table"/>
    <w:basedOn w:val="Figure"/>
    <w:link w:val="TableChar"/>
    <w:qFormat/>
    <w:rsid w:val="00F2633F"/>
    <w:pPr>
      <w:numPr>
        <w:numId w:val="27"/>
      </w:numPr>
      <w:tabs>
        <w:tab w:val="clear" w:pos="1844"/>
      </w:tabs>
      <w:ind w:left="993" w:hanging="993"/>
    </w:pPr>
    <w:rPr>
      <w:szCs w:val="16"/>
    </w:rPr>
  </w:style>
  <w:style w:type="character" w:customStyle="1" w:styleId="TableChar">
    <w:name w:val="Table Char"/>
    <w:basedOn w:val="FigureChar"/>
    <w:link w:val="Table"/>
    <w:rsid w:val="00F2633F"/>
    <w:rPr>
      <w:rFonts w:ascii="Verdana" w:hAnsi="Verdana"/>
      <w:b/>
      <w:color w:val="000000" w:themeColor="text1"/>
      <w:sz w:val="16"/>
      <w:szCs w:val="16"/>
      <w:lang w:val="en-GB" w:eastAsia="en-US"/>
    </w:rPr>
  </w:style>
  <w:style w:type="character" w:customStyle="1" w:styleId="FootnoteTextChar">
    <w:name w:val="Footnote Text Char"/>
    <w:aliases w:val="Footnote Char,fn Char,single space Char,FOOTNOTES Char,Schriftart: 9 pt Char,Schriftart: 10 pt Char,Schriftart: 8 pt Char,Podrozdział Char,o Char,Footnote Text Char2 Char,Footnote Text Char1 Char Char,Char Char Char"/>
    <w:basedOn w:val="DefaultParagraphFont"/>
    <w:link w:val="FootnoteText"/>
    <w:rsid w:val="00E5279B"/>
    <w:rPr>
      <w:rFonts w:ascii="Verdana" w:hAnsi="Verdana"/>
      <w:sz w:val="16"/>
      <w:lang w:val="en-GB" w:eastAsia="en-US"/>
    </w:rPr>
  </w:style>
  <w:style w:type="character" w:customStyle="1" w:styleId="BodyZchn">
    <w:name w:val="Body Zchn"/>
    <w:rsid w:val="00B624F3"/>
    <w:rPr>
      <w:rFonts w:ascii="Verdana" w:hAnsi="Verdana"/>
      <w:sz w:val="18"/>
      <w:lang w:val="en-GB" w:eastAsia="en-US"/>
    </w:rPr>
  </w:style>
  <w:style w:type="character" w:customStyle="1" w:styleId="FooterChar2">
    <w:name w:val="Footer Char2"/>
    <w:uiPriority w:val="99"/>
    <w:rsid w:val="00B624F3"/>
    <w:rPr>
      <w:rFonts w:ascii="Arial" w:hAnsi="Arial"/>
      <w:sz w:val="16"/>
      <w:lang w:val="fr-FR"/>
    </w:rPr>
  </w:style>
  <w:style w:type="character" w:customStyle="1" w:styleId="Heading1Char">
    <w:name w:val="Heading 1 Char"/>
    <w:basedOn w:val="DefaultParagraphFont"/>
    <w:link w:val="Heading1"/>
    <w:rsid w:val="00835DFD"/>
    <w:rPr>
      <w:b/>
      <w:smallCaps/>
      <w:sz w:val="24"/>
      <w:lang w:val="fr-FR" w:eastAsia="en-US"/>
    </w:rPr>
  </w:style>
  <w:style w:type="character" w:customStyle="1" w:styleId="Heading2Char">
    <w:name w:val="Heading 2 Char"/>
    <w:basedOn w:val="DefaultParagraphFont"/>
    <w:link w:val="Heading2"/>
    <w:rsid w:val="00A0452B"/>
    <w:rPr>
      <w:rFonts w:ascii="Verdana" w:hAnsi="Verdana"/>
      <w:b/>
      <w:lang w:val="en-GB" w:eastAsia="en-US"/>
    </w:rPr>
  </w:style>
  <w:style w:type="character" w:customStyle="1" w:styleId="Heading3Char">
    <w:name w:val="Heading 3 Char"/>
    <w:basedOn w:val="DefaultParagraphFont"/>
    <w:link w:val="Heading3"/>
    <w:rsid w:val="00AF502E"/>
    <w:rPr>
      <w:rFonts w:ascii="Verdana" w:hAnsi="Verdana"/>
      <w:lang w:val="fr-FR" w:eastAsia="en-US"/>
    </w:rPr>
  </w:style>
  <w:style w:type="character" w:customStyle="1" w:styleId="Heading4Char">
    <w:name w:val="Heading 4 Char"/>
    <w:basedOn w:val="DefaultParagraphFont"/>
    <w:link w:val="Heading4"/>
    <w:rsid w:val="00D57A25"/>
    <w:rPr>
      <w:rFonts w:ascii="Verdana" w:hAnsi="Verdana"/>
      <w:lang w:val="fr-FR" w:eastAsia="en-US"/>
    </w:rPr>
  </w:style>
  <w:style w:type="character" w:customStyle="1" w:styleId="Heading5Char">
    <w:name w:val="Heading 5 Char"/>
    <w:basedOn w:val="DefaultParagraphFont"/>
    <w:link w:val="Heading5"/>
    <w:rsid w:val="00B624F3"/>
    <w:rPr>
      <w:rFonts w:ascii="Arial" w:hAnsi="Arial"/>
      <w:sz w:val="22"/>
      <w:lang w:val="fr-FR" w:eastAsia="en-US"/>
    </w:rPr>
  </w:style>
  <w:style w:type="character" w:customStyle="1" w:styleId="Heading6Char">
    <w:name w:val="Heading 6 Char"/>
    <w:basedOn w:val="DefaultParagraphFont"/>
    <w:link w:val="Heading6"/>
    <w:rsid w:val="00B624F3"/>
    <w:rPr>
      <w:rFonts w:ascii="Arial" w:hAnsi="Arial"/>
      <w:i/>
      <w:sz w:val="22"/>
      <w:lang w:val="fr-FR" w:eastAsia="en-US"/>
    </w:rPr>
  </w:style>
  <w:style w:type="character" w:customStyle="1" w:styleId="Heading7Char">
    <w:name w:val="Heading 7 Char"/>
    <w:basedOn w:val="DefaultParagraphFont"/>
    <w:link w:val="Heading7"/>
    <w:rsid w:val="00B624F3"/>
    <w:rPr>
      <w:rFonts w:ascii="Arial" w:hAnsi="Arial"/>
      <w:lang w:val="fr-FR" w:eastAsia="en-US"/>
    </w:rPr>
  </w:style>
  <w:style w:type="character" w:customStyle="1" w:styleId="Heading8Char">
    <w:name w:val="Heading 8 Char"/>
    <w:basedOn w:val="DefaultParagraphFont"/>
    <w:link w:val="Heading8"/>
    <w:rsid w:val="00B624F3"/>
    <w:rPr>
      <w:rFonts w:ascii="Arial" w:hAnsi="Arial"/>
      <w:i/>
      <w:lang w:val="fr-FR" w:eastAsia="en-US"/>
    </w:rPr>
  </w:style>
  <w:style w:type="character" w:customStyle="1" w:styleId="Heading9Char">
    <w:name w:val="Heading 9 Char"/>
    <w:basedOn w:val="DefaultParagraphFont"/>
    <w:link w:val="Heading9"/>
    <w:rsid w:val="00B624F3"/>
    <w:rPr>
      <w:rFonts w:ascii="Arial" w:hAnsi="Arial"/>
      <w:i/>
      <w:sz w:val="18"/>
      <w:lang w:val="fr-FR" w:eastAsia="en-US"/>
    </w:rPr>
  </w:style>
  <w:style w:type="character" w:customStyle="1" w:styleId="BodyTextChar">
    <w:name w:val="Body Text Char"/>
    <w:basedOn w:val="DefaultParagraphFont"/>
    <w:link w:val="BodyText"/>
    <w:rsid w:val="00B624F3"/>
    <w:rPr>
      <w:sz w:val="24"/>
      <w:lang w:val="fr-FR" w:eastAsia="en-US"/>
    </w:rPr>
  </w:style>
  <w:style w:type="character" w:customStyle="1" w:styleId="BodyText2Char">
    <w:name w:val="Body Text 2 Char"/>
    <w:basedOn w:val="DefaultParagraphFont"/>
    <w:link w:val="BodyText2"/>
    <w:rsid w:val="00B624F3"/>
    <w:rPr>
      <w:sz w:val="24"/>
      <w:lang w:val="fr-FR" w:eastAsia="en-US"/>
    </w:rPr>
  </w:style>
  <w:style w:type="character" w:customStyle="1" w:styleId="BodyText3Char">
    <w:name w:val="Body Text 3 Char"/>
    <w:basedOn w:val="DefaultParagraphFont"/>
    <w:link w:val="BodyText3"/>
    <w:rsid w:val="00B624F3"/>
    <w:rPr>
      <w:sz w:val="16"/>
      <w:lang w:val="fr-FR" w:eastAsia="en-US"/>
    </w:rPr>
  </w:style>
  <w:style w:type="character" w:customStyle="1" w:styleId="BodyTextFirstIndentChar">
    <w:name w:val="Body Text First Indent Char"/>
    <w:basedOn w:val="BodyTextChar"/>
    <w:link w:val="BodyTextFirstIndent"/>
    <w:rsid w:val="00B624F3"/>
    <w:rPr>
      <w:sz w:val="24"/>
      <w:lang w:val="fr-FR" w:eastAsia="en-US"/>
    </w:rPr>
  </w:style>
  <w:style w:type="character" w:customStyle="1" w:styleId="BodyTextIndentChar">
    <w:name w:val="Body Text Indent Char"/>
    <w:basedOn w:val="DefaultParagraphFont"/>
    <w:link w:val="BodyTextIndent"/>
    <w:rsid w:val="00B624F3"/>
    <w:rPr>
      <w:sz w:val="24"/>
      <w:lang w:val="fr-FR" w:eastAsia="en-US"/>
    </w:rPr>
  </w:style>
  <w:style w:type="character" w:customStyle="1" w:styleId="BodyTextFirstIndent2Char">
    <w:name w:val="Body Text First Indent 2 Char"/>
    <w:basedOn w:val="BodyTextIndentChar"/>
    <w:link w:val="BodyTextFirstIndent2"/>
    <w:rsid w:val="00B624F3"/>
    <w:rPr>
      <w:sz w:val="24"/>
      <w:lang w:val="fr-FR" w:eastAsia="en-US"/>
    </w:rPr>
  </w:style>
  <w:style w:type="character" w:customStyle="1" w:styleId="BodyTextIndent2Char">
    <w:name w:val="Body Text Indent 2 Char"/>
    <w:basedOn w:val="DefaultParagraphFont"/>
    <w:link w:val="BodyTextIndent2"/>
    <w:rsid w:val="00B624F3"/>
    <w:rPr>
      <w:sz w:val="24"/>
      <w:lang w:val="fr-FR" w:eastAsia="en-US"/>
    </w:rPr>
  </w:style>
  <w:style w:type="character" w:customStyle="1" w:styleId="BodyTextIndent3Char">
    <w:name w:val="Body Text Indent 3 Char"/>
    <w:basedOn w:val="DefaultParagraphFont"/>
    <w:link w:val="BodyTextIndent3"/>
    <w:rsid w:val="00B624F3"/>
    <w:rPr>
      <w:sz w:val="16"/>
      <w:lang w:val="fr-FR" w:eastAsia="en-US"/>
    </w:rPr>
  </w:style>
  <w:style w:type="character" w:customStyle="1" w:styleId="ClosingChar">
    <w:name w:val="Closing Char"/>
    <w:basedOn w:val="DefaultParagraphFont"/>
    <w:link w:val="Closing"/>
    <w:rsid w:val="00B624F3"/>
    <w:rPr>
      <w:sz w:val="24"/>
      <w:lang w:val="fr-FR" w:eastAsia="en-US"/>
    </w:rPr>
  </w:style>
  <w:style w:type="character" w:customStyle="1" w:styleId="DateChar">
    <w:name w:val="Date Char"/>
    <w:basedOn w:val="DefaultParagraphFont"/>
    <w:link w:val="Date"/>
    <w:rsid w:val="00B624F3"/>
    <w:rPr>
      <w:sz w:val="24"/>
      <w:lang w:val="fr-FR" w:eastAsia="en-US"/>
    </w:rPr>
  </w:style>
  <w:style w:type="character" w:customStyle="1" w:styleId="DocumentMapChar">
    <w:name w:val="Document Map Char"/>
    <w:basedOn w:val="DefaultParagraphFont"/>
    <w:link w:val="DocumentMap"/>
    <w:uiPriority w:val="99"/>
    <w:semiHidden/>
    <w:rsid w:val="00B624F3"/>
    <w:rPr>
      <w:rFonts w:ascii="Tahoma" w:hAnsi="Tahoma"/>
      <w:sz w:val="24"/>
      <w:shd w:val="clear" w:color="auto" w:fill="000080"/>
      <w:lang w:val="fr-FR" w:eastAsia="en-US"/>
    </w:rPr>
  </w:style>
  <w:style w:type="character" w:customStyle="1" w:styleId="EndnoteTextChar">
    <w:name w:val="Endnote Text Char"/>
    <w:basedOn w:val="DefaultParagraphFont"/>
    <w:link w:val="EndnoteText"/>
    <w:semiHidden/>
    <w:rsid w:val="00B624F3"/>
    <w:rPr>
      <w:lang w:val="fr-FR" w:eastAsia="en-US"/>
    </w:rPr>
  </w:style>
  <w:style w:type="character" w:customStyle="1" w:styleId="MacroTextChar">
    <w:name w:val="Macro Text Char"/>
    <w:basedOn w:val="DefaultParagraphFont"/>
    <w:link w:val="MacroText"/>
    <w:semiHidden/>
    <w:rsid w:val="00B624F3"/>
    <w:rPr>
      <w:rFonts w:ascii="Courier New" w:hAnsi="Courier New"/>
      <w:lang w:val="en-GB" w:eastAsia="en-US"/>
    </w:rPr>
  </w:style>
  <w:style w:type="character" w:customStyle="1" w:styleId="MessageHeaderChar">
    <w:name w:val="Message Header Char"/>
    <w:basedOn w:val="DefaultParagraphFont"/>
    <w:link w:val="MessageHeader"/>
    <w:rsid w:val="00B624F3"/>
    <w:rPr>
      <w:rFonts w:ascii="Arial" w:hAnsi="Arial"/>
      <w:sz w:val="24"/>
      <w:shd w:val="pct20" w:color="auto" w:fill="auto"/>
      <w:lang w:val="fr-FR" w:eastAsia="en-US"/>
    </w:rPr>
  </w:style>
  <w:style w:type="character" w:customStyle="1" w:styleId="NoteHeadingChar">
    <w:name w:val="Note Heading Char"/>
    <w:basedOn w:val="DefaultParagraphFont"/>
    <w:link w:val="NoteHeading"/>
    <w:rsid w:val="00B624F3"/>
    <w:rPr>
      <w:sz w:val="24"/>
      <w:lang w:val="fr-FR" w:eastAsia="en-US"/>
    </w:rPr>
  </w:style>
  <w:style w:type="character" w:customStyle="1" w:styleId="PlainTextChar">
    <w:name w:val="Plain Text Char"/>
    <w:basedOn w:val="DefaultParagraphFont"/>
    <w:link w:val="PlainText"/>
    <w:rsid w:val="00B624F3"/>
    <w:rPr>
      <w:rFonts w:ascii="Courier New" w:hAnsi="Courier New"/>
      <w:lang w:val="fr-FR" w:eastAsia="en-US"/>
    </w:rPr>
  </w:style>
  <w:style w:type="character" w:customStyle="1" w:styleId="SalutationChar">
    <w:name w:val="Salutation Char"/>
    <w:basedOn w:val="DefaultParagraphFont"/>
    <w:link w:val="Salutation"/>
    <w:rsid w:val="00B624F3"/>
    <w:rPr>
      <w:sz w:val="24"/>
      <w:lang w:val="fr-FR" w:eastAsia="en-US"/>
    </w:rPr>
  </w:style>
  <w:style w:type="character" w:customStyle="1" w:styleId="SignatureChar">
    <w:name w:val="Signature Char"/>
    <w:basedOn w:val="DefaultParagraphFont"/>
    <w:link w:val="Signature"/>
    <w:rsid w:val="00B624F3"/>
    <w:rPr>
      <w:sz w:val="24"/>
      <w:lang w:val="fr-FR" w:eastAsia="en-US"/>
    </w:rPr>
  </w:style>
  <w:style w:type="character" w:customStyle="1" w:styleId="SubtitleChar">
    <w:name w:val="Subtitle Char"/>
    <w:basedOn w:val="DefaultParagraphFont"/>
    <w:link w:val="Subtitle"/>
    <w:rsid w:val="00B624F3"/>
    <w:rPr>
      <w:rFonts w:ascii="Arial" w:hAnsi="Arial"/>
      <w:sz w:val="24"/>
      <w:lang w:val="fr-FR" w:eastAsia="en-US"/>
    </w:rPr>
  </w:style>
  <w:style w:type="character" w:customStyle="1" w:styleId="TitleChar">
    <w:name w:val="Title Char"/>
    <w:basedOn w:val="DefaultParagraphFont"/>
    <w:link w:val="Title"/>
    <w:rsid w:val="00B624F3"/>
    <w:rPr>
      <w:b/>
      <w:kern w:val="28"/>
      <w:sz w:val="48"/>
      <w:lang w:val="fr-FR" w:eastAsia="en-US"/>
    </w:rPr>
  </w:style>
  <w:style w:type="character" w:styleId="SubtleEmphasis">
    <w:name w:val="Subtle Emphasis"/>
    <w:basedOn w:val="DefaultParagraphFont"/>
    <w:uiPriority w:val="19"/>
    <w:qFormat/>
    <w:rsid w:val="00B624F3"/>
    <w:rPr>
      <w:i/>
      <w:iCs/>
      <w:color w:val="808080" w:themeColor="text1" w:themeTint="7F"/>
    </w:rPr>
  </w:style>
  <w:style w:type="character" w:customStyle="1" w:styleId="apple-converted-space">
    <w:name w:val="apple-converted-space"/>
    <w:basedOn w:val="DefaultParagraphFont"/>
    <w:rsid w:val="00B624F3"/>
  </w:style>
  <w:style w:type="character" w:styleId="Strong">
    <w:name w:val="Strong"/>
    <w:basedOn w:val="DefaultParagraphFont"/>
    <w:uiPriority w:val="22"/>
    <w:qFormat/>
    <w:rsid w:val="00B624F3"/>
    <w:rPr>
      <w:b/>
      <w:bCs/>
    </w:rPr>
  </w:style>
  <w:style w:type="paragraph" w:styleId="NoSpacing">
    <w:name w:val="No Spacing"/>
    <w:uiPriority w:val="1"/>
    <w:qFormat/>
    <w:rsid w:val="00B624F3"/>
    <w:rPr>
      <w:rFonts w:asciiTheme="minorHAnsi" w:eastAsiaTheme="minorHAnsi" w:hAnsiTheme="minorHAnsi" w:cstheme="minorBidi"/>
      <w:sz w:val="22"/>
      <w:szCs w:val="22"/>
      <w:lang w:val="en-US" w:eastAsia="en-US"/>
    </w:rPr>
  </w:style>
  <w:style w:type="paragraph" w:styleId="NormalWeb">
    <w:name w:val="Normal (Web)"/>
    <w:basedOn w:val="Normal"/>
    <w:uiPriority w:val="99"/>
    <w:unhideWhenUsed/>
    <w:rsid w:val="00952EF4"/>
    <w:pPr>
      <w:spacing w:before="100" w:beforeAutospacing="1" w:after="119"/>
      <w:jc w:val="left"/>
    </w:pPr>
    <w:rPr>
      <w:szCs w:val="24"/>
      <w:lang w:val="en-CA" w:eastAsia="en-CA"/>
    </w:rPr>
  </w:style>
  <w:style w:type="paragraph" w:customStyle="1" w:styleId="Abbildung">
    <w:name w:val="Abbildung"/>
    <w:basedOn w:val="Body"/>
    <w:rsid w:val="00D57A25"/>
    <w:pPr>
      <w:spacing w:after="0"/>
      <w:jc w:val="left"/>
    </w:pPr>
    <w:rPr>
      <w:noProof/>
      <w:sz w:val="20"/>
      <w:lang w:val="de-AT" w:eastAsia="de-AT"/>
    </w:rPr>
  </w:style>
  <w:style w:type="paragraph" w:customStyle="1" w:styleId="Source">
    <w:name w:val="Source"/>
    <w:basedOn w:val="Body"/>
    <w:rsid w:val="00D57A25"/>
    <w:pPr>
      <w:spacing w:before="80"/>
      <w:jc w:val="left"/>
    </w:pPr>
    <w:rPr>
      <w:sz w:val="16"/>
      <w:szCs w:val="16"/>
    </w:rPr>
  </w:style>
  <w:style w:type="paragraph" w:customStyle="1" w:styleId="Tabletext">
    <w:name w:val="Table_text"/>
    <w:basedOn w:val="Body"/>
    <w:rsid w:val="007F6DD7"/>
    <w:pPr>
      <w:spacing w:before="20" w:after="20"/>
      <w:jc w:val="left"/>
    </w:pPr>
    <w:rPr>
      <w:sz w:val="16"/>
      <w:szCs w:val="16"/>
    </w:rPr>
  </w:style>
  <w:style w:type="paragraph" w:customStyle="1" w:styleId="Tabelle">
    <w:name w:val="Tabelle"/>
    <w:basedOn w:val="Normal"/>
    <w:rsid w:val="006336CA"/>
    <w:pPr>
      <w:spacing w:before="40" w:after="40"/>
      <w:jc w:val="left"/>
    </w:pPr>
    <w:rPr>
      <w:rFonts w:ascii="Humnst777 Lt BT" w:hAnsi="Humnst777 Lt BT" w:cs="Arial"/>
      <w:sz w:val="16"/>
      <w:lang w:val="en-GB" w:eastAsia="de-DE"/>
    </w:rPr>
  </w:style>
  <w:style w:type="paragraph" w:customStyle="1" w:styleId="Zwischenberschrift">
    <w:name w:val="Zwischenüberschrift"/>
    <w:basedOn w:val="Body"/>
    <w:next w:val="Body"/>
    <w:rsid w:val="00843C65"/>
    <w:pPr>
      <w:keepNext/>
      <w:spacing w:before="120"/>
      <w:jc w:val="left"/>
    </w:pPr>
    <w:rPr>
      <w:b/>
      <w:bCs/>
    </w:rPr>
  </w:style>
  <w:style w:type="paragraph" w:customStyle="1" w:styleId="berschrift1Annex">
    <w:name w:val="Überschrift 1_Annex"/>
    <w:basedOn w:val="Headingone"/>
    <w:next w:val="Body"/>
    <w:rsid w:val="002760C1"/>
    <w:pPr>
      <w:numPr>
        <w:numId w:val="43"/>
      </w:numPr>
      <w:ind w:left="709" w:hanging="709"/>
    </w:pPr>
  </w:style>
  <w:style w:type="paragraph" w:customStyle="1" w:styleId="berschrift2Annex">
    <w:name w:val="Überschrift 2_Annex"/>
    <w:basedOn w:val="Heading2"/>
    <w:next w:val="Body"/>
    <w:rsid w:val="002760C1"/>
    <w:pPr>
      <w:numPr>
        <w:numId w:val="43"/>
      </w:num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68940">
      <w:bodyDiv w:val="1"/>
      <w:marLeft w:val="0"/>
      <w:marRight w:val="0"/>
      <w:marTop w:val="0"/>
      <w:marBottom w:val="0"/>
      <w:divBdr>
        <w:top w:val="none" w:sz="0" w:space="0" w:color="auto"/>
        <w:left w:val="none" w:sz="0" w:space="0" w:color="auto"/>
        <w:bottom w:val="none" w:sz="0" w:space="0" w:color="auto"/>
        <w:right w:val="none" w:sz="0" w:space="0" w:color="auto"/>
      </w:divBdr>
    </w:div>
    <w:div w:id="358313089">
      <w:bodyDiv w:val="1"/>
      <w:marLeft w:val="0"/>
      <w:marRight w:val="0"/>
      <w:marTop w:val="0"/>
      <w:marBottom w:val="0"/>
      <w:divBdr>
        <w:top w:val="none" w:sz="0" w:space="0" w:color="auto"/>
        <w:left w:val="none" w:sz="0" w:space="0" w:color="auto"/>
        <w:bottom w:val="none" w:sz="0" w:space="0" w:color="auto"/>
        <w:right w:val="none" w:sz="0" w:space="0" w:color="auto"/>
      </w:divBdr>
    </w:div>
    <w:div w:id="480658446">
      <w:bodyDiv w:val="1"/>
      <w:marLeft w:val="0"/>
      <w:marRight w:val="0"/>
      <w:marTop w:val="0"/>
      <w:marBottom w:val="0"/>
      <w:divBdr>
        <w:top w:val="none" w:sz="0" w:space="0" w:color="auto"/>
        <w:left w:val="none" w:sz="0" w:space="0" w:color="auto"/>
        <w:bottom w:val="none" w:sz="0" w:space="0" w:color="auto"/>
        <w:right w:val="none" w:sz="0" w:space="0" w:color="auto"/>
      </w:divBdr>
    </w:div>
    <w:div w:id="513346189">
      <w:bodyDiv w:val="1"/>
      <w:marLeft w:val="0"/>
      <w:marRight w:val="0"/>
      <w:marTop w:val="0"/>
      <w:marBottom w:val="0"/>
      <w:divBdr>
        <w:top w:val="none" w:sz="0" w:space="0" w:color="auto"/>
        <w:left w:val="none" w:sz="0" w:space="0" w:color="auto"/>
        <w:bottom w:val="none" w:sz="0" w:space="0" w:color="auto"/>
        <w:right w:val="none" w:sz="0" w:space="0" w:color="auto"/>
      </w:divBdr>
    </w:div>
    <w:div w:id="733358148">
      <w:bodyDiv w:val="1"/>
      <w:marLeft w:val="0"/>
      <w:marRight w:val="0"/>
      <w:marTop w:val="0"/>
      <w:marBottom w:val="0"/>
      <w:divBdr>
        <w:top w:val="none" w:sz="0" w:space="0" w:color="auto"/>
        <w:left w:val="none" w:sz="0" w:space="0" w:color="auto"/>
        <w:bottom w:val="none" w:sz="0" w:space="0" w:color="auto"/>
        <w:right w:val="none" w:sz="0" w:space="0" w:color="auto"/>
      </w:divBdr>
    </w:div>
    <w:div w:id="934241673">
      <w:bodyDiv w:val="1"/>
      <w:marLeft w:val="0"/>
      <w:marRight w:val="0"/>
      <w:marTop w:val="0"/>
      <w:marBottom w:val="0"/>
      <w:divBdr>
        <w:top w:val="none" w:sz="0" w:space="0" w:color="auto"/>
        <w:left w:val="none" w:sz="0" w:space="0" w:color="auto"/>
        <w:bottom w:val="none" w:sz="0" w:space="0" w:color="auto"/>
        <w:right w:val="none" w:sz="0" w:space="0" w:color="auto"/>
      </w:divBdr>
    </w:div>
    <w:div w:id="947079782">
      <w:bodyDiv w:val="1"/>
      <w:marLeft w:val="0"/>
      <w:marRight w:val="0"/>
      <w:marTop w:val="0"/>
      <w:marBottom w:val="0"/>
      <w:divBdr>
        <w:top w:val="none" w:sz="0" w:space="0" w:color="auto"/>
        <w:left w:val="none" w:sz="0" w:space="0" w:color="auto"/>
        <w:bottom w:val="none" w:sz="0" w:space="0" w:color="auto"/>
        <w:right w:val="none" w:sz="0" w:space="0" w:color="auto"/>
      </w:divBdr>
    </w:div>
    <w:div w:id="1209610248">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538078861">
      <w:bodyDiv w:val="1"/>
      <w:marLeft w:val="0"/>
      <w:marRight w:val="0"/>
      <w:marTop w:val="0"/>
      <w:marBottom w:val="0"/>
      <w:divBdr>
        <w:top w:val="none" w:sz="0" w:space="0" w:color="auto"/>
        <w:left w:val="none" w:sz="0" w:space="0" w:color="auto"/>
        <w:bottom w:val="none" w:sz="0" w:space="0" w:color="auto"/>
        <w:right w:val="none" w:sz="0" w:space="0" w:color="auto"/>
      </w:divBdr>
    </w:div>
    <w:div w:id="1717194730">
      <w:bodyDiv w:val="1"/>
      <w:marLeft w:val="0"/>
      <w:marRight w:val="0"/>
      <w:marTop w:val="0"/>
      <w:marBottom w:val="0"/>
      <w:divBdr>
        <w:top w:val="none" w:sz="0" w:space="0" w:color="auto"/>
        <w:left w:val="none" w:sz="0" w:space="0" w:color="auto"/>
        <w:bottom w:val="none" w:sz="0" w:space="0" w:color="auto"/>
        <w:right w:val="none" w:sz="0" w:space="0" w:color="auto"/>
      </w:divBdr>
    </w:div>
    <w:div w:id="185588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header" Target="header10.xml"/><Relationship Id="rId21" Type="http://schemas.openxmlformats.org/officeDocument/2006/relationships/footer" Target="footer4.xml"/><Relationship Id="rId34" Type="http://schemas.openxmlformats.org/officeDocument/2006/relationships/image" Target="media/image7.png"/><Relationship Id="rId42" Type="http://schemas.openxmlformats.org/officeDocument/2006/relationships/image" Target="media/image13.emf"/><Relationship Id="rId47" Type="http://schemas.openxmlformats.org/officeDocument/2006/relationships/image" Target="media/image17.emf"/><Relationship Id="rId50" Type="http://schemas.openxmlformats.org/officeDocument/2006/relationships/header" Target="header1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0.emf"/><Relationship Id="rId46" Type="http://schemas.openxmlformats.org/officeDocument/2006/relationships/image" Target="media/image16.emf"/><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5.emf"/><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9.xml"/><Relationship Id="rId49" Type="http://schemas.openxmlformats.org/officeDocument/2006/relationships/header" Target="header12.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4.emf"/><Relationship Id="rId44" Type="http://schemas.openxmlformats.org/officeDocument/2006/relationships/header" Target="header1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europa.eu.int/citizensrights/signpost/about/index_en.htm" TargetMode="External"/><Relationship Id="rId27" Type="http://schemas.openxmlformats.org/officeDocument/2006/relationships/header" Target="header9.xml"/><Relationship Id="rId30" Type="http://schemas.openxmlformats.org/officeDocument/2006/relationships/footer" Target="footer8.xml"/><Relationship Id="rId35" Type="http://schemas.openxmlformats.org/officeDocument/2006/relationships/image" Target="media/image8.png"/><Relationship Id="rId43" Type="http://schemas.openxmlformats.org/officeDocument/2006/relationships/image" Target="media/image14.emf"/><Relationship Id="rId48" Type="http://schemas.openxmlformats.org/officeDocument/2006/relationships/image" Target="media/image18.emf"/><Relationship Id="rId8" Type="http://schemas.openxmlformats.org/officeDocument/2006/relationships/settings" Target="settings.xml"/><Relationship Id="rId51" Type="http://schemas.openxmlformats.org/officeDocument/2006/relationships/footer" Target="footer10.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19.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FB00F1B0F09B1C4F8D85A7513FDA0BCB" ma:contentTypeVersion="2" ma:contentTypeDescription="Create a new document in this library." ma:contentTypeScope="" ma:versionID="a802ea6fba3313cbd6a10410e7627aee">
  <xsd:schema xmlns:xsd="http://www.w3.org/2001/XMLSchema" xmlns:xs="http://www.w3.org/2001/XMLSchema" xmlns:p="http://schemas.microsoft.com/office/2006/metadata/properties" xmlns:ns3="24015dbb-e572-44ed-93db-50212b5febaa" targetNamespace="http://schemas.microsoft.com/office/2006/metadata/properties" ma:root="true" ma:fieldsID="d50a51eca37cdededfbbced468d13327" ns3:_="">
    <xsd:import namespace="24015dbb-e572-44ed-93db-50212b5febaa"/>
    <xsd:element name="properties">
      <xsd:complexType>
        <xsd:sequence>
          <xsd:element name="documentManagement">
            <xsd:complexType>
              <xsd:all>
                <xsd:element ref="ns3:EC_Collab_Reference" minOccurs="0"/>
                <xsd:element ref="ns3:EC_Collab_DocumentLanguage" minOccurs="0"/>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015dbb-e572-44ed-93db-50212b5feba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C_Collab_Reference xmlns="24015dbb-e572-44ed-93db-50212b5febaa" xsi:nil="true"/>
    <EC_Collab_DocumentLanguage xmlns="24015dbb-e572-44ed-93db-50212b5febaa">EN</EC_Collab_DocumentLanguage>
    <EC_Collab_Status xmlns="24015dbb-e572-44ed-93db-50212b5febaa">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D9732-C938-4AFD-908D-983A1C5D4362}"/>
</file>

<file path=customXml/itemProps2.xml><?xml version="1.0" encoding="utf-8"?>
<ds:datastoreItem xmlns:ds="http://schemas.openxmlformats.org/officeDocument/2006/customXml" ds:itemID="{C7731174-C39C-4BEB-ADCB-6788459E9373}"/>
</file>

<file path=customXml/itemProps3.xml><?xml version="1.0" encoding="utf-8"?>
<ds:datastoreItem xmlns:ds="http://schemas.openxmlformats.org/officeDocument/2006/customXml" ds:itemID="{2C3F260A-C505-4AA5-BA50-F0055A545231}"/>
</file>

<file path=customXml/itemProps4.xml><?xml version="1.0" encoding="utf-8"?>
<ds:datastoreItem xmlns:ds="http://schemas.openxmlformats.org/officeDocument/2006/customXml" ds:itemID="{76DA2525-DA08-4E84-9FD0-3E3B9381DA43}"/>
</file>

<file path=docProps/app.xml><?xml version="1.0" encoding="utf-8"?>
<Properties xmlns="http://schemas.openxmlformats.org/officeDocument/2006/extended-properties" xmlns:vt="http://schemas.openxmlformats.org/officeDocument/2006/docPropsVTypes">
  <Template>Normal.dotm</Template>
  <TotalTime>0</TotalTime>
  <Pages>66</Pages>
  <Words>29998</Words>
  <Characters>170989</Characters>
  <Application>Microsoft Office Word</Application>
  <DocSecurity>0</DocSecurity>
  <PresentationFormat>Microsoft Word 11.0</PresentationFormat>
  <Lines>1424</Lines>
  <Paragraphs>401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200586</CharactersWithSpaces>
  <SharedDoc>false</SharedDoc>
  <HyperlinkBase/>
  <HLinks>
    <vt:vector size="12" baseType="variant">
      <vt:variant>
        <vt:i4>3604494</vt:i4>
      </vt:variant>
      <vt:variant>
        <vt:i4>2387</vt:i4>
      </vt:variant>
      <vt:variant>
        <vt:i4>1025</vt:i4>
      </vt:variant>
      <vt:variant>
        <vt:i4>1</vt:i4>
      </vt:variant>
      <vt:variant>
        <vt:lpwstr>LOGO-CE for RTD EN Positive</vt:lpwstr>
      </vt:variant>
      <vt:variant>
        <vt:lpwstr/>
      </vt:variant>
      <vt:variant>
        <vt:i4>57</vt:i4>
      </vt:variant>
      <vt:variant>
        <vt:i4>-1</vt:i4>
      </vt:variant>
      <vt:variant>
        <vt:i4>2113</vt:i4>
      </vt:variant>
      <vt:variant>
        <vt:i4>1</vt:i4>
      </vt:variant>
      <vt:variant>
        <vt:lpwstr>Footer Box RTD 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2016-04-18T12:07:00Z</dcterms:created>
  <dcterms:modified xsi:type="dcterms:W3CDTF">2016-04-18T12:09:00Z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0x010100258AA79CEB83498886A3A0868112325000FB00F1B0F09B1C4F8D85A7513FDA0BCB</vt:lpwstr>
  </property>
</Properties>
</file>