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hAnsiTheme="majorHAnsi"/>
        </w:rPr>
        <w:id w:val="1692806176"/>
        <w:docPartObj>
          <w:docPartGallery w:val="Cover Pages"/>
          <w:docPartUnique/>
        </w:docPartObj>
      </w:sdtPr>
      <w:sdtEndPr/>
      <w:sdtContent>
        <w:p w:rsidR="006F205D" w:rsidRPr="00872268" w:rsidRDefault="006F205D" w:rsidP="000056C5">
          <w:pPr>
            <w:pStyle w:val="NoSpacing"/>
            <w:jc w:val="both"/>
            <w:rPr>
              <w:rFonts w:asciiTheme="majorHAnsi" w:hAnsiTheme="majorHAnsi"/>
              <w:color w:val="595959" w:themeColor="text1" w:themeTint="A6"/>
            </w:rPr>
          </w:pPr>
          <w:r w:rsidRPr="00872268">
            <w:rPr>
              <w:rFonts w:asciiTheme="majorHAnsi" w:hAnsiTheme="majorHAnsi"/>
              <w:noProof/>
              <w:lang w:eastAsia="en-GB"/>
            </w:rPr>
            <w:drawing>
              <wp:anchor distT="0" distB="0" distL="114300" distR="114300" simplePos="0" relativeHeight="251658240" behindDoc="0" locked="0" layoutInCell="1" allowOverlap="1" wp14:anchorId="65587038" wp14:editId="0CD611A1">
                <wp:simplePos x="0" y="0"/>
                <wp:positionH relativeFrom="column">
                  <wp:posOffset>2332355</wp:posOffset>
                </wp:positionH>
                <wp:positionV relativeFrom="page">
                  <wp:posOffset>320675</wp:posOffset>
                </wp:positionV>
                <wp:extent cx="1172845" cy="813435"/>
                <wp:effectExtent l="0" t="0" r="8255" b="5715"/>
                <wp:wrapNone/>
                <wp:docPr id="2" name="Picture 2" descr="logo_ce-en-rvb-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ce-en-rvb-l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813435"/>
                        </a:xfrm>
                        <a:prstGeom prst="rect">
                          <a:avLst/>
                        </a:prstGeom>
                        <a:noFill/>
                      </pic:spPr>
                    </pic:pic>
                  </a:graphicData>
                </a:graphic>
              </wp:anchor>
            </w:drawing>
          </w:r>
          <w:r w:rsidR="00996CD0">
            <w:rPr>
              <w:rFonts w:asciiTheme="majorHAnsi" w:hAnsiTheme="majorHAnsi"/>
              <w:noProof/>
              <w:lang w:eastAsia="en-GB"/>
            </w:rPr>
            <mc:AlternateContent>
              <mc:Choice Requires="wps">
                <w:drawing>
                  <wp:anchor distT="0" distB="0" distL="114300" distR="114300" simplePos="0" relativeHeight="251660288" behindDoc="0" locked="0" layoutInCell="1" allowOverlap="1" wp14:anchorId="0B6EF594" wp14:editId="3ACFE90F">
                    <wp:simplePos x="0" y="0"/>
                    <wp:positionH relativeFrom="column">
                      <wp:posOffset>2759710</wp:posOffset>
                    </wp:positionH>
                    <wp:positionV relativeFrom="paragraph">
                      <wp:posOffset>-3379470</wp:posOffset>
                    </wp:positionV>
                    <wp:extent cx="179705" cy="7560310"/>
                    <wp:effectExtent l="5398" t="0" r="0" b="0"/>
                    <wp:wrapNone/>
                    <wp:docPr id="36" name="Moon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179705" cy="7560310"/>
                            </a:xfrm>
                            <a:prstGeom prst="moon">
                              <a:avLst>
                                <a:gd name="adj" fmla="val 50000"/>
                              </a:avLst>
                            </a:prstGeom>
                            <a:solidFill>
                              <a:srgbClr val="AF1E2D"/>
                            </a:solidFill>
                            <a:ln>
                              <a:noFill/>
                            </a:ln>
                            <a:extLst>
                              <a:ext uri="{91240B29-F687-4F45-9708-019B960494DF}">
                                <a14:hiddenLine xmlns:a14="http://schemas.microsoft.com/office/drawing/2010/main" w="9525">
                                  <a:solidFill>
                                    <a:srgbClr val="8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Moon 36" o:spid="_x0000_s1026" type="#_x0000_t184" style="position:absolute;margin-left:217.3pt;margin-top:-266.1pt;width:14.15pt;height:595.3pt;rotation:-9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VToQIAADwFAAAOAAAAZHJzL2Uyb0RvYy54bWysVF1v0zAUfUfiP1h+75J0SdtES6dtpQhp&#10;g0kD3t3YaQz+wnabDsR/59rJthZeEKIPrm98fXzPuce+uDxIgfbMOq5VjbOzFCOmGk252tb408f1&#10;ZIGR80RRIrRiNX5kDl8uX7+66E3FprrTgjKLAES5qjc17rw3VZK4pmOSuDNtmILFVltJPIR2m1BL&#10;ekCXIpmm6SzptaXG6oY5B19XwyJeRvy2ZY3/0LaOeSRqDLX5ONo4bsKYLC9ItbXEdLwZyyD/UIUk&#10;XMGhz1Ar4gnaWf4HlOSN1U63/qzRMtFtyxsWOQCbLP2NzUNHDItcQBxnnmVy/w+2eb+/t4jTGp/P&#10;MFJEQo/utFYIQtCmN66ClAdzbwM7Z25189UhpW86orbsylrdd4xQqCgL+cnJhhA42Io2/Z2mgEx2&#10;XkeZDq2VyGpoR5Gn4YdRK7j5HGDCQSAMOsQuPT53iR08auBjNi/naYFRA0vzYpaeZ7GNCakCatht&#10;rPNvmZYoTGosgU9EJftb52OX6EiV0C9wshTQ8z0RqIilBB6kGpNh9gQXFdCC0zUXIgZ2u7kRFsHW&#10;Gl+tszfTVRQBhDpOEyokKx22DdjDFyA01hOoRbf8KLNpnl5Py8l6tphP8nVeTIDtYpJm5XU5S/My&#10;X61/BjJZXnWcUqZuuWJPzs3yv3PGeIcGz0Xvor7GZTEtok4n1btjkouhWQOLkzTJPVxkwWWNX5JI&#10;FczxRlHYQCpPuBjmyWn5UW/Q4Ok/qhKtFNwzuHCj6SM4KXoG3AJPDnS20/Y7Rj1c3xq7bztiGUbi&#10;nQI3llmeh/seg7yYTyGwxyub4xWiGoCqscdomN744Y3YGcu3HZw02FLpK3Bwy30QILh7qGoM4IpG&#10;BuNzEt6A4zhmvTx6y18AAAD//wMAUEsDBBQABgAIAAAAIQCPAVGn4QAAAAsBAAAPAAAAZHJzL2Rv&#10;d25yZXYueG1sTI/BTsMwEETvSPyDtUjcWieVaULIpkIgDiBxoCCi3jaxiSNiO4qdNvw97gmOq3ma&#10;eVvuFjOwo5p87yxCuk6AKds62dsO4eP9aZUD84GspMFZhfCjPOyqy4uSCulO9k0d96FjscT6ghB0&#10;CGPBuW+1MuTXblQ2Zl9uMhTiOXVcTnSK5WbgmyTZckO9jQuaRvWgVfu9nw3CgUyd65f+0Hy+drN+&#10;1PWzyGrE66vl/g5YUEv4g+GsH9Whik6Nm630bEBYpWJ7E1kEkd8COxOJECmwBiHLNsCrkv//ofoF&#10;AAD//wMAUEsBAi0AFAAGAAgAAAAhALaDOJL+AAAA4QEAABMAAAAAAAAAAAAAAAAAAAAAAFtDb250&#10;ZW50X1R5cGVzXS54bWxQSwECLQAUAAYACAAAACEAOP0h/9YAAACUAQAACwAAAAAAAAAAAAAAAAAv&#10;AQAAX3JlbHMvLnJlbHNQSwECLQAUAAYACAAAACEAdz/lU6ECAAA8BQAADgAAAAAAAAAAAAAAAAAu&#10;AgAAZHJzL2Uyb0RvYy54bWxQSwECLQAUAAYACAAAACEAjwFRp+EAAAALAQAADwAAAAAAAAAAAAAA&#10;AAD7BAAAZHJzL2Rvd25yZXYueG1sUEsFBgAAAAAEAAQA8wAAAAkGAAAAAA==&#10;" fillcolor="#af1e2d" stroked="f" strokecolor="maroon"/>
                </w:pict>
              </mc:Fallback>
            </mc:AlternateContent>
          </w:r>
        </w:p>
        <w:p w:rsidR="006F205D" w:rsidRPr="00872268" w:rsidRDefault="006F205D" w:rsidP="000056C5">
          <w:pPr>
            <w:spacing w:after="0" w:line="240" w:lineRule="auto"/>
            <w:jc w:val="both"/>
            <w:rPr>
              <w:rFonts w:asciiTheme="majorHAnsi" w:eastAsia="Times New Roman" w:hAnsiTheme="majorHAnsi" w:cs="Arial"/>
              <w:b/>
              <w:bCs/>
              <w:smallCaps/>
              <w:color w:val="595959" w:themeColor="text1" w:themeTint="A6"/>
              <w:sz w:val="32"/>
              <w:szCs w:val="20"/>
            </w:rPr>
          </w:pPr>
        </w:p>
        <w:p w:rsidR="006F205D" w:rsidRPr="00872268" w:rsidRDefault="006F205D" w:rsidP="000056C5">
          <w:pPr>
            <w:spacing w:after="0" w:line="240" w:lineRule="auto"/>
            <w:jc w:val="both"/>
            <w:rPr>
              <w:rFonts w:asciiTheme="majorHAnsi" w:eastAsia="Times New Roman" w:hAnsiTheme="majorHAnsi" w:cs="Arial"/>
              <w:b/>
              <w:bCs/>
              <w:smallCaps/>
              <w:color w:val="7F7F7F" w:themeColor="text1" w:themeTint="80"/>
              <w:sz w:val="32"/>
              <w:szCs w:val="20"/>
            </w:rPr>
          </w:pPr>
        </w:p>
        <w:p w:rsidR="006F205D" w:rsidRPr="00872268" w:rsidRDefault="006F205D" w:rsidP="000056C5">
          <w:pPr>
            <w:spacing w:after="120" w:line="288" w:lineRule="auto"/>
            <w:jc w:val="center"/>
            <w:rPr>
              <w:rFonts w:asciiTheme="majorHAnsi" w:eastAsia="Times New Roman" w:hAnsiTheme="majorHAnsi" w:cs="Calibri"/>
              <w:b/>
              <w:color w:val="7F7F7F" w:themeColor="text1" w:themeTint="80"/>
              <w:sz w:val="36"/>
              <w:szCs w:val="44"/>
            </w:rPr>
          </w:pPr>
          <w:r w:rsidRPr="00872268">
            <w:rPr>
              <w:rFonts w:asciiTheme="majorHAnsi" w:eastAsia="Times New Roman" w:hAnsiTheme="majorHAnsi" w:cs="Calibri"/>
              <w:b/>
              <w:color w:val="7F7F7F" w:themeColor="text1" w:themeTint="80"/>
              <w:sz w:val="36"/>
              <w:szCs w:val="44"/>
            </w:rPr>
            <w:t>Ex post evaluation</w:t>
          </w:r>
        </w:p>
        <w:p w:rsidR="006F205D" w:rsidRPr="00872268" w:rsidRDefault="006F205D" w:rsidP="000056C5">
          <w:pPr>
            <w:spacing w:after="120" w:line="288" w:lineRule="auto"/>
            <w:jc w:val="center"/>
            <w:rPr>
              <w:rFonts w:asciiTheme="majorHAnsi" w:eastAsia="Times New Roman" w:hAnsiTheme="majorHAnsi" w:cs="Calibri"/>
              <w:b/>
              <w:color w:val="7F7F7F" w:themeColor="text1" w:themeTint="80"/>
              <w:sz w:val="36"/>
              <w:szCs w:val="44"/>
            </w:rPr>
          </w:pPr>
          <w:r w:rsidRPr="00872268">
            <w:rPr>
              <w:rFonts w:asciiTheme="majorHAnsi" w:eastAsia="Times New Roman" w:hAnsiTheme="majorHAnsi" w:cs="Calibri"/>
              <w:b/>
              <w:color w:val="7F7F7F" w:themeColor="text1" w:themeTint="80"/>
              <w:sz w:val="36"/>
              <w:szCs w:val="44"/>
            </w:rPr>
            <w:t>of Cohesion policy programmes 2007-2013</w:t>
          </w:r>
        </w:p>
        <w:p w:rsidR="006F205D" w:rsidRPr="00872268" w:rsidRDefault="006F205D" w:rsidP="000056C5">
          <w:pPr>
            <w:spacing w:after="120" w:line="288" w:lineRule="auto"/>
            <w:jc w:val="center"/>
            <w:rPr>
              <w:rFonts w:asciiTheme="majorHAnsi" w:eastAsia="Times New Roman" w:hAnsiTheme="majorHAnsi" w:cs="Calibri"/>
              <w:b/>
              <w:color w:val="7F7F7F" w:themeColor="text1" w:themeTint="80"/>
              <w:sz w:val="36"/>
              <w:szCs w:val="44"/>
            </w:rPr>
          </w:pPr>
          <w:r w:rsidRPr="00872268">
            <w:rPr>
              <w:rFonts w:asciiTheme="majorHAnsi" w:eastAsia="Times New Roman" w:hAnsiTheme="majorHAnsi" w:cs="Calibri"/>
              <w:b/>
              <w:color w:val="7F7F7F" w:themeColor="text1" w:themeTint="80"/>
              <w:sz w:val="36"/>
              <w:szCs w:val="44"/>
            </w:rPr>
            <w:t>financed by the ERDF and the Cohesion Fund</w:t>
          </w:r>
        </w:p>
        <w:p w:rsidR="006F205D" w:rsidRPr="00872268" w:rsidRDefault="006F205D" w:rsidP="000056C5">
          <w:pPr>
            <w:spacing w:after="0" w:line="240" w:lineRule="auto"/>
            <w:jc w:val="center"/>
            <w:rPr>
              <w:rFonts w:asciiTheme="majorHAnsi" w:eastAsia="Times New Roman" w:hAnsiTheme="majorHAnsi" w:cs="Arial"/>
              <w:b/>
              <w:bCs/>
              <w:smallCaps/>
              <w:color w:val="7F7F7F" w:themeColor="text1" w:themeTint="80"/>
              <w:sz w:val="32"/>
              <w:szCs w:val="20"/>
            </w:rPr>
          </w:pPr>
        </w:p>
        <w:p w:rsidR="006F205D" w:rsidRPr="00872268" w:rsidRDefault="006F205D" w:rsidP="000056C5">
          <w:pPr>
            <w:spacing w:after="0" w:line="240" w:lineRule="auto"/>
            <w:jc w:val="center"/>
            <w:rPr>
              <w:rFonts w:asciiTheme="majorHAnsi" w:eastAsia="Times New Roman" w:hAnsiTheme="majorHAnsi" w:cs="Arial"/>
              <w:b/>
              <w:bCs/>
              <w:smallCaps/>
              <w:color w:val="7F7F7F" w:themeColor="text1" w:themeTint="80"/>
              <w:sz w:val="28"/>
              <w:szCs w:val="28"/>
            </w:rPr>
          </w:pPr>
        </w:p>
        <w:p w:rsidR="006F205D" w:rsidRPr="00872268" w:rsidRDefault="006F205D" w:rsidP="000056C5">
          <w:pPr>
            <w:spacing w:after="120" w:line="288" w:lineRule="auto"/>
            <w:jc w:val="center"/>
            <w:rPr>
              <w:rFonts w:asciiTheme="majorHAnsi" w:eastAsia="Times New Roman" w:hAnsiTheme="majorHAnsi" w:cs="Calibri"/>
              <w:b/>
              <w:color w:val="943634" w:themeColor="accent2" w:themeShade="BF"/>
              <w:sz w:val="28"/>
              <w:szCs w:val="28"/>
            </w:rPr>
          </w:pPr>
          <w:r w:rsidRPr="00872268">
            <w:rPr>
              <w:rFonts w:asciiTheme="majorHAnsi" w:eastAsia="Times New Roman" w:hAnsiTheme="majorHAnsi" w:cs="Calibri"/>
              <w:b/>
              <w:color w:val="943634" w:themeColor="accent2" w:themeShade="BF"/>
              <w:sz w:val="28"/>
              <w:szCs w:val="28"/>
            </w:rPr>
            <w:t>WP1: Coordination support and Synthesis report</w:t>
          </w:r>
        </w:p>
        <w:p w:rsidR="006F205D" w:rsidRPr="00872268" w:rsidRDefault="006F205D" w:rsidP="000056C5">
          <w:pPr>
            <w:spacing w:after="120" w:line="288" w:lineRule="auto"/>
            <w:jc w:val="center"/>
            <w:rPr>
              <w:rFonts w:asciiTheme="majorHAnsi" w:eastAsia="Times New Roman" w:hAnsiTheme="majorHAnsi" w:cs="Calibri"/>
              <w:b/>
              <w:color w:val="943634" w:themeColor="accent2" w:themeShade="BF"/>
              <w:sz w:val="36"/>
              <w:szCs w:val="44"/>
            </w:rPr>
          </w:pPr>
        </w:p>
        <w:p w:rsidR="00D1233B" w:rsidRPr="00872268" w:rsidRDefault="004431FD" w:rsidP="000056C5">
          <w:pPr>
            <w:jc w:val="center"/>
            <w:rPr>
              <w:rFonts w:asciiTheme="majorHAnsi" w:hAnsiTheme="majorHAnsi"/>
              <w:b/>
              <w:color w:val="943634" w:themeColor="accent2" w:themeShade="BF"/>
              <w:sz w:val="30"/>
              <w:szCs w:val="30"/>
            </w:rPr>
          </w:pPr>
          <w:r w:rsidRPr="00872268">
            <w:rPr>
              <w:rFonts w:asciiTheme="majorHAnsi" w:hAnsiTheme="majorHAnsi"/>
              <w:b/>
              <w:color w:val="943634" w:themeColor="accent2" w:themeShade="BF"/>
              <w:sz w:val="30"/>
              <w:szCs w:val="30"/>
            </w:rPr>
            <w:t>Background paper for the seminar with</w:t>
          </w:r>
          <w:r w:rsidR="006B03AD" w:rsidRPr="00872268">
            <w:rPr>
              <w:rFonts w:asciiTheme="majorHAnsi" w:hAnsiTheme="majorHAnsi"/>
              <w:b/>
              <w:color w:val="943634" w:themeColor="accent2" w:themeShade="BF"/>
              <w:sz w:val="30"/>
              <w:szCs w:val="30"/>
            </w:rPr>
            <w:t xml:space="preserve"> </w:t>
          </w:r>
          <w:r w:rsidR="00D1233B" w:rsidRPr="00872268">
            <w:rPr>
              <w:rFonts w:asciiTheme="majorHAnsi" w:hAnsiTheme="majorHAnsi"/>
              <w:b/>
              <w:color w:val="943634" w:themeColor="accent2" w:themeShade="BF"/>
              <w:sz w:val="30"/>
              <w:szCs w:val="30"/>
            </w:rPr>
            <w:t>Member States</w:t>
          </w:r>
        </w:p>
        <w:p w:rsidR="004431FD" w:rsidRPr="00872268" w:rsidRDefault="004431FD" w:rsidP="000056C5">
          <w:pPr>
            <w:jc w:val="center"/>
            <w:rPr>
              <w:rFonts w:asciiTheme="majorHAnsi" w:hAnsiTheme="majorHAnsi"/>
              <w:b/>
              <w:color w:val="943634" w:themeColor="accent2" w:themeShade="BF"/>
              <w:sz w:val="30"/>
              <w:szCs w:val="30"/>
            </w:rPr>
          </w:pPr>
          <w:proofErr w:type="gramStart"/>
          <w:r w:rsidRPr="00872268">
            <w:rPr>
              <w:rFonts w:asciiTheme="majorHAnsi" w:hAnsiTheme="majorHAnsi"/>
              <w:b/>
              <w:color w:val="943634" w:themeColor="accent2" w:themeShade="BF"/>
              <w:sz w:val="30"/>
              <w:szCs w:val="30"/>
            </w:rPr>
            <w:t>on</w:t>
          </w:r>
          <w:proofErr w:type="gramEnd"/>
          <w:r w:rsidRPr="00872268">
            <w:rPr>
              <w:rFonts w:asciiTheme="majorHAnsi" w:hAnsiTheme="majorHAnsi"/>
              <w:b/>
              <w:color w:val="943634" w:themeColor="accent2" w:themeShade="BF"/>
              <w:sz w:val="30"/>
              <w:szCs w:val="30"/>
            </w:rPr>
            <w:t xml:space="preserve"> the effects of the crisis on Cohesion policy</w:t>
          </w:r>
        </w:p>
        <w:p w:rsidR="006F205D" w:rsidRPr="00872268" w:rsidRDefault="006F205D" w:rsidP="000056C5">
          <w:pPr>
            <w:spacing w:after="120" w:line="288" w:lineRule="auto"/>
            <w:jc w:val="center"/>
            <w:rPr>
              <w:rFonts w:asciiTheme="majorHAnsi" w:eastAsia="Times New Roman" w:hAnsiTheme="majorHAnsi" w:cs="Calibri"/>
              <w:b/>
              <w:color w:val="943634" w:themeColor="accent2" w:themeShade="BF"/>
              <w:sz w:val="28"/>
              <w:szCs w:val="28"/>
            </w:rPr>
          </w:pPr>
        </w:p>
        <w:p w:rsidR="00097B8B" w:rsidRPr="00872268" w:rsidRDefault="00097B8B" w:rsidP="000056C5">
          <w:pPr>
            <w:spacing w:after="120" w:line="288" w:lineRule="auto"/>
            <w:jc w:val="center"/>
            <w:rPr>
              <w:rFonts w:asciiTheme="majorHAnsi" w:eastAsia="Times New Roman" w:hAnsiTheme="majorHAnsi" w:cs="Calibri"/>
              <w:b/>
              <w:color w:val="943634" w:themeColor="accent2" w:themeShade="BF"/>
              <w:sz w:val="28"/>
              <w:szCs w:val="28"/>
            </w:rPr>
          </w:pPr>
        </w:p>
        <w:p w:rsidR="00097B8B" w:rsidRPr="00872268" w:rsidRDefault="00097B8B" w:rsidP="000056C5">
          <w:pPr>
            <w:spacing w:after="120" w:line="288" w:lineRule="auto"/>
            <w:jc w:val="center"/>
            <w:rPr>
              <w:rFonts w:asciiTheme="majorHAnsi" w:eastAsia="Times New Roman" w:hAnsiTheme="majorHAnsi" w:cs="Calibri"/>
              <w:b/>
              <w:color w:val="943634" w:themeColor="accent2" w:themeShade="BF"/>
              <w:sz w:val="28"/>
              <w:szCs w:val="28"/>
            </w:rPr>
          </w:pPr>
        </w:p>
        <w:p w:rsidR="009E78AD" w:rsidRPr="00872268" w:rsidRDefault="009E78AD" w:rsidP="000056C5">
          <w:pPr>
            <w:spacing w:after="120" w:line="288" w:lineRule="auto"/>
            <w:jc w:val="both"/>
            <w:rPr>
              <w:rFonts w:asciiTheme="majorHAnsi" w:eastAsia="Times New Roman" w:hAnsiTheme="majorHAnsi" w:cs="Calibri"/>
              <w:b/>
              <w:color w:val="7F7F7F" w:themeColor="text1" w:themeTint="80"/>
              <w:sz w:val="28"/>
              <w:szCs w:val="24"/>
            </w:rPr>
          </w:pPr>
        </w:p>
        <w:p w:rsidR="009E78AD" w:rsidRDefault="009E78AD" w:rsidP="000056C5">
          <w:pPr>
            <w:spacing w:after="120" w:line="288" w:lineRule="auto"/>
            <w:jc w:val="both"/>
            <w:rPr>
              <w:rFonts w:asciiTheme="majorHAnsi" w:eastAsia="Times New Roman" w:hAnsiTheme="majorHAnsi" w:cs="Calibri"/>
              <w:b/>
              <w:color w:val="7F7F7F" w:themeColor="text1" w:themeTint="80"/>
              <w:sz w:val="28"/>
              <w:szCs w:val="24"/>
            </w:rPr>
          </w:pPr>
        </w:p>
        <w:p w:rsidR="000B2EAE" w:rsidRDefault="000B2EAE" w:rsidP="000056C5">
          <w:pPr>
            <w:spacing w:after="120" w:line="288" w:lineRule="auto"/>
            <w:jc w:val="both"/>
            <w:rPr>
              <w:rFonts w:asciiTheme="majorHAnsi" w:eastAsia="Times New Roman" w:hAnsiTheme="majorHAnsi" w:cs="Calibri"/>
              <w:b/>
              <w:color w:val="7F7F7F" w:themeColor="text1" w:themeTint="80"/>
              <w:sz w:val="28"/>
              <w:szCs w:val="24"/>
            </w:rPr>
          </w:pPr>
        </w:p>
        <w:p w:rsidR="000B2EAE" w:rsidRDefault="000B2EAE" w:rsidP="000056C5">
          <w:pPr>
            <w:spacing w:after="120" w:line="288" w:lineRule="auto"/>
            <w:jc w:val="both"/>
            <w:rPr>
              <w:rFonts w:asciiTheme="majorHAnsi" w:eastAsia="Times New Roman" w:hAnsiTheme="majorHAnsi" w:cs="Calibri"/>
              <w:b/>
              <w:color w:val="7F7F7F" w:themeColor="text1" w:themeTint="80"/>
              <w:sz w:val="28"/>
              <w:szCs w:val="24"/>
            </w:rPr>
          </w:pPr>
        </w:p>
        <w:p w:rsidR="000B2EAE" w:rsidRDefault="000B2EAE" w:rsidP="000056C5">
          <w:pPr>
            <w:spacing w:after="120" w:line="288" w:lineRule="auto"/>
            <w:jc w:val="both"/>
            <w:rPr>
              <w:rFonts w:asciiTheme="majorHAnsi" w:eastAsia="Times New Roman" w:hAnsiTheme="majorHAnsi" w:cs="Calibri"/>
              <w:b/>
              <w:color w:val="7F7F7F" w:themeColor="text1" w:themeTint="80"/>
              <w:sz w:val="28"/>
              <w:szCs w:val="24"/>
            </w:rPr>
          </w:pPr>
        </w:p>
        <w:p w:rsidR="000B2EAE" w:rsidRPr="00872268" w:rsidRDefault="000B2EAE" w:rsidP="000056C5">
          <w:pPr>
            <w:spacing w:after="120" w:line="288" w:lineRule="auto"/>
            <w:jc w:val="both"/>
            <w:rPr>
              <w:rFonts w:asciiTheme="majorHAnsi" w:eastAsia="Times New Roman" w:hAnsiTheme="majorHAnsi" w:cs="Calibri"/>
              <w:b/>
              <w:color w:val="7F7F7F" w:themeColor="text1" w:themeTint="80"/>
              <w:sz w:val="28"/>
              <w:szCs w:val="24"/>
            </w:rPr>
          </w:pPr>
        </w:p>
        <w:p w:rsidR="006F205D" w:rsidRPr="00872268" w:rsidRDefault="003F00EF" w:rsidP="000056C5">
          <w:pPr>
            <w:spacing w:after="120" w:line="288" w:lineRule="auto"/>
            <w:jc w:val="center"/>
            <w:rPr>
              <w:rFonts w:asciiTheme="majorHAnsi" w:eastAsia="Times New Roman" w:hAnsiTheme="majorHAnsi" w:cs="Calibri"/>
              <w:b/>
              <w:color w:val="7F7F7F" w:themeColor="text1" w:themeTint="80"/>
              <w:sz w:val="28"/>
              <w:szCs w:val="24"/>
            </w:rPr>
          </w:pPr>
          <w:r w:rsidRPr="00872268">
            <w:rPr>
              <w:rFonts w:asciiTheme="majorHAnsi" w:eastAsia="Times New Roman" w:hAnsiTheme="majorHAnsi" w:cs="Calibri"/>
              <w:b/>
              <w:color w:val="7F7F7F" w:themeColor="text1" w:themeTint="80"/>
              <w:sz w:val="28"/>
              <w:szCs w:val="24"/>
            </w:rPr>
            <w:t>April</w:t>
          </w:r>
          <w:r w:rsidR="009E78AD" w:rsidRPr="00872268">
            <w:rPr>
              <w:rFonts w:asciiTheme="majorHAnsi" w:eastAsia="Times New Roman" w:hAnsiTheme="majorHAnsi" w:cs="Calibri"/>
              <w:b/>
              <w:color w:val="7F7F7F" w:themeColor="text1" w:themeTint="80"/>
              <w:sz w:val="28"/>
              <w:szCs w:val="24"/>
            </w:rPr>
            <w:t xml:space="preserve"> 2015</w:t>
          </w:r>
        </w:p>
        <w:p w:rsidR="006F205D" w:rsidRPr="00872268" w:rsidRDefault="006F205D" w:rsidP="000056C5">
          <w:pPr>
            <w:spacing w:after="0" w:line="288" w:lineRule="auto"/>
            <w:jc w:val="both"/>
            <w:rPr>
              <w:rFonts w:asciiTheme="majorHAnsi" w:eastAsia="Times New Roman" w:hAnsiTheme="majorHAnsi" w:cs="Arial"/>
              <w:b/>
              <w:bCs/>
              <w:smallCaps/>
              <w:color w:val="7F7F7F" w:themeColor="text1" w:themeTint="80"/>
              <w:sz w:val="32"/>
              <w:szCs w:val="20"/>
            </w:rPr>
          </w:pPr>
        </w:p>
        <w:p w:rsidR="006F205D" w:rsidRPr="00872268" w:rsidRDefault="006F205D" w:rsidP="000056C5">
          <w:pPr>
            <w:spacing w:after="0" w:line="288" w:lineRule="auto"/>
            <w:jc w:val="both"/>
            <w:rPr>
              <w:rFonts w:asciiTheme="majorHAnsi" w:eastAsia="Times New Roman" w:hAnsiTheme="majorHAnsi" w:cs="Arial"/>
              <w:b/>
              <w:bCs/>
              <w:smallCaps/>
              <w:color w:val="7F7F7F" w:themeColor="text1" w:themeTint="80"/>
              <w:sz w:val="32"/>
              <w:szCs w:val="20"/>
            </w:rPr>
          </w:pPr>
        </w:p>
        <w:p w:rsidR="006F205D" w:rsidRPr="00872268" w:rsidRDefault="006F205D" w:rsidP="000056C5">
          <w:pPr>
            <w:jc w:val="both"/>
            <w:rPr>
              <w:rFonts w:asciiTheme="majorHAnsi" w:hAnsiTheme="majorHAnsi"/>
            </w:rPr>
          </w:pPr>
          <w:r w:rsidRPr="00872268">
            <w:rPr>
              <w:rFonts w:asciiTheme="majorHAnsi" w:hAnsiTheme="majorHAnsi"/>
            </w:rPr>
            <w:br w:type="page"/>
          </w:r>
        </w:p>
      </w:sdtContent>
    </w:sdt>
    <w:p w:rsidR="005653B5" w:rsidRPr="00872268" w:rsidRDefault="005653B5" w:rsidP="000056C5">
      <w:pPr>
        <w:pStyle w:val="Heading1"/>
        <w:spacing w:before="0"/>
        <w:jc w:val="both"/>
        <w:sectPr w:rsidR="005653B5" w:rsidRPr="00872268" w:rsidSect="00421226">
          <w:footerReference w:type="default" r:id="rId10"/>
          <w:pgSz w:w="11906" w:h="16838"/>
          <w:pgMar w:top="1440" w:right="1440" w:bottom="1440" w:left="1440" w:header="708" w:footer="708" w:gutter="0"/>
          <w:cols w:space="708"/>
          <w:docGrid w:linePitch="360"/>
        </w:sectPr>
      </w:pPr>
      <w:bookmarkStart w:id="1" w:name="_Toc415238994"/>
    </w:p>
    <w:p w:rsidR="000B2EAE" w:rsidRDefault="000B2EAE" w:rsidP="000B2EAE">
      <w:pPr>
        <w:spacing w:after="120" w:line="288" w:lineRule="auto"/>
      </w:pPr>
    </w:p>
    <w:p w:rsidR="000B2EAE" w:rsidRDefault="000B2EAE" w:rsidP="000B2EAE">
      <w:pPr>
        <w:spacing w:after="120" w:line="288" w:lineRule="auto"/>
      </w:pPr>
    </w:p>
    <w:p w:rsidR="000B2EAE" w:rsidRDefault="000B2EAE" w:rsidP="000B2EAE">
      <w:pPr>
        <w:spacing w:after="120" w:line="288" w:lineRule="auto"/>
      </w:pPr>
    </w:p>
    <w:p w:rsidR="000B2EAE" w:rsidRDefault="000B2EAE" w:rsidP="000B2EAE">
      <w:pPr>
        <w:spacing w:after="120" w:line="288" w:lineRule="auto"/>
      </w:pPr>
    </w:p>
    <w:p w:rsidR="000B2EAE" w:rsidRDefault="000B2EAE" w:rsidP="000B2EAE">
      <w:pPr>
        <w:spacing w:after="120" w:line="288" w:lineRule="auto"/>
      </w:pPr>
    </w:p>
    <w:p w:rsidR="000B2EAE" w:rsidRDefault="000B2EAE" w:rsidP="000B2EAE">
      <w:pPr>
        <w:spacing w:after="120" w:line="288" w:lineRule="auto"/>
      </w:pPr>
    </w:p>
    <w:p w:rsidR="000B2EAE" w:rsidRDefault="000B2EAE" w:rsidP="000B2EAE">
      <w:pPr>
        <w:spacing w:after="120" w:line="288" w:lineRule="auto"/>
      </w:pPr>
    </w:p>
    <w:p w:rsidR="000B2EAE" w:rsidRDefault="000B2EAE" w:rsidP="000B2EAE">
      <w:pPr>
        <w:spacing w:after="120" w:line="288" w:lineRule="auto"/>
      </w:pPr>
    </w:p>
    <w:p w:rsidR="000B2EAE" w:rsidRDefault="000B2EAE" w:rsidP="000B2EAE">
      <w:pPr>
        <w:spacing w:after="120" w:line="288" w:lineRule="auto"/>
      </w:pPr>
    </w:p>
    <w:p w:rsidR="000B2EAE" w:rsidRDefault="000B2EAE" w:rsidP="000B2EAE">
      <w:pPr>
        <w:spacing w:after="120" w:line="288" w:lineRule="auto"/>
      </w:pPr>
    </w:p>
    <w:p w:rsidR="000B2EAE" w:rsidRDefault="000B2EAE" w:rsidP="000B2EAE">
      <w:pPr>
        <w:spacing w:after="120" w:line="288" w:lineRule="auto"/>
      </w:pPr>
    </w:p>
    <w:p w:rsidR="000B2EAE" w:rsidRDefault="000B2EAE" w:rsidP="000B2EAE">
      <w:pPr>
        <w:spacing w:after="120" w:line="288" w:lineRule="auto"/>
      </w:pPr>
    </w:p>
    <w:p w:rsidR="000B2EAE" w:rsidRDefault="000B2EAE" w:rsidP="000B2EAE">
      <w:pPr>
        <w:spacing w:after="120" w:line="288" w:lineRule="auto"/>
      </w:pPr>
    </w:p>
    <w:p w:rsidR="000B2EAE" w:rsidRDefault="000B2EAE" w:rsidP="000B2EAE">
      <w:pPr>
        <w:spacing w:after="120" w:line="288" w:lineRule="auto"/>
      </w:pPr>
    </w:p>
    <w:p w:rsidR="000B2EAE" w:rsidRDefault="000B2EAE" w:rsidP="000B2EAE">
      <w:pPr>
        <w:spacing w:after="120" w:line="288" w:lineRule="auto"/>
      </w:pPr>
    </w:p>
    <w:p w:rsidR="000B2EAE" w:rsidRDefault="000B2EAE" w:rsidP="000B2EAE">
      <w:pPr>
        <w:spacing w:after="120" w:line="288" w:lineRule="auto"/>
      </w:pPr>
    </w:p>
    <w:p w:rsidR="000B2EAE" w:rsidRDefault="000B2EAE" w:rsidP="000B2EAE">
      <w:pPr>
        <w:spacing w:after="120" w:line="288" w:lineRule="auto"/>
      </w:pPr>
    </w:p>
    <w:p w:rsidR="000B2EAE" w:rsidRDefault="000B2EAE" w:rsidP="000B2EAE">
      <w:pPr>
        <w:spacing w:after="120" w:line="288" w:lineRule="auto"/>
      </w:pPr>
    </w:p>
    <w:p w:rsidR="000B2EAE" w:rsidRDefault="000B2EAE" w:rsidP="000B2EAE">
      <w:pPr>
        <w:spacing w:after="120" w:line="288" w:lineRule="auto"/>
      </w:pPr>
    </w:p>
    <w:p w:rsidR="000B2EAE" w:rsidRDefault="000B2EAE" w:rsidP="000B2EAE">
      <w:pPr>
        <w:spacing w:after="120" w:line="288" w:lineRule="auto"/>
      </w:pPr>
    </w:p>
    <w:p w:rsidR="000B2EAE" w:rsidRDefault="000B2EAE" w:rsidP="000B2EAE">
      <w:pPr>
        <w:spacing w:after="120" w:line="288" w:lineRule="auto"/>
      </w:pPr>
    </w:p>
    <w:p w:rsidR="000B2EAE" w:rsidRDefault="000B2EAE" w:rsidP="000B2EAE">
      <w:pPr>
        <w:spacing w:after="120" w:line="288" w:lineRule="auto"/>
      </w:pPr>
    </w:p>
    <w:p w:rsidR="000B2EAE" w:rsidRDefault="000B2EAE" w:rsidP="000B2EAE">
      <w:pPr>
        <w:spacing w:after="120" w:line="288" w:lineRule="auto"/>
      </w:pPr>
    </w:p>
    <w:p w:rsidR="000B2EAE" w:rsidRDefault="000B2EAE" w:rsidP="000B2EAE">
      <w:pPr>
        <w:spacing w:after="120" w:line="288" w:lineRule="auto"/>
      </w:pPr>
    </w:p>
    <w:p w:rsidR="000B2EAE" w:rsidRDefault="000B2EAE" w:rsidP="000B2EAE">
      <w:pPr>
        <w:spacing w:after="120" w:line="288" w:lineRule="auto"/>
      </w:pPr>
    </w:p>
    <w:p w:rsidR="000B2EAE" w:rsidRDefault="000B2EAE" w:rsidP="000B2EAE">
      <w:pPr>
        <w:spacing w:after="120" w:line="288" w:lineRule="auto"/>
      </w:pPr>
    </w:p>
    <w:p w:rsidR="000B2EAE" w:rsidRDefault="000B2EAE" w:rsidP="000B2EAE">
      <w:pPr>
        <w:spacing w:after="120" w:line="288" w:lineRule="auto"/>
      </w:pPr>
    </w:p>
    <w:p w:rsidR="000B2EAE" w:rsidRPr="00872268" w:rsidRDefault="000B2EAE" w:rsidP="000B2EAE">
      <w:pPr>
        <w:spacing w:after="120" w:line="288" w:lineRule="auto"/>
        <w:rPr>
          <w:rFonts w:asciiTheme="majorHAnsi" w:eastAsia="Times New Roman" w:hAnsiTheme="majorHAnsi" w:cs="Calibri"/>
          <w:b/>
          <w:color w:val="943634" w:themeColor="accent2" w:themeShade="BF"/>
          <w:sz w:val="28"/>
          <w:szCs w:val="28"/>
        </w:rPr>
      </w:pPr>
      <w:r>
        <w:t>Paper written by Terry Ward (APPLICA) and Enrico Wolleb (ISMERI Europa) as part of Work Package 1, Synthesis, of the ex post evaluation 2007-2013 of ERDF and Cohesion Fund</w:t>
      </w:r>
      <w:r>
        <w:br w:type="page"/>
      </w:r>
    </w:p>
    <w:p w:rsidR="004431FD" w:rsidRPr="00872268" w:rsidRDefault="004431FD" w:rsidP="000056C5">
      <w:pPr>
        <w:pStyle w:val="Heading1"/>
        <w:numPr>
          <w:ilvl w:val="0"/>
          <w:numId w:val="0"/>
        </w:numPr>
        <w:spacing w:before="0"/>
        <w:jc w:val="both"/>
      </w:pPr>
      <w:r w:rsidRPr="00872268">
        <w:lastRenderedPageBreak/>
        <w:t>Introduction</w:t>
      </w:r>
      <w:bookmarkEnd w:id="1"/>
      <w:r w:rsidRPr="00872268">
        <w:t xml:space="preserve"> </w:t>
      </w:r>
    </w:p>
    <w:p w:rsidR="00C42A91" w:rsidRPr="00872268" w:rsidRDefault="00C42A91" w:rsidP="000056C5">
      <w:pPr>
        <w:jc w:val="both"/>
      </w:pPr>
      <w:bookmarkStart w:id="2" w:name="_Toc415238995"/>
      <w:r w:rsidRPr="00872268">
        <w:t xml:space="preserve">This paper is a background note for the seminar with representatives of </w:t>
      </w:r>
      <w:r w:rsidR="005C5AEE">
        <w:t>M</w:t>
      </w:r>
      <w:r w:rsidRPr="00872268">
        <w:t>ember States on the effects of the economic and financial crisis on Cohesion policy programmes in the 2007-2013 programming period</w:t>
      </w:r>
      <w:r w:rsidR="0005342B">
        <w:t>,</w:t>
      </w:r>
      <w:r w:rsidRPr="00872268">
        <w:t xml:space="preserve"> due to be held in Brussels on the 20 May. It considers three main aspects: </w:t>
      </w:r>
    </w:p>
    <w:p w:rsidR="00C42A91" w:rsidRDefault="00C42A91" w:rsidP="000056C5">
      <w:pPr>
        <w:pStyle w:val="ListParagraph"/>
        <w:numPr>
          <w:ilvl w:val="0"/>
          <w:numId w:val="7"/>
        </w:numPr>
        <w:jc w:val="both"/>
      </w:pPr>
      <w:r w:rsidRPr="00872268">
        <w:t>changes over the period in the regulations governing what Cohesion policy funding could be spent on</w:t>
      </w:r>
      <w:r w:rsidR="0005342B">
        <w:t xml:space="preserve"> and other initiatives taken to help Member States during the crisis</w:t>
      </w:r>
      <w:r w:rsidRPr="00872268">
        <w:t xml:space="preserve">; </w:t>
      </w:r>
    </w:p>
    <w:p w:rsidR="0005342B" w:rsidRPr="00872268" w:rsidRDefault="0005342B" w:rsidP="000056C5">
      <w:pPr>
        <w:pStyle w:val="ListParagraph"/>
        <w:numPr>
          <w:ilvl w:val="0"/>
          <w:numId w:val="7"/>
        </w:numPr>
        <w:jc w:val="both"/>
      </w:pPr>
      <w:r w:rsidRPr="00872268">
        <w:t xml:space="preserve">shifts in </w:t>
      </w:r>
      <w:r>
        <w:t xml:space="preserve">the allocation of </w:t>
      </w:r>
      <w:r w:rsidRPr="00872268">
        <w:t xml:space="preserve">funding between </w:t>
      </w:r>
      <w:r>
        <w:t>policy areas, or priority themes;</w:t>
      </w:r>
    </w:p>
    <w:p w:rsidR="00C42A91" w:rsidRPr="00872268" w:rsidRDefault="00C42A91" w:rsidP="000056C5">
      <w:pPr>
        <w:pStyle w:val="ListParagraph"/>
        <w:numPr>
          <w:ilvl w:val="0"/>
          <w:numId w:val="7"/>
        </w:numPr>
        <w:jc w:val="both"/>
      </w:pPr>
      <w:proofErr w:type="gramStart"/>
      <w:r w:rsidRPr="00872268">
        <w:t>changes</w:t>
      </w:r>
      <w:proofErr w:type="gramEnd"/>
      <w:r w:rsidRPr="00872268">
        <w:t xml:space="preserve"> in EU co-financing rates and the associated changes in national co-financing</w:t>
      </w:r>
      <w:r w:rsidR="0005342B">
        <w:t xml:space="preserve"> as well as the overall funding available for expenditure.</w:t>
      </w:r>
    </w:p>
    <w:p w:rsidR="00C42A91" w:rsidRPr="00872268" w:rsidRDefault="00C42A91" w:rsidP="000056C5">
      <w:pPr>
        <w:jc w:val="both"/>
      </w:pPr>
      <w:r w:rsidRPr="00872268">
        <w:t xml:space="preserve">The changes that occurred in </w:t>
      </w:r>
      <w:r w:rsidR="005C5AEE">
        <w:t xml:space="preserve">each case </w:t>
      </w:r>
      <w:r w:rsidRPr="00872268">
        <w:t xml:space="preserve">were caused </w:t>
      </w:r>
      <w:r w:rsidR="0005342B" w:rsidRPr="00872268">
        <w:t>to varying extent</w:t>
      </w:r>
      <w:r w:rsidR="0005342B">
        <w:t>s</w:t>
      </w:r>
      <w:r w:rsidRPr="00872268">
        <w:t xml:space="preserve"> by the </w:t>
      </w:r>
      <w:r w:rsidR="005C5AEE">
        <w:t xml:space="preserve">economic and financial </w:t>
      </w:r>
      <w:r w:rsidRPr="00872268">
        <w:t>crisis which hit Member States in 2008. The</w:t>
      </w:r>
      <w:r w:rsidR="00572F1C" w:rsidRPr="00872268">
        <w:t>y</w:t>
      </w:r>
      <w:r w:rsidRPr="00872268">
        <w:t xml:space="preserve"> were intended both to speed up the implementation of programmes and to respond to t</w:t>
      </w:r>
      <w:r w:rsidR="005C5AEE">
        <w:t>he decline in economic activity</w:t>
      </w:r>
      <w:r w:rsidRPr="00872268">
        <w:t xml:space="preserve"> </w:t>
      </w:r>
      <w:r w:rsidR="0005342B">
        <w:t xml:space="preserve">in the EU </w:t>
      </w:r>
      <w:r w:rsidR="005C5AEE">
        <w:t>and the budgetary problems associated with it</w:t>
      </w:r>
      <w:r w:rsidRPr="00872268">
        <w:t>.</w:t>
      </w:r>
    </w:p>
    <w:p w:rsidR="00C42A91" w:rsidRPr="00872268" w:rsidRDefault="00C42A91" w:rsidP="000056C5">
      <w:pPr>
        <w:jc w:val="both"/>
      </w:pPr>
      <w:r w:rsidRPr="00872268">
        <w:t xml:space="preserve">The intention here is to outline the main developments </w:t>
      </w:r>
      <w:r w:rsidR="00D576DF">
        <w:t xml:space="preserve">across the EU </w:t>
      </w:r>
      <w:r w:rsidRPr="00872268">
        <w:t xml:space="preserve">over the period as revealed by the data available, which are in large part based on the information reported by Member States to DG Regional </w:t>
      </w:r>
      <w:r w:rsidR="000056C5">
        <w:t xml:space="preserve">and Urban </w:t>
      </w:r>
      <w:r w:rsidRPr="00872268">
        <w:t>Policy, and to indicate the main questions which these data give rise to. These questions form the subject-matter of the seminar</w:t>
      </w:r>
      <w:r w:rsidR="0005342B">
        <w:t xml:space="preserve">. It </w:t>
      </w:r>
      <w:r w:rsidRPr="00872268">
        <w:t>is hoped that the discussion on them will provide valuable insights into the policy adopted by Member States as regards the use of Cohesion policy funding over the period</w:t>
      </w:r>
      <w:r w:rsidR="0005342B">
        <w:t xml:space="preserve"> and potential lessons for the future</w:t>
      </w:r>
      <w:r w:rsidRPr="00872268">
        <w:t>. The central issues to be explored are:</w:t>
      </w:r>
    </w:p>
    <w:p w:rsidR="00C42A91" w:rsidRPr="00872268" w:rsidRDefault="00C42A91" w:rsidP="000056C5">
      <w:pPr>
        <w:pStyle w:val="ListParagraph"/>
        <w:numPr>
          <w:ilvl w:val="0"/>
          <w:numId w:val="8"/>
        </w:numPr>
        <w:jc w:val="both"/>
      </w:pPr>
      <w:r w:rsidRPr="00872268">
        <w:t>how far the crisis led to changes in both what Cohesion policy funding was spent on and in the pace of implementing programmes;</w:t>
      </w:r>
    </w:p>
    <w:p w:rsidR="00C42A91" w:rsidRPr="00872268" w:rsidRDefault="00C42A91" w:rsidP="000056C5">
      <w:pPr>
        <w:pStyle w:val="ListParagraph"/>
        <w:numPr>
          <w:ilvl w:val="0"/>
          <w:numId w:val="8"/>
        </w:numPr>
        <w:jc w:val="both"/>
      </w:pPr>
      <w:r w:rsidRPr="00872268">
        <w:t>how effective these changes were in countering the effects of the crisis on growth and employment;</w:t>
      </w:r>
    </w:p>
    <w:p w:rsidR="00C42A91" w:rsidRPr="00872268" w:rsidRDefault="00C42A91" w:rsidP="000056C5">
      <w:pPr>
        <w:pStyle w:val="ListParagraph"/>
        <w:numPr>
          <w:ilvl w:val="0"/>
          <w:numId w:val="8"/>
        </w:numPr>
        <w:jc w:val="both"/>
      </w:pPr>
      <w:r w:rsidRPr="00872268">
        <w:t>how significant the action taken at EU-level was in assisting Member States to make the changes concerned and in easing the difficulties they faced in co-financing programmes</w:t>
      </w:r>
      <w:r w:rsidR="00872268" w:rsidRPr="00872268">
        <w:t>;</w:t>
      </w:r>
    </w:p>
    <w:p w:rsidR="00C42A91" w:rsidRPr="00872268" w:rsidRDefault="00872268" w:rsidP="000056C5">
      <w:pPr>
        <w:pStyle w:val="ListParagraph"/>
        <w:numPr>
          <w:ilvl w:val="0"/>
          <w:numId w:val="8"/>
        </w:numPr>
        <w:jc w:val="both"/>
      </w:pPr>
      <w:proofErr w:type="gramStart"/>
      <w:r w:rsidRPr="00872268">
        <w:t>w</w:t>
      </w:r>
      <w:r w:rsidR="00C42A91" w:rsidRPr="00872268">
        <w:t>hat</w:t>
      </w:r>
      <w:proofErr w:type="gramEnd"/>
      <w:r w:rsidR="00C42A91" w:rsidRPr="00872268">
        <w:t xml:space="preserve"> other </w:t>
      </w:r>
      <w:r w:rsidR="00D576DF">
        <w:t>factors apart from the crisis lay behind the changes that occurred.</w:t>
      </w:r>
    </w:p>
    <w:p w:rsidR="004431FD" w:rsidRPr="00872268" w:rsidRDefault="004431FD" w:rsidP="000056C5">
      <w:pPr>
        <w:pStyle w:val="Heading1"/>
        <w:jc w:val="both"/>
      </w:pPr>
      <w:r w:rsidRPr="00872268">
        <w:t xml:space="preserve">Changes in </w:t>
      </w:r>
      <w:r w:rsidR="00B030E8" w:rsidRPr="00872268">
        <w:t>r</w:t>
      </w:r>
      <w:r w:rsidRPr="00872268">
        <w:t>egulations</w:t>
      </w:r>
      <w:bookmarkEnd w:id="2"/>
      <w:r w:rsidRPr="00872268">
        <w:t xml:space="preserve"> </w:t>
      </w:r>
      <w:r w:rsidR="003B6F58" w:rsidRPr="00872268">
        <w:t>and other initiatives</w:t>
      </w:r>
    </w:p>
    <w:p w:rsidR="00D576DF" w:rsidRDefault="00BD5468" w:rsidP="000056C5">
      <w:pPr>
        <w:jc w:val="both"/>
      </w:pPr>
      <w:r w:rsidRPr="00D576DF">
        <w:t>A number of changes were made in the regulations governing Cohesion policy funding and its management</w:t>
      </w:r>
      <w:r w:rsidR="00CE2E8E" w:rsidRPr="00D576DF">
        <w:t xml:space="preserve"> in the wake of the global recession </w:t>
      </w:r>
      <w:r w:rsidR="00D576DF">
        <w:t xml:space="preserve">which hit </w:t>
      </w:r>
      <w:r w:rsidR="00CE2E8E" w:rsidRPr="00D576DF">
        <w:t>the EU in the latter part of 2008</w:t>
      </w:r>
      <w:r w:rsidRPr="00D576DF">
        <w:t>. At the same time, recommendations were issued on how the funding should be spent</w:t>
      </w:r>
      <w:r w:rsidR="003B6AE1">
        <w:t xml:space="preserve"> and a number of other initiatives were taken in response to the crisis</w:t>
      </w:r>
      <w:r w:rsidRPr="00D576DF">
        <w:t xml:space="preserve">. In </w:t>
      </w:r>
      <w:r w:rsidR="003B6AE1">
        <w:t>each case</w:t>
      </w:r>
      <w:r w:rsidRPr="00D576DF">
        <w:t>, the aim was to speed up expenditure and to direct it to areas which were most likely to stimulate growth and employment</w:t>
      </w:r>
      <w:r w:rsidR="00CE2E8E" w:rsidRPr="00D576DF">
        <w:t>.</w:t>
      </w:r>
    </w:p>
    <w:p w:rsidR="00132997" w:rsidRPr="00D576DF" w:rsidRDefault="00D576DF" w:rsidP="000056C5">
      <w:pPr>
        <w:pStyle w:val="Heading2"/>
        <w:jc w:val="both"/>
      </w:pPr>
      <w:r>
        <w:t>Regulatory changes</w:t>
      </w:r>
    </w:p>
    <w:p w:rsidR="002D6759" w:rsidRPr="00D576DF" w:rsidRDefault="00537A89" w:rsidP="000056C5">
      <w:pPr>
        <w:jc w:val="both"/>
      </w:pPr>
      <w:r w:rsidRPr="00D576DF">
        <w:t>The changes began with the European Economic Recovery Plan in November 2008</w:t>
      </w:r>
      <w:r w:rsidRPr="00872268">
        <w:rPr>
          <w:rStyle w:val="FootnoteReference"/>
          <w:rFonts w:asciiTheme="majorHAnsi" w:hAnsiTheme="majorHAnsi"/>
          <w:sz w:val="24"/>
          <w:szCs w:val="24"/>
        </w:rPr>
        <w:footnoteReference w:id="1"/>
      </w:r>
      <w:r w:rsidRPr="00D576DF">
        <w:t xml:space="preserve">, which included additional advance payments of the Structural Funds to help Member States overcome cash-flow problems. </w:t>
      </w:r>
      <w:r w:rsidR="00D576DF">
        <w:t>This was followed in the succeeding months by a series of amendments to regulations</w:t>
      </w:r>
      <w:r w:rsidR="00A206EA">
        <w:rPr>
          <w:rStyle w:val="FootnoteReference"/>
          <w:rFonts w:asciiTheme="majorHAnsi" w:hAnsiTheme="majorHAnsi"/>
        </w:rPr>
        <w:footnoteReference w:id="2"/>
      </w:r>
      <w:r w:rsidR="00D576DF">
        <w:t xml:space="preserve">, </w:t>
      </w:r>
      <w:r w:rsidR="00A206EA">
        <w:t xml:space="preserve">which had the effect, </w:t>
      </w:r>
      <w:r w:rsidR="00D576DF">
        <w:t>in particular</w:t>
      </w:r>
      <w:r w:rsidR="00A206EA">
        <w:t>, of</w:t>
      </w:r>
      <w:r w:rsidR="00D576DF">
        <w:t>:</w:t>
      </w:r>
    </w:p>
    <w:p w:rsidR="00132997" w:rsidRDefault="004A0AE5" w:rsidP="000056C5">
      <w:pPr>
        <w:pStyle w:val="ListParagraph"/>
        <w:numPr>
          <w:ilvl w:val="0"/>
          <w:numId w:val="9"/>
        </w:numPr>
        <w:jc w:val="both"/>
      </w:pPr>
      <w:r>
        <w:t xml:space="preserve">extending eligible expenditure under the ERDF to </w:t>
      </w:r>
      <w:r w:rsidR="00121C7C" w:rsidRPr="00A206EA">
        <w:t xml:space="preserve">energy efficiency </w:t>
      </w:r>
      <w:r>
        <w:t>and renewable energy investments</w:t>
      </w:r>
      <w:r w:rsidR="00121C7C" w:rsidRPr="00A206EA">
        <w:t xml:space="preserve"> in housing</w:t>
      </w:r>
      <w:r>
        <w:t xml:space="preserve"> in the EU15 Member States, though specifically for </w:t>
      </w:r>
      <w:r w:rsidR="00121C7C" w:rsidRPr="00A206EA">
        <w:t>low income househ</w:t>
      </w:r>
      <w:r>
        <w:t>olds;</w:t>
      </w:r>
    </w:p>
    <w:p w:rsidR="004A0AE5" w:rsidRDefault="004A0AE5" w:rsidP="000056C5">
      <w:pPr>
        <w:pStyle w:val="ListParagraph"/>
        <w:numPr>
          <w:ilvl w:val="0"/>
          <w:numId w:val="9"/>
        </w:numPr>
        <w:jc w:val="both"/>
      </w:pPr>
      <w:r>
        <w:t>relaxing the rules on State aid, allowing businesses, and SMEs especially, to access cheaper credit and reducing the minimum level of private participation from 50% to 30%;</w:t>
      </w:r>
    </w:p>
    <w:p w:rsidR="004A0AE5" w:rsidRDefault="00A6618C" w:rsidP="000056C5">
      <w:pPr>
        <w:pStyle w:val="ListParagraph"/>
        <w:numPr>
          <w:ilvl w:val="0"/>
          <w:numId w:val="9"/>
        </w:numPr>
        <w:jc w:val="both"/>
      </w:pPr>
      <w:r>
        <w:t>simplifying the requirements on export credits to allow the State to cover more of the risk;</w:t>
      </w:r>
      <w:r w:rsidR="004A0AE5">
        <w:t xml:space="preserve"> </w:t>
      </w:r>
    </w:p>
    <w:p w:rsidR="00A6618C" w:rsidRPr="003B6AE1" w:rsidRDefault="00A6618C" w:rsidP="000056C5">
      <w:pPr>
        <w:pStyle w:val="ListParagraph"/>
        <w:numPr>
          <w:ilvl w:val="0"/>
          <w:numId w:val="9"/>
        </w:numPr>
        <w:jc w:val="both"/>
      </w:pPr>
      <w:proofErr w:type="gramStart"/>
      <w:r>
        <w:t>extending</w:t>
      </w:r>
      <w:proofErr w:type="gramEnd"/>
      <w:r>
        <w:t xml:space="preserve"> </w:t>
      </w:r>
      <w:r w:rsidRPr="003B6AE1">
        <w:t>the deadline for expenditure of funding provided for the 2000-2006 period by one year from end-2008 to end-2009.</w:t>
      </w:r>
    </w:p>
    <w:p w:rsidR="00A6618C" w:rsidRDefault="00A6618C" w:rsidP="000056C5">
      <w:pPr>
        <w:pStyle w:val="Heading2"/>
        <w:jc w:val="both"/>
      </w:pPr>
      <w:r>
        <w:t>Other initiatives</w:t>
      </w:r>
    </w:p>
    <w:p w:rsidR="00A6618C" w:rsidRPr="00A6618C" w:rsidRDefault="00A6618C" w:rsidP="000056C5">
      <w:pPr>
        <w:jc w:val="both"/>
      </w:pPr>
      <w:r>
        <w:t>Other initiatives taken included:</w:t>
      </w:r>
    </w:p>
    <w:p w:rsidR="00982B60" w:rsidRDefault="00A6618C" w:rsidP="000056C5">
      <w:pPr>
        <w:pStyle w:val="ListParagraph"/>
        <w:numPr>
          <w:ilvl w:val="0"/>
          <w:numId w:val="10"/>
        </w:numPr>
        <w:jc w:val="both"/>
      </w:pPr>
      <w:r>
        <w:t>i</w:t>
      </w:r>
      <w:r w:rsidR="007344F2" w:rsidRPr="00A6618C">
        <w:t>ncreas</w:t>
      </w:r>
      <w:r>
        <w:t xml:space="preserve">ing </w:t>
      </w:r>
      <w:r w:rsidR="007344F2" w:rsidRPr="00A6618C">
        <w:t xml:space="preserve"> the funding going to JASPERS</w:t>
      </w:r>
      <w:r w:rsidR="007344F2" w:rsidRPr="00872268">
        <w:rPr>
          <w:rStyle w:val="FootnoteReference"/>
          <w:rFonts w:asciiTheme="majorHAnsi" w:hAnsiTheme="majorHAnsi"/>
          <w:sz w:val="24"/>
          <w:szCs w:val="24"/>
        </w:rPr>
        <w:footnoteReference w:id="3"/>
      </w:r>
      <w:r>
        <w:t xml:space="preserve"> to provide more support to Member States in preparing major projects;</w:t>
      </w:r>
    </w:p>
    <w:p w:rsidR="00982B60" w:rsidRDefault="00A6618C" w:rsidP="000056C5">
      <w:pPr>
        <w:pStyle w:val="ListParagraph"/>
        <w:numPr>
          <w:ilvl w:val="0"/>
          <w:numId w:val="10"/>
        </w:numPr>
        <w:jc w:val="both"/>
      </w:pPr>
      <w:r>
        <w:t xml:space="preserve">recommending </w:t>
      </w:r>
      <w:r w:rsidR="00982B60" w:rsidRPr="00872268">
        <w:t>Member States to use financial engineering instruments to provide support to SMEs through the JEREMIE initiative</w:t>
      </w:r>
      <w:r w:rsidR="00982B60" w:rsidRPr="00872268">
        <w:rPr>
          <w:rStyle w:val="FootnoteReference"/>
          <w:rFonts w:asciiTheme="majorHAnsi" w:hAnsiTheme="majorHAnsi"/>
          <w:sz w:val="24"/>
          <w:szCs w:val="24"/>
        </w:rPr>
        <w:footnoteReference w:id="4"/>
      </w:r>
      <w:r w:rsidR="00982B60" w:rsidRPr="00872268">
        <w:t xml:space="preserve"> and to take up the increased access to micro-credit offered by the JASMINE initiative</w:t>
      </w:r>
      <w:r w:rsidR="00982B60" w:rsidRPr="00872268">
        <w:rPr>
          <w:rStyle w:val="FootnoteReference"/>
          <w:rFonts w:asciiTheme="majorHAnsi" w:hAnsiTheme="majorHAnsi"/>
          <w:sz w:val="24"/>
          <w:szCs w:val="24"/>
        </w:rPr>
        <w:footnoteReference w:id="5"/>
      </w:r>
      <w:r w:rsidR="004D21A8">
        <w:t>;</w:t>
      </w:r>
    </w:p>
    <w:p w:rsidR="00982B60" w:rsidRDefault="00A6618C" w:rsidP="000056C5">
      <w:pPr>
        <w:pStyle w:val="ListParagraph"/>
        <w:numPr>
          <w:ilvl w:val="0"/>
          <w:numId w:val="10"/>
        </w:numPr>
        <w:jc w:val="both"/>
      </w:pPr>
      <w:r>
        <w:t xml:space="preserve">encouraging  </w:t>
      </w:r>
      <w:r w:rsidR="00982B60" w:rsidRPr="00872268">
        <w:t xml:space="preserve">Member States </w:t>
      </w:r>
      <w:r>
        <w:t xml:space="preserve">to </w:t>
      </w:r>
      <w:r w:rsidR="00982B60" w:rsidRPr="00872268">
        <w:t>modify programmes to put more emphasis on clean technologies, environmental services and broadband</w:t>
      </w:r>
      <w:r w:rsidR="004D21A8">
        <w:t xml:space="preserve"> networks;</w:t>
      </w:r>
    </w:p>
    <w:p w:rsidR="00802E61" w:rsidRPr="00872268" w:rsidRDefault="007C4909" w:rsidP="000056C5">
      <w:pPr>
        <w:pStyle w:val="ListParagraph"/>
        <w:numPr>
          <w:ilvl w:val="0"/>
          <w:numId w:val="10"/>
        </w:numPr>
        <w:jc w:val="both"/>
      </w:pPr>
      <w:r>
        <w:t>helping Member States prepare and implement major projects more quickly by introducing an accelerated procedure, reducing the overall time limit for approval from 87 days to 30 throughout 2009 and 2010.</w:t>
      </w:r>
    </w:p>
    <w:p w:rsidR="00572F1C" w:rsidRDefault="007C4909" w:rsidP="000056C5">
      <w:pPr>
        <w:pStyle w:val="Heading2"/>
        <w:jc w:val="both"/>
      </w:pPr>
      <w:r>
        <w:t>Questions to Member States</w:t>
      </w:r>
    </w:p>
    <w:p w:rsidR="007C4909" w:rsidRPr="007C4909" w:rsidRDefault="007C4909" w:rsidP="000056C5">
      <w:pPr>
        <w:jc w:val="both"/>
      </w:pPr>
      <w:r>
        <w:t>The changes listed above prompt a number of questions, in particular:</w:t>
      </w:r>
    </w:p>
    <w:p w:rsidR="00261454" w:rsidRDefault="00261454" w:rsidP="000056C5">
      <w:pPr>
        <w:pStyle w:val="ListParagraph"/>
        <w:jc w:val="both"/>
      </w:pPr>
      <w:r>
        <w:t>What were the most important initiatives taken at EU level (</w:t>
      </w:r>
      <w:r w:rsidR="000056C5">
        <w:t>whether</w:t>
      </w:r>
      <w:r>
        <w:t xml:space="preserve"> mentioned above</w:t>
      </w:r>
      <w:r w:rsidR="000056C5">
        <w:t xml:space="preserve"> or not</w:t>
      </w:r>
      <w:r>
        <w:t>) to help Member States withstand the effects of the crisis?</w:t>
      </w:r>
      <w:r w:rsidR="000056C5">
        <w:t xml:space="preserve"> Can you provide examples or additional information?</w:t>
      </w:r>
    </w:p>
    <w:p w:rsidR="00132997" w:rsidRPr="00872268" w:rsidRDefault="00261454" w:rsidP="000056C5">
      <w:pPr>
        <w:pStyle w:val="ListParagraph"/>
        <w:jc w:val="both"/>
      </w:pPr>
      <w:r>
        <w:t>With hindsight, what should have been done differently at EU level to help Member States cope with the effects of the crisis?</w:t>
      </w:r>
    </w:p>
    <w:p w:rsidR="00394F50" w:rsidRPr="00872268" w:rsidRDefault="004431FD" w:rsidP="000056C5">
      <w:pPr>
        <w:pStyle w:val="Heading1"/>
        <w:jc w:val="both"/>
      </w:pPr>
      <w:bookmarkStart w:id="3" w:name="_Toc415238996"/>
      <w:r w:rsidRPr="00872268">
        <w:t>Amendments to programmes</w:t>
      </w:r>
      <w:bookmarkEnd w:id="3"/>
    </w:p>
    <w:p w:rsidR="002D6759" w:rsidRDefault="002D6759" w:rsidP="000056C5">
      <w:pPr>
        <w:pStyle w:val="Heading2"/>
        <w:jc w:val="both"/>
      </w:pPr>
      <w:r w:rsidRPr="00872268">
        <w:t>Scale of amendments</w:t>
      </w:r>
    </w:p>
    <w:p w:rsidR="0061373C" w:rsidRDefault="0061373C" w:rsidP="000056C5">
      <w:pPr>
        <w:jc w:val="both"/>
      </w:pPr>
      <w:r w:rsidRPr="009E2AE1">
        <w:t xml:space="preserve">There were shifts </w:t>
      </w:r>
      <w:r>
        <w:t xml:space="preserve">of varying sizes </w:t>
      </w:r>
      <w:r w:rsidRPr="009E2AE1">
        <w:t xml:space="preserve">in </w:t>
      </w:r>
      <w:r>
        <w:t xml:space="preserve">Member States in </w:t>
      </w:r>
      <w:r w:rsidRPr="009E2AE1">
        <w:t xml:space="preserve">the </w:t>
      </w:r>
      <w:r>
        <w:t xml:space="preserve">planned use of </w:t>
      </w:r>
      <w:r w:rsidRPr="009E2AE1">
        <w:t>ERDF and Cohesion Fund resources available</w:t>
      </w:r>
      <w:r>
        <w:t xml:space="preserve"> </w:t>
      </w:r>
      <w:r w:rsidRPr="009E2AE1">
        <w:t xml:space="preserve">over the 2007-2013 </w:t>
      </w:r>
      <w:proofErr w:type="gramStart"/>
      <w:r w:rsidRPr="009E2AE1">
        <w:t>period</w:t>
      </w:r>
      <w:proofErr w:type="gramEnd"/>
      <w:r>
        <w:t xml:space="preserve">. </w:t>
      </w:r>
      <w:r w:rsidR="008A79B2">
        <w:t>While some detailed information i</w:t>
      </w:r>
      <w:r w:rsidR="005979D2">
        <w:t>s</w:t>
      </w:r>
      <w:r w:rsidR="008A79B2">
        <w:t xml:space="preserve"> available t</w:t>
      </w:r>
      <w:r>
        <w:t xml:space="preserve">he </w:t>
      </w:r>
      <w:r w:rsidR="008A79B2">
        <w:t xml:space="preserve">full </w:t>
      </w:r>
      <w:r>
        <w:t xml:space="preserve">scale of the shifts concerned, however, is </w:t>
      </w:r>
      <w:r w:rsidR="000056C5">
        <w:t>difficult to aggregate and to present across all programmes</w:t>
      </w:r>
      <w:r w:rsidR="008A79B2">
        <w:t xml:space="preserve">. This is </w:t>
      </w:r>
      <w:r>
        <w:t xml:space="preserve">because the information reported relates to the changes which </w:t>
      </w:r>
      <w:r w:rsidRPr="009E2AE1">
        <w:t xml:space="preserve">needed to be </w:t>
      </w:r>
      <w:r w:rsidR="00744DF7">
        <w:t>approved by</w:t>
      </w:r>
      <w:r w:rsidRPr="009E2AE1">
        <w:t xml:space="preserve"> the Commission </w:t>
      </w:r>
      <w:r>
        <w:t xml:space="preserve">since </w:t>
      </w:r>
      <w:r w:rsidRPr="009E2AE1">
        <w:t xml:space="preserve">they </w:t>
      </w:r>
      <w:r>
        <w:t xml:space="preserve">either </w:t>
      </w:r>
      <w:r w:rsidRPr="009E2AE1">
        <w:t xml:space="preserve">altered the </w:t>
      </w:r>
      <w:r>
        <w:t xml:space="preserve">allocation across priority axes or modified the composition of priority axes agreed at the beginning of the period. Shifts within priority axes may not have been notified because they were in line with the objectives of the axes concerned and so within the flexibility allowed to Managing Authorities. </w:t>
      </w:r>
    </w:p>
    <w:p w:rsidR="009D3A72" w:rsidRDefault="0061373C" w:rsidP="000056C5">
      <w:pPr>
        <w:jc w:val="both"/>
      </w:pPr>
      <w:r>
        <w:t>Nevertheless, the shifts of funding between the 86 categories of expenditure distinguished in the DG Regional</w:t>
      </w:r>
      <w:r w:rsidR="005979D2">
        <w:t xml:space="preserve"> and Urban</w:t>
      </w:r>
      <w:r>
        <w:t xml:space="preserve"> Policy reporting system give an indication of the scale of the changes which were made across Member States. These amounted to EUR 29.7 billion </w:t>
      </w:r>
      <w:r w:rsidR="008A79B2">
        <w:t xml:space="preserve">of EU financing </w:t>
      </w:r>
      <w:r>
        <w:t>in total over the period up to the end of 2014, equivalent to just over 11% of the funding initially available</w:t>
      </w:r>
      <w:r w:rsidR="009D3A72">
        <w:t xml:space="preserve"> (Figure 1)</w:t>
      </w:r>
      <w:r>
        <w:rPr>
          <w:rStyle w:val="FootnoteReference"/>
        </w:rPr>
        <w:footnoteReference w:id="6"/>
      </w:r>
      <w:r>
        <w:t xml:space="preserve">. The amount shifted </w:t>
      </w:r>
      <w:r w:rsidR="009D3A72">
        <w:t>varied greatly between countries:</w:t>
      </w:r>
    </w:p>
    <w:p w:rsidR="009D3A72" w:rsidRDefault="009D3A72" w:rsidP="000056C5">
      <w:pPr>
        <w:pStyle w:val="ListParagraph"/>
        <w:numPr>
          <w:ilvl w:val="0"/>
          <w:numId w:val="6"/>
        </w:numPr>
        <w:jc w:val="both"/>
      </w:pPr>
      <w:r>
        <w:t xml:space="preserve">in both Malta and Cyprus, </w:t>
      </w:r>
      <w:r w:rsidR="0061373C">
        <w:t>over 30% of total funding</w:t>
      </w:r>
      <w:r>
        <w:t xml:space="preserve"> was moved between expenditure categories;</w:t>
      </w:r>
    </w:p>
    <w:p w:rsidR="00144B02" w:rsidRDefault="00144B02" w:rsidP="000056C5">
      <w:pPr>
        <w:pStyle w:val="ListParagraph"/>
        <w:numPr>
          <w:ilvl w:val="0"/>
          <w:numId w:val="6"/>
        </w:numPr>
        <w:jc w:val="both"/>
      </w:pPr>
      <w:r>
        <w:t>i</w:t>
      </w:r>
      <w:r w:rsidR="009D3A72">
        <w:t xml:space="preserve">n Ireland, around 30% </w:t>
      </w:r>
      <w:r w:rsidR="0061373C">
        <w:t xml:space="preserve"> </w:t>
      </w:r>
      <w:r w:rsidR="009D3A72">
        <w:t>of funding was moved</w:t>
      </w:r>
      <w:r>
        <w:t xml:space="preserve">; </w:t>
      </w:r>
    </w:p>
    <w:p w:rsidR="0061373C" w:rsidRDefault="00144B02" w:rsidP="000056C5">
      <w:pPr>
        <w:pStyle w:val="ListParagraph"/>
        <w:numPr>
          <w:ilvl w:val="0"/>
          <w:numId w:val="6"/>
        </w:numPr>
        <w:jc w:val="both"/>
      </w:pPr>
      <w:r>
        <w:t xml:space="preserve">in Portugal, the funding shifted was largest </w:t>
      </w:r>
      <w:r w:rsidR="0061373C">
        <w:t>of all in absolute terms</w:t>
      </w:r>
      <w:r>
        <w:t>, amounting to some EUR 4.1 billion or 27% of the total;</w:t>
      </w:r>
    </w:p>
    <w:p w:rsidR="00A93024" w:rsidRDefault="00A93024" w:rsidP="000056C5">
      <w:pPr>
        <w:pStyle w:val="ListParagraph"/>
        <w:numPr>
          <w:ilvl w:val="0"/>
          <w:numId w:val="6"/>
        </w:numPr>
        <w:jc w:val="both"/>
      </w:pPr>
      <w:proofErr w:type="gramStart"/>
      <w:r>
        <w:t>in</w:t>
      </w:r>
      <w:proofErr w:type="gramEnd"/>
      <w:r>
        <w:t xml:space="preserve"> 10 countries, the amounted shifted ranged from 21% (in Bulgaria) to just over 10% (in the Czech Republic).</w:t>
      </w:r>
    </w:p>
    <w:p w:rsidR="00A93024" w:rsidRDefault="00A93024" w:rsidP="000056C5">
      <w:pPr>
        <w:pStyle w:val="ListParagraph"/>
        <w:numPr>
          <w:ilvl w:val="0"/>
          <w:numId w:val="6"/>
        </w:numPr>
        <w:jc w:val="both"/>
      </w:pPr>
      <w:r>
        <w:t xml:space="preserve">In another 5 countries (Slovenia, France, Poland, Hungary and the Netherlands) it ranged from just under 10% of funding to </w:t>
      </w:r>
      <w:r w:rsidR="000E46EB">
        <w:t>6%;</w:t>
      </w:r>
    </w:p>
    <w:p w:rsidR="00A93024" w:rsidRDefault="00A93024" w:rsidP="000056C5">
      <w:pPr>
        <w:pStyle w:val="ListParagraph"/>
        <w:numPr>
          <w:ilvl w:val="0"/>
          <w:numId w:val="6"/>
        </w:numPr>
        <w:jc w:val="both"/>
      </w:pPr>
      <w:r>
        <w:t xml:space="preserve">in Germany, </w:t>
      </w:r>
      <w:r w:rsidR="000E46EB">
        <w:t xml:space="preserve">less than 6% </w:t>
      </w:r>
      <w:r>
        <w:t>of funding was moved between categories</w:t>
      </w:r>
      <w:r w:rsidR="000E46EB">
        <w:t xml:space="preserve">, </w:t>
      </w:r>
      <w:r>
        <w:t xml:space="preserve">in </w:t>
      </w:r>
      <w:r w:rsidR="000E46EB">
        <w:t>Belgium, 4% and in both Latvia and Estonia, only around 2%;</w:t>
      </w:r>
    </w:p>
    <w:p w:rsidR="00B27969" w:rsidRDefault="000E46EB" w:rsidP="000056C5">
      <w:pPr>
        <w:jc w:val="both"/>
      </w:pPr>
      <w:r>
        <w:t>I</w:t>
      </w:r>
      <w:r w:rsidR="0061373C">
        <w:t xml:space="preserve">n some countries, Germany and Sweden, in particular, the view taken was that </w:t>
      </w:r>
      <w:r w:rsidR="00A33330">
        <w:t xml:space="preserve">the initial allocation of funding was designed to tackle long-term structural problems </w:t>
      </w:r>
      <w:r w:rsidR="00B0285C">
        <w:t>and the crisis had not altered the nature of these problems so that there was no need to make major changes in the planned allocation</w:t>
      </w:r>
      <w:r w:rsidR="008E2521">
        <w:rPr>
          <w:rStyle w:val="FootnoteReference"/>
        </w:rPr>
        <w:footnoteReference w:id="7"/>
      </w:r>
      <w:r w:rsidR="00B0285C">
        <w:t>.</w:t>
      </w:r>
    </w:p>
    <w:p w:rsidR="00B27969" w:rsidRDefault="00B27969" w:rsidP="000056C5">
      <w:pPr>
        <w:jc w:val="both"/>
      </w:pPr>
    </w:p>
    <w:p w:rsidR="00B27969" w:rsidRDefault="00B27969" w:rsidP="000056C5">
      <w:pPr>
        <w:jc w:val="both"/>
      </w:pPr>
    </w:p>
    <w:p w:rsidR="00261454" w:rsidRPr="00261454" w:rsidRDefault="00B0285C" w:rsidP="000056C5">
      <w:pPr>
        <w:jc w:val="both"/>
      </w:pPr>
      <w:r>
        <w:t xml:space="preserve"> </w:t>
      </w:r>
    </w:p>
    <w:p w:rsidR="00EE4D29" w:rsidRPr="00EE4D29" w:rsidRDefault="00EE4D29" w:rsidP="000056C5">
      <w:pPr>
        <w:pStyle w:val="Figuretitle"/>
        <w:jc w:val="both"/>
        <w:rPr>
          <w:rStyle w:val="Strong"/>
          <w:b/>
          <w:bCs w:val="0"/>
        </w:rPr>
      </w:pPr>
      <w:r w:rsidRPr="00EE4D29">
        <w:rPr>
          <w:rStyle w:val="Strong"/>
          <w:b/>
          <w:bCs w:val="0"/>
        </w:rPr>
        <w:t xml:space="preserve">Figure </w:t>
      </w:r>
      <w:r w:rsidRPr="00EE4D29">
        <w:rPr>
          <w:rStyle w:val="Strong"/>
          <w:b/>
          <w:bCs w:val="0"/>
        </w:rPr>
        <w:fldChar w:fldCharType="begin"/>
      </w:r>
      <w:r w:rsidRPr="00EE4D29">
        <w:rPr>
          <w:rStyle w:val="Strong"/>
          <w:b/>
          <w:bCs w:val="0"/>
        </w:rPr>
        <w:instrText xml:space="preserve"> SEQ Figure \* ARABIC </w:instrText>
      </w:r>
      <w:r w:rsidRPr="00EE4D29">
        <w:rPr>
          <w:rStyle w:val="Strong"/>
          <w:b/>
          <w:bCs w:val="0"/>
        </w:rPr>
        <w:fldChar w:fldCharType="separate"/>
      </w:r>
      <w:r w:rsidR="000F13B5">
        <w:rPr>
          <w:rStyle w:val="Strong"/>
          <w:b/>
          <w:bCs w:val="0"/>
          <w:noProof/>
        </w:rPr>
        <w:t>1</w:t>
      </w:r>
      <w:r w:rsidRPr="00EE4D29">
        <w:rPr>
          <w:rStyle w:val="Strong"/>
          <w:b/>
          <w:bCs w:val="0"/>
        </w:rPr>
        <w:fldChar w:fldCharType="end"/>
      </w:r>
      <w:r w:rsidRPr="00EE4D29">
        <w:rPr>
          <w:rStyle w:val="Strong"/>
          <w:b/>
          <w:bCs w:val="0"/>
        </w:rPr>
        <w:t xml:space="preserve"> – Overall amount of funding available (ERDF and Cohesion Fund) shifted between categories of expenditure, 2007-2014 (Figures show the amounts shifted in EUR million</w:t>
      </w:r>
      <w:r>
        <w:rPr>
          <w:rStyle w:val="Strong"/>
          <w:b/>
          <w:bCs w:val="0"/>
        </w:rPr>
        <w:t>, the horizontal scale, the shifts in percentage terms</w:t>
      </w:r>
      <w:r w:rsidRPr="00EE4D29">
        <w:rPr>
          <w:rStyle w:val="Strong"/>
          <w:b/>
          <w:bCs w:val="0"/>
        </w:rPr>
        <w:t>)</w:t>
      </w:r>
    </w:p>
    <w:p w:rsidR="00EE4D29" w:rsidRPr="009E2AE1" w:rsidRDefault="00EE4D29" w:rsidP="000056C5">
      <w:pPr>
        <w:jc w:val="both"/>
      </w:pPr>
      <w:r>
        <w:rPr>
          <w:noProof/>
          <w:lang w:eastAsia="en-GB"/>
        </w:rPr>
        <w:drawing>
          <wp:inline distT="0" distB="0" distL="0" distR="0" wp14:anchorId="2DE10440" wp14:editId="2C6CCB17">
            <wp:extent cx="4274820" cy="5128260"/>
            <wp:effectExtent l="0" t="0" r="11430"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E2521" w:rsidRDefault="008E2521" w:rsidP="000056C5">
      <w:pPr>
        <w:jc w:val="both"/>
      </w:pPr>
      <w:r>
        <w:t xml:space="preserve">In practice, there is </w:t>
      </w:r>
      <w:r w:rsidR="005979D2">
        <w:t>a</w:t>
      </w:r>
      <w:r w:rsidR="005979D2" w:rsidRPr="00872268">
        <w:t xml:space="preserve"> </w:t>
      </w:r>
      <w:r w:rsidRPr="00872268">
        <w:t xml:space="preserve">tendency for the shifts to </w:t>
      </w:r>
      <w:r>
        <w:t xml:space="preserve">have been largest </w:t>
      </w:r>
      <w:r w:rsidRPr="00872268">
        <w:t>in the countries which were hit hardest by the crisis</w:t>
      </w:r>
      <w:r>
        <w:t xml:space="preserve">, </w:t>
      </w:r>
      <w:r w:rsidRPr="00872268">
        <w:t xml:space="preserve">where the need to </w:t>
      </w:r>
      <w:r>
        <w:t xml:space="preserve">respond to the decline in economic activity and loss of jobs was </w:t>
      </w:r>
      <w:r w:rsidRPr="00872268">
        <w:t>most pressing</w:t>
      </w:r>
      <w:r>
        <w:t xml:space="preserve">. But </w:t>
      </w:r>
      <w:r w:rsidRPr="00872268">
        <w:t xml:space="preserve">this is not universally the case. </w:t>
      </w:r>
      <w:r w:rsidR="00A260D5">
        <w:t>In particular</w:t>
      </w:r>
      <w:r w:rsidRPr="00872268">
        <w:t xml:space="preserve">, Malta was affected less severely than most other Member States, yet it is among the countries where the amount </w:t>
      </w:r>
      <w:r>
        <w:t xml:space="preserve">shifted in proportionate terms </w:t>
      </w:r>
      <w:r w:rsidRPr="00872268">
        <w:t xml:space="preserve">was largest. Equally, the shifts were </w:t>
      </w:r>
      <w:r w:rsidR="00A260D5">
        <w:t xml:space="preserve">relatively </w:t>
      </w:r>
      <w:r w:rsidRPr="00872268">
        <w:t xml:space="preserve">small in </w:t>
      </w:r>
      <w:r w:rsidR="00A260D5">
        <w:t xml:space="preserve">Finland, </w:t>
      </w:r>
      <w:r w:rsidRPr="00872268">
        <w:t>Estonia</w:t>
      </w:r>
      <w:r w:rsidR="00A260D5">
        <w:t xml:space="preserve"> and Latvia and below average size in </w:t>
      </w:r>
      <w:r w:rsidRPr="00872268">
        <w:t xml:space="preserve">Slovenia, and Spain, </w:t>
      </w:r>
      <w:r w:rsidR="00A260D5">
        <w:t xml:space="preserve">all of which </w:t>
      </w:r>
      <w:r w:rsidRPr="00872268">
        <w:t xml:space="preserve">were </w:t>
      </w:r>
      <w:r w:rsidR="00A260D5">
        <w:t xml:space="preserve">hit relatively hard </w:t>
      </w:r>
      <w:r w:rsidRPr="00872268">
        <w:t>by the crisis</w:t>
      </w:r>
      <w:r w:rsidR="00B27969">
        <w:t>.</w:t>
      </w:r>
    </w:p>
    <w:p w:rsidR="000D7436" w:rsidRDefault="000D7436" w:rsidP="000056C5">
      <w:pPr>
        <w:jc w:val="both"/>
      </w:pPr>
    </w:p>
    <w:p w:rsidR="000D7436" w:rsidRDefault="000D7436" w:rsidP="000056C5">
      <w:pPr>
        <w:jc w:val="both"/>
      </w:pPr>
    </w:p>
    <w:p w:rsidR="000D7436" w:rsidRDefault="000D7436" w:rsidP="000056C5">
      <w:pPr>
        <w:jc w:val="both"/>
      </w:pPr>
    </w:p>
    <w:p w:rsidR="000E46EB" w:rsidRPr="007F0C59" w:rsidRDefault="007F0C59" w:rsidP="000056C5">
      <w:pPr>
        <w:pStyle w:val="Heading2"/>
        <w:jc w:val="both"/>
      </w:pPr>
      <w:r w:rsidRPr="007F0C59">
        <w:t xml:space="preserve">Direction of shifts in funding </w:t>
      </w:r>
    </w:p>
    <w:p w:rsidR="00230C72" w:rsidRDefault="00A84049" w:rsidP="000056C5">
      <w:pPr>
        <w:jc w:val="both"/>
      </w:pPr>
      <w:r>
        <w:t xml:space="preserve">Such an overview </w:t>
      </w:r>
      <w:r w:rsidR="007F0C59">
        <w:t>can be obtained by aggregating the categories into broad themes which indicate the kind of ex</w:t>
      </w:r>
      <w:r w:rsidR="00230C72">
        <w:t xml:space="preserve">penditure involved and so distinguish the areas from which funding was withdrawn from those where it was added. </w:t>
      </w:r>
    </w:p>
    <w:p w:rsidR="00C42A91" w:rsidRDefault="00C42A91" w:rsidP="000056C5">
      <w:pPr>
        <w:pStyle w:val="Figuretitle"/>
        <w:jc w:val="both"/>
      </w:pPr>
      <w:r w:rsidRPr="00EE6419">
        <w:t xml:space="preserve">Table 1 Shifts in </w:t>
      </w:r>
      <w:r w:rsidR="00EE6419">
        <w:t xml:space="preserve">planned allocation of </w:t>
      </w:r>
      <w:proofErr w:type="spellStart"/>
      <w:r w:rsidRPr="00EE6419">
        <w:t>E</w:t>
      </w:r>
      <w:r w:rsidR="00EE6419">
        <w:t>RD</w:t>
      </w:r>
      <w:r w:rsidRPr="00EE6419">
        <w:t>F</w:t>
      </w:r>
      <w:r w:rsidR="00EE6419">
        <w:t>+Cohesion</w:t>
      </w:r>
      <w:proofErr w:type="spellEnd"/>
      <w:r w:rsidR="00EE6419">
        <w:t xml:space="preserve"> Fund resources between broad themes, 2007 to 2014 (EUR million)</w:t>
      </w:r>
    </w:p>
    <w:tbl>
      <w:tblPr>
        <w:tblW w:w="8120" w:type="dxa"/>
        <w:tblInd w:w="93" w:type="dxa"/>
        <w:tblLook w:val="04A0" w:firstRow="1" w:lastRow="0" w:firstColumn="1" w:lastColumn="0" w:noHBand="0" w:noVBand="1"/>
      </w:tblPr>
      <w:tblGrid>
        <w:gridCol w:w="3080"/>
        <w:gridCol w:w="1420"/>
        <w:gridCol w:w="1385"/>
        <w:gridCol w:w="1227"/>
        <w:gridCol w:w="1008"/>
      </w:tblGrid>
      <w:tr w:rsidR="00A84049" w:rsidRPr="00A84049" w:rsidTr="00A84049">
        <w:trPr>
          <w:trHeight w:val="252"/>
        </w:trPr>
        <w:tc>
          <w:tcPr>
            <w:tcW w:w="3080" w:type="dxa"/>
            <w:tcBorders>
              <w:top w:val="single" w:sz="4" w:space="0" w:color="auto"/>
              <w:left w:val="single" w:sz="4" w:space="0" w:color="auto"/>
              <w:bottom w:val="nil"/>
              <w:right w:val="nil"/>
            </w:tcBorders>
            <w:shd w:val="clear" w:color="auto" w:fill="auto"/>
            <w:noWrap/>
            <w:vAlign w:val="bottom"/>
            <w:hideMark/>
          </w:tcPr>
          <w:p w:rsidR="00A84049" w:rsidRPr="00A84049" w:rsidRDefault="00A84049" w:rsidP="000056C5">
            <w:pPr>
              <w:spacing w:after="0" w:line="240" w:lineRule="auto"/>
              <w:jc w:val="both"/>
              <w:rPr>
                <w:rFonts w:ascii="Calibri" w:eastAsia="Times New Roman" w:hAnsi="Calibri" w:cs="Arial"/>
                <w:sz w:val="20"/>
                <w:szCs w:val="20"/>
                <w:lang w:eastAsia="en-GB"/>
              </w:rPr>
            </w:pPr>
            <w:r w:rsidRPr="00A84049">
              <w:rPr>
                <w:rFonts w:ascii="Calibri" w:eastAsia="Times New Roman" w:hAnsi="Calibri" w:cs="Arial"/>
                <w:sz w:val="20"/>
                <w:szCs w:val="20"/>
                <w:lang w:eastAsia="en-GB"/>
              </w:rPr>
              <w:t> </w:t>
            </w:r>
          </w:p>
        </w:tc>
        <w:tc>
          <w:tcPr>
            <w:tcW w:w="1420" w:type="dxa"/>
            <w:tcBorders>
              <w:top w:val="single" w:sz="4" w:space="0" w:color="auto"/>
              <w:left w:val="nil"/>
              <w:bottom w:val="nil"/>
              <w:right w:val="single" w:sz="4" w:space="0" w:color="auto"/>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sz w:val="20"/>
                <w:szCs w:val="20"/>
                <w:lang w:eastAsia="en-GB"/>
              </w:rPr>
            </w:pPr>
            <w:r w:rsidRPr="00A84049">
              <w:rPr>
                <w:rFonts w:ascii="Calibri" w:eastAsia="Times New Roman" w:hAnsi="Calibri" w:cs="Arial"/>
                <w:sz w:val="20"/>
                <w:szCs w:val="20"/>
                <w:lang w:eastAsia="en-GB"/>
              </w:rPr>
              <w:t>Initial planed</w:t>
            </w:r>
          </w:p>
        </w:tc>
        <w:tc>
          <w:tcPr>
            <w:tcW w:w="3620" w:type="dxa"/>
            <w:gridSpan w:val="3"/>
            <w:tcBorders>
              <w:top w:val="single" w:sz="4" w:space="0" w:color="auto"/>
              <w:left w:val="nil"/>
              <w:bottom w:val="nil"/>
              <w:right w:val="single" w:sz="4" w:space="0" w:color="000000"/>
            </w:tcBorders>
            <w:shd w:val="clear" w:color="auto" w:fill="auto"/>
            <w:noWrap/>
            <w:vAlign w:val="bottom"/>
            <w:hideMark/>
          </w:tcPr>
          <w:p w:rsidR="00A84049" w:rsidRPr="00A84049" w:rsidRDefault="00A84049" w:rsidP="000056C5">
            <w:pPr>
              <w:spacing w:after="0" w:line="240" w:lineRule="auto"/>
              <w:jc w:val="both"/>
              <w:rPr>
                <w:rFonts w:ascii="Calibri" w:eastAsia="Times New Roman" w:hAnsi="Calibri" w:cs="Arial"/>
                <w:sz w:val="20"/>
                <w:szCs w:val="20"/>
                <w:lang w:eastAsia="en-GB"/>
              </w:rPr>
            </w:pPr>
            <w:r w:rsidRPr="00A84049">
              <w:rPr>
                <w:rFonts w:ascii="Calibri" w:eastAsia="Times New Roman" w:hAnsi="Calibri" w:cs="Arial"/>
                <w:sz w:val="20"/>
                <w:szCs w:val="20"/>
                <w:lang w:eastAsia="en-GB"/>
              </w:rPr>
              <w:t>Shifts</w:t>
            </w:r>
          </w:p>
        </w:tc>
      </w:tr>
      <w:tr w:rsidR="00A84049" w:rsidRPr="00A84049" w:rsidTr="00A84049">
        <w:trPr>
          <w:trHeight w:val="204"/>
        </w:trPr>
        <w:tc>
          <w:tcPr>
            <w:tcW w:w="3080" w:type="dxa"/>
            <w:tcBorders>
              <w:top w:val="nil"/>
              <w:left w:val="single" w:sz="4" w:space="0" w:color="auto"/>
              <w:bottom w:val="single" w:sz="4" w:space="0" w:color="auto"/>
              <w:right w:val="nil"/>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 </w:t>
            </w:r>
          </w:p>
        </w:tc>
        <w:tc>
          <w:tcPr>
            <w:tcW w:w="1420" w:type="dxa"/>
            <w:tcBorders>
              <w:top w:val="nil"/>
              <w:left w:val="nil"/>
              <w:bottom w:val="single" w:sz="4" w:space="0" w:color="auto"/>
              <w:right w:val="single" w:sz="4" w:space="0" w:color="auto"/>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amounts</w:t>
            </w:r>
          </w:p>
        </w:tc>
        <w:tc>
          <w:tcPr>
            <w:tcW w:w="1385" w:type="dxa"/>
            <w:tcBorders>
              <w:top w:val="nil"/>
              <w:left w:val="nil"/>
              <w:bottom w:val="single" w:sz="4" w:space="0" w:color="auto"/>
              <w:right w:val="nil"/>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Negative</w:t>
            </w:r>
          </w:p>
        </w:tc>
        <w:tc>
          <w:tcPr>
            <w:tcW w:w="1227" w:type="dxa"/>
            <w:tcBorders>
              <w:top w:val="nil"/>
              <w:left w:val="nil"/>
              <w:bottom w:val="single" w:sz="4" w:space="0" w:color="auto"/>
              <w:right w:val="nil"/>
            </w:tcBorders>
            <w:shd w:val="clear" w:color="auto" w:fill="auto"/>
            <w:noWrap/>
            <w:vAlign w:val="center"/>
            <w:hideMark/>
          </w:tcPr>
          <w:p w:rsidR="00A84049" w:rsidRPr="00A84049" w:rsidRDefault="004933EC" w:rsidP="000056C5">
            <w:pPr>
              <w:spacing w:after="0" w:line="240" w:lineRule="auto"/>
              <w:jc w:val="both"/>
              <w:rPr>
                <w:rFonts w:ascii="Calibri" w:eastAsia="Times New Roman" w:hAnsi="Calibri" w:cs="Arial"/>
                <w:color w:val="000000"/>
                <w:sz w:val="20"/>
                <w:szCs w:val="20"/>
                <w:lang w:eastAsia="en-GB"/>
              </w:rPr>
            </w:pPr>
            <w:r>
              <w:rPr>
                <w:rFonts w:ascii="Calibri" w:eastAsia="Times New Roman" w:hAnsi="Calibri" w:cs="Arial"/>
                <w:color w:val="000000"/>
                <w:sz w:val="20"/>
                <w:szCs w:val="20"/>
                <w:lang w:eastAsia="en-GB"/>
              </w:rPr>
              <w:t>Po</w:t>
            </w:r>
            <w:r w:rsidR="00A84049" w:rsidRPr="00A84049">
              <w:rPr>
                <w:rFonts w:ascii="Calibri" w:eastAsia="Times New Roman" w:hAnsi="Calibri" w:cs="Arial"/>
                <w:color w:val="000000"/>
                <w:sz w:val="20"/>
                <w:szCs w:val="20"/>
                <w:lang w:eastAsia="en-GB"/>
              </w:rPr>
              <w:t>s</w:t>
            </w:r>
            <w:r>
              <w:rPr>
                <w:rFonts w:ascii="Calibri" w:eastAsia="Times New Roman" w:hAnsi="Calibri" w:cs="Arial"/>
                <w:color w:val="000000"/>
                <w:sz w:val="20"/>
                <w:szCs w:val="20"/>
                <w:lang w:eastAsia="en-GB"/>
              </w:rPr>
              <w:t>i</w:t>
            </w:r>
            <w:r w:rsidR="00A84049" w:rsidRPr="00A84049">
              <w:rPr>
                <w:rFonts w:ascii="Calibri" w:eastAsia="Times New Roman" w:hAnsi="Calibri" w:cs="Arial"/>
                <w:color w:val="000000"/>
                <w:sz w:val="20"/>
                <w:szCs w:val="20"/>
                <w:lang w:eastAsia="en-GB"/>
              </w:rPr>
              <w:t>tive</w:t>
            </w:r>
          </w:p>
        </w:tc>
        <w:tc>
          <w:tcPr>
            <w:tcW w:w="1008" w:type="dxa"/>
            <w:tcBorders>
              <w:top w:val="nil"/>
              <w:left w:val="nil"/>
              <w:bottom w:val="single" w:sz="4" w:space="0" w:color="auto"/>
              <w:right w:val="single" w:sz="4" w:space="0" w:color="auto"/>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Net</w:t>
            </w:r>
          </w:p>
        </w:tc>
      </w:tr>
      <w:tr w:rsidR="00A84049" w:rsidRPr="00A84049" w:rsidTr="00EC66F3">
        <w:trPr>
          <w:trHeight w:hRule="exact" w:val="255"/>
        </w:trPr>
        <w:tc>
          <w:tcPr>
            <w:tcW w:w="3080" w:type="dxa"/>
            <w:tcBorders>
              <w:top w:val="nil"/>
              <w:left w:val="single" w:sz="4" w:space="0" w:color="auto"/>
              <w:bottom w:val="nil"/>
              <w:right w:val="nil"/>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1.Innovation &amp; RTD</w:t>
            </w:r>
          </w:p>
        </w:tc>
        <w:tc>
          <w:tcPr>
            <w:tcW w:w="1420" w:type="dxa"/>
            <w:tcBorders>
              <w:top w:val="nil"/>
              <w:left w:val="nil"/>
              <w:bottom w:val="nil"/>
              <w:right w:val="single" w:sz="4" w:space="0" w:color="auto"/>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45,546</w:t>
            </w:r>
          </w:p>
        </w:tc>
        <w:tc>
          <w:tcPr>
            <w:tcW w:w="1385" w:type="dxa"/>
            <w:tcBorders>
              <w:top w:val="nil"/>
              <w:left w:val="nil"/>
              <w:bottom w:val="nil"/>
              <w:right w:val="nil"/>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-7,284</w:t>
            </w:r>
          </w:p>
        </w:tc>
        <w:tc>
          <w:tcPr>
            <w:tcW w:w="1227" w:type="dxa"/>
            <w:tcBorders>
              <w:top w:val="nil"/>
              <w:left w:val="nil"/>
              <w:bottom w:val="nil"/>
              <w:right w:val="nil"/>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8,980</w:t>
            </w:r>
          </w:p>
        </w:tc>
        <w:tc>
          <w:tcPr>
            <w:tcW w:w="1008" w:type="dxa"/>
            <w:tcBorders>
              <w:top w:val="nil"/>
              <w:left w:val="nil"/>
              <w:bottom w:val="nil"/>
              <w:right w:val="single" w:sz="4" w:space="0" w:color="auto"/>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1,696</w:t>
            </w:r>
          </w:p>
        </w:tc>
      </w:tr>
      <w:tr w:rsidR="00A84049" w:rsidRPr="00A84049" w:rsidTr="00EC66F3">
        <w:trPr>
          <w:trHeight w:hRule="exact" w:val="255"/>
        </w:trPr>
        <w:tc>
          <w:tcPr>
            <w:tcW w:w="3080" w:type="dxa"/>
            <w:tcBorders>
              <w:top w:val="nil"/>
              <w:left w:val="single" w:sz="4" w:space="0" w:color="auto"/>
              <w:bottom w:val="nil"/>
              <w:right w:val="nil"/>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2.Entrepreneurship</w:t>
            </w:r>
          </w:p>
        </w:tc>
        <w:tc>
          <w:tcPr>
            <w:tcW w:w="1420" w:type="dxa"/>
            <w:tcBorders>
              <w:top w:val="nil"/>
              <w:left w:val="nil"/>
              <w:bottom w:val="nil"/>
              <w:right w:val="single" w:sz="4" w:space="0" w:color="auto"/>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5,646</w:t>
            </w:r>
          </w:p>
        </w:tc>
        <w:tc>
          <w:tcPr>
            <w:tcW w:w="1385" w:type="dxa"/>
            <w:tcBorders>
              <w:top w:val="nil"/>
              <w:left w:val="nil"/>
              <w:bottom w:val="nil"/>
              <w:right w:val="nil"/>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-1,047</w:t>
            </w:r>
          </w:p>
        </w:tc>
        <w:tc>
          <w:tcPr>
            <w:tcW w:w="1227" w:type="dxa"/>
            <w:tcBorders>
              <w:top w:val="nil"/>
              <w:left w:val="nil"/>
              <w:bottom w:val="nil"/>
              <w:right w:val="nil"/>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1,214</w:t>
            </w:r>
          </w:p>
        </w:tc>
        <w:tc>
          <w:tcPr>
            <w:tcW w:w="1008" w:type="dxa"/>
            <w:tcBorders>
              <w:top w:val="nil"/>
              <w:left w:val="nil"/>
              <w:bottom w:val="nil"/>
              <w:right w:val="single" w:sz="4" w:space="0" w:color="auto"/>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167</w:t>
            </w:r>
          </w:p>
        </w:tc>
      </w:tr>
      <w:tr w:rsidR="00A84049" w:rsidRPr="00A84049" w:rsidTr="00EC66F3">
        <w:trPr>
          <w:trHeight w:hRule="exact" w:val="255"/>
        </w:trPr>
        <w:tc>
          <w:tcPr>
            <w:tcW w:w="3080" w:type="dxa"/>
            <w:tcBorders>
              <w:top w:val="nil"/>
              <w:left w:val="single" w:sz="4" w:space="0" w:color="auto"/>
              <w:bottom w:val="nil"/>
              <w:right w:val="nil"/>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3.Other investments in enterprise</w:t>
            </w:r>
          </w:p>
        </w:tc>
        <w:tc>
          <w:tcPr>
            <w:tcW w:w="1420" w:type="dxa"/>
            <w:tcBorders>
              <w:top w:val="nil"/>
              <w:left w:val="nil"/>
              <w:bottom w:val="nil"/>
              <w:right w:val="single" w:sz="4" w:space="0" w:color="auto"/>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13,608</w:t>
            </w:r>
          </w:p>
        </w:tc>
        <w:tc>
          <w:tcPr>
            <w:tcW w:w="1385" w:type="dxa"/>
            <w:tcBorders>
              <w:top w:val="nil"/>
              <w:left w:val="nil"/>
              <w:bottom w:val="nil"/>
              <w:right w:val="nil"/>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-925</w:t>
            </w:r>
          </w:p>
        </w:tc>
        <w:tc>
          <w:tcPr>
            <w:tcW w:w="1227" w:type="dxa"/>
            <w:tcBorders>
              <w:top w:val="nil"/>
              <w:left w:val="nil"/>
              <w:bottom w:val="nil"/>
              <w:right w:val="nil"/>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2,637</w:t>
            </w:r>
          </w:p>
        </w:tc>
        <w:tc>
          <w:tcPr>
            <w:tcW w:w="1008" w:type="dxa"/>
            <w:tcBorders>
              <w:top w:val="nil"/>
              <w:left w:val="nil"/>
              <w:bottom w:val="nil"/>
              <w:right w:val="single" w:sz="4" w:space="0" w:color="auto"/>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1,712</w:t>
            </w:r>
          </w:p>
        </w:tc>
      </w:tr>
      <w:tr w:rsidR="00A84049" w:rsidRPr="00A84049" w:rsidTr="00EC66F3">
        <w:trPr>
          <w:trHeight w:hRule="exact" w:val="255"/>
        </w:trPr>
        <w:tc>
          <w:tcPr>
            <w:tcW w:w="3080" w:type="dxa"/>
            <w:tcBorders>
              <w:top w:val="nil"/>
              <w:left w:val="single" w:sz="4" w:space="0" w:color="auto"/>
              <w:bottom w:val="nil"/>
              <w:right w:val="nil"/>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4.ICT for citizens &amp; business</w:t>
            </w:r>
          </w:p>
        </w:tc>
        <w:tc>
          <w:tcPr>
            <w:tcW w:w="1420" w:type="dxa"/>
            <w:tcBorders>
              <w:top w:val="nil"/>
              <w:left w:val="nil"/>
              <w:bottom w:val="nil"/>
              <w:right w:val="single" w:sz="4" w:space="0" w:color="auto"/>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12,916</w:t>
            </w:r>
          </w:p>
        </w:tc>
        <w:tc>
          <w:tcPr>
            <w:tcW w:w="1385" w:type="dxa"/>
            <w:tcBorders>
              <w:top w:val="nil"/>
              <w:left w:val="nil"/>
              <w:bottom w:val="nil"/>
              <w:right w:val="nil"/>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-2,683</w:t>
            </w:r>
          </w:p>
        </w:tc>
        <w:tc>
          <w:tcPr>
            <w:tcW w:w="1227" w:type="dxa"/>
            <w:tcBorders>
              <w:top w:val="nil"/>
              <w:left w:val="nil"/>
              <w:bottom w:val="nil"/>
              <w:right w:val="nil"/>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1,489</w:t>
            </w:r>
          </w:p>
        </w:tc>
        <w:tc>
          <w:tcPr>
            <w:tcW w:w="1008" w:type="dxa"/>
            <w:tcBorders>
              <w:top w:val="nil"/>
              <w:left w:val="nil"/>
              <w:bottom w:val="nil"/>
              <w:right w:val="single" w:sz="4" w:space="0" w:color="auto"/>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-1,194</w:t>
            </w:r>
          </w:p>
        </w:tc>
      </w:tr>
      <w:tr w:rsidR="00A84049" w:rsidRPr="00A84049" w:rsidTr="00EC66F3">
        <w:trPr>
          <w:trHeight w:hRule="exact" w:val="255"/>
        </w:trPr>
        <w:tc>
          <w:tcPr>
            <w:tcW w:w="3080" w:type="dxa"/>
            <w:tcBorders>
              <w:top w:val="nil"/>
              <w:left w:val="single" w:sz="4" w:space="0" w:color="auto"/>
              <w:bottom w:val="nil"/>
              <w:right w:val="nil"/>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5.Environment</w:t>
            </w:r>
          </w:p>
        </w:tc>
        <w:tc>
          <w:tcPr>
            <w:tcW w:w="1420" w:type="dxa"/>
            <w:tcBorders>
              <w:top w:val="nil"/>
              <w:left w:val="nil"/>
              <w:bottom w:val="nil"/>
              <w:right w:val="single" w:sz="4" w:space="0" w:color="auto"/>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46,821</w:t>
            </w:r>
          </w:p>
        </w:tc>
        <w:tc>
          <w:tcPr>
            <w:tcW w:w="1385" w:type="dxa"/>
            <w:tcBorders>
              <w:top w:val="nil"/>
              <w:left w:val="nil"/>
              <w:bottom w:val="nil"/>
              <w:right w:val="nil"/>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-6,830</w:t>
            </w:r>
          </w:p>
        </w:tc>
        <w:tc>
          <w:tcPr>
            <w:tcW w:w="1227" w:type="dxa"/>
            <w:tcBorders>
              <w:top w:val="nil"/>
              <w:left w:val="nil"/>
              <w:bottom w:val="nil"/>
              <w:right w:val="nil"/>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3,871</w:t>
            </w:r>
          </w:p>
        </w:tc>
        <w:tc>
          <w:tcPr>
            <w:tcW w:w="1008" w:type="dxa"/>
            <w:tcBorders>
              <w:top w:val="nil"/>
              <w:left w:val="nil"/>
              <w:bottom w:val="nil"/>
              <w:right w:val="single" w:sz="4" w:space="0" w:color="auto"/>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-2,959</w:t>
            </w:r>
          </w:p>
        </w:tc>
      </w:tr>
      <w:tr w:rsidR="00A84049" w:rsidRPr="00A84049" w:rsidTr="00EC66F3">
        <w:trPr>
          <w:trHeight w:hRule="exact" w:val="255"/>
        </w:trPr>
        <w:tc>
          <w:tcPr>
            <w:tcW w:w="3080" w:type="dxa"/>
            <w:tcBorders>
              <w:top w:val="nil"/>
              <w:left w:val="single" w:sz="4" w:space="0" w:color="auto"/>
              <w:bottom w:val="nil"/>
              <w:right w:val="nil"/>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6.Energy</w:t>
            </w:r>
          </w:p>
        </w:tc>
        <w:tc>
          <w:tcPr>
            <w:tcW w:w="1420" w:type="dxa"/>
            <w:tcBorders>
              <w:top w:val="nil"/>
              <w:left w:val="nil"/>
              <w:bottom w:val="nil"/>
              <w:right w:val="single" w:sz="4" w:space="0" w:color="auto"/>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10,765</w:t>
            </w:r>
          </w:p>
        </w:tc>
        <w:tc>
          <w:tcPr>
            <w:tcW w:w="1385" w:type="dxa"/>
            <w:tcBorders>
              <w:top w:val="nil"/>
              <w:left w:val="nil"/>
              <w:bottom w:val="nil"/>
              <w:right w:val="nil"/>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-2,389</w:t>
            </w:r>
          </w:p>
        </w:tc>
        <w:tc>
          <w:tcPr>
            <w:tcW w:w="1227" w:type="dxa"/>
            <w:tcBorders>
              <w:top w:val="nil"/>
              <w:left w:val="nil"/>
              <w:bottom w:val="nil"/>
              <w:right w:val="nil"/>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3,576</w:t>
            </w:r>
          </w:p>
        </w:tc>
        <w:tc>
          <w:tcPr>
            <w:tcW w:w="1008" w:type="dxa"/>
            <w:tcBorders>
              <w:top w:val="nil"/>
              <w:left w:val="nil"/>
              <w:bottom w:val="nil"/>
              <w:right w:val="single" w:sz="4" w:space="0" w:color="auto"/>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1,187</w:t>
            </w:r>
          </w:p>
        </w:tc>
      </w:tr>
      <w:tr w:rsidR="00A84049" w:rsidRPr="00A84049" w:rsidTr="00EC66F3">
        <w:trPr>
          <w:trHeight w:hRule="exact" w:val="255"/>
        </w:trPr>
        <w:tc>
          <w:tcPr>
            <w:tcW w:w="3080" w:type="dxa"/>
            <w:tcBorders>
              <w:top w:val="nil"/>
              <w:left w:val="single" w:sz="4" w:space="0" w:color="auto"/>
              <w:bottom w:val="nil"/>
              <w:right w:val="nil"/>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7.Broadband</w:t>
            </w:r>
          </w:p>
        </w:tc>
        <w:tc>
          <w:tcPr>
            <w:tcW w:w="1420" w:type="dxa"/>
            <w:tcBorders>
              <w:top w:val="nil"/>
              <w:left w:val="nil"/>
              <w:bottom w:val="nil"/>
              <w:right w:val="single" w:sz="4" w:space="0" w:color="auto"/>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2,257</w:t>
            </w:r>
          </w:p>
        </w:tc>
        <w:tc>
          <w:tcPr>
            <w:tcW w:w="1385" w:type="dxa"/>
            <w:tcBorders>
              <w:top w:val="nil"/>
              <w:left w:val="nil"/>
              <w:bottom w:val="nil"/>
              <w:right w:val="nil"/>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-425</w:t>
            </w:r>
          </w:p>
        </w:tc>
        <w:tc>
          <w:tcPr>
            <w:tcW w:w="1227" w:type="dxa"/>
            <w:tcBorders>
              <w:top w:val="nil"/>
              <w:left w:val="nil"/>
              <w:bottom w:val="nil"/>
              <w:right w:val="nil"/>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720</w:t>
            </w:r>
          </w:p>
        </w:tc>
        <w:tc>
          <w:tcPr>
            <w:tcW w:w="1008" w:type="dxa"/>
            <w:tcBorders>
              <w:top w:val="nil"/>
              <w:left w:val="nil"/>
              <w:bottom w:val="nil"/>
              <w:right w:val="single" w:sz="4" w:space="0" w:color="auto"/>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296</w:t>
            </w:r>
          </w:p>
        </w:tc>
      </w:tr>
      <w:tr w:rsidR="00A84049" w:rsidRPr="00A84049" w:rsidTr="00EC66F3">
        <w:trPr>
          <w:trHeight w:hRule="exact" w:val="255"/>
        </w:trPr>
        <w:tc>
          <w:tcPr>
            <w:tcW w:w="3080" w:type="dxa"/>
            <w:tcBorders>
              <w:top w:val="nil"/>
              <w:left w:val="single" w:sz="4" w:space="0" w:color="auto"/>
              <w:bottom w:val="nil"/>
              <w:right w:val="nil"/>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8.Road</w:t>
            </w:r>
          </w:p>
        </w:tc>
        <w:tc>
          <w:tcPr>
            <w:tcW w:w="1420" w:type="dxa"/>
            <w:tcBorders>
              <w:top w:val="nil"/>
              <w:left w:val="nil"/>
              <w:bottom w:val="nil"/>
              <w:right w:val="single" w:sz="4" w:space="0" w:color="auto"/>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40,700</w:t>
            </w:r>
          </w:p>
        </w:tc>
        <w:tc>
          <w:tcPr>
            <w:tcW w:w="1385" w:type="dxa"/>
            <w:tcBorders>
              <w:top w:val="nil"/>
              <w:left w:val="nil"/>
              <w:bottom w:val="nil"/>
              <w:right w:val="nil"/>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-3,311</w:t>
            </w:r>
          </w:p>
        </w:tc>
        <w:tc>
          <w:tcPr>
            <w:tcW w:w="1227" w:type="dxa"/>
            <w:tcBorders>
              <w:top w:val="nil"/>
              <w:left w:val="nil"/>
              <w:bottom w:val="nil"/>
              <w:right w:val="nil"/>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5,354</w:t>
            </w:r>
          </w:p>
        </w:tc>
        <w:tc>
          <w:tcPr>
            <w:tcW w:w="1008" w:type="dxa"/>
            <w:tcBorders>
              <w:top w:val="nil"/>
              <w:left w:val="nil"/>
              <w:bottom w:val="nil"/>
              <w:right w:val="single" w:sz="4" w:space="0" w:color="auto"/>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2,043</w:t>
            </w:r>
          </w:p>
        </w:tc>
      </w:tr>
      <w:tr w:rsidR="00A84049" w:rsidRPr="00A84049" w:rsidTr="00EC66F3">
        <w:trPr>
          <w:trHeight w:hRule="exact" w:val="255"/>
        </w:trPr>
        <w:tc>
          <w:tcPr>
            <w:tcW w:w="3080" w:type="dxa"/>
            <w:tcBorders>
              <w:top w:val="nil"/>
              <w:left w:val="single" w:sz="4" w:space="0" w:color="auto"/>
              <w:bottom w:val="nil"/>
              <w:right w:val="nil"/>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9.Rail</w:t>
            </w:r>
          </w:p>
        </w:tc>
        <w:tc>
          <w:tcPr>
            <w:tcW w:w="1420" w:type="dxa"/>
            <w:tcBorders>
              <w:top w:val="nil"/>
              <w:left w:val="nil"/>
              <w:bottom w:val="nil"/>
              <w:right w:val="single" w:sz="4" w:space="0" w:color="auto"/>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24,100</w:t>
            </w:r>
          </w:p>
        </w:tc>
        <w:tc>
          <w:tcPr>
            <w:tcW w:w="1385" w:type="dxa"/>
            <w:tcBorders>
              <w:top w:val="nil"/>
              <w:left w:val="nil"/>
              <w:bottom w:val="nil"/>
              <w:right w:val="nil"/>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-3,457</w:t>
            </w:r>
          </w:p>
        </w:tc>
        <w:tc>
          <w:tcPr>
            <w:tcW w:w="1227" w:type="dxa"/>
            <w:tcBorders>
              <w:top w:val="nil"/>
              <w:left w:val="nil"/>
              <w:bottom w:val="nil"/>
              <w:right w:val="nil"/>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2,789</w:t>
            </w:r>
          </w:p>
        </w:tc>
        <w:tc>
          <w:tcPr>
            <w:tcW w:w="1008" w:type="dxa"/>
            <w:tcBorders>
              <w:top w:val="nil"/>
              <w:left w:val="nil"/>
              <w:bottom w:val="nil"/>
              <w:right w:val="single" w:sz="4" w:space="0" w:color="auto"/>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-668</w:t>
            </w:r>
          </w:p>
        </w:tc>
      </w:tr>
      <w:tr w:rsidR="00A84049" w:rsidRPr="00A84049" w:rsidTr="00EC66F3">
        <w:trPr>
          <w:trHeight w:hRule="exact" w:val="255"/>
        </w:trPr>
        <w:tc>
          <w:tcPr>
            <w:tcW w:w="3080" w:type="dxa"/>
            <w:tcBorders>
              <w:top w:val="nil"/>
              <w:left w:val="single" w:sz="4" w:space="0" w:color="auto"/>
              <w:bottom w:val="nil"/>
              <w:right w:val="nil"/>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10.Other transport</w:t>
            </w:r>
          </w:p>
        </w:tc>
        <w:tc>
          <w:tcPr>
            <w:tcW w:w="1420" w:type="dxa"/>
            <w:tcBorders>
              <w:top w:val="nil"/>
              <w:left w:val="nil"/>
              <w:bottom w:val="nil"/>
              <w:right w:val="single" w:sz="4" w:space="0" w:color="auto"/>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17,385</w:t>
            </w:r>
          </w:p>
        </w:tc>
        <w:tc>
          <w:tcPr>
            <w:tcW w:w="1385" w:type="dxa"/>
            <w:tcBorders>
              <w:top w:val="nil"/>
              <w:left w:val="nil"/>
              <w:bottom w:val="nil"/>
              <w:right w:val="nil"/>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-3,604</w:t>
            </w:r>
          </w:p>
        </w:tc>
        <w:tc>
          <w:tcPr>
            <w:tcW w:w="1227" w:type="dxa"/>
            <w:tcBorders>
              <w:top w:val="nil"/>
              <w:left w:val="nil"/>
              <w:bottom w:val="nil"/>
              <w:right w:val="nil"/>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2,398</w:t>
            </w:r>
          </w:p>
        </w:tc>
        <w:tc>
          <w:tcPr>
            <w:tcW w:w="1008" w:type="dxa"/>
            <w:tcBorders>
              <w:top w:val="nil"/>
              <w:left w:val="nil"/>
              <w:bottom w:val="nil"/>
              <w:right w:val="single" w:sz="4" w:space="0" w:color="auto"/>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-1,207</w:t>
            </w:r>
          </w:p>
        </w:tc>
      </w:tr>
      <w:tr w:rsidR="00A84049" w:rsidRPr="00A84049" w:rsidTr="00EC66F3">
        <w:trPr>
          <w:trHeight w:hRule="exact" w:val="255"/>
        </w:trPr>
        <w:tc>
          <w:tcPr>
            <w:tcW w:w="3080" w:type="dxa"/>
            <w:tcBorders>
              <w:top w:val="nil"/>
              <w:left w:val="single" w:sz="4" w:space="0" w:color="auto"/>
              <w:bottom w:val="nil"/>
              <w:right w:val="nil"/>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11.Human capital</w:t>
            </w:r>
          </w:p>
        </w:tc>
        <w:tc>
          <w:tcPr>
            <w:tcW w:w="1420" w:type="dxa"/>
            <w:tcBorders>
              <w:top w:val="nil"/>
              <w:left w:val="nil"/>
              <w:bottom w:val="nil"/>
              <w:right w:val="single" w:sz="4" w:space="0" w:color="auto"/>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832</w:t>
            </w:r>
          </w:p>
        </w:tc>
        <w:tc>
          <w:tcPr>
            <w:tcW w:w="1385" w:type="dxa"/>
            <w:tcBorders>
              <w:top w:val="nil"/>
              <w:left w:val="nil"/>
              <w:bottom w:val="nil"/>
              <w:right w:val="nil"/>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-118</w:t>
            </w:r>
          </w:p>
        </w:tc>
        <w:tc>
          <w:tcPr>
            <w:tcW w:w="1227" w:type="dxa"/>
            <w:tcBorders>
              <w:top w:val="nil"/>
              <w:left w:val="nil"/>
              <w:bottom w:val="nil"/>
              <w:right w:val="nil"/>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16</w:t>
            </w:r>
          </w:p>
        </w:tc>
        <w:tc>
          <w:tcPr>
            <w:tcW w:w="1008" w:type="dxa"/>
            <w:tcBorders>
              <w:top w:val="nil"/>
              <w:left w:val="nil"/>
              <w:bottom w:val="nil"/>
              <w:right w:val="single" w:sz="4" w:space="0" w:color="auto"/>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-102</w:t>
            </w:r>
          </w:p>
        </w:tc>
      </w:tr>
      <w:tr w:rsidR="00A84049" w:rsidRPr="00A84049" w:rsidTr="00EC66F3">
        <w:trPr>
          <w:trHeight w:hRule="exact" w:val="255"/>
        </w:trPr>
        <w:tc>
          <w:tcPr>
            <w:tcW w:w="3080" w:type="dxa"/>
            <w:tcBorders>
              <w:top w:val="nil"/>
              <w:left w:val="single" w:sz="4" w:space="0" w:color="auto"/>
              <w:bottom w:val="nil"/>
              <w:right w:val="nil"/>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12Labour market</w:t>
            </w:r>
          </w:p>
        </w:tc>
        <w:tc>
          <w:tcPr>
            <w:tcW w:w="1420" w:type="dxa"/>
            <w:tcBorders>
              <w:top w:val="nil"/>
              <w:left w:val="nil"/>
              <w:bottom w:val="nil"/>
              <w:right w:val="single" w:sz="4" w:space="0" w:color="auto"/>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1,042</w:t>
            </w:r>
          </w:p>
        </w:tc>
        <w:tc>
          <w:tcPr>
            <w:tcW w:w="1385" w:type="dxa"/>
            <w:tcBorders>
              <w:top w:val="nil"/>
              <w:left w:val="nil"/>
              <w:bottom w:val="nil"/>
              <w:right w:val="nil"/>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-370</w:t>
            </w:r>
          </w:p>
        </w:tc>
        <w:tc>
          <w:tcPr>
            <w:tcW w:w="1227" w:type="dxa"/>
            <w:tcBorders>
              <w:top w:val="nil"/>
              <w:left w:val="nil"/>
              <w:bottom w:val="nil"/>
              <w:right w:val="nil"/>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44</w:t>
            </w:r>
          </w:p>
        </w:tc>
        <w:tc>
          <w:tcPr>
            <w:tcW w:w="1008" w:type="dxa"/>
            <w:tcBorders>
              <w:top w:val="nil"/>
              <w:left w:val="nil"/>
              <w:bottom w:val="nil"/>
              <w:right w:val="single" w:sz="4" w:space="0" w:color="auto"/>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-326</w:t>
            </w:r>
          </w:p>
        </w:tc>
      </w:tr>
      <w:tr w:rsidR="00A84049" w:rsidRPr="00A84049" w:rsidTr="00EC66F3">
        <w:trPr>
          <w:trHeight w:hRule="exact" w:val="255"/>
        </w:trPr>
        <w:tc>
          <w:tcPr>
            <w:tcW w:w="3080" w:type="dxa"/>
            <w:tcBorders>
              <w:top w:val="nil"/>
              <w:left w:val="single" w:sz="4" w:space="0" w:color="auto"/>
              <w:bottom w:val="nil"/>
              <w:right w:val="nil"/>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13.Culture &amp; social</w:t>
            </w:r>
          </w:p>
        </w:tc>
        <w:tc>
          <w:tcPr>
            <w:tcW w:w="1420" w:type="dxa"/>
            <w:tcBorders>
              <w:top w:val="nil"/>
              <w:left w:val="nil"/>
              <w:bottom w:val="nil"/>
              <w:right w:val="single" w:sz="4" w:space="0" w:color="auto"/>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22,681</w:t>
            </w:r>
          </w:p>
        </w:tc>
        <w:tc>
          <w:tcPr>
            <w:tcW w:w="1385" w:type="dxa"/>
            <w:tcBorders>
              <w:top w:val="nil"/>
              <w:left w:val="nil"/>
              <w:bottom w:val="nil"/>
              <w:right w:val="nil"/>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-2,489</w:t>
            </w:r>
          </w:p>
        </w:tc>
        <w:tc>
          <w:tcPr>
            <w:tcW w:w="1227" w:type="dxa"/>
            <w:tcBorders>
              <w:top w:val="nil"/>
              <w:left w:val="nil"/>
              <w:bottom w:val="nil"/>
              <w:right w:val="nil"/>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4,523</w:t>
            </w:r>
          </w:p>
        </w:tc>
        <w:tc>
          <w:tcPr>
            <w:tcW w:w="1008" w:type="dxa"/>
            <w:tcBorders>
              <w:top w:val="nil"/>
              <w:left w:val="nil"/>
              <w:bottom w:val="nil"/>
              <w:right w:val="single" w:sz="4" w:space="0" w:color="auto"/>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2,034</w:t>
            </w:r>
          </w:p>
        </w:tc>
      </w:tr>
      <w:tr w:rsidR="00A84049" w:rsidRPr="00A84049" w:rsidTr="00EC66F3">
        <w:trPr>
          <w:trHeight w:hRule="exact" w:val="255"/>
        </w:trPr>
        <w:tc>
          <w:tcPr>
            <w:tcW w:w="3080" w:type="dxa"/>
            <w:tcBorders>
              <w:top w:val="nil"/>
              <w:left w:val="single" w:sz="4" w:space="0" w:color="auto"/>
              <w:bottom w:val="nil"/>
              <w:right w:val="nil"/>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14.Social Inclusion</w:t>
            </w:r>
          </w:p>
        </w:tc>
        <w:tc>
          <w:tcPr>
            <w:tcW w:w="1420" w:type="dxa"/>
            <w:tcBorders>
              <w:top w:val="nil"/>
              <w:left w:val="nil"/>
              <w:bottom w:val="nil"/>
              <w:right w:val="single" w:sz="4" w:space="0" w:color="auto"/>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251</w:t>
            </w:r>
          </w:p>
        </w:tc>
        <w:tc>
          <w:tcPr>
            <w:tcW w:w="1385" w:type="dxa"/>
            <w:tcBorders>
              <w:top w:val="nil"/>
              <w:left w:val="nil"/>
              <w:bottom w:val="nil"/>
              <w:right w:val="nil"/>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-48</w:t>
            </w:r>
          </w:p>
        </w:tc>
        <w:tc>
          <w:tcPr>
            <w:tcW w:w="1227" w:type="dxa"/>
            <w:tcBorders>
              <w:top w:val="nil"/>
              <w:left w:val="nil"/>
              <w:bottom w:val="nil"/>
              <w:right w:val="nil"/>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9</w:t>
            </w:r>
          </w:p>
        </w:tc>
        <w:tc>
          <w:tcPr>
            <w:tcW w:w="1008" w:type="dxa"/>
            <w:tcBorders>
              <w:top w:val="nil"/>
              <w:left w:val="nil"/>
              <w:bottom w:val="nil"/>
              <w:right w:val="single" w:sz="4" w:space="0" w:color="auto"/>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-39</w:t>
            </w:r>
          </w:p>
        </w:tc>
      </w:tr>
      <w:tr w:rsidR="00A84049" w:rsidRPr="00A84049" w:rsidTr="00EC66F3">
        <w:trPr>
          <w:trHeight w:hRule="exact" w:val="255"/>
        </w:trPr>
        <w:tc>
          <w:tcPr>
            <w:tcW w:w="3080" w:type="dxa"/>
            <w:tcBorders>
              <w:top w:val="nil"/>
              <w:left w:val="single" w:sz="4" w:space="0" w:color="auto"/>
              <w:bottom w:val="nil"/>
              <w:right w:val="nil"/>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15.Territorial Dimension</w:t>
            </w:r>
          </w:p>
        </w:tc>
        <w:tc>
          <w:tcPr>
            <w:tcW w:w="1420" w:type="dxa"/>
            <w:tcBorders>
              <w:top w:val="nil"/>
              <w:left w:val="nil"/>
              <w:bottom w:val="nil"/>
              <w:right w:val="single" w:sz="4" w:space="0" w:color="auto"/>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14,645</w:t>
            </w:r>
          </w:p>
        </w:tc>
        <w:tc>
          <w:tcPr>
            <w:tcW w:w="1385" w:type="dxa"/>
            <w:tcBorders>
              <w:top w:val="nil"/>
              <w:left w:val="nil"/>
              <w:bottom w:val="nil"/>
              <w:right w:val="nil"/>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-2,052</w:t>
            </w:r>
          </w:p>
        </w:tc>
        <w:tc>
          <w:tcPr>
            <w:tcW w:w="1227" w:type="dxa"/>
            <w:tcBorders>
              <w:top w:val="nil"/>
              <w:left w:val="nil"/>
              <w:bottom w:val="nil"/>
              <w:right w:val="nil"/>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1,873</w:t>
            </w:r>
          </w:p>
        </w:tc>
        <w:tc>
          <w:tcPr>
            <w:tcW w:w="1008" w:type="dxa"/>
            <w:tcBorders>
              <w:top w:val="nil"/>
              <w:left w:val="nil"/>
              <w:bottom w:val="nil"/>
              <w:right w:val="single" w:sz="4" w:space="0" w:color="auto"/>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-179</w:t>
            </w:r>
          </w:p>
        </w:tc>
      </w:tr>
      <w:tr w:rsidR="00A84049" w:rsidRPr="00A84049" w:rsidTr="00EC66F3">
        <w:trPr>
          <w:trHeight w:hRule="exact" w:val="255"/>
        </w:trPr>
        <w:tc>
          <w:tcPr>
            <w:tcW w:w="3080" w:type="dxa"/>
            <w:tcBorders>
              <w:top w:val="nil"/>
              <w:left w:val="single" w:sz="4" w:space="0" w:color="auto"/>
              <w:bottom w:val="nil"/>
              <w:right w:val="nil"/>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16.Capacity Building</w:t>
            </w:r>
          </w:p>
        </w:tc>
        <w:tc>
          <w:tcPr>
            <w:tcW w:w="1420" w:type="dxa"/>
            <w:tcBorders>
              <w:top w:val="nil"/>
              <w:left w:val="nil"/>
              <w:bottom w:val="nil"/>
              <w:right w:val="single" w:sz="4" w:space="0" w:color="auto"/>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1,849</w:t>
            </w:r>
          </w:p>
        </w:tc>
        <w:tc>
          <w:tcPr>
            <w:tcW w:w="1385" w:type="dxa"/>
            <w:tcBorders>
              <w:top w:val="nil"/>
              <w:left w:val="nil"/>
              <w:bottom w:val="nil"/>
              <w:right w:val="nil"/>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-845</w:t>
            </w:r>
          </w:p>
        </w:tc>
        <w:tc>
          <w:tcPr>
            <w:tcW w:w="1227" w:type="dxa"/>
            <w:tcBorders>
              <w:top w:val="nil"/>
              <w:left w:val="nil"/>
              <w:bottom w:val="nil"/>
              <w:right w:val="nil"/>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57</w:t>
            </w:r>
          </w:p>
        </w:tc>
        <w:tc>
          <w:tcPr>
            <w:tcW w:w="1008" w:type="dxa"/>
            <w:tcBorders>
              <w:top w:val="nil"/>
              <w:left w:val="nil"/>
              <w:bottom w:val="nil"/>
              <w:right w:val="single" w:sz="4" w:space="0" w:color="auto"/>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-788</w:t>
            </w:r>
          </w:p>
        </w:tc>
      </w:tr>
      <w:tr w:rsidR="00A84049" w:rsidRPr="00A84049" w:rsidTr="00EC66F3">
        <w:trPr>
          <w:trHeight w:hRule="exact" w:val="255"/>
        </w:trPr>
        <w:tc>
          <w:tcPr>
            <w:tcW w:w="3080" w:type="dxa"/>
            <w:tcBorders>
              <w:top w:val="nil"/>
              <w:left w:val="single" w:sz="4" w:space="0" w:color="auto"/>
              <w:bottom w:val="nil"/>
              <w:right w:val="nil"/>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17.Technical Assistance</w:t>
            </w:r>
          </w:p>
        </w:tc>
        <w:tc>
          <w:tcPr>
            <w:tcW w:w="1420" w:type="dxa"/>
            <w:tcBorders>
              <w:top w:val="nil"/>
              <w:left w:val="nil"/>
              <w:bottom w:val="nil"/>
              <w:right w:val="single" w:sz="4" w:space="0" w:color="auto"/>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8,110</w:t>
            </w:r>
          </w:p>
        </w:tc>
        <w:tc>
          <w:tcPr>
            <w:tcW w:w="1385" w:type="dxa"/>
            <w:tcBorders>
              <w:top w:val="nil"/>
              <w:left w:val="nil"/>
              <w:bottom w:val="nil"/>
              <w:right w:val="nil"/>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-1,246</w:t>
            </w:r>
          </w:p>
        </w:tc>
        <w:tc>
          <w:tcPr>
            <w:tcW w:w="1227" w:type="dxa"/>
            <w:tcBorders>
              <w:top w:val="nil"/>
              <w:left w:val="nil"/>
              <w:bottom w:val="nil"/>
              <w:right w:val="nil"/>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665</w:t>
            </w:r>
          </w:p>
        </w:tc>
        <w:tc>
          <w:tcPr>
            <w:tcW w:w="1008" w:type="dxa"/>
            <w:tcBorders>
              <w:top w:val="nil"/>
              <w:left w:val="nil"/>
              <w:bottom w:val="nil"/>
              <w:right w:val="single" w:sz="4" w:space="0" w:color="auto"/>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-580</w:t>
            </w:r>
          </w:p>
        </w:tc>
      </w:tr>
      <w:tr w:rsidR="00A84049" w:rsidRPr="00A84049" w:rsidTr="00EC66F3">
        <w:trPr>
          <w:trHeight w:hRule="exact" w:val="255"/>
        </w:trPr>
        <w:tc>
          <w:tcPr>
            <w:tcW w:w="3080" w:type="dxa"/>
            <w:tcBorders>
              <w:top w:val="nil"/>
              <w:left w:val="single" w:sz="4" w:space="0" w:color="auto"/>
              <w:bottom w:val="nil"/>
              <w:right w:val="nil"/>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Total</w:t>
            </w:r>
          </w:p>
        </w:tc>
        <w:tc>
          <w:tcPr>
            <w:tcW w:w="1420" w:type="dxa"/>
            <w:tcBorders>
              <w:top w:val="nil"/>
              <w:left w:val="nil"/>
              <w:bottom w:val="nil"/>
              <w:right w:val="single" w:sz="4" w:space="0" w:color="auto"/>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269,155</w:t>
            </w:r>
          </w:p>
        </w:tc>
        <w:tc>
          <w:tcPr>
            <w:tcW w:w="1385" w:type="dxa"/>
            <w:tcBorders>
              <w:top w:val="nil"/>
              <w:left w:val="nil"/>
              <w:bottom w:val="nil"/>
              <w:right w:val="nil"/>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-39,122</w:t>
            </w:r>
          </w:p>
        </w:tc>
        <w:tc>
          <w:tcPr>
            <w:tcW w:w="1227" w:type="dxa"/>
            <w:tcBorders>
              <w:top w:val="nil"/>
              <w:left w:val="nil"/>
              <w:bottom w:val="nil"/>
              <w:right w:val="nil"/>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40,215</w:t>
            </w:r>
          </w:p>
        </w:tc>
        <w:tc>
          <w:tcPr>
            <w:tcW w:w="1008" w:type="dxa"/>
            <w:tcBorders>
              <w:top w:val="nil"/>
              <w:left w:val="nil"/>
              <w:bottom w:val="nil"/>
              <w:right w:val="single" w:sz="4" w:space="0" w:color="auto"/>
            </w:tcBorders>
            <w:shd w:val="clear" w:color="auto" w:fill="auto"/>
            <w:noWrap/>
            <w:vAlign w:val="center"/>
            <w:hideMark/>
          </w:tcPr>
          <w:p w:rsidR="00A84049" w:rsidRPr="00A84049" w:rsidRDefault="00A84049" w:rsidP="000056C5">
            <w:pPr>
              <w:spacing w:after="0" w:line="240" w:lineRule="auto"/>
              <w:jc w:val="both"/>
              <w:rPr>
                <w:rFonts w:ascii="Calibri" w:eastAsia="Times New Roman" w:hAnsi="Calibri" w:cs="Arial"/>
                <w:color w:val="000000"/>
                <w:sz w:val="20"/>
                <w:szCs w:val="20"/>
                <w:lang w:eastAsia="en-GB"/>
              </w:rPr>
            </w:pPr>
            <w:r w:rsidRPr="00A84049">
              <w:rPr>
                <w:rFonts w:ascii="Calibri" w:eastAsia="Times New Roman" w:hAnsi="Calibri" w:cs="Arial"/>
                <w:color w:val="000000"/>
                <w:sz w:val="20"/>
                <w:szCs w:val="20"/>
                <w:lang w:eastAsia="en-GB"/>
              </w:rPr>
              <w:t>1,093</w:t>
            </w:r>
          </w:p>
        </w:tc>
      </w:tr>
      <w:tr w:rsidR="00A84049" w:rsidRPr="00A84049" w:rsidTr="00A84049">
        <w:trPr>
          <w:trHeight w:val="1068"/>
        </w:trPr>
        <w:tc>
          <w:tcPr>
            <w:tcW w:w="8120" w:type="dxa"/>
            <w:gridSpan w:val="5"/>
            <w:tcBorders>
              <w:top w:val="single" w:sz="4" w:space="0" w:color="auto"/>
              <w:left w:val="nil"/>
              <w:bottom w:val="nil"/>
              <w:right w:val="nil"/>
            </w:tcBorders>
            <w:shd w:val="clear" w:color="auto" w:fill="auto"/>
            <w:vAlign w:val="center"/>
            <w:hideMark/>
          </w:tcPr>
          <w:p w:rsidR="00A84049" w:rsidRPr="00A84049" w:rsidRDefault="00A84049" w:rsidP="000056C5">
            <w:pPr>
              <w:spacing w:after="0" w:line="240" w:lineRule="auto"/>
              <w:jc w:val="both"/>
              <w:rPr>
                <w:rFonts w:ascii="Calibri" w:eastAsia="Times New Roman" w:hAnsi="Calibri" w:cs="Arial"/>
                <w:i/>
                <w:iCs/>
                <w:color w:val="000000"/>
                <w:sz w:val="20"/>
                <w:szCs w:val="20"/>
                <w:lang w:eastAsia="en-GB"/>
              </w:rPr>
            </w:pPr>
            <w:r w:rsidRPr="00A84049">
              <w:rPr>
                <w:rFonts w:ascii="Calibri" w:eastAsia="Times New Roman" w:hAnsi="Calibri" w:cs="Arial"/>
                <w:i/>
                <w:iCs/>
                <w:color w:val="000000"/>
                <w:sz w:val="20"/>
                <w:szCs w:val="20"/>
                <w:lang w:eastAsia="en-GB"/>
              </w:rPr>
              <w:t>Note: The figures in the Negative Column are the sum of the changes in OPs across the EU which experienced a reduction in planned funding over the period 2007-2014. The figures in the Positive column are the sum of the changes in OPs where funding was increased. Funding going to European Territorial Cooperation programmes is excluded.</w:t>
            </w:r>
          </w:p>
        </w:tc>
      </w:tr>
      <w:tr w:rsidR="00A84049" w:rsidRPr="00A84049" w:rsidTr="00A84049">
        <w:trPr>
          <w:trHeight w:val="276"/>
        </w:trPr>
        <w:tc>
          <w:tcPr>
            <w:tcW w:w="4500" w:type="dxa"/>
            <w:gridSpan w:val="2"/>
            <w:tcBorders>
              <w:top w:val="nil"/>
              <w:left w:val="nil"/>
              <w:bottom w:val="nil"/>
              <w:right w:val="nil"/>
            </w:tcBorders>
            <w:shd w:val="clear" w:color="auto" w:fill="auto"/>
            <w:noWrap/>
            <w:vAlign w:val="center"/>
            <w:hideMark/>
          </w:tcPr>
          <w:p w:rsidR="00A84049" w:rsidRPr="00A84049" w:rsidRDefault="00A84049" w:rsidP="000B2EAE">
            <w:pPr>
              <w:spacing w:after="0" w:line="240" w:lineRule="auto"/>
              <w:jc w:val="both"/>
              <w:rPr>
                <w:rFonts w:ascii="Calibri" w:eastAsia="Times New Roman" w:hAnsi="Calibri" w:cs="Arial"/>
                <w:i/>
                <w:iCs/>
                <w:color w:val="000000"/>
                <w:sz w:val="20"/>
                <w:szCs w:val="20"/>
                <w:lang w:eastAsia="en-GB"/>
              </w:rPr>
            </w:pPr>
            <w:r w:rsidRPr="00A84049">
              <w:rPr>
                <w:rFonts w:ascii="Calibri" w:eastAsia="Times New Roman" w:hAnsi="Calibri" w:cs="Arial"/>
                <w:i/>
                <w:iCs/>
                <w:color w:val="000000"/>
                <w:sz w:val="20"/>
                <w:szCs w:val="20"/>
                <w:lang w:eastAsia="en-GB"/>
              </w:rPr>
              <w:t xml:space="preserve">Source: DG Regional </w:t>
            </w:r>
            <w:r w:rsidR="005979D2">
              <w:rPr>
                <w:rFonts w:ascii="Calibri" w:eastAsia="Times New Roman" w:hAnsi="Calibri" w:cs="Arial"/>
                <w:i/>
                <w:iCs/>
                <w:color w:val="000000"/>
                <w:sz w:val="20"/>
                <w:szCs w:val="20"/>
                <w:lang w:eastAsia="en-GB"/>
              </w:rPr>
              <w:t xml:space="preserve">and Urban </w:t>
            </w:r>
            <w:r w:rsidRPr="00A84049">
              <w:rPr>
                <w:rFonts w:ascii="Calibri" w:eastAsia="Times New Roman" w:hAnsi="Calibri" w:cs="Arial"/>
                <w:i/>
                <w:iCs/>
                <w:color w:val="000000"/>
                <w:sz w:val="20"/>
                <w:szCs w:val="20"/>
                <w:lang w:eastAsia="en-GB"/>
              </w:rPr>
              <w:t xml:space="preserve">Policy, </w:t>
            </w:r>
            <w:proofErr w:type="spellStart"/>
            <w:r w:rsidRPr="00A84049">
              <w:rPr>
                <w:rFonts w:ascii="Calibri" w:eastAsia="Times New Roman" w:hAnsi="Calibri" w:cs="Arial"/>
                <w:i/>
                <w:iCs/>
                <w:color w:val="000000"/>
                <w:sz w:val="20"/>
                <w:szCs w:val="20"/>
                <w:lang w:eastAsia="en-GB"/>
              </w:rPr>
              <w:t>Inforegio</w:t>
            </w:r>
            <w:proofErr w:type="spellEnd"/>
            <w:r w:rsidRPr="00A84049">
              <w:rPr>
                <w:rFonts w:ascii="Calibri" w:eastAsia="Times New Roman" w:hAnsi="Calibri" w:cs="Arial"/>
                <w:i/>
                <w:iCs/>
                <w:color w:val="000000"/>
                <w:sz w:val="20"/>
                <w:szCs w:val="20"/>
                <w:lang w:eastAsia="en-GB"/>
              </w:rPr>
              <w:t xml:space="preserve"> </w:t>
            </w:r>
          </w:p>
        </w:tc>
        <w:tc>
          <w:tcPr>
            <w:tcW w:w="1385" w:type="dxa"/>
            <w:tcBorders>
              <w:top w:val="nil"/>
              <w:left w:val="nil"/>
              <w:bottom w:val="nil"/>
              <w:right w:val="nil"/>
            </w:tcBorders>
            <w:shd w:val="clear" w:color="auto" w:fill="auto"/>
            <w:noWrap/>
            <w:vAlign w:val="bottom"/>
            <w:hideMark/>
          </w:tcPr>
          <w:p w:rsidR="00A84049" w:rsidRPr="00A84049" w:rsidRDefault="00A84049" w:rsidP="000056C5">
            <w:pPr>
              <w:spacing w:after="0" w:line="240" w:lineRule="auto"/>
              <w:jc w:val="both"/>
              <w:rPr>
                <w:rFonts w:ascii="Calibri" w:eastAsia="Times New Roman" w:hAnsi="Calibri" w:cs="Arial"/>
                <w:sz w:val="20"/>
                <w:szCs w:val="20"/>
                <w:lang w:eastAsia="en-GB"/>
              </w:rPr>
            </w:pPr>
          </w:p>
        </w:tc>
        <w:tc>
          <w:tcPr>
            <w:tcW w:w="1227" w:type="dxa"/>
            <w:tcBorders>
              <w:top w:val="nil"/>
              <w:left w:val="nil"/>
              <w:bottom w:val="nil"/>
              <w:right w:val="nil"/>
            </w:tcBorders>
            <w:shd w:val="clear" w:color="auto" w:fill="auto"/>
            <w:noWrap/>
            <w:vAlign w:val="bottom"/>
            <w:hideMark/>
          </w:tcPr>
          <w:p w:rsidR="00A84049" w:rsidRPr="00A84049" w:rsidRDefault="00A84049" w:rsidP="000056C5">
            <w:pPr>
              <w:spacing w:after="0" w:line="240" w:lineRule="auto"/>
              <w:jc w:val="both"/>
              <w:rPr>
                <w:rFonts w:ascii="Calibri" w:eastAsia="Times New Roman" w:hAnsi="Calibri" w:cs="Arial"/>
                <w:sz w:val="20"/>
                <w:szCs w:val="20"/>
                <w:lang w:eastAsia="en-GB"/>
              </w:rPr>
            </w:pPr>
          </w:p>
        </w:tc>
        <w:tc>
          <w:tcPr>
            <w:tcW w:w="1008" w:type="dxa"/>
            <w:tcBorders>
              <w:top w:val="nil"/>
              <w:left w:val="nil"/>
              <w:bottom w:val="nil"/>
              <w:right w:val="nil"/>
            </w:tcBorders>
            <w:shd w:val="clear" w:color="auto" w:fill="auto"/>
            <w:noWrap/>
            <w:vAlign w:val="bottom"/>
            <w:hideMark/>
          </w:tcPr>
          <w:p w:rsidR="00A84049" w:rsidRPr="00A84049" w:rsidRDefault="00A84049" w:rsidP="000056C5">
            <w:pPr>
              <w:spacing w:after="0" w:line="240" w:lineRule="auto"/>
              <w:jc w:val="both"/>
              <w:rPr>
                <w:rFonts w:ascii="Calibri" w:eastAsia="Times New Roman" w:hAnsi="Calibri" w:cs="Arial"/>
                <w:sz w:val="20"/>
                <w:szCs w:val="20"/>
                <w:lang w:eastAsia="en-GB"/>
              </w:rPr>
            </w:pPr>
          </w:p>
        </w:tc>
      </w:tr>
    </w:tbl>
    <w:p w:rsidR="00A84049" w:rsidRDefault="00AC1F4C" w:rsidP="000056C5">
      <w:pPr>
        <w:spacing w:before="120"/>
        <w:jc w:val="both"/>
      </w:pPr>
      <w:r>
        <w:t>The main features to emerge from examination of the shifts of funding between the themes concerned are:</w:t>
      </w:r>
    </w:p>
    <w:p w:rsidR="00AC1F4C" w:rsidRDefault="00AC1F4C" w:rsidP="000056C5">
      <w:pPr>
        <w:pStyle w:val="ListParagraph"/>
        <w:numPr>
          <w:ilvl w:val="0"/>
          <w:numId w:val="11"/>
        </w:numPr>
        <w:spacing w:before="120"/>
        <w:jc w:val="both"/>
      </w:pPr>
      <w:r>
        <w:t>In each case, the net change across the EU as a whole is the result of often much larger additions to and withdrawals from funding across OPs - i.e. in some OPs, funding for the theme concerned was increased, in others reduced, so that the policy differed</w:t>
      </w:r>
      <w:r w:rsidR="00C305E2">
        <w:t xml:space="preserve"> across OPs</w:t>
      </w:r>
      <w:r>
        <w:t xml:space="preserve">. This was </w:t>
      </w:r>
      <w:r w:rsidR="00C305E2">
        <w:t>true not only as between countries but within them (as indicated below).</w:t>
      </w:r>
    </w:p>
    <w:p w:rsidR="00A84049" w:rsidRDefault="006473C4" w:rsidP="000056C5">
      <w:pPr>
        <w:pStyle w:val="ListParagraph"/>
        <w:numPr>
          <w:ilvl w:val="0"/>
          <w:numId w:val="11"/>
        </w:numPr>
        <w:spacing w:before="120"/>
        <w:jc w:val="both"/>
      </w:pPr>
      <w:r w:rsidRPr="007A4FAF">
        <w:rPr>
          <w:u w:val="single"/>
        </w:rPr>
        <w:t>T</w:t>
      </w:r>
      <w:r w:rsidR="00A84049" w:rsidRPr="007A4FAF">
        <w:rPr>
          <w:u w:val="single"/>
        </w:rPr>
        <w:t>he biggest net addition</w:t>
      </w:r>
      <w:r w:rsidR="00C305E2" w:rsidRPr="007A4FAF">
        <w:rPr>
          <w:u w:val="single"/>
        </w:rPr>
        <w:t>s</w:t>
      </w:r>
      <w:r w:rsidR="00A84049" w:rsidRPr="007A4FAF">
        <w:rPr>
          <w:u w:val="single"/>
        </w:rPr>
        <w:t xml:space="preserve"> to funding w</w:t>
      </w:r>
      <w:r w:rsidR="00C305E2" w:rsidRPr="007A4FAF">
        <w:rPr>
          <w:u w:val="single"/>
        </w:rPr>
        <w:t>ere to investment in R</w:t>
      </w:r>
      <w:r w:rsidR="00A84049" w:rsidRPr="007A4FAF">
        <w:rPr>
          <w:u w:val="single"/>
        </w:rPr>
        <w:t>oads</w:t>
      </w:r>
      <w:r w:rsidR="00C305E2" w:rsidRPr="007A4FAF">
        <w:rPr>
          <w:u w:val="single"/>
        </w:rPr>
        <w:t xml:space="preserve"> and in Cultural and social infrastructure</w:t>
      </w:r>
      <w:r w:rsidR="00C305E2">
        <w:t xml:space="preserve"> (which includes hospitals, </w:t>
      </w:r>
      <w:r>
        <w:t>schools, childcare</w:t>
      </w:r>
      <w:r w:rsidR="00C305E2">
        <w:t xml:space="preserve"> centres, historic buildings and monuments and community centres), which amounted to </w:t>
      </w:r>
      <w:r w:rsidR="00A84049">
        <w:t xml:space="preserve">just over EUR 2 billion </w:t>
      </w:r>
      <w:r w:rsidR="00C305E2">
        <w:t>in both cases</w:t>
      </w:r>
      <w:r>
        <w:t xml:space="preserve">. This was the outcome, however, of a reduction in funding of EUR 2-3 billion in a number of OPs which was more than offset by an increase of EUR 4-5 billion in others. </w:t>
      </w:r>
    </w:p>
    <w:p w:rsidR="006473C4" w:rsidRDefault="006473C4" w:rsidP="000056C5">
      <w:pPr>
        <w:pStyle w:val="ListParagraph"/>
        <w:numPr>
          <w:ilvl w:val="0"/>
          <w:numId w:val="11"/>
        </w:numPr>
        <w:spacing w:before="120"/>
        <w:jc w:val="both"/>
      </w:pPr>
      <w:r>
        <w:t>There were also significant net additions to funding on average in Innovation and RTD and Other support to investment in enterprises (around EU 1.7 billion in both cases) as well as to that in Energy (EUR 1.2 billion). The first two differ markedly in that</w:t>
      </w:r>
      <w:r w:rsidR="001B5C00">
        <w:t>,</w:t>
      </w:r>
      <w:r>
        <w:t xml:space="preserve"> whereas in the case of Other support to investment in</w:t>
      </w:r>
      <w:r w:rsidR="001B5C00">
        <w:t xml:space="preserve"> </w:t>
      </w:r>
      <w:r>
        <w:t>enterprises</w:t>
      </w:r>
      <w:r w:rsidR="001B5C00">
        <w:t xml:space="preserve">, the reduction in funding was relatively small in the OPs where it occurred, in the case of Innovation and RTD, it was substantial (amounting to EUR 7.3 billion). The addition to funding in the latter in the OPs where it occurred was very much larger than in the former. The implication is that </w:t>
      </w:r>
      <w:r w:rsidR="001B5C00" w:rsidRPr="007A4FAF">
        <w:rPr>
          <w:u w:val="single"/>
        </w:rPr>
        <w:t>policy with regard to modifying the funding going to investment in Innovation and RTD varied considerably more across OPs</w:t>
      </w:r>
      <w:r w:rsidR="001B5C00">
        <w:t xml:space="preserve"> than that with regard to </w:t>
      </w:r>
      <w:proofErr w:type="gramStart"/>
      <w:r w:rsidR="001B5C00">
        <w:t>Other</w:t>
      </w:r>
      <w:proofErr w:type="gramEnd"/>
      <w:r w:rsidR="001B5C00">
        <w:t xml:space="preserve"> support to investment in enterprises. Energy was somewhere in between.</w:t>
      </w:r>
    </w:p>
    <w:p w:rsidR="001B5C00" w:rsidRDefault="004933EC" w:rsidP="000056C5">
      <w:pPr>
        <w:pStyle w:val="ListParagraph"/>
        <w:numPr>
          <w:ilvl w:val="0"/>
          <w:numId w:val="11"/>
        </w:numPr>
        <w:spacing w:before="120"/>
        <w:jc w:val="both"/>
      </w:pPr>
      <w:r w:rsidRPr="007A4FAF">
        <w:rPr>
          <w:u w:val="single"/>
        </w:rPr>
        <w:t>The main reduction in funding was to the Environment</w:t>
      </w:r>
      <w:r>
        <w:t>, which consists largely of investment in water, wastewater treatment and waste management infrastructure, which experienced a net loss of almost EUR 3 billion across the EU as a whole. Again, however, there is evidence of major differences between OPs. In many, funding was increased over the period rather than being reduced – indeed, the overall scale of the increase in the OPs concerned was more than that in Energy or Other support for investment in enterprises</w:t>
      </w:r>
      <w:r w:rsidR="002D7EE4">
        <w:t xml:space="preserve"> – but the reduction in the OPs where it occurred was even larger.</w:t>
      </w:r>
    </w:p>
    <w:p w:rsidR="00DA4276" w:rsidRDefault="00DA4276" w:rsidP="000056C5">
      <w:pPr>
        <w:pStyle w:val="ListParagraph"/>
        <w:numPr>
          <w:ilvl w:val="0"/>
          <w:numId w:val="11"/>
        </w:numPr>
        <w:spacing w:before="120"/>
        <w:jc w:val="both"/>
      </w:pPr>
      <w:r w:rsidRPr="00672D47">
        <w:rPr>
          <w:u w:val="single"/>
        </w:rPr>
        <w:t xml:space="preserve">Support for transport was shifted over the period </w:t>
      </w:r>
      <w:r w:rsidR="00F86899" w:rsidRPr="00672D47">
        <w:rPr>
          <w:u w:val="single"/>
        </w:rPr>
        <w:t>from rail and other areas, such as waterways, ports, airports and urban transport, to roads</w:t>
      </w:r>
      <w:r w:rsidR="00F86899">
        <w:t xml:space="preserve">. There were, nevertheless, a number of OPs, where support for investment in rail and other forms </w:t>
      </w:r>
      <w:proofErr w:type="gramStart"/>
      <w:r w:rsidR="00F86899">
        <w:t>was</w:t>
      </w:r>
      <w:proofErr w:type="gramEnd"/>
      <w:r w:rsidR="00F86899">
        <w:t xml:space="preserve"> increased, especially in the EU15 in the case of rail.</w:t>
      </w:r>
    </w:p>
    <w:p w:rsidR="00CF6B1B" w:rsidRDefault="00C67CE1" w:rsidP="000056C5">
      <w:pPr>
        <w:spacing w:before="120"/>
        <w:jc w:val="both"/>
      </w:pPr>
      <w:r>
        <w:t xml:space="preserve">There is some similarity between EU12 and EU15 countries in the net shifts in funding which occurred over the period 2007- 2014, though some differences in the scale of these. </w:t>
      </w:r>
      <w:r w:rsidR="00B10871">
        <w:t>Annex 2 provides detailed information on the two groups.</w:t>
      </w:r>
    </w:p>
    <w:p w:rsidR="00C67CE1" w:rsidRDefault="00EC66F3" w:rsidP="000056C5">
      <w:pPr>
        <w:spacing w:before="120"/>
        <w:jc w:val="both"/>
      </w:pPr>
      <w:r>
        <w:t xml:space="preserve">The main points to come out of Table 2 </w:t>
      </w:r>
      <w:r w:rsidR="00DF6490">
        <w:t xml:space="preserve">and Tables A.1 and A.2 in the Annex </w:t>
      </w:r>
      <w:r>
        <w:t>are:</w:t>
      </w:r>
    </w:p>
    <w:p w:rsidR="00A41378" w:rsidRDefault="00FC7432" w:rsidP="000056C5">
      <w:pPr>
        <w:pStyle w:val="ListParagraph"/>
        <w:numPr>
          <w:ilvl w:val="0"/>
          <w:numId w:val="13"/>
        </w:numPr>
        <w:spacing w:before="120"/>
        <w:jc w:val="both"/>
      </w:pPr>
      <w:r>
        <w:t xml:space="preserve">There were significant net increases to </w:t>
      </w:r>
      <w:r w:rsidR="00A41378">
        <w:t xml:space="preserve">investment in </w:t>
      </w:r>
      <w:r>
        <w:t>Innovation and RTD, Roads and Cultural and social infrastructure in both EU12 and EU15 countries</w:t>
      </w:r>
      <w:r w:rsidR="00A41378">
        <w:t xml:space="preserve"> and, to a lesser extent, in Energy.</w:t>
      </w:r>
    </w:p>
    <w:p w:rsidR="00A41378" w:rsidRDefault="00A41378" w:rsidP="000056C5">
      <w:pPr>
        <w:pStyle w:val="ListParagraph"/>
        <w:numPr>
          <w:ilvl w:val="0"/>
          <w:numId w:val="13"/>
        </w:numPr>
        <w:spacing w:before="120"/>
        <w:jc w:val="both"/>
      </w:pPr>
      <w:r>
        <w:t>T</w:t>
      </w:r>
      <w:r w:rsidR="00FC7432">
        <w:t xml:space="preserve">here was a </w:t>
      </w:r>
      <w:r w:rsidR="00A63395">
        <w:t xml:space="preserve">far </w:t>
      </w:r>
      <w:r w:rsidR="00FC7432">
        <w:t>more widespread tendency for funding to roads to be increased in the EU15 than the EU12</w:t>
      </w:r>
      <w:r w:rsidR="00A63395">
        <w:t>, only in Portugal in the former was there a net reduction</w:t>
      </w:r>
      <w:r w:rsidR="00FC7432">
        <w:t xml:space="preserve">, whereas </w:t>
      </w:r>
      <w:r w:rsidR="00A63395">
        <w:t xml:space="preserve">in the EU12, the increase was concentrated in Poland, Romania and the Czech Republic, with reductions being made in 6 countries, most notably in Hungary. </w:t>
      </w:r>
    </w:p>
    <w:p w:rsidR="00A41378" w:rsidRDefault="00A41378" w:rsidP="000056C5">
      <w:pPr>
        <w:pStyle w:val="ListParagraph"/>
        <w:numPr>
          <w:ilvl w:val="0"/>
          <w:numId w:val="13"/>
        </w:numPr>
        <w:spacing w:before="120"/>
        <w:jc w:val="both"/>
      </w:pPr>
      <w:r>
        <w:t>In the case of Cultural and social infrastructure, the increase in funding in</w:t>
      </w:r>
      <w:r w:rsidR="005979D2">
        <w:t xml:space="preserve"> the</w:t>
      </w:r>
      <w:r>
        <w:t xml:space="preserve"> EU15 was concentrated in Spain, Italy and, most especially, in Portugal (where </w:t>
      </w:r>
      <w:r w:rsidR="00774BD2">
        <w:t xml:space="preserve">it amounted to </w:t>
      </w:r>
      <w:r>
        <w:t>over EUR 1.1 billion</w:t>
      </w:r>
      <w:r w:rsidR="00774BD2">
        <w:t xml:space="preserve">), while in the EU12, it was concentrated in Romania (where over EUR 600 million) was added </w:t>
      </w:r>
      <w:r>
        <w:t>t</w:t>
      </w:r>
      <w:r w:rsidR="00774BD2">
        <w:t xml:space="preserve">o funding. </w:t>
      </w:r>
    </w:p>
    <w:p w:rsidR="00E53F52" w:rsidRDefault="00E53F52" w:rsidP="000056C5">
      <w:pPr>
        <w:pStyle w:val="ListParagraph"/>
        <w:numPr>
          <w:ilvl w:val="0"/>
          <w:numId w:val="13"/>
        </w:numPr>
        <w:spacing w:before="120"/>
        <w:jc w:val="both"/>
      </w:pPr>
      <w:r>
        <w:t>The net reduction in funding for the Environment was particularly large in the EU15 but was also substantial in the EU12</w:t>
      </w:r>
      <w:r w:rsidR="00936DD1">
        <w:t xml:space="preserve"> and, in both </w:t>
      </w:r>
      <w:proofErr w:type="gramStart"/>
      <w:r w:rsidR="00936DD1">
        <w:t>cases,</w:t>
      </w:r>
      <w:proofErr w:type="gramEnd"/>
      <w:r w:rsidR="00936DD1">
        <w:t xml:space="preserve"> </w:t>
      </w:r>
      <w:r>
        <w:t xml:space="preserve">it was relatively widespread across </w:t>
      </w:r>
      <w:r w:rsidR="00936DD1">
        <w:t>Member States, with Poland and the UK being the only countries where a sizable increase in funding occurred.</w:t>
      </w:r>
    </w:p>
    <w:p w:rsidR="001B53DD" w:rsidRDefault="001B53DD" w:rsidP="000056C5">
      <w:pPr>
        <w:pStyle w:val="ListParagraph"/>
        <w:numPr>
          <w:ilvl w:val="0"/>
          <w:numId w:val="13"/>
        </w:numPr>
        <w:spacing w:before="120"/>
        <w:jc w:val="both"/>
      </w:pPr>
      <w:r>
        <w:t>In the case of</w:t>
      </w:r>
      <w:r w:rsidR="000F5584">
        <w:t xml:space="preserve"> investment in rail, the reduction in funding was widespread across EU12 countries and was most marked in Bulgaria and Romania; in the EU15, the picture is more mixed with significant increases in both Spain and Italy (together amounting to over EUR 900 million) being more than offset by a substantial reduction in Portugal (of just over EUR 1 billion).</w:t>
      </w:r>
    </w:p>
    <w:p w:rsidR="00DF6490" w:rsidRDefault="00DF6490" w:rsidP="000056C5">
      <w:pPr>
        <w:pStyle w:val="Heading2"/>
        <w:jc w:val="both"/>
      </w:pPr>
      <w:r>
        <w:t>Questions to Member States</w:t>
      </w:r>
    </w:p>
    <w:p w:rsidR="00DF6490" w:rsidRPr="00DF6490" w:rsidRDefault="00DF6490" w:rsidP="000056C5">
      <w:pPr>
        <w:jc w:val="both"/>
      </w:pPr>
      <w:r>
        <w:t>The figures set above raise a number of questions about the reasons for the shifts in funding which occurred over the period and</w:t>
      </w:r>
      <w:r w:rsidR="005979D2">
        <w:t xml:space="preserve"> </w:t>
      </w:r>
      <w:r>
        <w:t xml:space="preserve">the extent to which they were both a consequence of the crisis – in terms of the shortage of finances for co-funding expenditure that it gave rise to – and a response to it, in the sense that </w:t>
      </w:r>
      <w:r w:rsidR="009613C5">
        <w:t xml:space="preserve">they were motivated by a concern to </w:t>
      </w:r>
      <w:r>
        <w:t xml:space="preserve">stimulate </w:t>
      </w:r>
      <w:r w:rsidR="00A814D7">
        <w:t>growth and job creation. The general questions which arise are, therefore:</w:t>
      </w:r>
    </w:p>
    <w:p w:rsidR="00DF6490" w:rsidRDefault="00A814D7" w:rsidP="000056C5">
      <w:pPr>
        <w:pStyle w:val="ListParagraph"/>
        <w:numPr>
          <w:ilvl w:val="0"/>
          <w:numId w:val="14"/>
        </w:numPr>
        <w:jc w:val="both"/>
      </w:pPr>
      <w:r>
        <w:t>How far were the changes to the allocation of funding made over the 2007-2014 period a response to the crisis and an attempt to shift resources into areas which most likely to stimulate growth and to create more jobs?</w:t>
      </w:r>
    </w:p>
    <w:p w:rsidR="00A814D7" w:rsidRDefault="00157D5D" w:rsidP="000056C5">
      <w:pPr>
        <w:pStyle w:val="ListParagraph"/>
        <w:numPr>
          <w:ilvl w:val="0"/>
          <w:numId w:val="14"/>
        </w:numPr>
        <w:jc w:val="both"/>
      </w:pPr>
      <w:r>
        <w:t xml:space="preserve">How far, on the other hand, </w:t>
      </w:r>
      <w:r w:rsidR="00A814D7">
        <w:t xml:space="preserve">were they a </w:t>
      </w:r>
      <w:r w:rsidR="006E65E1">
        <w:t>result of the crisis reducing the ability of regional and local authorities as well as businesses to find the co-financing required to undertaken investment projects?</w:t>
      </w:r>
    </w:p>
    <w:p w:rsidR="00157D5D" w:rsidRDefault="00157D5D" w:rsidP="000056C5">
      <w:pPr>
        <w:pStyle w:val="ListParagraph"/>
        <w:numPr>
          <w:ilvl w:val="0"/>
          <w:numId w:val="14"/>
        </w:numPr>
        <w:spacing w:after="120"/>
        <w:ind w:left="714" w:hanging="357"/>
        <w:jc w:val="both"/>
      </w:pPr>
      <w:r>
        <w:t>Linked to this, how far were the shifts a response to delays in implementing the projects planned and a consequent need to accelerate expenditure in order to avoid possible decommitments of funding?</w:t>
      </w:r>
    </w:p>
    <w:p w:rsidR="00157D5D" w:rsidRDefault="00157D5D" w:rsidP="000056C5">
      <w:pPr>
        <w:jc w:val="both"/>
      </w:pPr>
      <w:r>
        <w:t>More specific questions are:</w:t>
      </w:r>
    </w:p>
    <w:p w:rsidR="00157D5D" w:rsidRDefault="00157D5D" w:rsidP="000056C5">
      <w:pPr>
        <w:pStyle w:val="ListParagraph"/>
        <w:numPr>
          <w:ilvl w:val="0"/>
          <w:numId w:val="15"/>
        </w:numPr>
        <w:jc w:val="both"/>
      </w:pPr>
      <w:r>
        <w:t>Why did particular Member States, such as Estonia, Latvia and, to a lesser extent</w:t>
      </w:r>
      <w:r w:rsidR="003664AA">
        <w:t>,</w:t>
      </w:r>
      <w:r>
        <w:t xml:space="preserve"> Slovenia</w:t>
      </w:r>
      <w:r w:rsidR="003664AA">
        <w:t xml:space="preserve"> which were hit particularly hard by the crisis make relatively few changes to the allocation of funding while other Member States, such as Lithuania, Cyprus, Portugal or Greece, which were hit similarly hard make relatively large changes? </w:t>
      </w:r>
    </w:p>
    <w:p w:rsidR="003664AA" w:rsidRDefault="009E1279" w:rsidP="000056C5">
      <w:pPr>
        <w:pStyle w:val="ListParagraph"/>
        <w:numPr>
          <w:ilvl w:val="0"/>
          <w:numId w:val="15"/>
        </w:numPr>
        <w:jc w:val="both"/>
      </w:pPr>
      <w:r>
        <w:t>To what extent were the relatively large increases in funding which were made in most countries to Innovation and RTD, Other investment in enterprises, Energy, Roads and Cultural and social infrastructure a response to the crisis as opposed to being due to other factors?</w:t>
      </w:r>
    </w:p>
    <w:p w:rsidR="009E1279" w:rsidRDefault="009E1279" w:rsidP="000056C5">
      <w:pPr>
        <w:pStyle w:val="ListParagraph"/>
        <w:numPr>
          <w:ilvl w:val="0"/>
          <w:numId w:val="15"/>
        </w:numPr>
        <w:jc w:val="both"/>
      </w:pPr>
      <w:r>
        <w:t xml:space="preserve">How far were the relatively large reductions in funding for Environmental infrastructure, Rail and Other transport a result of the crisis rather than, for example, difficulties in carrying out large infrastructure projects of these kinds? To what extent do the reductions reflect a shift of priorities towards other kinds of expenditure? </w:t>
      </w:r>
    </w:p>
    <w:p w:rsidR="009E1279" w:rsidRDefault="00734C9B" w:rsidP="000056C5">
      <w:pPr>
        <w:pStyle w:val="ListParagraph"/>
        <w:numPr>
          <w:ilvl w:val="0"/>
          <w:numId w:val="15"/>
        </w:numPr>
        <w:jc w:val="both"/>
      </w:pPr>
      <w:r>
        <w:t xml:space="preserve">What were the main reasons for the reduction in funding for ICT, which was also relatively widespread across countries? How far was </w:t>
      </w:r>
      <w:proofErr w:type="gramStart"/>
      <w:r w:rsidR="00534F2A">
        <w:t>this</w:t>
      </w:r>
      <w:r w:rsidR="00D75FDE">
        <w:t xml:space="preserve"> </w:t>
      </w:r>
      <w:r w:rsidR="00534F2A">
        <w:t>a</w:t>
      </w:r>
      <w:proofErr w:type="gramEnd"/>
      <w:r w:rsidR="00534F2A">
        <w:t xml:space="preserve"> </w:t>
      </w:r>
      <w:r>
        <w:t>reflection of a reduction in demand for finance to carry out investment in ICT?</w:t>
      </w:r>
    </w:p>
    <w:p w:rsidR="00734C9B" w:rsidRDefault="00734C9B" w:rsidP="000D7436">
      <w:pPr>
        <w:pStyle w:val="ListParagraph"/>
        <w:numPr>
          <w:ilvl w:val="0"/>
          <w:numId w:val="0"/>
        </w:numPr>
        <w:ind w:left="720"/>
        <w:jc w:val="both"/>
      </w:pPr>
    </w:p>
    <w:p w:rsidR="004431FD" w:rsidRPr="00872268" w:rsidRDefault="000650FD" w:rsidP="000056C5">
      <w:pPr>
        <w:pStyle w:val="Heading1"/>
        <w:jc w:val="both"/>
      </w:pPr>
      <w:bookmarkStart w:id="4" w:name="_Toc415238997"/>
      <w:r w:rsidRPr="00872268">
        <w:t xml:space="preserve">Increases in EU </w:t>
      </w:r>
      <w:r w:rsidR="004431FD" w:rsidRPr="00872268">
        <w:t>co-financing rates</w:t>
      </w:r>
      <w:bookmarkEnd w:id="4"/>
    </w:p>
    <w:p w:rsidR="007D32DA" w:rsidRDefault="000650FD" w:rsidP="000056C5">
      <w:pPr>
        <w:jc w:val="both"/>
      </w:pPr>
      <w:r w:rsidRPr="00D75FDE">
        <w:t xml:space="preserve">The scale of the crisis in a number of Member States, especially in the EU15 and in the south in particular, </w:t>
      </w:r>
      <w:r w:rsidR="00D75FDE">
        <w:t xml:space="preserve">led </w:t>
      </w:r>
      <w:r w:rsidRPr="00D75FDE">
        <w:t>the EU to increase co-financing rates for these countries</w:t>
      </w:r>
      <w:r w:rsidR="003B256E" w:rsidRPr="00D75FDE">
        <w:t>. The aim was to reduce national co-financing ra</w:t>
      </w:r>
      <w:r w:rsidR="008E1993">
        <w:t>tes for the countries concerned</w:t>
      </w:r>
      <w:r w:rsidR="003B256E" w:rsidRPr="00D75FDE">
        <w:t xml:space="preserve"> and</w:t>
      </w:r>
      <w:r w:rsidR="008E1993">
        <w:t>,</w:t>
      </w:r>
      <w:r w:rsidR="003B256E" w:rsidRPr="00D75FDE">
        <w:t xml:space="preserve"> accordingly</w:t>
      </w:r>
      <w:r w:rsidR="008E1993">
        <w:t>,</w:t>
      </w:r>
      <w:r w:rsidR="003B256E" w:rsidRPr="00D75FDE">
        <w:t xml:space="preserve"> the amount of </w:t>
      </w:r>
      <w:r w:rsidR="008E1993">
        <w:t xml:space="preserve">funding </w:t>
      </w:r>
      <w:r w:rsidR="003B256E" w:rsidRPr="00D75FDE">
        <w:t>that they needed to find</w:t>
      </w:r>
      <w:r w:rsidR="00733FEC">
        <w:t xml:space="preserve">. </w:t>
      </w:r>
      <w:r w:rsidR="002679D5">
        <w:t>This</w:t>
      </w:r>
      <w:r w:rsidR="00733FEC">
        <w:t xml:space="preserve"> was</w:t>
      </w:r>
      <w:r w:rsidRPr="00D75FDE">
        <w:t xml:space="preserve"> to take pressure of</w:t>
      </w:r>
      <w:r w:rsidR="00D57C7E" w:rsidRPr="00D75FDE">
        <w:t>f</w:t>
      </w:r>
      <w:r w:rsidRPr="00D75FDE">
        <w:t xml:space="preserve"> </w:t>
      </w:r>
      <w:r w:rsidR="007D32DA" w:rsidRPr="00D75FDE">
        <w:t xml:space="preserve">national </w:t>
      </w:r>
      <w:r w:rsidRPr="00D75FDE">
        <w:t>public</w:t>
      </w:r>
      <w:r w:rsidR="003B256E" w:rsidRPr="00D75FDE">
        <w:t xml:space="preserve"> finances</w:t>
      </w:r>
      <w:r w:rsidR="008E1993">
        <w:t xml:space="preserve"> – and to </w:t>
      </w:r>
      <w:r w:rsidR="007D32DA" w:rsidRPr="00D75FDE">
        <w:t>improve the rate of absorption of EU funding</w:t>
      </w:r>
      <w:r w:rsidR="003B256E" w:rsidRPr="00D75FDE">
        <w:t>.</w:t>
      </w:r>
      <w:r w:rsidRPr="00D75FDE">
        <w:t xml:space="preserve"> </w:t>
      </w:r>
      <w:r w:rsidR="003B256E" w:rsidRPr="00D75FDE">
        <w:t xml:space="preserve"> </w:t>
      </w:r>
      <w:r w:rsidR="00733FEC">
        <w:t>T</w:t>
      </w:r>
      <w:r w:rsidR="003B256E" w:rsidRPr="00D75FDE">
        <w:t xml:space="preserve">he overall amount of </w:t>
      </w:r>
      <w:r w:rsidR="008E1993">
        <w:t xml:space="preserve">funding </w:t>
      </w:r>
      <w:r w:rsidR="003B256E" w:rsidRPr="00D75FDE">
        <w:t>going to investment in Cohesion policy programmes was reduced in the countries concerned</w:t>
      </w:r>
      <w:r w:rsidR="00150E8C" w:rsidRPr="00D75FDE">
        <w:t xml:space="preserve"> as a</w:t>
      </w:r>
      <w:r w:rsidR="008E1993">
        <w:t xml:space="preserve">n inevitable </w:t>
      </w:r>
      <w:r w:rsidR="00150E8C" w:rsidRPr="00D75FDE">
        <w:t>consequence</w:t>
      </w:r>
      <w:r w:rsidR="007574E3">
        <w:t xml:space="preserve">. </w:t>
      </w:r>
      <w:r w:rsidR="00733FEC">
        <w:t>T</w:t>
      </w:r>
      <w:r w:rsidR="007574E3">
        <w:t>he total reduction in funding across the EU as whole amounted to some EUR 25 billion</w:t>
      </w:r>
      <w:r w:rsidR="008E1993">
        <w:t xml:space="preserve">. Since, however, given their financial situation, it may have proved impossible for these Member States to find the necessary co-financing had rates not been changed, this reduction </w:t>
      </w:r>
      <w:r w:rsidR="00575FF2">
        <w:t>is arguably more apparent than real.</w:t>
      </w:r>
      <w:r w:rsidR="003B256E" w:rsidRPr="00D75FDE">
        <w:t xml:space="preserve"> </w:t>
      </w:r>
    </w:p>
    <w:p w:rsidR="008A589B" w:rsidRPr="00D75FDE" w:rsidRDefault="008A589B" w:rsidP="000056C5">
      <w:pPr>
        <w:jc w:val="both"/>
      </w:pPr>
      <w:r>
        <w:t xml:space="preserve">In total, there were 13 Member States in which EU co-financing rates were increased over the programming period, though the extent of the increase varied greatly between countries. It was largest in Italy, from 48% to 64%, and it was also substantial in Portugal (63% to 75%), Belgium (from 41% to 51%) and Spain (from 68% to 76%) </w:t>
      </w:r>
      <w:proofErr w:type="gramStart"/>
      <w:r>
        <w:t>(Figure 2).</w:t>
      </w:r>
      <w:proofErr w:type="gramEnd"/>
      <w:r>
        <w:t xml:space="preserve"> The rise was significant too in Greece and Ireland (by 6 percentage points in both cases) but smaller in the other countries (between 1 percentage point in Sweden and Latvia and 4 percentage points in Romania).</w:t>
      </w:r>
    </w:p>
    <w:p w:rsidR="008A589B" w:rsidRPr="008A589B" w:rsidRDefault="008A589B" w:rsidP="000056C5">
      <w:pPr>
        <w:pStyle w:val="Figuretitle"/>
        <w:jc w:val="both"/>
      </w:pPr>
      <w:r>
        <w:t>Figure 2</w:t>
      </w:r>
      <w:r w:rsidRPr="008A589B">
        <w:t xml:space="preserve"> Average EU co-financing rates for Cohesion policy programmes in 2007 and 2014</w:t>
      </w:r>
    </w:p>
    <w:p w:rsidR="008A589B" w:rsidRPr="00872268" w:rsidRDefault="008A589B" w:rsidP="000056C5">
      <w:pPr>
        <w:jc w:val="both"/>
        <w:rPr>
          <w:rFonts w:asciiTheme="majorHAnsi" w:hAnsiTheme="majorHAnsi"/>
        </w:rPr>
      </w:pPr>
      <w:r w:rsidRPr="00872268">
        <w:rPr>
          <w:rFonts w:asciiTheme="majorHAnsi" w:hAnsiTheme="majorHAnsi"/>
          <w:noProof/>
          <w:lang w:eastAsia="en-GB"/>
        </w:rPr>
        <w:drawing>
          <wp:inline distT="0" distB="0" distL="0" distR="0" wp14:anchorId="515C2392" wp14:editId="56CD84FC">
            <wp:extent cx="5304731" cy="1986247"/>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A589B" w:rsidRDefault="008A79B2" w:rsidP="000056C5">
      <w:pPr>
        <w:jc w:val="both"/>
      </w:pPr>
      <w:r>
        <w:t xml:space="preserve">To </w:t>
      </w:r>
      <w:r w:rsidR="008A589B">
        <w:t xml:space="preserve">some degree, the increases in </w:t>
      </w:r>
      <w:r>
        <w:t xml:space="preserve">EU co-financing </w:t>
      </w:r>
      <w:r w:rsidR="008A589B">
        <w:t>rates which occurred reflect not only the severity of the financial crisis they faced and the consequent difficulties of finding co-funding but also the prevailing co-financing rates. In the EU12 Member States</w:t>
      </w:r>
      <w:r w:rsidR="002679D5">
        <w:t xml:space="preserve"> </w:t>
      </w:r>
      <w:r w:rsidR="00D51A95">
        <w:t xml:space="preserve">EU co-financing </w:t>
      </w:r>
      <w:r w:rsidR="008A589B">
        <w:t xml:space="preserve">rates were already </w:t>
      </w:r>
      <w:r w:rsidR="00D51A95">
        <w:t xml:space="preserve">set at relatively high levels, at 85% or just below, before the crisis hit. Accordingly, the scope for increasing rates further was limited in these countries, even though they might have faced equally </w:t>
      </w:r>
      <w:r w:rsidR="00B96BAE">
        <w:t>serious financing problems as the Member States in which rates were raised. This was the case most especially in Cyprus, Hungary and Slovenia, in all of which co-financing rates were 85% throughout the period</w:t>
      </w:r>
      <w:r w:rsidR="007574E3">
        <w:rPr>
          <w:rStyle w:val="FootnoteReference"/>
        </w:rPr>
        <w:footnoteReference w:id="8"/>
      </w:r>
      <w:r w:rsidR="00B96BAE">
        <w:t xml:space="preserve">. In a number of countries where rates were below 85% before the crisis – Latvia, </w:t>
      </w:r>
      <w:r w:rsidR="007574E3">
        <w:t>Poland, Greece, Romania and Lithuania – they were moved to 85% or just below as a response to financial difficulties.</w:t>
      </w:r>
    </w:p>
    <w:p w:rsidR="001A3A98" w:rsidRPr="00D75FDE" w:rsidRDefault="00F82B26" w:rsidP="000056C5">
      <w:pPr>
        <w:jc w:val="both"/>
      </w:pPr>
      <w:r>
        <w:t xml:space="preserve">As noted above, the </w:t>
      </w:r>
      <w:r w:rsidR="001A3A98" w:rsidRPr="00D75FDE">
        <w:t xml:space="preserve">increase in EU co-financing rates, and the consequent reduction in national co-financing, resulted in an overall decline in the resources going into Cohesion policy programmes across the EU of some EUR 25 billion, or around 7% of the total which was initially envisaged (Table </w:t>
      </w:r>
      <w:r w:rsidR="00FC65A5">
        <w:t>3</w:t>
      </w:r>
      <w:r w:rsidR="001A3A98" w:rsidRPr="00D75FDE">
        <w:t xml:space="preserve">). </w:t>
      </w:r>
      <w:r w:rsidR="00AD4C54">
        <w:t xml:space="preserve">From </w:t>
      </w:r>
      <w:r w:rsidR="00FC65A5">
        <w:t xml:space="preserve">a </w:t>
      </w:r>
      <w:r w:rsidR="00AD4C54">
        <w:t xml:space="preserve">different perspective, this amount gives an indication of the extent to which public financing problems across the EU were eased as a result of the EU decision to </w:t>
      </w:r>
      <w:r w:rsidR="00FC65A5">
        <w:t xml:space="preserve">raise its </w:t>
      </w:r>
      <w:r w:rsidR="00AD4C54">
        <w:t>co-finan</w:t>
      </w:r>
      <w:r w:rsidR="00FC65A5">
        <w:t>cing rate</w:t>
      </w:r>
      <w:r w:rsidR="00AD4C54">
        <w:t xml:space="preserve">. </w:t>
      </w:r>
    </w:p>
    <w:p w:rsidR="007263A8" w:rsidRPr="00D75FDE" w:rsidRDefault="007F2DF8" w:rsidP="000056C5">
      <w:pPr>
        <w:spacing w:before="120"/>
        <w:jc w:val="both"/>
      </w:pPr>
      <w:r w:rsidRPr="00D75FDE">
        <w:t>A large part of the reduction occurred in Italy, where the increase in the EU co-financing rate was largest, where total funding fell by EUR 11</w:t>
      </w:r>
      <w:r w:rsidR="00466A2B" w:rsidRPr="00D75FDE">
        <w:t>.</w:t>
      </w:r>
      <w:r w:rsidRPr="00D75FDE">
        <w:t>4 billion</w:t>
      </w:r>
      <w:r w:rsidR="00AD4C54">
        <w:t>, or 26%, as compared with what was initially planned. This</w:t>
      </w:r>
      <w:r w:rsidRPr="00D75FDE">
        <w:t xml:space="preserve"> alone </w:t>
      </w:r>
      <w:r w:rsidR="00AD4C54">
        <w:t>is</w:t>
      </w:r>
      <w:r w:rsidRPr="00D75FDE">
        <w:t xml:space="preserve"> responsible for almost half of the total decline. There were substantial reductions too in Portugal (of over EUR 4 billion or 17%) and Spain (of almost the same amount in money terms but less in proportionate terms - 10%), where the reduction would have been even larger but for an increase in private funding. The reductions were </w:t>
      </w:r>
      <w:r w:rsidR="00AD4C54">
        <w:t xml:space="preserve">also </w:t>
      </w:r>
      <w:r w:rsidRPr="00D75FDE">
        <w:t>substantial in proportionate terms in Belgium (20%) and Ireland (12%)</w:t>
      </w:r>
      <w:r w:rsidR="00AD4C54">
        <w:t>,</w:t>
      </w:r>
      <w:r w:rsidRPr="00D75FDE">
        <w:t xml:space="preserve"> even though the overall amount of funding </w:t>
      </w:r>
      <w:r w:rsidR="00AD4C54">
        <w:t>involved was smaller.</w:t>
      </w:r>
      <w:r w:rsidR="007263A8" w:rsidRPr="00D75FDE">
        <w:t xml:space="preserve"> </w:t>
      </w:r>
    </w:p>
    <w:p w:rsidR="007F0C59" w:rsidRDefault="00FC65A5" w:rsidP="000056C5">
      <w:pPr>
        <w:pStyle w:val="Figuretitle"/>
        <w:jc w:val="both"/>
      </w:pPr>
      <w:r>
        <w:t>Table 3</w:t>
      </w:r>
      <w:r w:rsidR="007F0C59">
        <w:t xml:space="preserve"> Changes in overall funding for Cohesion policy programmes, 2007-2014</w:t>
      </w:r>
    </w:p>
    <w:tbl>
      <w:tblPr>
        <w:tblW w:w="6560" w:type="dxa"/>
        <w:tblInd w:w="93" w:type="dxa"/>
        <w:tblLook w:val="04A0" w:firstRow="1" w:lastRow="0" w:firstColumn="1" w:lastColumn="0" w:noHBand="0" w:noVBand="1"/>
      </w:tblPr>
      <w:tblGrid>
        <w:gridCol w:w="760"/>
        <w:gridCol w:w="820"/>
        <w:gridCol w:w="1340"/>
        <w:gridCol w:w="1320"/>
        <w:gridCol w:w="980"/>
        <w:gridCol w:w="1340"/>
      </w:tblGrid>
      <w:tr w:rsidR="007F0C59" w:rsidRPr="002923BF" w:rsidTr="00A84049">
        <w:trPr>
          <w:trHeight w:val="276"/>
        </w:trPr>
        <w:tc>
          <w:tcPr>
            <w:tcW w:w="760" w:type="dxa"/>
            <w:tcBorders>
              <w:top w:val="single" w:sz="4" w:space="0" w:color="auto"/>
              <w:left w:val="single" w:sz="4" w:space="0" w:color="auto"/>
              <w:bottom w:val="nil"/>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 </w:t>
            </w:r>
          </w:p>
        </w:tc>
        <w:tc>
          <w:tcPr>
            <w:tcW w:w="820" w:type="dxa"/>
            <w:tcBorders>
              <w:top w:val="single" w:sz="4" w:space="0" w:color="auto"/>
              <w:left w:val="nil"/>
              <w:bottom w:val="nil"/>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EU</w:t>
            </w:r>
          </w:p>
        </w:tc>
        <w:tc>
          <w:tcPr>
            <w:tcW w:w="1340" w:type="dxa"/>
            <w:tcBorders>
              <w:top w:val="single" w:sz="4" w:space="0" w:color="auto"/>
              <w:left w:val="nil"/>
              <w:bottom w:val="nil"/>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Nat public</w:t>
            </w:r>
          </w:p>
        </w:tc>
        <w:tc>
          <w:tcPr>
            <w:tcW w:w="1320" w:type="dxa"/>
            <w:tcBorders>
              <w:top w:val="single" w:sz="4" w:space="0" w:color="auto"/>
              <w:left w:val="nil"/>
              <w:bottom w:val="nil"/>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Nat private</w:t>
            </w:r>
          </w:p>
        </w:tc>
        <w:tc>
          <w:tcPr>
            <w:tcW w:w="980" w:type="dxa"/>
            <w:tcBorders>
              <w:top w:val="single" w:sz="4" w:space="0" w:color="auto"/>
              <w:left w:val="nil"/>
              <w:bottom w:val="nil"/>
              <w:right w:val="single" w:sz="4" w:space="0" w:color="auto"/>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Total</w:t>
            </w:r>
          </w:p>
        </w:tc>
        <w:tc>
          <w:tcPr>
            <w:tcW w:w="1340" w:type="dxa"/>
            <w:tcBorders>
              <w:top w:val="single" w:sz="4" w:space="0" w:color="auto"/>
              <w:left w:val="nil"/>
              <w:bottom w:val="nil"/>
              <w:right w:val="single" w:sz="4" w:space="0" w:color="auto"/>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Total</w:t>
            </w:r>
          </w:p>
        </w:tc>
      </w:tr>
      <w:tr w:rsidR="007F0C59" w:rsidRPr="002923BF" w:rsidTr="00A84049">
        <w:trPr>
          <w:trHeight w:val="288"/>
        </w:trPr>
        <w:tc>
          <w:tcPr>
            <w:tcW w:w="760" w:type="dxa"/>
            <w:tcBorders>
              <w:top w:val="nil"/>
              <w:left w:val="single" w:sz="4" w:space="0" w:color="auto"/>
              <w:bottom w:val="nil"/>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 </w:t>
            </w:r>
          </w:p>
        </w:tc>
        <w:tc>
          <w:tcPr>
            <w:tcW w:w="4460" w:type="dxa"/>
            <w:gridSpan w:val="4"/>
            <w:tcBorders>
              <w:top w:val="nil"/>
              <w:left w:val="nil"/>
              <w:bottom w:val="nil"/>
              <w:right w:val="single" w:sz="4" w:space="0" w:color="000000"/>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i/>
                <w:iCs/>
                <w:color w:val="000000"/>
                <w:sz w:val="20"/>
                <w:szCs w:val="20"/>
                <w:lang w:eastAsia="en-GB"/>
              </w:rPr>
            </w:pPr>
            <w:r w:rsidRPr="002923BF">
              <w:rPr>
                <w:rFonts w:ascii="Calibri" w:eastAsia="Times New Roman" w:hAnsi="Calibri" w:cs="Times New Roman"/>
                <w:i/>
                <w:iCs/>
                <w:color w:val="000000"/>
                <w:sz w:val="20"/>
                <w:szCs w:val="20"/>
                <w:lang w:eastAsia="en-GB"/>
              </w:rPr>
              <w:t>EUR million</w:t>
            </w:r>
          </w:p>
        </w:tc>
        <w:tc>
          <w:tcPr>
            <w:tcW w:w="1340" w:type="dxa"/>
            <w:tcBorders>
              <w:top w:val="nil"/>
              <w:left w:val="nil"/>
              <w:bottom w:val="nil"/>
              <w:right w:val="single" w:sz="4" w:space="0" w:color="auto"/>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w:t>
            </w:r>
          </w:p>
        </w:tc>
      </w:tr>
      <w:tr w:rsidR="007F0C59" w:rsidRPr="002923BF" w:rsidTr="002B536B">
        <w:trPr>
          <w:trHeight w:hRule="exact" w:val="255"/>
        </w:trPr>
        <w:tc>
          <w:tcPr>
            <w:tcW w:w="760" w:type="dxa"/>
            <w:tcBorders>
              <w:top w:val="single" w:sz="4" w:space="0" w:color="auto"/>
              <w:left w:val="single" w:sz="4" w:space="0" w:color="auto"/>
              <w:bottom w:val="nil"/>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PL</w:t>
            </w:r>
          </w:p>
        </w:tc>
        <w:tc>
          <w:tcPr>
            <w:tcW w:w="820" w:type="dxa"/>
            <w:tcBorders>
              <w:top w:val="single" w:sz="4" w:space="0" w:color="auto"/>
              <w:left w:val="nil"/>
              <w:bottom w:val="nil"/>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1,663</w:t>
            </w:r>
          </w:p>
        </w:tc>
        <w:tc>
          <w:tcPr>
            <w:tcW w:w="1340" w:type="dxa"/>
            <w:tcBorders>
              <w:top w:val="single" w:sz="4" w:space="0" w:color="auto"/>
              <w:left w:val="nil"/>
              <w:bottom w:val="nil"/>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-2,449</w:t>
            </w:r>
          </w:p>
        </w:tc>
        <w:tc>
          <w:tcPr>
            <w:tcW w:w="1320" w:type="dxa"/>
            <w:tcBorders>
              <w:top w:val="single" w:sz="4" w:space="0" w:color="auto"/>
              <w:left w:val="nil"/>
              <w:bottom w:val="nil"/>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476</w:t>
            </w:r>
          </w:p>
        </w:tc>
        <w:tc>
          <w:tcPr>
            <w:tcW w:w="980" w:type="dxa"/>
            <w:tcBorders>
              <w:top w:val="single" w:sz="4" w:space="0" w:color="auto"/>
              <w:left w:val="nil"/>
              <w:bottom w:val="nil"/>
              <w:right w:val="single" w:sz="4" w:space="0" w:color="auto"/>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-310</w:t>
            </w:r>
          </w:p>
        </w:tc>
        <w:tc>
          <w:tcPr>
            <w:tcW w:w="1340" w:type="dxa"/>
            <w:tcBorders>
              <w:top w:val="single" w:sz="4" w:space="0" w:color="auto"/>
              <w:left w:val="nil"/>
              <w:bottom w:val="nil"/>
              <w:right w:val="single" w:sz="4" w:space="0" w:color="auto"/>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-0.4</w:t>
            </w:r>
          </w:p>
        </w:tc>
      </w:tr>
      <w:tr w:rsidR="007F0C59" w:rsidRPr="002923BF" w:rsidTr="002B536B">
        <w:trPr>
          <w:trHeight w:hRule="exact" w:val="255"/>
        </w:trPr>
        <w:tc>
          <w:tcPr>
            <w:tcW w:w="760" w:type="dxa"/>
            <w:tcBorders>
              <w:top w:val="nil"/>
              <w:left w:val="single" w:sz="4" w:space="0" w:color="auto"/>
              <w:bottom w:val="nil"/>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SE</w:t>
            </w:r>
          </w:p>
        </w:tc>
        <w:tc>
          <w:tcPr>
            <w:tcW w:w="820" w:type="dxa"/>
            <w:tcBorders>
              <w:top w:val="nil"/>
              <w:left w:val="nil"/>
              <w:bottom w:val="nil"/>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0</w:t>
            </w:r>
          </w:p>
        </w:tc>
        <w:tc>
          <w:tcPr>
            <w:tcW w:w="1340" w:type="dxa"/>
            <w:tcBorders>
              <w:top w:val="nil"/>
              <w:left w:val="nil"/>
              <w:bottom w:val="nil"/>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-39</w:t>
            </w:r>
          </w:p>
        </w:tc>
        <w:tc>
          <w:tcPr>
            <w:tcW w:w="1320" w:type="dxa"/>
            <w:tcBorders>
              <w:top w:val="nil"/>
              <w:left w:val="nil"/>
              <w:bottom w:val="nil"/>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0</w:t>
            </w:r>
          </w:p>
        </w:tc>
        <w:tc>
          <w:tcPr>
            <w:tcW w:w="980" w:type="dxa"/>
            <w:tcBorders>
              <w:top w:val="nil"/>
              <w:left w:val="nil"/>
              <w:bottom w:val="nil"/>
              <w:right w:val="single" w:sz="4" w:space="0" w:color="auto"/>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-39</w:t>
            </w:r>
          </w:p>
        </w:tc>
        <w:tc>
          <w:tcPr>
            <w:tcW w:w="1340" w:type="dxa"/>
            <w:tcBorders>
              <w:top w:val="nil"/>
              <w:left w:val="nil"/>
              <w:bottom w:val="nil"/>
              <w:right w:val="single" w:sz="4" w:space="0" w:color="auto"/>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-1.9</w:t>
            </w:r>
          </w:p>
        </w:tc>
      </w:tr>
      <w:tr w:rsidR="007F0C59" w:rsidRPr="002923BF" w:rsidTr="002B536B">
        <w:trPr>
          <w:trHeight w:hRule="exact" w:val="255"/>
        </w:trPr>
        <w:tc>
          <w:tcPr>
            <w:tcW w:w="760" w:type="dxa"/>
            <w:tcBorders>
              <w:top w:val="nil"/>
              <w:left w:val="single" w:sz="4" w:space="0" w:color="auto"/>
              <w:bottom w:val="nil"/>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LV</w:t>
            </w:r>
          </w:p>
        </w:tc>
        <w:tc>
          <w:tcPr>
            <w:tcW w:w="820" w:type="dxa"/>
            <w:tcBorders>
              <w:top w:val="nil"/>
              <w:left w:val="nil"/>
              <w:bottom w:val="nil"/>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-32</w:t>
            </w:r>
          </w:p>
        </w:tc>
        <w:tc>
          <w:tcPr>
            <w:tcW w:w="1340" w:type="dxa"/>
            <w:tcBorders>
              <w:top w:val="nil"/>
              <w:left w:val="nil"/>
              <w:bottom w:val="nil"/>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-334</w:t>
            </w:r>
          </w:p>
        </w:tc>
        <w:tc>
          <w:tcPr>
            <w:tcW w:w="1320" w:type="dxa"/>
            <w:tcBorders>
              <w:top w:val="nil"/>
              <w:left w:val="nil"/>
              <w:bottom w:val="nil"/>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234</w:t>
            </w:r>
          </w:p>
        </w:tc>
        <w:tc>
          <w:tcPr>
            <w:tcW w:w="980" w:type="dxa"/>
            <w:tcBorders>
              <w:top w:val="nil"/>
              <w:left w:val="nil"/>
              <w:bottom w:val="nil"/>
              <w:right w:val="single" w:sz="4" w:space="0" w:color="auto"/>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-132</w:t>
            </w:r>
          </w:p>
        </w:tc>
        <w:tc>
          <w:tcPr>
            <w:tcW w:w="1340" w:type="dxa"/>
            <w:tcBorders>
              <w:top w:val="nil"/>
              <w:left w:val="nil"/>
              <w:bottom w:val="nil"/>
              <w:right w:val="single" w:sz="4" w:space="0" w:color="auto"/>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-2.6</w:t>
            </w:r>
          </w:p>
        </w:tc>
      </w:tr>
      <w:tr w:rsidR="007F0C59" w:rsidRPr="002923BF" w:rsidTr="002B536B">
        <w:trPr>
          <w:trHeight w:hRule="exact" w:val="255"/>
        </w:trPr>
        <w:tc>
          <w:tcPr>
            <w:tcW w:w="760" w:type="dxa"/>
            <w:tcBorders>
              <w:top w:val="nil"/>
              <w:left w:val="single" w:sz="4" w:space="0" w:color="auto"/>
              <w:bottom w:val="nil"/>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LT</w:t>
            </w:r>
          </w:p>
        </w:tc>
        <w:tc>
          <w:tcPr>
            <w:tcW w:w="820" w:type="dxa"/>
            <w:tcBorders>
              <w:top w:val="nil"/>
              <w:left w:val="nil"/>
              <w:bottom w:val="nil"/>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0</w:t>
            </w:r>
          </w:p>
        </w:tc>
        <w:tc>
          <w:tcPr>
            <w:tcW w:w="1340" w:type="dxa"/>
            <w:tcBorders>
              <w:top w:val="nil"/>
              <w:left w:val="nil"/>
              <w:bottom w:val="nil"/>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-272</w:t>
            </w:r>
          </w:p>
        </w:tc>
        <w:tc>
          <w:tcPr>
            <w:tcW w:w="1320" w:type="dxa"/>
            <w:tcBorders>
              <w:top w:val="nil"/>
              <w:left w:val="nil"/>
              <w:bottom w:val="nil"/>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-35</w:t>
            </w:r>
          </w:p>
        </w:tc>
        <w:tc>
          <w:tcPr>
            <w:tcW w:w="980" w:type="dxa"/>
            <w:tcBorders>
              <w:top w:val="nil"/>
              <w:left w:val="nil"/>
              <w:bottom w:val="nil"/>
              <w:right w:val="single" w:sz="4" w:space="0" w:color="auto"/>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-307</w:t>
            </w:r>
          </w:p>
        </w:tc>
        <w:tc>
          <w:tcPr>
            <w:tcW w:w="1340" w:type="dxa"/>
            <w:tcBorders>
              <w:top w:val="nil"/>
              <w:left w:val="nil"/>
              <w:bottom w:val="nil"/>
              <w:right w:val="single" w:sz="4" w:space="0" w:color="auto"/>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-4.3</w:t>
            </w:r>
          </w:p>
        </w:tc>
      </w:tr>
      <w:tr w:rsidR="007F0C59" w:rsidRPr="002923BF" w:rsidTr="002B536B">
        <w:trPr>
          <w:trHeight w:hRule="exact" w:val="255"/>
        </w:trPr>
        <w:tc>
          <w:tcPr>
            <w:tcW w:w="760" w:type="dxa"/>
            <w:tcBorders>
              <w:top w:val="nil"/>
              <w:left w:val="single" w:sz="4" w:space="0" w:color="auto"/>
              <w:bottom w:val="nil"/>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RO</w:t>
            </w:r>
          </w:p>
        </w:tc>
        <w:tc>
          <w:tcPr>
            <w:tcW w:w="820" w:type="dxa"/>
            <w:tcBorders>
              <w:top w:val="nil"/>
              <w:left w:val="nil"/>
              <w:bottom w:val="nil"/>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-155</w:t>
            </w:r>
          </w:p>
        </w:tc>
        <w:tc>
          <w:tcPr>
            <w:tcW w:w="1340" w:type="dxa"/>
            <w:tcBorders>
              <w:top w:val="nil"/>
              <w:left w:val="nil"/>
              <w:bottom w:val="nil"/>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-674</w:t>
            </w:r>
          </w:p>
        </w:tc>
        <w:tc>
          <w:tcPr>
            <w:tcW w:w="1320" w:type="dxa"/>
            <w:tcBorders>
              <w:top w:val="nil"/>
              <w:left w:val="nil"/>
              <w:bottom w:val="nil"/>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0</w:t>
            </w:r>
          </w:p>
        </w:tc>
        <w:tc>
          <w:tcPr>
            <w:tcW w:w="980" w:type="dxa"/>
            <w:tcBorders>
              <w:top w:val="nil"/>
              <w:left w:val="nil"/>
              <w:bottom w:val="nil"/>
              <w:right w:val="single" w:sz="4" w:space="0" w:color="auto"/>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-829</w:t>
            </w:r>
          </w:p>
        </w:tc>
        <w:tc>
          <w:tcPr>
            <w:tcW w:w="1340" w:type="dxa"/>
            <w:tcBorders>
              <w:top w:val="nil"/>
              <w:left w:val="nil"/>
              <w:bottom w:val="nil"/>
              <w:right w:val="single" w:sz="4" w:space="0" w:color="auto"/>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-4.4</w:t>
            </w:r>
          </w:p>
        </w:tc>
      </w:tr>
      <w:tr w:rsidR="007F0C59" w:rsidRPr="002923BF" w:rsidTr="002B536B">
        <w:trPr>
          <w:trHeight w:hRule="exact" w:val="255"/>
        </w:trPr>
        <w:tc>
          <w:tcPr>
            <w:tcW w:w="760" w:type="dxa"/>
            <w:tcBorders>
              <w:top w:val="nil"/>
              <w:left w:val="single" w:sz="4" w:space="0" w:color="auto"/>
              <w:bottom w:val="nil"/>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UK</w:t>
            </w:r>
          </w:p>
        </w:tc>
        <w:tc>
          <w:tcPr>
            <w:tcW w:w="820" w:type="dxa"/>
            <w:tcBorders>
              <w:top w:val="nil"/>
              <w:left w:val="nil"/>
              <w:bottom w:val="nil"/>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-29</w:t>
            </w:r>
          </w:p>
        </w:tc>
        <w:tc>
          <w:tcPr>
            <w:tcW w:w="1340" w:type="dxa"/>
            <w:tcBorders>
              <w:top w:val="nil"/>
              <w:left w:val="nil"/>
              <w:bottom w:val="nil"/>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-746</w:t>
            </w:r>
          </w:p>
        </w:tc>
        <w:tc>
          <w:tcPr>
            <w:tcW w:w="1320" w:type="dxa"/>
            <w:tcBorders>
              <w:top w:val="nil"/>
              <w:left w:val="nil"/>
              <w:bottom w:val="nil"/>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163</w:t>
            </w:r>
          </w:p>
        </w:tc>
        <w:tc>
          <w:tcPr>
            <w:tcW w:w="980" w:type="dxa"/>
            <w:tcBorders>
              <w:top w:val="nil"/>
              <w:left w:val="nil"/>
              <w:bottom w:val="nil"/>
              <w:right w:val="single" w:sz="4" w:space="0" w:color="auto"/>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-612</w:t>
            </w:r>
          </w:p>
        </w:tc>
        <w:tc>
          <w:tcPr>
            <w:tcW w:w="1340" w:type="dxa"/>
            <w:tcBorders>
              <w:top w:val="nil"/>
              <w:left w:val="nil"/>
              <w:bottom w:val="nil"/>
              <w:right w:val="single" w:sz="4" w:space="0" w:color="auto"/>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-5.5</w:t>
            </w:r>
          </w:p>
        </w:tc>
      </w:tr>
      <w:tr w:rsidR="007F0C59" w:rsidRPr="002923BF" w:rsidTr="002B536B">
        <w:trPr>
          <w:trHeight w:hRule="exact" w:val="255"/>
        </w:trPr>
        <w:tc>
          <w:tcPr>
            <w:tcW w:w="760" w:type="dxa"/>
            <w:tcBorders>
              <w:top w:val="nil"/>
              <w:left w:val="single" w:sz="4" w:space="0" w:color="auto"/>
              <w:bottom w:val="nil"/>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FR</w:t>
            </w:r>
          </w:p>
        </w:tc>
        <w:tc>
          <w:tcPr>
            <w:tcW w:w="820" w:type="dxa"/>
            <w:tcBorders>
              <w:top w:val="nil"/>
              <w:left w:val="nil"/>
              <w:bottom w:val="nil"/>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-3</w:t>
            </w:r>
          </w:p>
        </w:tc>
        <w:tc>
          <w:tcPr>
            <w:tcW w:w="1340" w:type="dxa"/>
            <w:tcBorders>
              <w:top w:val="nil"/>
              <w:left w:val="nil"/>
              <w:bottom w:val="nil"/>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-636</w:t>
            </w:r>
          </w:p>
        </w:tc>
        <w:tc>
          <w:tcPr>
            <w:tcW w:w="1320" w:type="dxa"/>
            <w:tcBorders>
              <w:top w:val="nil"/>
              <w:left w:val="nil"/>
              <w:bottom w:val="nil"/>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-691</w:t>
            </w:r>
          </w:p>
        </w:tc>
        <w:tc>
          <w:tcPr>
            <w:tcW w:w="980" w:type="dxa"/>
            <w:tcBorders>
              <w:top w:val="nil"/>
              <w:left w:val="nil"/>
              <w:bottom w:val="nil"/>
              <w:right w:val="single" w:sz="4" w:space="0" w:color="auto"/>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-1,330</w:t>
            </w:r>
          </w:p>
        </w:tc>
        <w:tc>
          <w:tcPr>
            <w:tcW w:w="1340" w:type="dxa"/>
            <w:tcBorders>
              <w:top w:val="nil"/>
              <w:left w:val="nil"/>
              <w:bottom w:val="nil"/>
              <w:right w:val="single" w:sz="4" w:space="0" w:color="auto"/>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-5.9</w:t>
            </w:r>
          </w:p>
        </w:tc>
      </w:tr>
      <w:tr w:rsidR="007F0C59" w:rsidRPr="002923BF" w:rsidTr="002B536B">
        <w:trPr>
          <w:trHeight w:hRule="exact" w:val="255"/>
        </w:trPr>
        <w:tc>
          <w:tcPr>
            <w:tcW w:w="760" w:type="dxa"/>
            <w:tcBorders>
              <w:top w:val="nil"/>
              <w:left w:val="single" w:sz="4" w:space="0" w:color="auto"/>
              <w:bottom w:val="nil"/>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GR</w:t>
            </w:r>
          </w:p>
        </w:tc>
        <w:tc>
          <w:tcPr>
            <w:tcW w:w="820" w:type="dxa"/>
            <w:tcBorders>
              <w:top w:val="nil"/>
              <w:left w:val="nil"/>
              <w:bottom w:val="nil"/>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0</w:t>
            </w:r>
          </w:p>
        </w:tc>
        <w:tc>
          <w:tcPr>
            <w:tcW w:w="1340" w:type="dxa"/>
            <w:tcBorders>
              <w:top w:val="nil"/>
              <w:left w:val="nil"/>
              <w:bottom w:val="nil"/>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-1,332</w:t>
            </w:r>
          </w:p>
        </w:tc>
        <w:tc>
          <w:tcPr>
            <w:tcW w:w="1320" w:type="dxa"/>
            <w:tcBorders>
              <w:top w:val="nil"/>
              <w:left w:val="nil"/>
              <w:bottom w:val="nil"/>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0</w:t>
            </w:r>
          </w:p>
        </w:tc>
        <w:tc>
          <w:tcPr>
            <w:tcW w:w="980" w:type="dxa"/>
            <w:tcBorders>
              <w:top w:val="nil"/>
              <w:left w:val="nil"/>
              <w:bottom w:val="nil"/>
              <w:right w:val="single" w:sz="4" w:space="0" w:color="auto"/>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-1,332</w:t>
            </w:r>
          </w:p>
        </w:tc>
        <w:tc>
          <w:tcPr>
            <w:tcW w:w="1340" w:type="dxa"/>
            <w:tcBorders>
              <w:top w:val="nil"/>
              <w:left w:val="nil"/>
              <w:bottom w:val="nil"/>
              <w:right w:val="single" w:sz="4" w:space="0" w:color="auto"/>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-6.6</w:t>
            </w:r>
          </w:p>
        </w:tc>
      </w:tr>
      <w:tr w:rsidR="007F0C59" w:rsidRPr="002923BF" w:rsidTr="002B536B">
        <w:trPr>
          <w:trHeight w:hRule="exact" w:val="255"/>
        </w:trPr>
        <w:tc>
          <w:tcPr>
            <w:tcW w:w="760" w:type="dxa"/>
            <w:tcBorders>
              <w:top w:val="nil"/>
              <w:left w:val="single" w:sz="4" w:space="0" w:color="auto"/>
              <w:bottom w:val="nil"/>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ES</w:t>
            </w:r>
          </w:p>
        </w:tc>
        <w:tc>
          <w:tcPr>
            <w:tcW w:w="820" w:type="dxa"/>
            <w:tcBorders>
              <w:top w:val="nil"/>
              <w:left w:val="nil"/>
              <w:bottom w:val="nil"/>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-5</w:t>
            </w:r>
          </w:p>
        </w:tc>
        <w:tc>
          <w:tcPr>
            <w:tcW w:w="1340" w:type="dxa"/>
            <w:tcBorders>
              <w:top w:val="nil"/>
              <w:left w:val="nil"/>
              <w:bottom w:val="nil"/>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-5,061</w:t>
            </w:r>
          </w:p>
        </w:tc>
        <w:tc>
          <w:tcPr>
            <w:tcW w:w="1320" w:type="dxa"/>
            <w:tcBorders>
              <w:top w:val="nil"/>
              <w:left w:val="nil"/>
              <w:bottom w:val="nil"/>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1,083</w:t>
            </w:r>
          </w:p>
        </w:tc>
        <w:tc>
          <w:tcPr>
            <w:tcW w:w="980" w:type="dxa"/>
            <w:tcBorders>
              <w:top w:val="nil"/>
              <w:left w:val="nil"/>
              <w:bottom w:val="nil"/>
              <w:right w:val="single" w:sz="4" w:space="0" w:color="auto"/>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-3,983</w:t>
            </w:r>
          </w:p>
        </w:tc>
        <w:tc>
          <w:tcPr>
            <w:tcW w:w="1340" w:type="dxa"/>
            <w:tcBorders>
              <w:top w:val="nil"/>
              <w:left w:val="nil"/>
              <w:bottom w:val="nil"/>
              <w:right w:val="single" w:sz="4" w:space="0" w:color="auto"/>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-10.2</w:t>
            </w:r>
          </w:p>
        </w:tc>
      </w:tr>
      <w:tr w:rsidR="007F0C59" w:rsidRPr="002923BF" w:rsidTr="002B536B">
        <w:trPr>
          <w:trHeight w:hRule="exact" w:val="255"/>
        </w:trPr>
        <w:tc>
          <w:tcPr>
            <w:tcW w:w="760" w:type="dxa"/>
            <w:tcBorders>
              <w:top w:val="nil"/>
              <w:left w:val="single" w:sz="4" w:space="0" w:color="auto"/>
              <w:bottom w:val="nil"/>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IE</w:t>
            </w:r>
          </w:p>
        </w:tc>
        <w:tc>
          <w:tcPr>
            <w:tcW w:w="820" w:type="dxa"/>
            <w:tcBorders>
              <w:top w:val="nil"/>
              <w:left w:val="nil"/>
              <w:bottom w:val="nil"/>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0</w:t>
            </w:r>
          </w:p>
        </w:tc>
        <w:tc>
          <w:tcPr>
            <w:tcW w:w="1340" w:type="dxa"/>
            <w:tcBorders>
              <w:top w:val="nil"/>
              <w:left w:val="nil"/>
              <w:bottom w:val="nil"/>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-114</w:t>
            </w:r>
          </w:p>
        </w:tc>
        <w:tc>
          <w:tcPr>
            <w:tcW w:w="1320" w:type="dxa"/>
            <w:tcBorders>
              <w:top w:val="nil"/>
              <w:left w:val="nil"/>
              <w:bottom w:val="nil"/>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0</w:t>
            </w:r>
          </w:p>
        </w:tc>
        <w:tc>
          <w:tcPr>
            <w:tcW w:w="980" w:type="dxa"/>
            <w:tcBorders>
              <w:top w:val="nil"/>
              <w:left w:val="nil"/>
              <w:bottom w:val="nil"/>
              <w:right w:val="single" w:sz="4" w:space="0" w:color="auto"/>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-114</w:t>
            </w:r>
          </w:p>
        </w:tc>
        <w:tc>
          <w:tcPr>
            <w:tcW w:w="1340" w:type="dxa"/>
            <w:tcBorders>
              <w:top w:val="nil"/>
              <w:left w:val="nil"/>
              <w:bottom w:val="nil"/>
              <w:right w:val="single" w:sz="4" w:space="0" w:color="auto"/>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-12.2</w:t>
            </w:r>
          </w:p>
        </w:tc>
      </w:tr>
      <w:tr w:rsidR="007F0C59" w:rsidRPr="002923BF" w:rsidTr="002B536B">
        <w:trPr>
          <w:trHeight w:hRule="exact" w:val="255"/>
        </w:trPr>
        <w:tc>
          <w:tcPr>
            <w:tcW w:w="760" w:type="dxa"/>
            <w:tcBorders>
              <w:top w:val="nil"/>
              <w:left w:val="single" w:sz="4" w:space="0" w:color="auto"/>
              <w:bottom w:val="nil"/>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PT</w:t>
            </w:r>
          </w:p>
        </w:tc>
        <w:tc>
          <w:tcPr>
            <w:tcW w:w="820" w:type="dxa"/>
            <w:tcBorders>
              <w:top w:val="nil"/>
              <w:left w:val="nil"/>
              <w:bottom w:val="nil"/>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-341</w:t>
            </w:r>
          </w:p>
        </w:tc>
        <w:tc>
          <w:tcPr>
            <w:tcW w:w="1340" w:type="dxa"/>
            <w:tcBorders>
              <w:top w:val="nil"/>
              <w:left w:val="nil"/>
              <w:bottom w:val="nil"/>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-2,920</w:t>
            </w:r>
          </w:p>
        </w:tc>
        <w:tc>
          <w:tcPr>
            <w:tcW w:w="1320" w:type="dxa"/>
            <w:tcBorders>
              <w:top w:val="nil"/>
              <w:left w:val="nil"/>
              <w:bottom w:val="nil"/>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-821</w:t>
            </w:r>
          </w:p>
        </w:tc>
        <w:tc>
          <w:tcPr>
            <w:tcW w:w="980" w:type="dxa"/>
            <w:tcBorders>
              <w:top w:val="nil"/>
              <w:left w:val="nil"/>
              <w:bottom w:val="nil"/>
              <w:right w:val="single" w:sz="4" w:space="0" w:color="auto"/>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-4,082</w:t>
            </w:r>
          </w:p>
        </w:tc>
        <w:tc>
          <w:tcPr>
            <w:tcW w:w="1340" w:type="dxa"/>
            <w:tcBorders>
              <w:top w:val="nil"/>
              <w:left w:val="nil"/>
              <w:bottom w:val="nil"/>
              <w:right w:val="single" w:sz="4" w:space="0" w:color="auto"/>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-17.4</w:t>
            </w:r>
          </w:p>
        </w:tc>
      </w:tr>
      <w:tr w:rsidR="007F0C59" w:rsidRPr="002923BF" w:rsidTr="002B536B">
        <w:trPr>
          <w:trHeight w:hRule="exact" w:val="255"/>
        </w:trPr>
        <w:tc>
          <w:tcPr>
            <w:tcW w:w="760" w:type="dxa"/>
            <w:tcBorders>
              <w:top w:val="nil"/>
              <w:left w:val="single" w:sz="4" w:space="0" w:color="auto"/>
              <w:bottom w:val="nil"/>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BE</w:t>
            </w:r>
          </w:p>
        </w:tc>
        <w:tc>
          <w:tcPr>
            <w:tcW w:w="820" w:type="dxa"/>
            <w:tcBorders>
              <w:top w:val="nil"/>
              <w:left w:val="nil"/>
              <w:bottom w:val="nil"/>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-3</w:t>
            </w:r>
          </w:p>
        </w:tc>
        <w:tc>
          <w:tcPr>
            <w:tcW w:w="1340" w:type="dxa"/>
            <w:tcBorders>
              <w:top w:val="nil"/>
              <w:left w:val="nil"/>
              <w:bottom w:val="nil"/>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-480</w:t>
            </w:r>
          </w:p>
        </w:tc>
        <w:tc>
          <w:tcPr>
            <w:tcW w:w="1320" w:type="dxa"/>
            <w:tcBorders>
              <w:top w:val="nil"/>
              <w:left w:val="nil"/>
              <w:bottom w:val="nil"/>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0</w:t>
            </w:r>
          </w:p>
        </w:tc>
        <w:tc>
          <w:tcPr>
            <w:tcW w:w="980" w:type="dxa"/>
            <w:tcBorders>
              <w:top w:val="nil"/>
              <w:left w:val="nil"/>
              <w:bottom w:val="nil"/>
              <w:right w:val="single" w:sz="4" w:space="0" w:color="auto"/>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-483</w:t>
            </w:r>
          </w:p>
        </w:tc>
        <w:tc>
          <w:tcPr>
            <w:tcW w:w="1340" w:type="dxa"/>
            <w:tcBorders>
              <w:top w:val="nil"/>
              <w:left w:val="nil"/>
              <w:bottom w:val="nil"/>
              <w:right w:val="single" w:sz="4" w:space="0" w:color="auto"/>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-20.1</w:t>
            </w:r>
          </w:p>
        </w:tc>
      </w:tr>
      <w:tr w:rsidR="007F0C59" w:rsidRPr="002923BF" w:rsidTr="002B536B">
        <w:trPr>
          <w:trHeight w:hRule="exact" w:val="255"/>
        </w:trPr>
        <w:tc>
          <w:tcPr>
            <w:tcW w:w="760" w:type="dxa"/>
            <w:tcBorders>
              <w:top w:val="nil"/>
              <w:left w:val="single" w:sz="4" w:space="0" w:color="auto"/>
              <w:bottom w:val="nil"/>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IT</w:t>
            </w:r>
          </w:p>
        </w:tc>
        <w:tc>
          <w:tcPr>
            <w:tcW w:w="820" w:type="dxa"/>
            <w:tcBorders>
              <w:top w:val="nil"/>
              <w:left w:val="nil"/>
              <w:bottom w:val="nil"/>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-35</w:t>
            </w:r>
          </w:p>
        </w:tc>
        <w:tc>
          <w:tcPr>
            <w:tcW w:w="1340" w:type="dxa"/>
            <w:tcBorders>
              <w:top w:val="nil"/>
              <w:left w:val="nil"/>
              <w:bottom w:val="nil"/>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-11,403</w:t>
            </w:r>
          </w:p>
        </w:tc>
        <w:tc>
          <w:tcPr>
            <w:tcW w:w="1320" w:type="dxa"/>
            <w:tcBorders>
              <w:top w:val="nil"/>
              <w:left w:val="nil"/>
              <w:bottom w:val="nil"/>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0</w:t>
            </w:r>
          </w:p>
        </w:tc>
        <w:tc>
          <w:tcPr>
            <w:tcW w:w="980" w:type="dxa"/>
            <w:tcBorders>
              <w:top w:val="nil"/>
              <w:left w:val="nil"/>
              <w:bottom w:val="nil"/>
              <w:right w:val="single" w:sz="4" w:space="0" w:color="auto"/>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-11,438</w:t>
            </w:r>
          </w:p>
        </w:tc>
        <w:tc>
          <w:tcPr>
            <w:tcW w:w="1340" w:type="dxa"/>
            <w:tcBorders>
              <w:top w:val="nil"/>
              <w:left w:val="nil"/>
              <w:bottom w:val="nil"/>
              <w:right w:val="single" w:sz="4" w:space="0" w:color="auto"/>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-25.9</w:t>
            </w:r>
          </w:p>
        </w:tc>
      </w:tr>
      <w:tr w:rsidR="007F0C59" w:rsidRPr="002923BF" w:rsidTr="002B536B">
        <w:trPr>
          <w:trHeight w:hRule="exact" w:val="255"/>
        </w:trPr>
        <w:tc>
          <w:tcPr>
            <w:tcW w:w="760" w:type="dxa"/>
            <w:tcBorders>
              <w:top w:val="nil"/>
              <w:left w:val="single" w:sz="4" w:space="0" w:color="auto"/>
              <w:bottom w:val="single" w:sz="4" w:space="0" w:color="auto"/>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EU</w:t>
            </w:r>
          </w:p>
        </w:tc>
        <w:tc>
          <w:tcPr>
            <w:tcW w:w="820" w:type="dxa"/>
            <w:tcBorders>
              <w:top w:val="nil"/>
              <w:left w:val="nil"/>
              <w:bottom w:val="single" w:sz="4" w:space="0" w:color="auto"/>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1,060</w:t>
            </w:r>
          </w:p>
        </w:tc>
        <w:tc>
          <w:tcPr>
            <w:tcW w:w="1340" w:type="dxa"/>
            <w:tcBorders>
              <w:top w:val="nil"/>
              <w:left w:val="nil"/>
              <w:bottom w:val="single" w:sz="4" w:space="0" w:color="auto"/>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-26,461</w:t>
            </w:r>
          </w:p>
        </w:tc>
        <w:tc>
          <w:tcPr>
            <w:tcW w:w="1320" w:type="dxa"/>
            <w:tcBorders>
              <w:top w:val="nil"/>
              <w:left w:val="nil"/>
              <w:bottom w:val="single" w:sz="4" w:space="0" w:color="auto"/>
              <w:right w:val="nil"/>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409</w:t>
            </w:r>
          </w:p>
        </w:tc>
        <w:tc>
          <w:tcPr>
            <w:tcW w:w="980" w:type="dxa"/>
            <w:tcBorders>
              <w:top w:val="nil"/>
              <w:left w:val="nil"/>
              <w:bottom w:val="single" w:sz="4" w:space="0" w:color="auto"/>
              <w:right w:val="single" w:sz="4" w:space="0" w:color="auto"/>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-24,992</w:t>
            </w:r>
          </w:p>
        </w:tc>
        <w:tc>
          <w:tcPr>
            <w:tcW w:w="1340" w:type="dxa"/>
            <w:tcBorders>
              <w:top w:val="nil"/>
              <w:left w:val="nil"/>
              <w:bottom w:val="single" w:sz="4" w:space="0" w:color="auto"/>
              <w:right w:val="single" w:sz="4" w:space="0" w:color="auto"/>
            </w:tcBorders>
            <w:shd w:val="clear" w:color="auto" w:fill="auto"/>
            <w:noWrap/>
            <w:vAlign w:val="bottom"/>
            <w:hideMark/>
          </w:tcPr>
          <w:p w:rsidR="007F0C59" w:rsidRPr="002923BF" w:rsidRDefault="007F0C59" w:rsidP="000056C5">
            <w:pPr>
              <w:spacing w:after="0" w:line="240" w:lineRule="auto"/>
              <w:jc w:val="both"/>
              <w:rPr>
                <w:rFonts w:ascii="Calibri" w:eastAsia="Times New Roman" w:hAnsi="Calibri" w:cs="Times New Roman"/>
                <w:color w:val="000000"/>
                <w:sz w:val="20"/>
                <w:szCs w:val="20"/>
                <w:lang w:eastAsia="en-GB"/>
              </w:rPr>
            </w:pPr>
            <w:r w:rsidRPr="002923BF">
              <w:rPr>
                <w:rFonts w:ascii="Calibri" w:eastAsia="Times New Roman" w:hAnsi="Calibri" w:cs="Times New Roman"/>
                <w:color w:val="000000"/>
                <w:sz w:val="20"/>
                <w:szCs w:val="20"/>
                <w:lang w:eastAsia="en-GB"/>
              </w:rPr>
              <w:t>-6.8</w:t>
            </w:r>
          </w:p>
        </w:tc>
      </w:tr>
      <w:tr w:rsidR="00FC65A5" w:rsidRPr="002923BF" w:rsidTr="002B536B">
        <w:trPr>
          <w:trHeight w:val="240"/>
        </w:trPr>
        <w:tc>
          <w:tcPr>
            <w:tcW w:w="6560" w:type="dxa"/>
            <w:gridSpan w:val="6"/>
            <w:tcBorders>
              <w:top w:val="nil"/>
              <w:left w:val="nil"/>
              <w:bottom w:val="nil"/>
              <w:right w:val="nil"/>
            </w:tcBorders>
            <w:shd w:val="clear" w:color="auto" w:fill="auto"/>
            <w:noWrap/>
            <w:vAlign w:val="bottom"/>
          </w:tcPr>
          <w:p w:rsidR="00FC65A5" w:rsidRPr="002923BF" w:rsidRDefault="00FC65A5" w:rsidP="000056C5">
            <w:pPr>
              <w:spacing w:after="0" w:line="240" w:lineRule="auto"/>
              <w:jc w:val="both"/>
              <w:rPr>
                <w:rFonts w:ascii="Cambria" w:eastAsia="Times New Roman" w:hAnsi="Cambria" w:cs="Times New Roman"/>
                <w:color w:val="000000"/>
                <w:sz w:val="16"/>
                <w:szCs w:val="16"/>
                <w:lang w:eastAsia="en-GB"/>
              </w:rPr>
            </w:pPr>
            <w:r>
              <w:rPr>
                <w:rFonts w:ascii="Calibri" w:eastAsia="Times New Roman" w:hAnsi="Calibri" w:cs="Times New Roman"/>
                <w:i/>
                <w:iCs/>
                <w:color w:val="000000"/>
                <w:sz w:val="18"/>
                <w:szCs w:val="18"/>
                <w:lang w:eastAsia="en-GB"/>
              </w:rPr>
              <w:t>Note: The EU figures are the aggregates of the figures for the Member States in which rates were raised (i.e. those included in the table)</w:t>
            </w:r>
          </w:p>
        </w:tc>
      </w:tr>
      <w:tr w:rsidR="007F0C59" w:rsidRPr="002923BF" w:rsidTr="00A84049">
        <w:trPr>
          <w:trHeight w:val="240"/>
        </w:trPr>
        <w:tc>
          <w:tcPr>
            <w:tcW w:w="4240" w:type="dxa"/>
            <w:gridSpan w:val="4"/>
            <w:tcBorders>
              <w:top w:val="nil"/>
              <w:left w:val="nil"/>
              <w:bottom w:val="nil"/>
              <w:right w:val="nil"/>
            </w:tcBorders>
            <w:shd w:val="clear" w:color="auto" w:fill="auto"/>
            <w:noWrap/>
            <w:vAlign w:val="bottom"/>
            <w:hideMark/>
          </w:tcPr>
          <w:p w:rsidR="007F0C59" w:rsidRPr="002923BF" w:rsidRDefault="007F0C59" w:rsidP="003C3BCA">
            <w:pPr>
              <w:spacing w:after="0" w:line="240" w:lineRule="auto"/>
              <w:jc w:val="both"/>
              <w:rPr>
                <w:rFonts w:ascii="Calibri" w:eastAsia="Times New Roman" w:hAnsi="Calibri" w:cs="Times New Roman"/>
                <w:i/>
                <w:iCs/>
                <w:color w:val="000000"/>
                <w:sz w:val="18"/>
                <w:szCs w:val="18"/>
                <w:lang w:eastAsia="en-GB"/>
              </w:rPr>
            </w:pPr>
            <w:r w:rsidRPr="002923BF">
              <w:rPr>
                <w:rFonts w:ascii="Calibri" w:eastAsia="Times New Roman" w:hAnsi="Calibri" w:cs="Times New Roman"/>
                <w:i/>
                <w:iCs/>
                <w:color w:val="000000"/>
                <w:sz w:val="18"/>
                <w:szCs w:val="18"/>
                <w:lang w:eastAsia="en-GB"/>
              </w:rPr>
              <w:t xml:space="preserve">Source: DG Regional </w:t>
            </w:r>
            <w:r w:rsidR="003C3BCA">
              <w:rPr>
                <w:rFonts w:ascii="Calibri" w:eastAsia="Times New Roman" w:hAnsi="Calibri" w:cs="Times New Roman"/>
                <w:i/>
                <w:iCs/>
                <w:color w:val="000000"/>
                <w:sz w:val="18"/>
                <w:szCs w:val="18"/>
                <w:lang w:eastAsia="en-GB"/>
              </w:rPr>
              <w:t xml:space="preserve">and Urban </w:t>
            </w:r>
            <w:r w:rsidRPr="002923BF">
              <w:rPr>
                <w:rFonts w:ascii="Calibri" w:eastAsia="Times New Roman" w:hAnsi="Calibri" w:cs="Times New Roman"/>
                <w:i/>
                <w:iCs/>
                <w:color w:val="000000"/>
                <w:sz w:val="18"/>
                <w:szCs w:val="18"/>
                <w:lang w:eastAsia="en-GB"/>
              </w:rPr>
              <w:t>Policy</w:t>
            </w:r>
            <w:r w:rsidR="003C3BCA">
              <w:rPr>
                <w:rFonts w:ascii="Calibri" w:eastAsia="Times New Roman" w:hAnsi="Calibri" w:cs="Times New Roman"/>
                <w:i/>
                <w:iCs/>
                <w:color w:val="000000"/>
                <w:sz w:val="18"/>
                <w:szCs w:val="18"/>
                <w:lang w:eastAsia="en-GB"/>
              </w:rPr>
              <w:t>,</w:t>
            </w:r>
            <w:r w:rsidRPr="002923BF">
              <w:rPr>
                <w:rFonts w:ascii="Calibri" w:eastAsia="Times New Roman" w:hAnsi="Calibri" w:cs="Times New Roman"/>
                <w:i/>
                <w:iCs/>
                <w:color w:val="000000"/>
                <w:sz w:val="18"/>
                <w:szCs w:val="18"/>
                <w:lang w:eastAsia="en-GB"/>
              </w:rPr>
              <w:t xml:space="preserve"> </w:t>
            </w:r>
            <w:proofErr w:type="spellStart"/>
            <w:r w:rsidRPr="002923BF">
              <w:rPr>
                <w:rFonts w:ascii="Calibri" w:eastAsia="Times New Roman" w:hAnsi="Calibri" w:cs="Times New Roman"/>
                <w:i/>
                <w:iCs/>
                <w:color w:val="000000"/>
                <w:sz w:val="18"/>
                <w:szCs w:val="18"/>
                <w:lang w:eastAsia="en-GB"/>
              </w:rPr>
              <w:t>Inforegio</w:t>
            </w:r>
            <w:proofErr w:type="spellEnd"/>
          </w:p>
        </w:tc>
        <w:tc>
          <w:tcPr>
            <w:tcW w:w="980" w:type="dxa"/>
            <w:tcBorders>
              <w:top w:val="nil"/>
              <w:left w:val="nil"/>
              <w:bottom w:val="nil"/>
              <w:right w:val="nil"/>
            </w:tcBorders>
            <w:shd w:val="clear" w:color="auto" w:fill="auto"/>
            <w:noWrap/>
            <w:vAlign w:val="bottom"/>
            <w:hideMark/>
          </w:tcPr>
          <w:p w:rsidR="007F0C59" w:rsidRPr="002923BF" w:rsidRDefault="007F0C59" w:rsidP="000056C5">
            <w:pPr>
              <w:spacing w:after="0" w:line="240" w:lineRule="auto"/>
              <w:jc w:val="both"/>
              <w:rPr>
                <w:rFonts w:ascii="Cambria" w:eastAsia="Times New Roman" w:hAnsi="Cambria" w:cs="Times New Roman"/>
                <w:color w:val="000000"/>
                <w:sz w:val="16"/>
                <w:szCs w:val="16"/>
                <w:lang w:eastAsia="en-GB"/>
              </w:rPr>
            </w:pPr>
          </w:p>
        </w:tc>
        <w:tc>
          <w:tcPr>
            <w:tcW w:w="1340" w:type="dxa"/>
            <w:tcBorders>
              <w:top w:val="nil"/>
              <w:left w:val="nil"/>
              <w:bottom w:val="nil"/>
              <w:right w:val="nil"/>
            </w:tcBorders>
            <w:shd w:val="clear" w:color="auto" w:fill="auto"/>
            <w:noWrap/>
            <w:vAlign w:val="bottom"/>
            <w:hideMark/>
          </w:tcPr>
          <w:p w:rsidR="007F0C59" w:rsidRPr="002923BF" w:rsidRDefault="007F0C59" w:rsidP="000056C5">
            <w:pPr>
              <w:spacing w:after="0" w:line="240" w:lineRule="auto"/>
              <w:jc w:val="both"/>
              <w:rPr>
                <w:rFonts w:ascii="Cambria" w:eastAsia="Times New Roman" w:hAnsi="Cambria" w:cs="Times New Roman"/>
                <w:color w:val="000000"/>
                <w:sz w:val="16"/>
                <w:szCs w:val="16"/>
                <w:lang w:eastAsia="en-GB"/>
              </w:rPr>
            </w:pPr>
          </w:p>
        </w:tc>
      </w:tr>
    </w:tbl>
    <w:p w:rsidR="003C3BCA" w:rsidRDefault="003C3BCA" w:rsidP="000056C5">
      <w:pPr>
        <w:pStyle w:val="Heading2"/>
        <w:jc w:val="both"/>
      </w:pPr>
    </w:p>
    <w:p w:rsidR="00FC65A5" w:rsidRDefault="00FC65A5" w:rsidP="000056C5">
      <w:pPr>
        <w:pStyle w:val="Heading2"/>
        <w:jc w:val="both"/>
      </w:pPr>
      <w:r>
        <w:t>Questions to Member States</w:t>
      </w:r>
    </w:p>
    <w:p w:rsidR="002B536B" w:rsidRDefault="002B536B" w:rsidP="000056C5">
      <w:pPr>
        <w:jc w:val="both"/>
      </w:pPr>
      <w:r>
        <w:t>The analysis raises questions about the significance of the action taken by the EU in respect of co-financing rates and about its effects, in particular:</w:t>
      </w:r>
    </w:p>
    <w:p w:rsidR="002B536B" w:rsidRDefault="002B536B" w:rsidP="000056C5">
      <w:pPr>
        <w:pStyle w:val="ListParagraph"/>
        <w:numPr>
          <w:ilvl w:val="0"/>
          <w:numId w:val="16"/>
        </w:numPr>
        <w:ind w:left="714" w:hanging="357"/>
        <w:jc w:val="both"/>
      </w:pPr>
      <w:r>
        <w:t>How important was the increase EU co-financing rates for the Member States concerned in easing the pressure on public finances?</w:t>
      </w:r>
    </w:p>
    <w:p w:rsidR="002B536B" w:rsidRDefault="002B536B" w:rsidP="000056C5">
      <w:pPr>
        <w:pStyle w:val="ListParagraph"/>
        <w:numPr>
          <w:ilvl w:val="0"/>
          <w:numId w:val="16"/>
        </w:numPr>
        <w:ind w:left="714" w:hanging="357"/>
        <w:jc w:val="both"/>
      </w:pPr>
      <w:r>
        <w:t>Could the E</w:t>
      </w:r>
      <w:r w:rsidR="0005342B">
        <w:t>U have done more in this regard to ease such pressure? If so, what?</w:t>
      </w:r>
    </w:p>
    <w:p w:rsidR="002B536B" w:rsidRDefault="002B536B" w:rsidP="000056C5">
      <w:pPr>
        <w:pStyle w:val="ListParagraph"/>
        <w:numPr>
          <w:ilvl w:val="0"/>
          <w:numId w:val="16"/>
        </w:numPr>
        <w:ind w:left="714" w:hanging="357"/>
        <w:jc w:val="both"/>
      </w:pPr>
      <w:r w:rsidRPr="009E2AE1">
        <w:t>How far was the increase in EU co-financing rates and the consequent reduction in national co-financing requirements necessary</w:t>
      </w:r>
      <w:r w:rsidR="0005342B">
        <w:t>,</w:t>
      </w:r>
      <w:r w:rsidRPr="009E2AE1">
        <w:t xml:space="preserve"> to enable </w:t>
      </w:r>
      <w:r w:rsidRPr="00532C12">
        <w:t>programmes</w:t>
      </w:r>
      <w:r w:rsidRPr="009E2AE1">
        <w:t xml:space="preserve"> to be carried out even if on a reduced scale? </w:t>
      </w:r>
    </w:p>
    <w:p w:rsidR="0005342B" w:rsidRDefault="002B536B" w:rsidP="000056C5">
      <w:pPr>
        <w:pStyle w:val="ListParagraph"/>
        <w:numPr>
          <w:ilvl w:val="0"/>
          <w:numId w:val="16"/>
        </w:numPr>
        <w:ind w:left="714" w:hanging="357"/>
        <w:jc w:val="both"/>
      </w:pPr>
      <w:r w:rsidRPr="009E2AE1">
        <w:t xml:space="preserve">What reductions in programmes were made as a result of the reduction in national co-financing rates – i.e. which expenditure that was planned did not go ahead? </w:t>
      </w:r>
    </w:p>
    <w:p w:rsidR="00E20B6B" w:rsidRPr="00B27969" w:rsidRDefault="002B536B" w:rsidP="000056C5">
      <w:pPr>
        <w:pStyle w:val="ListParagraph"/>
        <w:numPr>
          <w:ilvl w:val="0"/>
          <w:numId w:val="16"/>
        </w:numPr>
        <w:ind w:left="714" w:hanging="357"/>
        <w:jc w:val="both"/>
        <w:rPr>
          <w:rFonts w:asciiTheme="majorHAnsi" w:hAnsiTheme="majorHAnsi"/>
          <w:sz w:val="24"/>
          <w:szCs w:val="24"/>
        </w:rPr>
      </w:pPr>
      <w:r>
        <w:t xml:space="preserve">What impact will </w:t>
      </w:r>
      <w:r w:rsidR="0005342B">
        <w:t xml:space="preserve">the reduction in the funding going into programmes have on the </w:t>
      </w:r>
      <w:r>
        <w:t>expected outputs and results?</w:t>
      </w:r>
      <w:r w:rsidR="00E20B6B" w:rsidRPr="00B27969">
        <w:rPr>
          <w:rFonts w:asciiTheme="majorHAnsi" w:hAnsiTheme="majorHAnsi"/>
          <w:sz w:val="24"/>
          <w:szCs w:val="24"/>
        </w:rPr>
        <w:br w:type="page"/>
      </w:r>
    </w:p>
    <w:p w:rsidR="00627360" w:rsidRPr="00872268" w:rsidRDefault="00627360" w:rsidP="000056C5">
      <w:pPr>
        <w:pStyle w:val="Heading1"/>
        <w:jc w:val="both"/>
        <w:sectPr w:rsidR="00627360" w:rsidRPr="00872268" w:rsidSect="005653B5">
          <w:footerReference w:type="default" r:id="rId13"/>
          <w:pgSz w:w="11906" w:h="16838"/>
          <w:pgMar w:top="1440" w:right="1440" w:bottom="1440" w:left="1440" w:header="709" w:footer="709" w:gutter="0"/>
          <w:pgNumType w:start="1"/>
          <w:cols w:space="708"/>
          <w:docGrid w:linePitch="360"/>
        </w:sectPr>
      </w:pPr>
    </w:p>
    <w:p w:rsidR="00627360" w:rsidRPr="00872268" w:rsidRDefault="00394F50" w:rsidP="000056C5">
      <w:pPr>
        <w:pStyle w:val="Heading1"/>
        <w:numPr>
          <w:ilvl w:val="0"/>
          <w:numId w:val="0"/>
        </w:numPr>
        <w:jc w:val="both"/>
      </w:pPr>
      <w:r w:rsidRPr="00872268">
        <w:t>A</w:t>
      </w:r>
      <w:r w:rsidR="00532C12" w:rsidRPr="00872268">
        <w:t xml:space="preserve">nnex </w:t>
      </w:r>
      <w:r w:rsidR="000D7436">
        <w:t>1</w:t>
      </w:r>
    </w:p>
    <w:p w:rsidR="00627360" w:rsidRDefault="00627360" w:rsidP="000056C5">
      <w:pPr>
        <w:pStyle w:val="Figuretitle"/>
        <w:jc w:val="both"/>
      </w:pPr>
      <w:r w:rsidRPr="004718C1">
        <w:t xml:space="preserve">Table </w:t>
      </w:r>
      <w:r w:rsidR="004718C1" w:rsidRPr="004718C1">
        <w:t xml:space="preserve">A.1 </w:t>
      </w:r>
      <w:r w:rsidRPr="004718C1">
        <w:t>Net shift</w:t>
      </w:r>
      <w:r w:rsidR="00424E49">
        <w:t>s in funding by broad theme</w:t>
      </w:r>
      <w:r w:rsidRPr="004718C1">
        <w:t xml:space="preserve"> in </w:t>
      </w:r>
      <w:r w:rsidR="00424E49">
        <w:t>EU12 countries, 2007 to 2014 (</w:t>
      </w:r>
      <w:r w:rsidRPr="004718C1">
        <w:t>EUR million</w:t>
      </w:r>
      <w:r w:rsidR="00424E49">
        <w:t>)</w:t>
      </w:r>
    </w:p>
    <w:tbl>
      <w:tblPr>
        <w:tblW w:w="13100" w:type="dxa"/>
        <w:tblInd w:w="93" w:type="dxa"/>
        <w:tblLook w:val="04A0" w:firstRow="1" w:lastRow="0" w:firstColumn="1" w:lastColumn="0" w:noHBand="0" w:noVBand="1"/>
      </w:tblPr>
      <w:tblGrid>
        <w:gridCol w:w="3020"/>
        <w:gridCol w:w="840"/>
        <w:gridCol w:w="840"/>
        <w:gridCol w:w="840"/>
        <w:gridCol w:w="840"/>
        <w:gridCol w:w="840"/>
        <w:gridCol w:w="840"/>
        <w:gridCol w:w="840"/>
        <w:gridCol w:w="840"/>
        <w:gridCol w:w="840"/>
        <w:gridCol w:w="840"/>
        <w:gridCol w:w="840"/>
        <w:gridCol w:w="840"/>
      </w:tblGrid>
      <w:tr w:rsidR="00424E49" w:rsidRPr="00424E49" w:rsidTr="00424E49">
        <w:trPr>
          <w:trHeight w:val="300"/>
        </w:trPr>
        <w:tc>
          <w:tcPr>
            <w:tcW w:w="3020" w:type="dxa"/>
            <w:tcBorders>
              <w:top w:val="single" w:sz="4" w:space="0" w:color="auto"/>
              <w:left w:val="single" w:sz="4" w:space="0" w:color="auto"/>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b/>
                <w:bCs/>
                <w:color w:val="000000"/>
                <w:sz w:val="20"/>
                <w:szCs w:val="20"/>
                <w:lang w:eastAsia="en-GB"/>
              </w:rPr>
            </w:pPr>
            <w:r w:rsidRPr="00424E49">
              <w:rPr>
                <w:rFonts w:ascii="Calibri" w:eastAsia="Times New Roman" w:hAnsi="Calibri" w:cs="Arial"/>
                <w:b/>
                <w:bCs/>
                <w:color w:val="000000"/>
                <w:sz w:val="20"/>
                <w:szCs w:val="20"/>
                <w:lang w:eastAsia="en-GB"/>
              </w:rPr>
              <w:t> </w:t>
            </w:r>
          </w:p>
        </w:tc>
        <w:tc>
          <w:tcPr>
            <w:tcW w:w="840" w:type="dxa"/>
            <w:tcBorders>
              <w:top w:val="single" w:sz="4" w:space="0" w:color="auto"/>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bCs/>
                <w:color w:val="000000"/>
                <w:sz w:val="20"/>
                <w:szCs w:val="20"/>
                <w:lang w:eastAsia="en-GB"/>
              </w:rPr>
            </w:pPr>
            <w:r w:rsidRPr="00424E49">
              <w:rPr>
                <w:rFonts w:ascii="Calibri" w:eastAsia="Times New Roman" w:hAnsi="Calibri" w:cs="Arial"/>
                <w:bCs/>
                <w:color w:val="000000"/>
                <w:sz w:val="20"/>
                <w:szCs w:val="20"/>
                <w:lang w:eastAsia="en-GB"/>
              </w:rPr>
              <w:t>BG</w:t>
            </w:r>
          </w:p>
        </w:tc>
        <w:tc>
          <w:tcPr>
            <w:tcW w:w="840" w:type="dxa"/>
            <w:tcBorders>
              <w:top w:val="single" w:sz="4" w:space="0" w:color="auto"/>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bCs/>
                <w:color w:val="000000"/>
                <w:sz w:val="20"/>
                <w:szCs w:val="20"/>
                <w:lang w:eastAsia="en-GB"/>
              </w:rPr>
            </w:pPr>
            <w:r w:rsidRPr="00424E49">
              <w:rPr>
                <w:rFonts w:ascii="Calibri" w:eastAsia="Times New Roman" w:hAnsi="Calibri" w:cs="Arial"/>
                <w:bCs/>
                <w:color w:val="000000"/>
                <w:sz w:val="20"/>
                <w:szCs w:val="20"/>
                <w:lang w:eastAsia="en-GB"/>
              </w:rPr>
              <w:t>CZ</w:t>
            </w:r>
          </w:p>
        </w:tc>
        <w:tc>
          <w:tcPr>
            <w:tcW w:w="840" w:type="dxa"/>
            <w:tcBorders>
              <w:top w:val="single" w:sz="4" w:space="0" w:color="auto"/>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bCs/>
                <w:color w:val="000000"/>
                <w:sz w:val="20"/>
                <w:szCs w:val="20"/>
                <w:lang w:eastAsia="en-GB"/>
              </w:rPr>
            </w:pPr>
            <w:r w:rsidRPr="00424E49">
              <w:rPr>
                <w:rFonts w:ascii="Calibri" w:eastAsia="Times New Roman" w:hAnsi="Calibri" w:cs="Arial"/>
                <w:bCs/>
                <w:color w:val="000000"/>
                <w:sz w:val="20"/>
                <w:szCs w:val="20"/>
                <w:lang w:eastAsia="en-GB"/>
              </w:rPr>
              <w:t>EE</w:t>
            </w:r>
          </w:p>
        </w:tc>
        <w:tc>
          <w:tcPr>
            <w:tcW w:w="840" w:type="dxa"/>
            <w:tcBorders>
              <w:top w:val="single" w:sz="4" w:space="0" w:color="auto"/>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bCs/>
                <w:color w:val="000000"/>
                <w:sz w:val="20"/>
                <w:szCs w:val="20"/>
                <w:lang w:eastAsia="en-GB"/>
              </w:rPr>
            </w:pPr>
            <w:r w:rsidRPr="00424E49">
              <w:rPr>
                <w:rFonts w:ascii="Calibri" w:eastAsia="Times New Roman" w:hAnsi="Calibri" w:cs="Arial"/>
                <w:bCs/>
                <w:color w:val="000000"/>
                <w:sz w:val="20"/>
                <w:szCs w:val="20"/>
                <w:lang w:eastAsia="en-GB"/>
              </w:rPr>
              <w:t>CY</w:t>
            </w:r>
          </w:p>
        </w:tc>
        <w:tc>
          <w:tcPr>
            <w:tcW w:w="840" w:type="dxa"/>
            <w:tcBorders>
              <w:top w:val="single" w:sz="4" w:space="0" w:color="auto"/>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bCs/>
                <w:color w:val="000000"/>
                <w:sz w:val="20"/>
                <w:szCs w:val="20"/>
                <w:lang w:eastAsia="en-GB"/>
              </w:rPr>
            </w:pPr>
            <w:r w:rsidRPr="00424E49">
              <w:rPr>
                <w:rFonts w:ascii="Calibri" w:eastAsia="Times New Roman" w:hAnsi="Calibri" w:cs="Arial"/>
                <w:bCs/>
                <w:color w:val="000000"/>
                <w:sz w:val="20"/>
                <w:szCs w:val="20"/>
                <w:lang w:eastAsia="en-GB"/>
              </w:rPr>
              <w:t>LV</w:t>
            </w:r>
          </w:p>
        </w:tc>
        <w:tc>
          <w:tcPr>
            <w:tcW w:w="840" w:type="dxa"/>
            <w:tcBorders>
              <w:top w:val="single" w:sz="4" w:space="0" w:color="auto"/>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bCs/>
                <w:color w:val="000000"/>
                <w:sz w:val="20"/>
                <w:szCs w:val="20"/>
                <w:lang w:eastAsia="en-GB"/>
              </w:rPr>
            </w:pPr>
            <w:r w:rsidRPr="00424E49">
              <w:rPr>
                <w:rFonts w:ascii="Calibri" w:eastAsia="Times New Roman" w:hAnsi="Calibri" w:cs="Arial"/>
                <w:bCs/>
                <w:color w:val="000000"/>
                <w:sz w:val="20"/>
                <w:szCs w:val="20"/>
                <w:lang w:eastAsia="en-GB"/>
              </w:rPr>
              <w:t>LT</w:t>
            </w:r>
          </w:p>
        </w:tc>
        <w:tc>
          <w:tcPr>
            <w:tcW w:w="840" w:type="dxa"/>
            <w:tcBorders>
              <w:top w:val="single" w:sz="4" w:space="0" w:color="auto"/>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bCs/>
                <w:color w:val="000000"/>
                <w:sz w:val="20"/>
                <w:szCs w:val="20"/>
                <w:lang w:eastAsia="en-GB"/>
              </w:rPr>
            </w:pPr>
            <w:r w:rsidRPr="00424E49">
              <w:rPr>
                <w:rFonts w:ascii="Calibri" w:eastAsia="Times New Roman" w:hAnsi="Calibri" w:cs="Arial"/>
                <w:bCs/>
                <w:color w:val="000000"/>
                <w:sz w:val="20"/>
                <w:szCs w:val="20"/>
                <w:lang w:eastAsia="en-GB"/>
              </w:rPr>
              <w:t>HU</w:t>
            </w:r>
          </w:p>
        </w:tc>
        <w:tc>
          <w:tcPr>
            <w:tcW w:w="840" w:type="dxa"/>
            <w:tcBorders>
              <w:top w:val="single" w:sz="4" w:space="0" w:color="auto"/>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bCs/>
                <w:color w:val="000000"/>
                <w:sz w:val="20"/>
                <w:szCs w:val="20"/>
                <w:lang w:eastAsia="en-GB"/>
              </w:rPr>
            </w:pPr>
            <w:r w:rsidRPr="00424E49">
              <w:rPr>
                <w:rFonts w:ascii="Calibri" w:eastAsia="Times New Roman" w:hAnsi="Calibri" w:cs="Arial"/>
                <w:bCs/>
                <w:color w:val="000000"/>
                <w:sz w:val="20"/>
                <w:szCs w:val="20"/>
                <w:lang w:eastAsia="en-GB"/>
              </w:rPr>
              <w:t>MT</w:t>
            </w:r>
          </w:p>
        </w:tc>
        <w:tc>
          <w:tcPr>
            <w:tcW w:w="840" w:type="dxa"/>
            <w:tcBorders>
              <w:top w:val="single" w:sz="4" w:space="0" w:color="auto"/>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bCs/>
                <w:color w:val="000000"/>
                <w:sz w:val="20"/>
                <w:szCs w:val="20"/>
                <w:lang w:eastAsia="en-GB"/>
              </w:rPr>
            </w:pPr>
            <w:r w:rsidRPr="00424E49">
              <w:rPr>
                <w:rFonts w:ascii="Calibri" w:eastAsia="Times New Roman" w:hAnsi="Calibri" w:cs="Arial"/>
                <w:bCs/>
                <w:color w:val="000000"/>
                <w:sz w:val="20"/>
                <w:szCs w:val="20"/>
                <w:lang w:eastAsia="en-GB"/>
              </w:rPr>
              <w:t>PL</w:t>
            </w:r>
          </w:p>
        </w:tc>
        <w:tc>
          <w:tcPr>
            <w:tcW w:w="840" w:type="dxa"/>
            <w:tcBorders>
              <w:top w:val="single" w:sz="4" w:space="0" w:color="auto"/>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bCs/>
                <w:color w:val="000000"/>
                <w:sz w:val="20"/>
                <w:szCs w:val="20"/>
                <w:lang w:eastAsia="en-GB"/>
              </w:rPr>
            </w:pPr>
            <w:r w:rsidRPr="00424E49">
              <w:rPr>
                <w:rFonts w:ascii="Calibri" w:eastAsia="Times New Roman" w:hAnsi="Calibri" w:cs="Arial"/>
                <w:bCs/>
                <w:color w:val="000000"/>
                <w:sz w:val="20"/>
                <w:szCs w:val="20"/>
                <w:lang w:eastAsia="en-GB"/>
              </w:rPr>
              <w:t>RO</w:t>
            </w:r>
          </w:p>
        </w:tc>
        <w:tc>
          <w:tcPr>
            <w:tcW w:w="840" w:type="dxa"/>
            <w:tcBorders>
              <w:top w:val="single" w:sz="4" w:space="0" w:color="auto"/>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bCs/>
                <w:color w:val="000000"/>
                <w:sz w:val="20"/>
                <w:szCs w:val="20"/>
                <w:lang w:eastAsia="en-GB"/>
              </w:rPr>
            </w:pPr>
            <w:r w:rsidRPr="00424E49">
              <w:rPr>
                <w:rFonts w:ascii="Calibri" w:eastAsia="Times New Roman" w:hAnsi="Calibri" w:cs="Arial"/>
                <w:bCs/>
                <w:color w:val="000000"/>
                <w:sz w:val="20"/>
                <w:szCs w:val="20"/>
                <w:lang w:eastAsia="en-GB"/>
              </w:rPr>
              <w:t>SI</w:t>
            </w:r>
          </w:p>
        </w:tc>
        <w:tc>
          <w:tcPr>
            <w:tcW w:w="840" w:type="dxa"/>
            <w:tcBorders>
              <w:top w:val="single" w:sz="4" w:space="0" w:color="auto"/>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bCs/>
                <w:color w:val="000000"/>
                <w:sz w:val="20"/>
                <w:szCs w:val="20"/>
                <w:lang w:eastAsia="en-GB"/>
              </w:rPr>
            </w:pPr>
            <w:r w:rsidRPr="00424E49">
              <w:rPr>
                <w:rFonts w:ascii="Calibri" w:eastAsia="Times New Roman" w:hAnsi="Calibri" w:cs="Arial"/>
                <w:bCs/>
                <w:color w:val="000000"/>
                <w:sz w:val="20"/>
                <w:szCs w:val="20"/>
                <w:lang w:eastAsia="en-GB"/>
              </w:rPr>
              <w:t>SK</w:t>
            </w:r>
          </w:p>
        </w:tc>
      </w:tr>
      <w:tr w:rsidR="00424E49" w:rsidRPr="00424E49" w:rsidTr="00424E49">
        <w:trPr>
          <w:trHeight w:val="300"/>
        </w:trPr>
        <w:tc>
          <w:tcPr>
            <w:tcW w:w="3020" w:type="dxa"/>
            <w:tcBorders>
              <w:top w:val="nil"/>
              <w:left w:val="single" w:sz="4" w:space="0" w:color="auto"/>
              <w:bottom w:val="single" w:sz="4" w:space="0" w:color="auto"/>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r w:rsidRPr="00424E49">
              <w:rPr>
                <w:rFonts w:ascii="Calibri" w:eastAsia="Times New Roman" w:hAnsi="Calibri" w:cs="Arial"/>
                <w:sz w:val="20"/>
                <w:szCs w:val="20"/>
                <w:lang w:eastAsia="en-GB"/>
              </w:rPr>
              <w:t> </w:t>
            </w:r>
          </w:p>
        </w:tc>
        <w:tc>
          <w:tcPr>
            <w:tcW w:w="10080" w:type="dxa"/>
            <w:gridSpan w:val="12"/>
            <w:tcBorders>
              <w:top w:val="nil"/>
              <w:left w:val="nil"/>
              <w:bottom w:val="single" w:sz="4" w:space="0" w:color="auto"/>
              <w:right w:val="single" w:sz="4" w:space="0" w:color="000000"/>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i/>
                <w:iCs/>
                <w:sz w:val="20"/>
                <w:szCs w:val="20"/>
                <w:lang w:eastAsia="en-GB"/>
              </w:rPr>
            </w:pPr>
            <w:r w:rsidRPr="00424E49">
              <w:rPr>
                <w:rFonts w:ascii="Calibri" w:eastAsia="Times New Roman" w:hAnsi="Calibri" w:cs="Arial"/>
                <w:i/>
                <w:iCs/>
                <w:sz w:val="20"/>
                <w:szCs w:val="20"/>
                <w:lang w:eastAsia="en-GB"/>
              </w:rPr>
              <w:t>Net shifts</w:t>
            </w:r>
          </w:p>
        </w:tc>
      </w:tr>
      <w:tr w:rsidR="00424E49" w:rsidRPr="00424E49" w:rsidTr="00424E49">
        <w:trPr>
          <w:trHeight w:val="300"/>
        </w:trPr>
        <w:tc>
          <w:tcPr>
            <w:tcW w:w="3020" w:type="dxa"/>
            <w:tcBorders>
              <w:top w:val="nil"/>
              <w:left w:val="single" w:sz="4" w:space="0" w:color="auto"/>
              <w:bottom w:val="nil"/>
              <w:right w:val="nil"/>
            </w:tcBorders>
            <w:shd w:val="clear" w:color="auto" w:fill="auto"/>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1.Innovation &amp; RTD</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-93</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311</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26</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-34</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-25</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2</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-103</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13</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848</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13</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39</w:t>
            </w:r>
          </w:p>
        </w:tc>
        <w:tc>
          <w:tcPr>
            <w:tcW w:w="840" w:type="dxa"/>
            <w:tcBorders>
              <w:top w:val="nil"/>
              <w:left w:val="nil"/>
              <w:bottom w:val="nil"/>
              <w:right w:val="single" w:sz="4" w:space="0" w:color="auto"/>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67</w:t>
            </w:r>
          </w:p>
        </w:tc>
      </w:tr>
      <w:tr w:rsidR="00424E49" w:rsidRPr="00424E49" w:rsidTr="00424E49">
        <w:trPr>
          <w:trHeight w:val="300"/>
        </w:trPr>
        <w:tc>
          <w:tcPr>
            <w:tcW w:w="3020" w:type="dxa"/>
            <w:tcBorders>
              <w:top w:val="nil"/>
              <w:left w:val="single" w:sz="4" w:space="0" w:color="auto"/>
              <w:bottom w:val="nil"/>
              <w:right w:val="nil"/>
            </w:tcBorders>
            <w:shd w:val="clear" w:color="auto" w:fill="auto"/>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2.Entrepreneurship</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-49</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-94</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-6</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14</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77</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7</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194</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-51</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single" w:sz="4" w:space="0" w:color="auto"/>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r>
      <w:tr w:rsidR="00424E49" w:rsidRPr="00424E49" w:rsidTr="00424E49">
        <w:trPr>
          <w:trHeight w:val="300"/>
        </w:trPr>
        <w:tc>
          <w:tcPr>
            <w:tcW w:w="3020" w:type="dxa"/>
            <w:tcBorders>
              <w:top w:val="nil"/>
              <w:left w:val="single" w:sz="4" w:space="0" w:color="auto"/>
              <w:bottom w:val="nil"/>
              <w:right w:val="nil"/>
            </w:tcBorders>
            <w:shd w:val="clear" w:color="auto" w:fill="auto"/>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3.Other investment in enterprises</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230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118</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23</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18</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-28</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-29</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452</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-3</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196</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427</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15</w:t>
            </w:r>
          </w:p>
        </w:tc>
        <w:tc>
          <w:tcPr>
            <w:tcW w:w="840" w:type="dxa"/>
            <w:tcBorders>
              <w:top w:val="nil"/>
              <w:left w:val="nil"/>
              <w:bottom w:val="nil"/>
              <w:right w:val="single" w:sz="4" w:space="0" w:color="auto"/>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34</w:t>
            </w:r>
          </w:p>
        </w:tc>
      </w:tr>
      <w:tr w:rsidR="00424E49" w:rsidRPr="00424E49" w:rsidTr="00424E49">
        <w:trPr>
          <w:trHeight w:val="300"/>
        </w:trPr>
        <w:tc>
          <w:tcPr>
            <w:tcW w:w="3020" w:type="dxa"/>
            <w:tcBorders>
              <w:top w:val="nil"/>
              <w:left w:val="single" w:sz="4" w:space="0" w:color="auto"/>
              <w:bottom w:val="nil"/>
              <w:right w:val="nil"/>
            </w:tcBorders>
            <w:shd w:val="clear" w:color="auto" w:fill="auto"/>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4.ICT for citizens &amp; business</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-34</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-234</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2</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-8</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-95</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-75</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11</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single" w:sz="4" w:space="0" w:color="auto"/>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-86</w:t>
            </w:r>
          </w:p>
        </w:tc>
      </w:tr>
      <w:tr w:rsidR="00424E49" w:rsidRPr="00424E49" w:rsidTr="00424E49">
        <w:trPr>
          <w:trHeight w:val="300"/>
        </w:trPr>
        <w:tc>
          <w:tcPr>
            <w:tcW w:w="3020" w:type="dxa"/>
            <w:tcBorders>
              <w:top w:val="nil"/>
              <w:left w:val="single" w:sz="4" w:space="0" w:color="auto"/>
              <w:bottom w:val="nil"/>
              <w:right w:val="nil"/>
            </w:tcBorders>
            <w:shd w:val="clear" w:color="auto" w:fill="auto"/>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5.Environment</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-84</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-250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-14</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6</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-82</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-29</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-73</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79</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-447</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17</w:t>
            </w:r>
          </w:p>
        </w:tc>
        <w:tc>
          <w:tcPr>
            <w:tcW w:w="840" w:type="dxa"/>
            <w:tcBorders>
              <w:top w:val="nil"/>
              <w:left w:val="nil"/>
              <w:bottom w:val="nil"/>
              <w:right w:val="single" w:sz="4" w:space="0" w:color="auto"/>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-18</w:t>
            </w:r>
          </w:p>
        </w:tc>
      </w:tr>
      <w:tr w:rsidR="00424E49" w:rsidRPr="00424E49" w:rsidTr="00424E49">
        <w:trPr>
          <w:trHeight w:val="300"/>
        </w:trPr>
        <w:tc>
          <w:tcPr>
            <w:tcW w:w="3020" w:type="dxa"/>
            <w:tcBorders>
              <w:top w:val="nil"/>
              <w:left w:val="single" w:sz="4" w:space="0" w:color="auto"/>
              <w:bottom w:val="nil"/>
              <w:right w:val="nil"/>
            </w:tcBorders>
            <w:shd w:val="clear" w:color="auto" w:fill="auto"/>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6.Energy</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68</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164</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-45</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4</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66</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348</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39</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122</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-2</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single" w:sz="4" w:space="0" w:color="auto"/>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12</w:t>
            </w:r>
          </w:p>
        </w:tc>
      </w:tr>
      <w:tr w:rsidR="00424E49" w:rsidRPr="00424E49" w:rsidTr="00424E49">
        <w:trPr>
          <w:trHeight w:val="300"/>
        </w:trPr>
        <w:tc>
          <w:tcPr>
            <w:tcW w:w="3020" w:type="dxa"/>
            <w:tcBorders>
              <w:top w:val="nil"/>
              <w:left w:val="single" w:sz="4" w:space="0" w:color="auto"/>
              <w:bottom w:val="nil"/>
              <w:right w:val="nil"/>
            </w:tcBorders>
            <w:shd w:val="clear" w:color="auto" w:fill="auto"/>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7.Broadband</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8</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21</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-44</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-8</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single" w:sz="4" w:space="0" w:color="auto"/>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-70</w:t>
            </w:r>
          </w:p>
        </w:tc>
      </w:tr>
      <w:tr w:rsidR="00424E49" w:rsidRPr="00424E49" w:rsidTr="00424E49">
        <w:trPr>
          <w:trHeight w:val="300"/>
        </w:trPr>
        <w:tc>
          <w:tcPr>
            <w:tcW w:w="3020" w:type="dxa"/>
            <w:tcBorders>
              <w:top w:val="nil"/>
              <w:left w:val="single" w:sz="4" w:space="0" w:color="auto"/>
              <w:bottom w:val="nil"/>
              <w:right w:val="nil"/>
            </w:tcBorders>
            <w:shd w:val="clear" w:color="auto" w:fill="auto"/>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8.Road</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-62</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169</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-32</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4</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-315</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-29</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695</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523</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-23</w:t>
            </w:r>
          </w:p>
        </w:tc>
        <w:tc>
          <w:tcPr>
            <w:tcW w:w="840" w:type="dxa"/>
            <w:tcBorders>
              <w:top w:val="nil"/>
              <w:left w:val="nil"/>
              <w:bottom w:val="nil"/>
              <w:right w:val="single" w:sz="4" w:space="0" w:color="auto"/>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-31</w:t>
            </w:r>
          </w:p>
        </w:tc>
      </w:tr>
      <w:tr w:rsidR="00424E49" w:rsidRPr="00424E49" w:rsidTr="00424E49">
        <w:trPr>
          <w:trHeight w:val="300"/>
        </w:trPr>
        <w:tc>
          <w:tcPr>
            <w:tcW w:w="3020" w:type="dxa"/>
            <w:tcBorders>
              <w:top w:val="nil"/>
              <w:left w:val="single" w:sz="4" w:space="0" w:color="auto"/>
              <w:bottom w:val="nil"/>
              <w:right w:val="nil"/>
            </w:tcBorders>
            <w:shd w:val="clear" w:color="auto" w:fill="auto"/>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9.Rail</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-123</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-50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14</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63</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-14</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-161</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single" w:sz="4" w:space="0" w:color="auto"/>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-74</w:t>
            </w:r>
          </w:p>
        </w:tc>
      </w:tr>
      <w:tr w:rsidR="00424E49" w:rsidRPr="00424E49" w:rsidTr="00424E49">
        <w:trPr>
          <w:trHeight w:val="300"/>
        </w:trPr>
        <w:tc>
          <w:tcPr>
            <w:tcW w:w="3020" w:type="dxa"/>
            <w:tcBorders>
              <w:top w:val="nil"/>
              <w:left w:val="single" w:sz="4" w:space="0" w:color="auto"/>
              <w:bottom w:val="nil"/>
              <w:right w:val="nil"/>
            </w:tcBorders>
            <w:shd w:val="clear" w:color="auto" w:fill="auto"/>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10.Other transport</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225</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-13</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-9</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-19</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-263</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-11</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-33</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-220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-51</w:t>
            </w:r>
          </w:p>
        </w:tc>
        <w:tc>
          <w:tcPr>
            <w:tcW w:w="840" w:type="dxa"/>
            <w:tcBorders>
              <w:top w:val="nil"/>
              <w:left w:val="nil"/>
              <w:bottom w:val="nil"/>
              <w:right w:val="single" w:sz="4" w:space="0" w:color="auto"/>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21</w:t>
            </w:r>
          </w:p>
        </w:tc>
      </w:tr>
      <w:tr w:rsidR="00424E49" w:rsidRPr="00424E49" w:rsidTr="00424E49">
        <w:trPr>
          <w:trHeight w:val="300"/>
        </w:trPr>
        <w:tc>
          <w:tcPr>
            <w:tcW w:w="3020" w:type="dxa"/>
            <w:tcBorders>
              <w:top w:val="nil"/>
              <w:left w:val="single" w:sz="4" w:space="0" w:color="auto"/>
              <w:bottom w:val="nil"/>
              <w:right w:val="nil"/>
            </w:tcBorders>
            <w:shd w:val="clear" w:color="auto" w:fill="auto"/>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11.Human capital</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-30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-43</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single" w:sz="4" w:space="0" w:color="auto"/>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r w:rsidRPr="00424E49">
              <w:rPr>
                <w:rFonts w:ascii="Calibri" w:eastAsia="Times New Roman" w:hAnsi="Calibri" w:cs="Arial"/>
                <w:sz w:val="20"/>
                <w:szCs w:val="20"/>
                <w:lang w:eastAsia="en-GB"/>
              </w:rPr>
              <w:t> </w:t>
            </w:r>
          </w:p>
        </w:tc>
      </w:tr>
      <w:tr w:rsidR="00424E49" w:rsidRPr="00424E49" w:rsidTr="00424E49">
        <w:trPr>
          <w:trHeight w:val="300"/>
        </w:trPr>
        <w:tc>
          <w:tcPr>
            <w:tcW w:w="3020" w:type="dxa"/>
            <w:tcBorders>
              <w:top w:val="nil"/>
              <w:left w:val="single" w:sz="4" w:space="0" w:color="auto"/>
              <w:bottom w:val="nil"/>
              <w:right w:val="nil"/>
            </w:tcBorders>
            <w:shd w:val="clear" w:color="auto" w:fill="auto"/>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12.Labour market</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-35</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-139</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-30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single" w:sz="4" w:space="0" w:color="auto"/>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r>
      <w:tr w:rsidR="00424E49" w:rsidRPr="00424E49" w:rsidTr="00424E49">
        <w:trPr>
          <w:trHeight w:val="300"/>
        </w:trPr>
        <w:tc>
          <w:tcPr>
            <w:tcW w:w="3020" w:type="dxa"/>
            <w:tcBorders>
              <w:top w:val="nil"/>
              <w:left w:val="single" w:sz="4" w:space="0" w:color="auto"/>
              <w:bottom w:val="nil"/>
              <w:right w:val="nil"/>
            </w:tcBorders>
            <w:shd w:val="clear" w:color="auto" w:fill="auto"/>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13.Culture &amp; social</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26</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57</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-19</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30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-93</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43</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612</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5</w:t>
            </w:r>
          </w:p>
        </w:tc>
        <w:tc>
          <w:tcPr>
            <w:tcW w:w="840" w:type="dxa"/>
            <w:tcBorders>
              <w:top w:val="nil"/>
              <w:left w:val="nil"/>
              <w:bottom w:val="nil"/>
              <w:right w:val="single" w:sz="4" w:space="0" w:color="auto"/>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90</w:t>
            </w:r>
          </w:p>
        </w:tc>
      </w:tr>
      <w:tr w:rsidR="00424E49" w:rsidRPr="00424E49" w:rsidTr="00424E49">
        <w:trPr>
          <w:trHeight w:val="300"/>
        </w:trPr>
        <w:tc>
          <w:tcPr>
            <w:tcW w:w="3020" w:type="dxa"/>
            <w:tcBorders>
              <w:top w:val="nil"/>
              <w:left w:val="single" w:sz="4" w:space="0" w:color="auto"/>
              <w:bottom w:val="nil"/>
              <w:right w:val="nil"/>
            </w:tcBorders>
            <w:shd w:val="clear" w:color="auto" w:fill="auto"/>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14.Social Inclusion</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single" w:sz="4" w:space="0" w:color="auto"/>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r w:rsidRPr="00424E49">
              <w:rPr>
                <w:rFonts w:ascii="Calibri" w:eastAsia="Times New Roman" w:hAnsi="Calibri" w:cs="Arial"/>
                <w:sz w:val="20"/>
                <w:szCs w:val="20"/>
                <w:lang w:eastAsia="en-GB"/>
              </w:rPr>
              <w:t> </w:t>
            </w:r>
          </w:p>
        </w:tc>
      </w:tr>
      <w:tr w:rsidR="00424E49" w:rsidRPr="00424E49" w:rsidTr="00424E49">
        <w:trPr>
          <w:trHeight w:val="300"/>
        </w:trPr>
        <w:tc>
          <w:tcPr>
            <w:tcW w:w="3020" w:type="dxa"/>
            <w:tcBorders>
              <w:top w:val="nil"/>
              <w:left w:val="single" w:sz="4" w:space="0" w:color="auto"/>
              <w:bottom w:val="nil"/>
              <w:right w:val="nil"/>
            </w:tcBorders>
            <w:shd w:val="clear" w:color="auto" w:fill="auto"/>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15.Territorial Dimension</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19</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75</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37</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66</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24</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118</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-865</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-5</w:t>
            </w:r>
          </w:p>
        </w:tc>
        <w:tc>
          <w:tcPr>
            <w:tcW w:w="840" w:type="dxa"/>
            <w:tcBorders>
              <w:top w:val="nil"/>
              <w:left w:val="nil"/>
              <w:bottom w:val="nil"/>
              <w:right w:val="single" w:sz="4" w:space="0" w:color="auto"/>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186</w:t>
            </w:r>
          </w:p>
        </w:tc>
      </w:tr>
      <w:tr w:rsidR="00424E49" w:rsidRPr="00424E49" w:rsidTr="00424E49">
        <w:trPr>
          <w:trHeight w:val="300"/>
        </w:trPr>
        <w:tc>
          <w:tcPr>
            <w:tcW w:w="3020" w:type="dxa"/>
            <w:tcBorders>
              <w:top w:val="nil"/>
              <w:left w:val="single" w:sz="4" w:space="0" w:color="auto"/>
              <w:bottom w:val="nil"/>
              <w:right w:val="nil"/>
            </w:tcBorders>
            <w:shd w:val="clear" w:color="auto" w:fill="auto"/>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16.Capacity Building</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-77</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9</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-34</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single" w:sz="4" w:space="0" w:color="auto"/>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r>
      <w:tr w:rsidR="00424E49" w:rsidRPr="00424E49" w:rsidTr="00424E49">
        <w:trPr>
          <w:trHeight w:val="300"/>
        </w:trPr>
        <w:tc>
          <w:tcPr>
            <w:tcW w:w="3020" w:type="dxa"/>
            <w:tcBorders>
              <w:top w:val="nil"/>
              <w:left w:val="single" w:sz="4" w:space="0" w:color="auto"/>
              <w:bottom w:val="nil"/>
              <w:right w:val="nil"/>
            </w:tcBorders>
            <w:shd w:val="clear" w:color="auto" w:fill="auto"/>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17.Technical Assistance</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-11</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-165</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-3</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-22</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-389</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14</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3</w:t>
            </w:r>
          </w:p>
        </w:tc>
        <w:tc>
          <w:tcPr>
            <w:tcW w:w="840" w:type="dxa"/>
            <w:tcBorders>
              <w:top w:val="nil"/>
              <w:left w:val="nil"/>
              <w:bottom w:val="nil"/>
              <w:right w:val="single" w:sz="4" w:space="0" w:color="auto"/>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6</w:t>
            </w:r>
          </w:p>
        </w:tc>
      </w:tr>
      <w:tr w:rsidR="00424E49" w:rsidRPr="00424E49" w:rsidTr="00424E49">
        <w:trPr>
          <w:trHeight w:val="300"/>
        </w:trPr>
        <w:tc>
          <w:tcPr>
            <w:tcW w:w="3020" w:type="dxa"/>
            <w:tcBorders>
              <w:top w:val="nil"/>
              <w:left w:val="single" w:sz="4" w:space="0" w:color="auto"/>
              <w:bottom w:val="single" w:sz="4" w:space="0" w:color="auto"/>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Total</w:t>
            </w:r>
          </w:p>
        </w:tc>
        <w:tc>
          <w:tcPr>
            <w:tcW w:w="840" w:type="dxa"/>
            <w:tcBorders>
              <w:top w:val="nil"/>
              <w:left w:val="nil"/>
              <w:bottom w:val="single" w:sz="4" w:space="0" w:color="auto"/>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single" w:sz="4" w:space="0" w:color="auto"/>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-73</w:t>
            </w:r>
          </w:p>
        </w:tc>
        <w:tc>
          <w:tcPr>
            <w:tcW w:w="840" w:type="dxa"/>
            <w:tcBorders>
              <w:top w:val="nil"/>
              <w:left w:val="nil"/>
              <w:bottom w:val="single" w:sz="4" w:space="0" w:color="auto"/>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single" w:sz="4" w:space="0" w:color="auto"/>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single" w:sz="4" w:space="0" w:color="auto"/>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-32</w:t>
            </w:r>
          </w:p>
        </w:tc>
        <w:tc>
          <w:tcPr>
            <w:tcW w:w="840" w:type="dxa"/>
            <w:tcBorders>
              <w:top w:val="nil"/>
              <w:left w:val="nil"/>
              <w:bottom w:val="single" w:sz="4" w:space="0" w:color="auto"/>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single" w:sz="4" w:space="0" w:color="auto"/>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-11</w:t>
            </w:r>
          </w:p>
        </w:tc>
        <w:tc>
          <w:tcPr>
            <w:tcW w:w="840" w:type="dxa"/>
            <w:tcBorders>
              <w:top w:val="nil"/>
              <w:left w:val="nil"/>
              <w:bottom w:val="single" w:sz="4" w:space="0" w:color="auto"/>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single" w:sz="4" w:space="0" w:color="auto"/>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1663</w:t>
            </w:r>
          </w:p>
        </w:tc>
        <w:tc>
          <w:tcPr>
            <w:tcW w:w="840" w:type="dxa"/>
            <w:tcBorders>
              <w:top w:val="nil"/>
              <w:left w:val="nil"/>
              <w:bottom w:val="single" w:sz="4" w:space="0" w:color="auto"/>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-155</w:t>
            </w:r>
          </w:p>
        </w:tc>
        <w:tc>
          <w:tcPr>
            <w:tcW w:w="840" w:type="dxa"/>
            <w:tcBorders>
              <w:top w:val="nil"/>
              <w:left w:val="nil"/>
              <w:bottom w:val="single" w:sz="4" w:space="0" w:color="auto"/>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single" w:sz="4" w:space="0" w:color="auto"/>
              <w:right w:val="single" w:sz="4" w:space="0" w:color="auto"/>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138</w:t>
            </w:r>
          </w:p>
        </w:tc>
      </w:tr>
      <w:tr w:rsidR="00424E49" w:rsidRPr="00424E49" w:rsidTr="00424E49">
        <w:trPr>
          <w:trHeight w:val="552"/>
        </w:trPr>
        <w:tc>
          <w:tcPr>
            <w:tcW w:w="13100" w:type="dxa"/>
            <w:gridSpan w:val="13"/>
            <w:tcBorders>
              <w:top w:val="single" w:sz="4" w:space="0" w:color="auto"/>
              <w:left w:val="nil"/>
              <w:bottom w:val="nil"/>
              <w:right w:val="nil"/>
            </w:tcBorders>
            <w:shd w:val="clear" w:color="auto" w:fill="auto"/>
            <w:vAlign w:val="bottom"/>
            <w:hideMark/>
          </w:tcPr>
          <w:p w:rsidR="00424E49" w:rsidRPr="00424E49" w:rsidRDefault="00424E49" w:rsidP="00A62D51">
            <w:pPr>
              <w:spacing w:after="0" w:line="240" w:lineRule="auto"/>
              <w:jc w:val="both"/>
              <w:rPr>
                <w:rFonts w:ascii="Calibri" w:eastAsia="Times New Roman" w:hAnsi="Calibri" w:cs="Arial"/>
                <w:i/>
                <w:iCs/>
                <w:sz w:val="20"/>
                <w:szCs w:val="20"/>
                <w:lang w:eastAsia="en-GB"/>
              </w:rPr>
            </w:pPr>
            <w:r w:rsidRPr="00424E49">
              <w:rPr>
                <w:rFonts w:ascii="Calibri" w:eastAsia="Times New Roman" w:hAnsi="Calibri" w:cs="Arial"/>
                <w:i/>
                <w:iCs/>
                <w:sz w:val="20"/>
                <w:szCs w:val="20"/>
                <w:lang w:eastAsia="en-GB"/>
              </w:rPr>
              <w:t>Note: The figures show the sum of the shifts in funding in OPs in each of countries; DK, LU and SE are exc</w:t>
            </w:r>
            <w:r w:rsidR="00A62D51">
              <w:rPr>
                <w:rFonts w:ascii="Calibri" w:eastAsia="Times New Roman" w:hAnsi="Calibri" w:cs="Arial"/>
                <w:i/>
                <w:iCs/>
                <w:sz w:val="20"/>
                <w:szCs w:val="20"/>
                <w:lang w:eastAsia="en-GB"/>
              </w:rPr>
              <w:t>l</w:t>
            </w:r>
            <w:r w:rsidRPr="00424E49">
              <w:rPr>
                <w:rFonts w:ascii="Calibri" w:eastAsia="Times New Roman" w:hAnsi="Calibri" w:cs="Arial"/>
                <w:i/>
                <w:iCs/>
                <w:sz w:val="20"/>
                <w:szCs w:val="20"/>
                <w:lang w:eastAsia="en-GB"/>
              </w:rPr>
              <w:t>uded because there were no changes to pr</w:t>
            </w:r>
            <w:r w:rsidR="00A62D51">
              <w:rPr>
                <w:rFonts w:ascii="Calibri" w:eastAsia="Times New Roman" w:hAnsi="Calibri" w:cs="Arial"/>
                <w:i/>
                <w:iCs/>
                <w:sz w:val="20"/>
                <w:szCs w:val="20"/>
                <w:lang w:eastAsia="en-GB"/>
              </w:rPr>
              <w:t>o</w:t>
            </w:r>
            <w:r w:rsidRPr="00424E49">
              <w:rPr>
                <w:rFonts w:ascii="Calibri" w:eastAsia="Times New Roman" w:hAnsi="Calibri" w:cs="Arial"/>
                <w:i/>
                <w:iCs/>
                <w:sz w:val="20"/>
                <w:szCs w:val="20"/>
                <w:lang w:eastAsia="en-GB"/>
              </w:rPr>
              <w:t>grammes over the period</w:t>
            </w:r>
          </w:p>
        </w:tc>
      </w:tr>
      <w:tr w:rsidR="00424E49" w:rsidRPr="00424E49" w:rsidTr="00424E49">
        <w:trPr>
          <w:trHeight w:val="300"/>
        </w:trPr>
        <w:tc>
          <w:tcPr>
            <w:tcW w:w="8900" w:type="dxa"/>
            <w:gridSpan w:val="8"/>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i/>
                <w:iCs/>
                <w:sz w:val="20"/>
                <w:szCs w:val="20"/>
                <w:lang w:eastAsia="en-GB"/>
              </w:rPr>
            </w:pPr>
            <w:r w:rsidRPr="00424E49">
              <w:rPr>
                <w:rFonts w:ascii="Calibri" w:eastAsia="Times New Roman" w:hAnsi="Calibri" w:cs="Arial"/>
                <w:i/>
                <w:iCs/>
                <w:sz w:val="20"/>
                <w:szCs w:val="20"/>
                <w:lang w:eastAsia="en-GB"/>
              </w:rPr>
              <w:t xml:space="preserve">Source: DG Regional Policy, </w:t>
            </w:r>
            <w:proofErr w:type="spellStart"/>
            <w:r w:rsidRPr="00424E49">
              <w:rPr>
                <w:rFonts w:ascii="Calibri" w:eastAsia="Times New Roman" w:hAnsi="Calibri" w:cs="Arial"/>
                <w:i/>
                <w:iCs/>
                <w:sz w:val="20"/>
                <w:szCs w:val="20"/>
                <w:lang w:eastAsia="en-GB"/>
              </w:rPr>
              <w:t>Inforegio</w:t>
            </w:r>
            <w:proofErr w:type="spellEnd"/>
            <w:r w:rsidRPr="00424E49">
              <w:rPr>
                <w:rFonts w:ascii="Calibri" w:eastAsia="Times New Roman" w:hAnsi="Calibri" w:cs="Arial"/>
                <w:i/>
                <w:iCs/>
                <w:sz w:val="20"/>
                <w:szCs w:val="20"/>
                <w:lang w:eastAsia="en-GB"/>
              </w:rPr>
              <w:t xml:space="preserve"> database</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r>
    </w:tbl>
    <w:p w:rsidR="00424E49" w:rsidRDefault="00424E49" w:rsidP="000056C5">
      <w:pPr>
        <w:jc w:val="both"/>
      </w:pPr>
    </w:p>
    <w:p w:rsidR="00424E49" w:rsidRDefault="00424E49" w:rsidP="000056C5">
      <w:pPr>
        <w:jc w:val="both"/>
      </w:pPr>
      <w:r>
        <w:br w:type="page"/>
      </w:r>
    </w:p>
    <w:p w:rsidR="00424E49" w:rsidRDefault="00424E49" w:rsidP="000056C5">
      <w:pPr>
        <w:pStyle w:val="Figuretitle"/>
        <w:jc w:val="both"/>
      </w:pPr>
      <w:r w:rsidRPr="004718C1">
        <w:t xml:space="preserve">Table </w:t>
      </w:r>
      <w:r>
        <w:t>A.2</w:t>
      </w:r>
      <w:r w:rsidRPr="004718C1">
        <w:t xml:space="preserve"> Net shift</w:t>
      </w:r>
      <w:r>
        <w:t>s in funding by broad theme</w:t>
      </w:r>
      <w:r w:rsidRPr="004718C1">
        <w:t xml:space="preserve"> in </w:t>
      </w:r>
      <w:r>
        <w:t>EU15 countries, 2007 to 2014 (</w:t>
      </w:r>
      <w:r w:rsidRPr="004718C1">
        <w:t>EUR million</w:t>
      </w:r>
      <w:r>
        <w:t>)</w:t>
      </w:r>
    </w:p>
    <w:tbl>
      <w:tblPr>
        <w:tblW w:w="13100" w:type="dxa"/>
        <w:tblInd w:w="93" w:type="dxa"/>
        <w:tblLook w:val="04A0" w:firstRow="1" w:lastRow="0" w:firstColumn="1" w:lastColumn="0" w:noHBand="0" w:noVBand="1"/>
      </w:tblPr>
      <w:tblGrid>
        <w:gridCol w:w="3020"/>
        <w:gridCol w:w="840"/>
        <w:gridCol w:w="840"/>
        <w:gridCol w:w="840"/>
        <w:gridCol w:w="840"/>
        <w:gridCol w:w="840"/>
        <w:gridCol w:w="840"/>
        <w:gridCol w:w="840"/>
        <w:gridCol w:w="840"/>
        <w:gridCol w:w="840"/>
        <w:gridCol w:w="840"/>
        <w:gridCol w:w="840"/>
        <w:gridCol w:w="840"/>
      </w:tblGrid>
      <w:tr w:rsidR="00424E49" w:rsidRPr="00424E49" w:rsidTr="00424E49">
        <w:trPr>
          <w:trHeight w:val="300"/>
        </w:trPr>
        <w:tc>
          <w:tcPr>
            <w:tcW w:w="3020" w:type="dxa"/>
            <w:tcBorders>
              <w:top w:val="single" w:sz="4" w:space="0" w:color="auto"/>
              <w:left w:val="single" w:sz="4" w:space="0" w:color="auto"/>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r w:rsidRPr="00424E49">
              <w:rPr>
                <w:rFonts w:ascii="Calibri" w:eastAsia="Times New Roman" w:hAnsi="Calibri" w:cs="Arial"/>
                <w:sz w:val="20"/>
                <w:szCs w:val="20"/>
                <w:lang w:eastAsia="en-GB"/>
              </w:rPr>
              <w:t> </w:t>
            </w:r>
          </w:p>
        </w:tc>
        <w:tc>
          <w:tcPr>
            <w:tcW w:w="840" w:type="dxa"/>
            <w:tcBorders>
              <w:top w:val="single" w:sz="4" w:space="0" w:color="auto"/>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BE</w:t>
            </w:r>
          </w:p>
        </w:tc>
        <w:tc>
          <w:tcPr>
            <w:tcW w:w="840" w:type="dxa"/>
            <w:tcBorders>
              <w:top w:val="single" w:sz="4" w:space="0" w:color="auto"/>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DE</w:t>
            </w:r>
          </w:p>
        </w:tc>
        <w:tc>
          <w:tcPr>
            <w:tcW w:w="840" w:type="dxa"/>
            <w:tcBorders>
              <w:top w:val="single" w:sz="4" w:space="0" w:color="auto"/>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IE</w:t>
            </w:r>
          </w:p>
        </w:tc>
        <w:tc>
          <w:tcPr>
            <w:tcW w:w="840" w:type="dxa"/>
            <w:tcBorders>
              <w:top w:val="single" w:sz="4" w:space="0" w:color="auto"/>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GR</w:t>
            </w:r>
          </w:p>
        </w:tc>
        <w:tc>
          <w:tcPr>
            <w:tcW w:w="840" w:type="dxa"/>
            <w:tcBorders>
              <w:top w:val="single" w:sz="4" w:space="0" w:color="auto"/>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ES</w:t>
            </w:r>
          </w:p>
        </w:tc>
        <w:tc>
          <w:tcPr>
            <w:tcW w:w="840" w:type="dxa"/>
            <w:tcBorders>
              <w:top w:val="single" w:sz="4" w:space="0" w:color="auto"/>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FR</w:t>
            </w:r>
          </w:p>
        </w:tc>
        <w:tc>
          <w:tcPr>
            <w:tcW w:w="840" w:type="dxa"/>
            <w:tcBorders>
              <w:top w:val="single" w:sz="4" w:space="0" w:color="auto"/>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IT</w:t>
            </w:r>
          </w:p>
        </w:tc>
        <w:tc>
          <w:tcPr>
            <w:tcW w:w="840" w:type="dxa"/>
            <w:tcBorders>
              <w:top w:val="single" w:sz="4" w:space="0" w:color="auto"/>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NL</w:t>
            </w:r>
          </w:p>
        </w:tc>
        <w:tc>
          <w:tcPr>
            <w:tcW w:w="840" w:type="dxa"/>
            <w:tcBorders>
              <w:top w:val="single" w:sz="4" w:space="0" w:color="auto"/>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AT</w:t>
            </w:r>
          </w:p>
        </w:tc>
        <w:tc>
          <w:tcPr>
            <w:tcW w:w="840" w:type="dxa"/>
            <w:tcBorders>
              <w:top w:val="single" w:sz="4" w:space="0" w:color="auto"/>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PT</w:t>
            </w:r>
          </w:p>
        </w:tc>
        <w:tc>
          <w:tcPr>
            <w:tcW w:w="840" w:type="dxa"/>
            <w:tcBorders>
              <w:top w:val="single" w:sz="4" w:space="0" w:color="auto"/>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FI</w:t>
            </w:r>
          </w:p>
        </w:tc>
        <w:tc>
          <w:tcPr>
            <w:tcW w:w="840" w:type="dxa"/>
            <w:tcBorders>
              <w:top w:val="single" w:sz="4" w:space="0" w:color="auto"/>
              <w:left w:val="nil"/>
              <w:bottom w:val="nil"/>
              <w:right w:val="single" w:sz="4" w:space="0" w:color="auto"/>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UK</w:t>
            </w:r>
          </w:p>
        </w:tc>
      </w:tr>
      <w:tr w:rsidR="00424E49" w:rsidRPr="00424E49" w:rsidTr="00424E49">
        <w:trPr>
          <w:trHeight w:val="252"/>
        </w:trPr>
        <w:tc>
          <w:tcPr>
            <w:tcW w:w="3020" w:type="dxa"/>
            <w:tcBorders>
              <w:top w:val="nil"/>
              <w:left w:val="single" w:sz="4" w:space="0" w:color="auto"/>
              <w:bottom w:val="single" w:sz="4" w:space="0" w:color="auto"/>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b/>
                <w:bCs/>
                <w:color w:val="000000"/>
                <w:sz w:val="20"/>
                <w:szCs w:val="20"/>
                <w:lang w:eastAsia="en-GB"/>
              </w:rPr>
            </w:pPr>
            <w:r w:rsidRPr="00424E49">
              <w:rPr>
                <w:rFonts w:ascii="Calibri" w:eastAsia="Times New Roman" w:hAnsi="Calibri" w:cs="Arial"/>
                <w:b/>
                <w:bCs/>
                <w:color w:val="000000"/>
                <w:sz w:val="20"/>
                <w:szCs w:val="20"/>
                <w:lang w:eastAsia="en-GB"/>
              </w:rPr>
              <w:t> </w:t>
            </w:r>
          </w:p>
        </w:tc>
        <w:tc>
          <w:tcPr>
            <w:tcW w:w="10080" w:type="dxa"/>
            <w:gridSpan w:val="12"/>
            <w:tcBorders>
              <w:top w:val="nil"/>
              <w:left w:val="nil"/>
              <w:bottom w:val="single" w:sz="4" w:space="0" w:color="auto"/>
              <w:right w:val="single" w:sz="4" w:space="0" w:color="000000"/>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i/>
                <w:iCs/>
                <w:sz w:val="20"/>
                <w:szCs w:val="20"/>
                <w:lang w:eastAsia="en-GB"/>
              </w:rPr>
            </w:pPr>
            <w:r w:rsidRPr="00424E49">
              <w:rPr>
                <w:rFonts w:ascii="Calibri" w:eastAsia="Times New Roman" w:hAnsi="Calibri" w:cs="Arial"/>
                <w:i/>
                <w:iCs/>
                <w:sz w:val="20"/>
                <w:szCs w:val="20"/>
                <w:lang w:eastAsia="en-GB"/>
              </w:rPr>
              <w:t>Net shifts</w:t>
            </w:r>
          </w:p>
        </w:tc>
      </w:tr>
      <w:tr w:rsidR="00424E49" w:rsidRPr="00424E49" w:rsidTr="00424E49">
        <w:trPr>
          <w:trHeight w:val="300"/>
        </w:trPr>
        <w:tc>
          <w:tcPr>
            <w:tcW w:w="3020" w:type="dxa"/>
            <w:tcBorders>
              <w:top w:val="nil"/>
              <w:left w:val="single" w:sz="4" w:space="0" w:color="auto"/>
              <w:bottom w:val="nil"/>
              <w:right w:val="nil"/>
            </w:tcBorders>
            <w:shd w:val="clear" w:color="auto" w:fill="auto"/>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1.Innovation &amp; RTD</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-22</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326</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41</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531</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-109</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-58</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-137</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17</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-47</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424</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single" w:sz="4" w:space="0" w:color="auto"/>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-333</w:t>
            </w:r>
          </w:p>
        </w:tc>
      </w:tr>
      <w:tr w:rsidR="00424E49" w:rsidRPr="00424E49" w:rsidTr="00424E49">
        <w:trPr>
          <w:trHeight w:val="300"/>
        </w:trPr>
        <w:tc>
          <w:tcPr>
            <w:tcW w:w="3020" w:type="dxa"/>
            <w:tcBorders>
              <w:top w:val="nil"/>
              <w:left w:val="single" w:sz="4" w:space="0" w:color="auto"/>
              <w:bottom w:val="nil"/>
              <w:right w:val="nil"/>
            </w:tcBorders>
            <w:shd w:val="clear" w:color="auto" w:fill="auto"/>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2.Entrepreneurship</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-8</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-120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389</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-60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-15</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101</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-3</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-43</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single" w:sz="4" w:space="0" w:color="auto"/>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-165</w:t>
            </w:r>
          </w:p>
        </w:tc>
      </w:tr>
      <w:tr w:rsidR="00424E49" w:rsidRPr="00424E49" w:rsidTr="00424E49">
        <w:trPr>
          <w:trHeight w:val="300"/>
        </w:trPr>
        <w:tc>
          <w:tcPr>
            <w:tcW w:w="3020" w:type="dxa"/>
            <w:tcBorders>
              <w:top w:val="nil"/>
              <w:left w:val="single" w:sz="4" w:space="0" w:color="auto"/>
              <w:bottom w:val="nil"/>
              <w:right w:val="nil"/>
            </w:tcBorders>
            <w:shd w:val="clear" w:color="auto" w:fill="auto"/>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3.Other investment in enterprises</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9</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-46</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-2</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94</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-205</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-3</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161</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-14</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47</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single" w:sz="4" w:space="0" w:color="auto"/>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206</w:t>
            </w:r>
          </w:p>
        </w:tc>
      </w:tr>
      <w:tr w:rsidR="00424E49" w:rsidRPr="00424E49" w:rsidTr="00424E49">
        <w:trPr>
          <w:trHeight w:val="300"/>
        </w:trPr>
        <w:tc>
          <w:tcPr>
            <w:tcW w:w="3020" w:type="dxa"/>
            <w:tcBorders>
              <w:top w:val="nil"/>
              <w:left w:val="single" w:sz="4" w:space="0" w:color="auto"/>
              <w:bottom w:val="nil"/>
              <w:right w:val="nil"/>
            </w:tcBorders>
            <w:shd w:val="clear" w:color="auto" w:fill="auto"/>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4.ICT for citizens &amp; business</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3</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-15</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-512</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187</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-21</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-135</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-4</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-3</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-122</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single" w:sz="4" w:space="0" w:color="auto"/>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-40</w:t>
            </w:r>
          </w:p>
        </w:tc>
      </w:tr>
      <w:tr w:rsidR="00424E49" w:rsidRPr="00424E49" w:rsidTr="00424E49">
        <w:trPr>
          <w:trHeight w:val="300"/>
        </w:trPr>
        <w:tc>
          <w:tcPr>
            <w:tcW w:w="3020" w:type="dxa"/>
            <w:tcBorders>
              <w:top w:val="nil"/>
              <w:left w:val="single" w:sz="4" w:space="0" w:color="auto"/>
              <w:bottom w:val="nil"/>
              <w:right w:val="nil"/>
            </w:tcBorders>
            <w:shd w:val="clear" w:color="auto" w:fill="auto"/>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5.Environment</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-166</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13</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-693</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-702</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-25</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-184</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-7</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-344</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w:t>
            </w:r>
          </w:p>
        </w:tc>
        <w:tc>
          <w:tcPr>
            <w:tcW w:w="840" w:type="dxa"/>
            <w:tcBorders>
              <w:top w:val="nil"/>
              <w:left w:val="nil"/>
              <w:bottom w:val="nil"/>
              <w:right w:val="single" w:sz="4" w:space="0" w:color="auto"/>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35</w:t>
            </w:r>
          </w:p>
        </w:tc>
      </w:tr>
      <w:tr w:rsidR="00424E49" w:rsidRPr="00424E49" w:rsidTr="00424E49">
        <w:trPr>
          <w:trHeight w:val="300"/>
        </w:trPr>
        <w:tc>
          <w:tcPr>
            <w:tcW w:w="3020" w:type="dxa"/>
            <w:tcBorders>
              <w:top w:val="nil"/>
              <w:left w:val="single" w:sz="4" w:space="0" w:color="auto"/>
              <w:bottom w:val="nil"/>
              <w:right w:val="nil"/>
            </w:tcBorders>
            <w:shd w:val="clear" w:color="auto" w:fill="auto"/>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6.Energy</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2</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144</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-23</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289</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-9</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120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-96</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14</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3</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-127</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single" w:sz="4" w:space="0" w:color="auto"/>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85</w:t>
            </w:r>
          </w:p>
        </w:tc>
      </w:tr>
      <w:tr w:rsidR="00424E49" w:rsidRPr="00424E49" w:rsidTr="00424E49">
        <w:trPr>
          <w:trHeight w:val="300"/>
        </w:trPr>
        <w:tc>
          <w:tcPr>
            <w:tcW w:w="3020" w:type="dxa"/>
            <w:tcBorders>
              <w:top w:val="nil"/>
              <w:left w:val="single" w:sz="4" w:space="0" w:color="auto"/>
              <w:bottom w:val="nil"/>
              <w:right w:val="nil"/>
            </w:tcBorders>
            <w:shd w:val="clear" w:color="auto" w:fill="auto"/>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7.Broadband</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70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-2</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-38</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43</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41</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184</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-30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single" w:sz="4" w:space="0" w:color="auto"/>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120</w:t>
            </w:r>
          </w:p>
        </w:tc>
      </w:tr>
      <w:tr w:rsidR="00424E49" w:rsidRPr="00424E49" w:rsidTr="00424E49">
        <w:trPr>
          <w:trHeight w:val="300"/>
        </w:trPr>
        <w:tc>
          <w:tcPr>
            <w:tcW w:w="3020" w:type="dxa"/>
            <w:tcBorders>
              <w:top w:val="nil"/>
              <w:left w:val="single" w:sz="4" w:space="0" w:color="auto"/>
              <w:bottom w:val="nil"/>
              <w:right w:val="nil"/>
            </w:tcBorders>
            <w:shd w:val="clear" w:color="auto" w:fill="auto"/>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8.Road</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3</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44</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773</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180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31</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53</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-2</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-29</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2</w:t>
            </w:r>
          </w:p>
        </w:tc>
        <w:tc>
          <w:tcPr>
            <w:tcW w:w="840" w:type="dxa"/>
            <w:tcBorders>
              <w:top w:val="nil"/>
              <w:left w:val="nil"/>
              <w:bottom w:val="nil"/>
              <w:right w:val="single" w:sz="4" w:space="0" w:color="auto"/>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79</w:t>
            </w:r>
          </w:p>
        </w:tc>
      </w:tr>
      <w:tr w:rsidR="00424E49" w:rsidRPr="00424E49" w:rsidTr="00424E49">
        <w:trPr>
          <w:trHeight w:val="300"/>
        </w:trPr>
        <w:tc>
          <w:tcPr>
            <w:tcW w:w="3020" w:type="dxa"/>
            <w:tcBorders>
              <w:top w:val="nil"/>
              <w:left w:val="single" w:sz="4" w:space="0" w:color="auto"/>
              <w:bottom w:val="nil"/>
              <w:right w:val="nil"/>
            </w:tcBorders>
            <w:shd w:val="clear" w:color="auto" w:fill="auto"/>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9.Rail</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-28</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-127</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561</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-120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364</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-3</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-1004</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single" w:sz="4" w:space="0" w:color="auto"/>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24</w:t>
            </w:r>
          </w:p>
        </w:tc>
      </w:tr>
      <w:tr w:rsidR="00424E49" w:rsidRPr="00424E49" w:rsidTr="00424E49">
        <w:trPr>
          <w:trHeight w:val="300"/>
        </w:trPr>
        <w:tc>
          <w:tcPr>
            <w:tcW w:w="3020" w:type="dxa"/>
            <w:tcBorders>
              <w:top w:val="nil"/>
              <w:left w:val="single" w:sz="4" w:space="0" w:color="auto"/>
              <w:bottom w:val="nil"/>
              <w:right w:val="nil"/>
            </w:tcBorders>
            <w:shd w:val="clear" w:color="auto" w:fill="auto"/>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10.Other transport</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2</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-18</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-13</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-448</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-29</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54</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-340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-4</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-68</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w:t>
            </w:r>
          </w:p>
        </w:tc>
        <w:tc>
          <w:tcPr>
            <w:tcW w:w="840" w:type="dxa"/>
            <w:tcBorders>
              <w:top w:val="nil"/>
              <w:left w:val="nil"/>
              <w:bottom w:val="nil"/>
              <w:right w:val="single" w:sz="4" w:space="0" w:color="auto"/>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27</w:t>
            </w:r>
          </w:p>
        </w:tc>
      </w:tr>
      <w:tr w:rsidR="00424E49" w:rsidRPr="00424E49" w:rsidTr="00424E49">
        <w:trPr>
          <w:trHeight w:val="300"/>
        </w:trPr>
        <w:tc>
          <w:tcPr>
            <w:tcW w:w="3020" w:type="dxa"/>
            <w:tcBorders>
              <w:top w:val="nil"/>
              <w:left w:val="single" w:sz="4" w:space="0" w:color="auto"/>
              <w:bottom w:val="nil"/>
              <w:right w:val="nil"/>
            </w:tcBorders>
            <w:shd w:val="clear" w:color="auto" w:fill="auto"/>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11.Human capital</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3</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-15</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-3</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8</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-9</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-11</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single" w:sz="4" w:space="0" w:color="auto"/>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r>
      <w:tr w:rsidR="00424E49" w:rsidRPr="00424E49" w:rsidTr="00424E49">
        <w:trPr>
          <w:trHeight w:val="300"/>
        </w:trPr>
        <w:tc>
          <w:tcPr>
            <w:tcW w:w="3020" w:type="dxa"/>
            <w:tcBorders>
              <w:top w:val="nil"/>
              <w:left w:val="single" w:sz="4" w:space="0" w:color="auto"/>
              <w:bottom w:val="nil"/>
              <w:right w:val="nil"/>
            </w:tcBorders>
            <w:shd w:val="clear" w:color="auto" w:fill="auto"/>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12.Labour market</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-21</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-95</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-5</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4</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single" w:sz="4" w:space="0" w:color="auto"/>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-6</w:t>
            </w:r>
          </w:p>
        </w:tc>
      </w:tr>
      <w:tr w:rsidR="00424E49" w:rsidRPr="00424E49" w:rsidTr="00424E49">
        <w:trPr>
          <w:trHeight w:val="300"/>
        </w:trPr>
        <w:tc>
          <w:tcPr>
            <w:tcW w:w="3020" w:type="dxa"/>
            <w:tcBorders>
              <w:top w:val="nil"/>
              <w:left w:val="single" w:sz="4" w:space="0" w:color="auto"/>
              <w:bottom w:val="nil"/>
              <w:right w:val="nil"/>
            </w:tcBorders>
            <w:shd w:val="clear" w:color="auto" w:fill="auto"/>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13.Culture &amp; social</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-38</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-292</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238</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46</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218</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1124</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w:t>
            </w:r>
          </w:p>
        </w:tc>
        <w:tc>
          <w:tcPr>
            <w:tcW w:w="840" w:type="dxa"/>
            <w:tcBorders>
              <w:top w:val="nil"/>
              <w:left w:val="nil"/>
              <w:bottom w:val="nil"/>
              <w:right w:val="single" w:sz="4" w:space="0" w:color="auto"/>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-11</w:t>
            </w:r>
          </w:p>
        </w:tc>
      </w:tr>
      <w:tr w:rsidR="00424E49" w:rsidRPr="00424E49" w:rsidTr="00424E49">
        <w:trPr>
          <w:trHeight w:val="300"/>
        </w:trPr>
        <w:tc>
          <w:tcPr>
            <w:tcW w:w="3020" w:type="dxa"/>
            <w:tcBorders>
              <w:top w:val="nil"/>
              <w:left w:val="single" w:sz="4" w:space="0" w:color="auto"/>
              <w:bottom w:val="nil"/>
              <w:right w:val="nil"/>
            </w:tcBorders>
            <w:shd w:val="clear" w:color="auto" w:fill="auto"/>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14.Social Inclusion</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-3</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-2</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-25</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single" w:sz="4" w:space="0" w:color="auto"/>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-9</w:t>
            </w:r>
          </w:p>
        </w:tc>
      </w:tr>
      <w:tr w:rsidR="00424E49" w:rsidRPr="00424E49" w:rsidTr="00424E49">
        <w:trPr>
          <w:trHeight w:val="300"/>
        </w:trPr>
        <w:tc>
          <w:tcPr>
            <w:tcW w:w="3020" w:type="dxa"/>
            <w:tcBorders>
              <w:top w:val="nil"/>
              <w:left w:val="single" w:sz="4" w:space="0" w:color="auto"/>
              <w:bottom w:val="nil"/>
              <w:right w:val="nil"/>
            </w:tcBorders>
            <w:shd w:val="clear" w:color="auto" w:fill="auto"/>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15.Territorial Dimension</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-2</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-81</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-63</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-5</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-23</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-45</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-202</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2</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3</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568</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single" w:sz="4" w:space="0" w:color="auto"/>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13</w:t>
            </w:r>
          </w:p>
        </w:tc>
      </w:tr>
      <w:tr w:rsidR="00424E49" w:rsidRPr="00424E49" w:rsidTr="00424E49">
        <w:trPr>
          <w:trHeight w:val="300"/>
        </w:trPr>
        <w:tc>
          <w:tcPr>
            <w:tcW w:w="3020" w:type="dxa"/>
            <w:tcBorders>
              <w:top w:val="nil"/>
              <w:left w:val="single" w:sz="4" w:space="0" w:color="auto"/>
              <w:bottom w:val="nil"/>
              <w:right w:val="nil"/>
            </w:tcBorders>
            <w:shd w:val="clear" w:color="auto" w:fill="auto"/>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16.Capacity Building</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7</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-15</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-4</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-104</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-568</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w:t>
            </w:r>
          </w:p>
        </w:tc>
        <w:tc>
          <w:tcPr>
            <w:tcW w:w="840" w:type="dxa"/>
            <w:tcBorders>
              <w:top w:val="nil"/>
              <w:left w:val="nil"/>
              <w:bottom w:val="nil"/>
              <w:right w:val="single" w:sz="4" w:space="0" w:color="auto"/>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r>
      <w:tr w:rsidR="00424E49" w:rsidRPr="00424E49" w:rsidTr="00424E49">
        <w:trPr>
          <w:trHeight w:val="300"/>
        </w:trPr>
        <w:tc>
          <w:tcPr>
            <w:tcW w:w="3020" w:type="dxa"/>
            <w:tcBorders>
              <w:top w:val="nil"/>
              <w:left w:val="single" w:sz="4" w:space="0" w:color="auto"/>
              <w:bottom w:val="nil"/>
              <w:right w:val="nil"/>
            </w:tcBorders>
            <w:shd w:val="clear" w:color="auto" w:fill="auto"/>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17.Technical Assistance</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-6</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-6</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150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-78</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6</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72</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-98</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single" w:sz="4" w:space="0" w:color="auto"/>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-53</w:t>
            </w:r>
          </w:p>
        </w:tc>
      </w:tr>
      <w:tr w:rsidR="00424E49" w:rsidRPr="00424E49" w:rsidTr="00424E49">
        <w:trPr>
          <w:trHeight w:val="300"/>
        </w:trPr>
        <w:tc>
          <w:tcPr>
            <w:tcW w:w="3020" w:type="dxa"/>
            <w:tcBorders>
              <w:top w:val="nil"/>
              <w:left w:val="single" w:sz="4" w:space="0" w:color="auto"/>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Total</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-3</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-8</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-5</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-3</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-35</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-13</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-341</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0</w:t>
            </w:r>
          </w:p>
        </w:tc>
        <w:tc>
          <w:tcPr>
            <w:tcW w:w="840" w:type="dxa"/>
            <w:tcBorders>
              <w:top w:val="nil"/>
              <w:left w:val="nil"/>
              <w:bottom w:val="nil"/>
              <w:right w:val="single" w:sz="4" w:space="0" w:color="auto"/>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color w:val="000000"/>
                <w:sz w:val="20"/>
                <w:szCs w:val="20"/>
                <w:lang w:eastAsia="en-GB"/>
              </w:rPr>
            </w:pPr>
            <w:r w:rsidRPr="00424E49">
              <w:rPr>
                <w:rFonts w:ascii="Calibri" w:eastAsia="Times New Roman" w:hAnsi="Calibri" w:cs="Arial"/>
                <w:color w:val="000000"/>
                <w:sz w:val="20"/>
                <w:szCs w:val="20"/>
                <w:lang w:eastAsia="en-GB"/>
              </w:rPr>
              <w:t>-29</w:t>
            </w:r>
          </w:p>
        </w:tc>
      </w:tr>
      <w:tr w:rsidR="00424E49" w:rsidRPr="00424E49" w:rsidTr="00424E49">
        <w:trPr>
          <w:trHeight w:val="576"/>
        </w:trPr>
        <w:tc>
          <w:tcPr>
            <w:tcW w:w="13100" w:type="dxa"/>
            <w:gridSpan w:val="13"/>
            <w:tcBorders>
              <w:top w:val="single" w:sz="4" w:space="0" w:color="auto"/>
              <w:left w:val="nil"/>
              <w:bottom w:val="nil"/>
              <w:right w:val="nil"/>
            </w:tcBorders>
            <w:shd w:val="clear" w:color="auto" w:fill="auto"/>
            <w:vAlign w:val="bottom"/>
            <w:hideMark/>
          </w:tcPr>
          <w:p w:rsidR="00424E49" w:rsidRPr="00424E49" w:rsidRDefault="00424E49" w:rsidP="000F13B5">
            <w:pPr>
              <w:spacing w:after="0" w:line="240" w:lineRule="auto"/>
              <w:jc w:val="both"/>
              <w:rPr>
                <w:rFonts w:ascii="Calibri" w:eastAsia="Times New Roman" w:hAnsi="Calibri" w:cs="Arial"/>
                <w:i/>
                <w:iCs/>
                <w:sz w:val="20"/>
                <w:szCs w:val="20"/>
                <w:lang w:eastAsia="en-GB"/>
              </w:rPr>
            </w:pPr>
            <w:r w:rsidRPr="00424E49">
              <w:rPr>
                <w:rFonts w:ascii="Calibri" w:eastAsia="Times New Roman" w:hAnsi="Calibri" w:cs="Arial"/>
                <w:i/>
                <w:iCs/>
                <w:sz w:val="20"/>
                <w:szCs w:val="20"/>
                <w:lang w:eastAsia="en-GB"/>
              </w:rPr>
              <w:t>Note: The figures show the sum of the shifts in funding in OPs in each of countries; DK, LU and SE are exc</w:t>
            </w:r>
            <w:r w:rsidR="000F13B5">
              <w:rPr>
                <w:rFonts w:ascii="Calibri" w:eastAsia="Times New Roman" w:hAnsi="Calibri" w:cs="Arial"/>
                <w:i/>
                <w:iCs/>
                <w:sz w:val="20"/>
                <w:szCs w:val="20"/>
                <w:lang w:eastAsia="en-GB"/>
              </w:rPr>
              <w:t>l</w:t>
            </w:r>
            <w:r w:rsidRPr="00424E49">
              <w:rPr>
                <w:rFonts w:ascii="Calibri" w:eastAsia="Times New Roman" w:hAnsi="Calibri" w:cs="Arial"/>
                <w:i/>
                <w:iCs/>
                <w:sz w:val="20"/>
                <w:szCs w:val="20"/>
                <w:lang w:eastAsia="en-GB"/>
              </w:rPr>
              <w:t>uded because there were no changes to pr</w:t>
            </w:r>
            <w:r w:rsidR="000F13B5">
              <w:rPr>
                <w:rFonts w:ascii="Calibri" w:eastAsia="Times New Roman" w:hAnsi="Calibri" w:cs="Arial"/>
                <w:i/>
                <w:iCs/>
                <w:sz w:val="20"/>
                <w:szCs w:val="20"/>
                <w:lang w:eastAsia="en-GB"/>
              </w:rPr>
              <w:t>o</w:t>
            </w:r>
            <w:r w:rsidRPr="00424E49">
              <w:rPr>
                <w:rFonts w:ascii="Calibri" w:eastAsia="Times New Roman" w:hAnsi="Calibri" w:cs="Arial"/>
                <w:i/>
                <w:iCs/>
                <w:sz w:val="20"/>
                <w:szCs w:val="20"/>
                <w:lang w:eastAsia="en-GB"/>
              </w:rPr>
              <w:t>grammes over the period</w:t>
            </w:r>
          </w:p>
        </w:tc>
      </w:tr>
    </w:tbl>
    <w:p w:rsidR="000F13B5" w:rsidRDefault="000F13B5" w:rsidP="000056C5">
      <w:pPr>
        <w:spacing w:after="0" w:line="240" w:lineRule="auto"/>
        <w:jc w:val="both"/>
        <w:rPr>
          <w:rFonts w:ascii="Calibri" w:eastAsia="Times New Roman" w:hAnsi="Calibri" w:cs="Arial"/>
          <w:i/>
          <w:iCs/>
          <w:sz w:val="20"/>
          <w:szCs w:val="20"/>
          <w:lang w:eastAsia="en-GB"/>
        </w:rPr>
        <w:sectPr w:rsidR="000F13B5" w:rsidSect="00627360">
          <w:pgSz w:w="16838" w:h="11906" w:orient="landscape"/>
          <w:pgMar w:top="1440" w:right="1440" w:bottom="1440" w:left="1440" w:header="709" w:footer="709" w:gutter="0"/>
          <w:pgNumType w:start="1"/>
          <w:cols w:space="708"/>
          <w:docGrid w:linePitch="360"/>
        </w:sectPr>
      </w:pPr>
    </w:p>
    <w:tbl>
      <w:tblPr>
        <w:tblW w:w="13100" w:type="dxa"/>
        <w:tblInd w:w="93" w:type="dxa"/>
        <w:tblLook w:val="04A0" w:firstRow="1" w:lastRow="0" w:firstColumn="1" w:lastColumn="0" w:noHBand="0" w:noVBand="1"/>
      </w:tblPr>
      <w:tblGrid>
        <w:gridCol w:w="8900"/>
        <w:gridCol w:w="840"/>
        <w:gridCol w:w="840"/>
        <w:gridCol w:w="840"/>
        <w:gridCol w:w="840"/>
        <w:gridCol w:w="840"/>
      </w:tblGrid>
      <w:tr w:rsidR="00424E49" w:rsidRPr="00424E49" w:rsidTr="00424E49">
        <w:trPr>
          <w:trHeight w:val="300"/>
        </w:trPr>
        <w:tc>
          <w:tcPr>
            <w:tcW w:w="890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i/>
                <w:iCs/>
                <w:sz w:val="20"/>
                <w:szCs w:val="20"/>
                <w:lang w:eastAsia="en-GB"/>
              </w:rPr>
            </w:pPr>
            <w:r w:rsidRPr="00424E49">
              <w:rPr>
                <w:rFonts w:ascii="Calibri" w:eastAsia="Times New Roman" w:hAnsi="Calibri" w:cs="Arial"/>
                <w:i/>
                <w:iCs/>
                <w:sz w:val="20"/>
                <w:szCs w:val="20"/>
                <w:lang w:eastAsia="en-GB"/>
              </w:rPr>
              <w:t xml:space="preserve">Source: DG Regional </w:t>
            </w:r>
            <w:r w:rsidR="000D7436">
              <w:rPr>
                <w:rFonts w:ascii="Calibri" w:eastAsia="Times New Roman" w:hAnsi="Calibri" w:cs="Arial"/>
                <w:i/>
                <w:iCs/>
                <w:sz w:val="20"/>
                <w:szCs w:val="20"/>
                <w:lang w:eastAsia="en-GB"/>
              </w:rPr>
              <w:t xml:space="preserve">and Urban </w:t>
            </w:r>
            <w:r w:rsidRPr="00424E49">
              <w:rPr>
                <w:rFonts w:ascii="Calibri" w:eastAsia="Times New Roman" w:hAnsi="Calibri" w:cs="Arial"/>
                <w:i/>
                <w:iCs/>
                <w:sz w:val="20"/>
                <w:szCs w:val="20"/>
                <w:lang w:eastAsia="en-GB"/>
              </w:rPr>
              <w:t xml:space="preserve">Policy, </w:t>
            </w:r>
            <w:proofErr w:type="spellStart"/>
            <w:r w:rsidRPr="00424E49">
              <w:rPr>
                <w:rFonts w:ascii="Calibri" w:eastAsia="Times New Roman" w:hAnsi="Calibri" w:cs="Arial"/>
                <w:i/>
                <w:iCs/>
                <w:sz w:val="20"/>
                <w:szCs w:val="20"/>
                <w:lang w:eastAsia="en-GB"/>
              </w:rPr>
              <w:t>Inforegio</w:t>
            </w:r>
            <w:proofErr w:type="spellEnd"/>
            <w:r w:rsidRPr="00424E49">
              <w:rPr>
                <w:rFonts w:ascii="Calibri" w:eastAsia="Times New Roman" w:hAnsi="Calibri" w:cs="Arial"/>
                <w:i/>
                <w:iCs/>
                <w:sz w:val="20"/>
                <w:szCs w:val="20"/>
                <w:lang w:eastAsia="en-GB"/>
              </w:rPr>
              <w:t xml:space="preserve"> database</w:t>
            </w: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c>
          <w:tcPr>
            <w:tcW w:w="840" w:type="dxa"/>
            <w:tcBorders>
              <w:top w:val="nil"/>
              <w:left w:val="nil"/>
              <w:bottom w:val="nil"/>
              <w:right w:val="nil"/>
            </w:tcBorders>
            <w:shd w:val="clear" w:color="auto" w:fill="auto"/>
            <w:noWrap/>
            <w:vAlign w:val="bottom"/>
            <w:hideMark/>
          </w:tcPr>
          <w:p w:rsidR="00424E49" w:rsidRPr="00424E49" w:rsidRDefault="00424E49" w:rsidP="000056C5">
            <w:pPr>
              <w:spacing w:after="0" w:line="240" w:lineRule="auto"/>
              <w:jc w:val="both"/>
              <w:rPr>
                <w:rFonts w:ascii="Calibri" w:eastAsia="Times New Roman" w:hAnsi="Calibri" w:cs="Arial"/>
                <w:sz w:val="20"/>
                <w:szCs w:val="20"/>
                <w:lang w:eastAsia="en-GB"/>
              </w:rPr>
            </w:pPr>
          </w:p>
        </w:tc>
      </w:tr>
    </w:tbl>
    <w:p w:rsidR="00B27969" w:rsidRDefault="00B27969" w:rsidP="000056C5">
      <w:pPr>
        <w:jc w:val="both"/>
      </w:pPr>
    </w:p>
    <w:p w:rsidR="000F13B5" w:rsidRDefault="000F13B5">
      <w:pPr>
        <w:sectPr w:rsidR="000F13B5" w:rsidSect="000F13B5">
          <w:type w:val="continuous"/>
          <w:pgSz w:w="16838" w:h="11906" w:orient="landscape"/>
          <w:pgMar w:top="1440" w:right="1440" w:bottom="1440" w:left="1440" w:header="709" w:footer="709" w:gutter="0"/>
          <w:pgNumType w:start="1"/>
          <w:cols w:space="708"/>
          <w:docGrid w:linePitch="360"/>
        </w:sectPr>
      </w:pPr>
    </w:p>
    <w:p w:rsidR="00D13107" w:rsidRPr="00872268" w:rsidRDefault="00D13107" w:rsidP="00D13107">
      <w:pPr>
        <w:pStyle w:val="Heading1"/>
        <w:numPr>
          <w:ilvl w:val="0"/>
          <w:numId w:val="0"/>
        </w:numPr>
        <w:jc w:val="both"/>
      </w:pPr>
      <w:r w:rsidRPr="00872268">
        <w:t xml:space="preserve">Annex </w:t>
      </w:r>
      <w:r>
        <w:t>2</w:t>
      </w:r>
    </w:p>
    <w:p w:rsidR="00B27969" w:rsidRPr="000D7436" w:rsidRDefault="00B27969" w:rsidP="00B27969">
      <w:pPr>
        <w:spacing w:before="120"/>
        <w:jc w:val="both"/>
      </w:pPr>
      <w:r w:rsidRPr="000D7436">
        <w:t xml:space="preserve">Table 2 shows the aggregation of the net shifts in the </w:t>
      </w:r>
      <w:r w:rsidR="000B2EAE">
        <w:t>EU 15 and EU 12</w:t>
      </w:r>
      <w:r w:rsidRPr="000D7436">
        <w:t>. In each case, the net additions to funding in the Member States where there was a net increase across OPs are summed to indicate the overall increase in these countries. The net reductions to funding in the countries where there was a net withdrawal of resources are aggregated n the same way. The figures, therefore, indicate the extent of similarity or difference between countries in the two groups in the changes which were made to funding going to the various areas (or themes). Tables A.1 and A.2 in the Annex show the figures for the net shifts between the 17 themes for each of the Member States where changes in the allocation of funding were made over the period.</w:t>
      </w:r>
    </w:p>
    <w:p w:rsidR="00B27969" w:rsidRPr="000D7436" w:rsidRDefault="00B27969" w:rsidP="00B27969">
      <w:pPr>
        <w:spacing w:before="120"/>
        <w:jc w:val="both"/>
      </w:pPr>
      <w:r w:rsidRPr="000D7436">
        <w:t xml:space="preserve">A comparison of the figures for additions to funding and reductions in Table 2 with those in Table 1 gives an indication of the extent of differences between OPs within countries in the changes that were made. For example, Table 2 shows an overall reduction in funding for Innovation and RTD of EUR 961 million across the EU27, whereas Table 1 shows a reduction of EUR 7,284 million across OPs, which is considerably larger. This, therefore, indicates that a total of EUR 6,323 million was withdrawn within countries from OPs where a reduction in funding occurred which was offset by increases in other OPs and which accordingly does not show up in the net shift in funding at Member State level. </w:t>
      </w:r>
    </w:p>
    <w:p w:rsidR="00B27969" w:rsidRPr="000D7436" w:rsidRDefault="00B27969" w:rsidP="00B27969">
      <w:pPr>
        <w:pStyle w:val="Figuretitle"/>
        <w:jc w:val="both"/>
      </w:pPr>
      <w:r w:rsidRPr="000D7436">
        <w:t>Table 2 Shifts in planned allocation of ERDF</w:t>
      </w:r>
      <w:r w:rsidR="000B2EAE">
        <w:t xml:space="preserve"> </w:t>
      </w:r>
      <w:r w:rsidRPr="000D7436">
        <w:t>+</w:t>
      </w:r>
      <w:r w:rsidR="000B2EAE">
        <w:t xml:space="preserve"> </w:t>
      </w:r>
      <w:r w:rsidRPr="000D7436">
        <w:t>Cohesion Fund resources between broad themes in the EU12 and EU15, 2007 to 2014 (EUR million)</w:t>
      </w:r>
    </w:p>
    <w:tbl>
      <w:tblPr>
        <w:tblW w:w="8780" w:type="dxa"/>
        <w:tblInd w:w="93" w:type="dxa"/>
        <w:tblLook w:val="04A0" w:firstRow="1" w:lastRow="0" w:firstColumn="1" w:lastColumn="0" w:noHBand="0" w:noVBand="1"/>
      </w:tblPr>
      <w:tblGrid>
        <w:gridCol w:w="3100"/>
        <w:gridCol w:w="1154"/>
        <w:gridCol w:w="1002"/>
        <w:gridCol w:w="664"/>
        <w:gridCol w:w="1133"/>
        <w:gridCol w:w="984"/>
        <w:gridCol w:w="743"/>
      </w:tblGrid>
      <w:tr w:rsidR="00B27969" w:rsidRPr="000D7436" w:rsidTr="00B27969">
        <w:trPr>
          <w:trHeight w:val="101"/>
        </w:trPr>
        <w:tc>
          <w:tcPr>
            <w:tcW w:w="3100" w:type="dxa"/>
            <w:tcBorders>
              <w:top w:val="single" w:sz="4" w:space="0" w:color="auto"/>
              <w:left w:val="single" w:sz="4" w:space="0" w:color="auto"/>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sz w:val="20"/>
                <w:szCs w:val="20"/>
                <w:lang w:eastAsia="en-GB"/>
              </w:rPr>
            </w:pPr>
            <w:r w:rsidRPr="000D7436">
              <w:rPr>
                <w:rFonts w:ascii="Calibri" w:eastAsia="Times New Roman" w:hAnsi="Calibri" w:cs="Arial"/>
                <w:sz w:val="20"/>
                <w:szCs w:val="20"/>
                <w:lang w:eastAsia="en-GB"/>
              </w:rPr>
              <w:t> </w:t>
            </w:r>
          </w:p>
        </w:tc>
        <w:tc>
          <w:tcPr>
            <w:tcW w:w="2820" w:type="dxa"/>
            <w:gridSpan w:val="3"/>
            <w:tcBorders>
              <w:top w:val="single" w:sz="4" w:space="0" w:color="auto"/>
              <w:left w:val="nil"/>
              <w:bottom w:val="nil"/>
              <w:right w:val="single" w:sz="4" w:space="0" w:color="000000"/>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EU12</w:t>
            </w:r>
          </w:p>
        </w:tc>
        <w:tc>
          <w:tcPr>
            <w:tcW w:w="2860" w:type="dxa"/>
            <w:gridSpan w:val="3"/>
            <w:tcBorders>
              <w:top w:val="single" w:sz="4" w:space="0" w:color="auto"/>
              <w:left w:val="nil"/>
              <w:bottom w:val="nil"/>
              <w:right w:val="single" w:sz="4" w:space="0" w:color="000000"/>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EU15</w:t>
            </w:r>
          </w:p>
        </w:tc>
      </w:tr>
      <w:tr w:rsidR="00B27969" w:rsidRPr="000D7436" w:rsidTr="00B27969">
        <w:trPr>
          <w:trHeight w:val="157"/>
        </w:trPr>
        <w:tc>
          <w:tcPr>
            <w:tcW w:w="3100" w:type="dxa"/>
            <w:tcBorders>
              <w:top w:val="nil"/>
              <w:left w:val="single" w:sz="4" w:space="0" w:color="auto"/>
              <w:bottom w:val="single" w:sz="4" w:space="0" w:color="auto"/>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sz w:val="20"/>
                <w:szCs w:val="20"/>
                <w:lang w:eastAsia="en-GB"/>
              </w:rPr>
            </w:pPr>
            <w:r w:rsidRPr="000D7436">
              <w:rPr>
                <w:rFonts w:ascii="Calibri" w:eastAsia="Times New Roman" w:hAnsi="Calibri" w:cs="Arial"/>
                <w:sz w:val="20"/>
                <w:szCs w:val="20"/>
                <w:lang w:eastAsia="en-GB"/>
              </w:rPr>
              <w:t> </w:t>
            </w:r>
          </w:p>
        </w:tc>
        <w:tc>
          <w:tcPr>
            <w:tcW w:w="1154" w:type="dxa"/>
            <w:tcBorders>
              <w:top w:val="nil"/>
              <w:left w:val="nil"/>
              <w:bottom w:val="single" w:sz="4" w:space="0" w:color="auto"/>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i/>
                <w:iCs/>
                <w:color w:val="000000"/>
                <w:sz w:val="20"/>
                <w:szCs w:val="20"/>
                <w:lang w:eastAsia="en-GB"/>
              </w:rPr>
            </w:pPr>
            <w:r w:rsidRPr="000D7436">
              <w:rPr>
                <w:rFonts w:ascii="Calibri" w:eastAsia="Times New Roman" w:hAnsi="Calibri" w:cs="Arial"/>
                <w:i/>
                <w:iCs/>
                <w:color w:val="000000"/>
                <w:sz w:val="20"/>
                <w:szCs w:val="20"/>
                <w:lang w:eastAsia="en-GB"/>
              </w:rPr>
              <w:t>Negative</w:t>
            </w:r>
          </w:p>
        </w:tc>
        <w:tc>
          <w:tcPr>
            <w:tcW w:w="1002" w:type="dxa"/>
            <w:tcBorders>
              <w:top w:val="nil"/>
              <w:left w:val="nil"/>
              <w:bottom w:val="single" w:sz="4" w:space="0" w:color="auto"/>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i/>
                <w:iCs/>
                <w:color w:val="000000"/>
                <w:sz w:val="20"/>
                <w:szCs w:val="20"/>
                <w:lang w:eastAsia="en-GB"/>
              </w:rPr>
            </w:pPr>
            <w:r w:rsidRPr="000D7436">
              <w:rPr>
                <w:rFonts w:ascii="Calibri" w:eastAsia="Times New Roman" w:hAnsi="Calibri" w:cs="Arial"/>
                <w:i/>
                <w:iCs/>
                <w:color w:val="000000"/>
                <w:sz w:val="20"/>
                <w:szCs w:val="20"/>
                <w:lang w:eastAsia="en-GB"/>
              </w:rPr>
              <w:t>Positive</w:t>
            </w:r>
          </w:p>
        </w:tc>
        <w:tc>
          <w:tcPr>
            <w:tcW w:w="664" w:type="dxa"/>
            <w:tcBorders>
              <w:top w:val="nil"/>
              <w:left w:val="nil"/>
              <w:bottom w:val="single" w:sz="4" w:space="0" w:color="auto"/>
              <w:right w:val="single" w:sz="4" w:space="0" w:color="auto"/>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i/>
                <w:iCs/>
                <w:color w:val="000000"/>
                <w:sz w:val="20"/>
                <w:szCs w:val="20"/>
                <w:lang w:eastAsia="en-GB"/>
              </w:rPr>
            </w:pPr>
            <w:r w:rsidRPr="000D7436">
              <w:rPr>
                <w:rFonts w:ascii="Calibri" w:eastAsia="Times New Roman" w:hAnsi="Calibri" w:cs="Arial"/>
                <w:i/>
                <w:iCs/>
                <w:color w:val="000000"/>
                <w:sz w:val="20"/>
                <w:szCs w:val="20"/>
                <w:lang w:eastAsia="en-GB"/>
              </w:rPr>
              <w:t>Net</w:t>
            </w:r>
          </w:p>
        </w:tc>
        <w:tc>
          <w:tcPr>
            <w:tcW w:w="1133" w:type="dxa"/>
            <w:tcBorders>
              <w:top w:val="nil"/>
              <w:left w:val="nil"/>
              <w:bottom w:val="single" w:sz="4" w:space="0" w:color="auto"/>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i/>
                <w:iCs/>
                <w:color w:val="000000"/>
                <w:sz w:val="20"/>
                <w:szCs w:val="20"/>
                <w:lang w:eastAsia="en-GB"/>
              </w:rPr>
            </w:pPr>
            <w:r w:rsidRPr="000D7436">
              <w:rPr>
                <w:rFonts w:ascii="Calibri" w:eastAsia="Times New Roman" w:hAnsi="Calibri" w:cs="Arial"/>
                <w:i/>
                <w:iCs/>
                <w:color w:val="000000"/>
                <w:sz w:val="20"/>
                <w:szCs w:val="20"/>
                <w:lang w:eastAsia="en-GB"/>
              </w:rPr>
              <w:t>Negative</w:t>
            </w:r>
          </w:p>
        </w:tc>
        <w:tc>
          <w:tcPr>
            <w:tcW w:w="984" w:type="dxa"/>
            <w:tcBorders>
              <w:top w:val="nil"/>
              <w:left w:val="nil"/>
              <w:bottom w:val="single" w:sz="4" w:space="0" w:color="auto"/>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i/>
                <w:iCs/>
                <w:color w:val="000000"/>
                <w:sz w:val="20"/>
                <w:szCs w:val="20"/>
                <w:lang w:eastAsia="en-GB"/>
              </w:rPr>
            </w:pPr>
            <w:r w:rsidRPr="000D7436">
              <w:rPr>
                <w:rFonts w:ascii="Calibri" w:eastAsia="Times New Roman" w:hAnsi="Calibri" w:cs="Arial"/>
                <w:i/>
                <w:iCs/>
                <w:color w:val="000000"/>
                <w:sz w:val="20"/>
                <w:szCs w:val="20"/>
                <w:lang w:eastAsia="en-GB"/>
              </w:rPr>
              <w:t>Positive</w:t>
            </w:r>
          </w:p>
        </w:tc>
        <w:tc>
          <w:tcPr>
            <w:tcW w:w="743" w:type="dxa"/>
            <w:tcBorders>
              <w:top w:val="nil"/>
              <w:left w:val="nil"/>
              <w:bottom w:val="single" w:sz="4" w:space="0" w:color="auto"/>
              <w:right w:val="single" w:sz="4" w:space="0" w:color="auto"/>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i/>
                <w:iCs/>
                <w:color w:val="000000"/>
                <w:sz w:val="20"/>
                <w:szCs w:val="20"/>
                <w:lang w:eastAsia="en-GB"/>
              </w:rPr>
            </w:pPr>
            <w:r w:rsidRPr="000D7436">
              <w:rPr>
                <w:rFonts w:ascii="Calibri" w:eastAsia="Times New Roman" w:hAnsi="Calibri" w:cs="Arial"/>
                <w:i/>
                <w:iCs/>
                <w:color w:val="000000"/>
                <w:sz w:val="20"/>
                <w:szCs w:val="20"/>
                <w:lang w:eastAsia="en-GB"/>
              </w:rPr>
              <w:t>Net</w:t>
            </w:r>
          </w:p>
        </w:tc>
      </w:tr>
      <w:tr w:rsidR="00B27969" w:rsidRPr="000D7436" w:rsidTr="00B27969">
        <w:trPr>
          <w:trHeight w:hRule="exact" w:val="255"/>
        </w:trPr>
        <w:tc>
          <w:tcPr>
            <w:tcW w:w="3100" w:type="dxa"/>
            <w:tcBorders>
              <w:top w:val="nil"/>
              <w:left w:val="single" w:sz="4" w:space="0" w:color="auto"/>
              <w:bottom w:val="nil"/>
              <w:right w:val="nil"/>
            </w:tcBorders>
            <w:shd w:val="clear" w:color="auto" w:fill="auto"/>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1.Innovation &amp; RTD</w:t>
            </w:r>
          </w:p>
        </w:tc>
        <w:tc>
          <w:tcPr>
            <w:tcW w:w="1154"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-255</w:t>
            </w:r>
          </w:p>
        </w:tc>
        <w:tc>
          <w:tcPr>
            <w:tcW w:w="1002"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1319</w:t>
            </w:r>
          </w:p>
        </w:tc>
        <w:tc>
          <w:tcPr>
            <w:tcW w:w="664" w:type="dxa"/>
            <w:tcBorders>
              <w:top w:val="nil"/>
              <w:left w:val="nil"/>
              <w:bottom w:val="nil"/>
              <w:right w:val="single" w:sz="4" w:space="0" w:color="auto"/>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1064</w:t>
            </w:r>
          </w:p>
        </w:tc>
        <w:tc>
          <w:tcPr>
            <w:tcW w:w="1133"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-706</w:t>
            </w:r>
          </w:p>
        </w:tc>
        <w:tc>
          <w:tcPr>
            <w:tcW w:w="984"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1339</w:t>
            </w:r>
          </w:p>
        </w:tc>
        <w:tc>
          <w:tcPr>
            <w:tcW w:w="743" w:type="dxa"/>
            <w:tcBorders>
              <w:top w:val="nil"/>
              <w:left w:val="nil"/>
              <w:bottom w:val="nil"/>
              <w:right w:val="single" w:sz="4" w:space="0" w:color="auto"/>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633</w:t>
            </w:r>
          </w:p>
        </w:tc>
      </w:tr>
      <w:tr w:rsidR="00B27969" w:rsidRPr="000D7436" w:rsidTr="00B27969">
        <w:trPr>
          <w:trHeight w:hRule="exact" w:val="255"/>
        </w:trPr>
        <w:tc>
          <w:tcPr>
            <w:tcW w:w="3100" w:type="dxa"/>
            <w:tcBorders>
              <w:top w:val="nil"/>
              <w:left w:val="single" w:sz="4" w:space="0" w:color="auto"/>
              <w:bottom w:val="nil"/>
              <w:right w:val="nil"/>
            </w:tcBorders>
            <w:shd w:val="clear" w:color="auto" w:fill="auto"/>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2.Entrepreneurship</w:t>
            </w:r>
          </w:p>
        </w:tc>
        <w:tc>
          <w:tcPr>
            <w:tcW w:w="1154"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-201</w:t>
            </w:r>
          </w:p>
        </w:tc>
        <w:tc>
          <w:tcPr>
            <w:tcW w:w="1002"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292</w:t>
            </w:r>
          </w:p>
        </w:tc>
        <w:tc>
          <w:tcPr>
            <w:tcW w:w="664" w:type="dxa"/>
            <w:tcBorders>
              <w:top w:val="nil"/>
              <w:left w:val="nil"/>
              <w:bottom w:val="nil"/>
              <w:right w:val="single" w:sz="4" w:space="0" w:color="auto"/>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91</w:t>
            </w:r>
          </w:p>
        </w:tc>
        <w:tc>
          <w:tcPr>
            <w:tcW w:w="1133"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-415</w:t>
            </w:r>
          </w:p>
        </w:tc>
        <w:tc>
          <w:tcPr>
            <w:tcW w:w="984"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490</w:t>
            </w:r>
          </w:p>
        </w:tc>
        <w:tc>
          <w:tcPr>
            <w:tcW w:w="743" w:type="dxa"/>
            <w:tcBorders>
              <w:top w:val="nil"/>
              <w:left w:val="nil"/>
              <w:bottom w:val="nil"/>
              <w:right w:val="single" w:sz="4" w:space="0" w:color="auto"/>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75</w:t>
            </w:r>
          </w:p>
        </w:tc>
      </w:tr>
      <w:tr w:rsidR="00B27969" w:rsidRPr="000D7436" w:rsidTr="00B27969">
        <w:trPr>
          <w:trHeight w:hRule="exact" w:val="255"/>
        </w:trPr>
        <w:tc>
          <w:tcPr>
            <w:tcW w:w="3100" w:type="dxa"/>
            <w:tcBorders>
              <w:top w:val="nil"/>
              <w:left w:val="single" w:sz="4" w:space="0" w:color="auto"/>
              <w:bottom w:val="nil"/>
              <w:right w:val="nil"/>
            </w:tcBorders>
            <w:shd w:val="clear" w:color="auto" w:fill="auto"/>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3.Other investment in enterprises</w:t>
            </w:r>
          </w:p>
        </w:tc>
        <w:tc>
          <w:tcPr>
            <w:tcW w:w="1154"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-60</w:t>
            </w:r>
          </w:p>
        </w:tc>
        <w:tc>
          <w:tcPr>
            <w:tcW w:w="1002"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1513</w:t>
            </w:r>
          </w:p>
        </w:tc>
        <w:tc>
          <w:tcPr>
            <w:tcW w:w="664" w:type="dxa"/>
            <w:tcBorders>
              <w:top w:val="nil"/>
              <w:left w:val="nil"/>
              <w:bottom w:val="nil"/>
              <w:right w:val="single" w:sz="4" w:space="0" w:color="auto"/>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1453</w:t>
            </w:r>
          </w:p>
        </w:tc>
        <w:tc>
          <w:tcPr>
            <w:tcW w:w="1133"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-270</w:t>
            </w:r>
          </w:p>
        </w:tc>
        <w:tc>
          <w:tcPr>
            <w:tcW w:w="984"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527</w:t>
            </w:r>
          </w:p>
        </w:tc>
        <w:tc>
          <w:tcPr>
            <w:tcW w:w="743" w:type="dxa"/>
            <w:tcBorders>
              <w:top w:val="nil"/>
              <w:left w:val="nil"/>
              <w:bottom w:val="nil"/>
              <w:right w:val="single" w:sz="4" w:space="0" w:color="auto"/>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257</w:t>
            </w:r>
          </w:p>
        </w:tc>
      </w:tr>
      <w:tr w:rsidR="00B27969" w:rsidRPr="000D7436" w:rsidTr="00B27969">
        <w:trPr>
          <w:trHeight w:hRule="exact" w:val="255"/>
        </w:trPr>
        <w:tc>
          <w:tcPr>
            <w:tcW w:w="3100" w:type="dxa"/>
            <w:tcBorders>
              <w:top w:val="nil"/>
              <w:left w:val="single" w:sz="4" w:space="0" w:color="auto"/>
              <w:bottom w:val="nil"/>
              <w:right w:val="nil"/>
            </w:tcBorders>
            <w:shd w:val="clear" w:color="auto" w:fill="auto"/>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4.ICT for citizens &amp; business</w:t>
            </w:r>
          </w:p>
        </w:tc>
        <w:tc>
          <w:tcPr>
            <w:tcW w:w="1154"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-542</w:t>
            </w:r>
          </w:p>
        </w:tc>
        <w:tc>
          <w:tcPr>
            <w:tcW w:w="1002"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13</w:t>
            </w:r>
          </w:p>
        </w:tc>
        <w:tc>
          <w:tcPr>
            <w:tcW w:w="664" w:type="dxa"/>
            <w:tcBorders>
              <w:top w:val="nil"/>
              <w:left w:val="nil"/>
              <w:bottom w:val="nil"/>
              <w:right w:val="single" w:sz="4" w:space="0" w:color="auto"/>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-529</w:t>
            </w:r>
          </w:p>
        </w:tc>
        <w:tc>
          <w:tcPr>
            <w:tcW w:w="1133"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-853</w:t>
            </w:r>
          </w:p>
        </w:tc>
        <w:tc>
          <w:tcPr>
            <w:tcW w:w="984"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190</w:t>
            </w:r>
          </w:p>
        </w:tc>
        <w:tc>
          <w:tcPr>
            <w:tcW w:w="743" w:type="dxa"/>
            <w:tcBorders>
              <w:top w:val="nil"/>
              <w:left w:val="nil"/>
              <w:bottom w:val="nil"/>
              <w:right w:val="single" w:sz="4" w:space="0" w:color="auto"/>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-663</w:t>
            </w:r>
          </w:p>
        </w:tc>
      </w:tr>
      <w:tr w:rsidR="00B27969" w:rsidRPr="000D7436" w:rsidTr="00B27969">
        <w:trPr>
          <w:trHeight w:hRule="exact" w:val="255"/>
        </w:trPr>
        <w:tc>
          <w:tcPr>
            <w:tcW w:w="3100" w:type="dxa"/>
            <w:tcBorders>
              <w:top w:val="nil"/>
              <w:left w:val="single" w:sz="4" w:space="0" w:color="auto"/>
              <w:bottom w:val="nil"/>
              <w:right w:val="nil"/>
            </w:tcBorders>
            <w:shd w:val="clear" w:color="auto" w:fill="auto"/>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5.Environment</w:t>
            </w:r>
          </w:p>
        </w:tc>
        <w:tc>
          <w:tcPr>
            <w:tcW w:w="1154"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-997</w:t>
            </w:r>
          </w:p>
        </w:tc>
        <w:tc>
          <w:tcPr>
            <w:tcW w:w="1002"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102</w:t>
            </w:r>
          </w:p>
        </w:tc>
        <w:tc>
          <w:tcPr>
            <w:tcW w:w="664" w:type="dxa"/>
            <w:tcBorders>
              <w:top w:val="nil"/>
              <w:left w:val="nil"/>
              <w:bottom w:val="nil"/>
              <w:right w:val="single" w:sz="4" w:space="0" w:color="auto"/>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-895</w:t>
            </w:r>
          </w:p>
        </w:tc>
        <w:tc>
          <w:tcPr>
            <w:tcW w:w="1133"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-2122</w:t>
            </w:r>
          </w:p>
        </w:tc>
        <w:tc>
          <w:tcPr>
            <w:tcW w:w="984"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59</w:t>
            </w:r>
          </w:p>
        </w:tc>
        <w:tc>
          <w:tcPr>
            <w:tcW w:w="743" w:type="dxa"/>
            <w:tcBorders>
              <w:top w:val="nil"/>
              <w:left w:val="nil"/>
              <w:bottom w:val="nil"/>
              <w:right w:val="single" w:sz="4" w:space="0" w:color="auto"/>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-2063</w:t>
            </w:r>
          </w:p>
        </w:tc>
      </w:tr>
      <w:tr w:rsidR="00B27969" w:rsidRPr="000D7436" w:rsidTr="00B27969">
        <w:trPr>
          <w:trHeight w:hRule="exact" w:val="255"/>
        </w:trPr>
        <w:tc>
          <w:tcPr>
            <w:tcW w:w="3100" w:type="dxa"/>
            <w:tcBorders>
              <w:top w:val="nil"/>
              <w:left w:val="single" w:sz="4" w:space="0" w:color="auto"/>
              <w:bottom w:val="nil"/>
              <w:right w:val="nil"/>
            </w:tcBorders>
            <w:shd w:val="clear" w:color="auto" w:fill="auto"/>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6.Energy</w:t>
            </w:r>
          </w:p>
        </w:tc>
        <w:tc>
          <w:tcPr>
            <w:tcW w:w="1154"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-47</w:t>
            </w:r>
          </w:p>
        </w:tc>
        <w:tc>
          <w:tcPr>
            <w:tcW w:w="1002"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833</w:t>
            </w:r>
          </w:p>
        </w:tc>
        <w:tc>
          <w:tcPr>
            <w:tcW w:w="664" w:type="dxa"/>
            <w:tcBorders>
              <w:top w:val="nil"/>
              <w:left w:val="nil"/>
              <w:bottom w:val="nil"/>
              <w:right w:val="single" w:sz="4" w:space="0" w:color="auto"/>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786</w:t>
            </w:r>
          </w:p>
        </w:tc>
        <w:tc>
          <w:tcPr>
            <w:tcW w:w="1133"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-255</w:t>
            </w:r>
          </w:p>
        </w:tc>
        <w:tc>
          <w:tcPr>
            <w:tcW w:w="984"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657</w:t>
            </w:r>
          </w:p>
        </w:tc>
        <w:tc>
          <w:tcPr>
            <w:tcW w:w="743" w:type="dxa"/>
            <w:tcBorders>
              <w:top w:val="nil"/>
              <w:left w:val="nil"/>
              <w:bottom w:val="nil"/>
              <w:right w:val="single" w:sz="4" w:space="0" w:color="auto"/>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402</w:t>
            </w:r>
          </w:p>
        </w:tc>
      </w:tr>
      <w:tr w:rsidR="00B27969" w:rsidRPr="000D7436" w:rsidTr="00B27969">
        <w:trPr>
          <w:trHeight w:hRule="exact" w:val="255"/>
        </w:trPr>
        <w:tc>
          <w:tcPr>
            <w:tcW w:w="3100" w:type="dxa"/>
            <w:tcBorders>
              <w:top w:val="nil"/>
              <w:left w:val="single" w:sz="4" w:space="0" w:color="auto"/>
              <w:bottom w:val="nil"/>
              <w:right w:val="nil"/>
            </w:tcBorders>
            <w:shd w:val="clear" w:color="auto" w:fill="auto"/>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7.Broadband</w:t>
            </w:r>
          </w:p>
        </w:tc>
        <w:tc>
          <w:tcPr>
            <w:tcW w:w="1154"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-122</w:t>
            </w:r>
          </w:p>
        </w:tc>
        <w:tc>
          <w:tcPr>
            <w:tcW w:w="1002"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29</w:t>
            </w:r>
          </w:p>
        </w:tc>
        <w:tc>
          <w:tcPr>
            <w:tcW w:w="664" w:type="dxa"/>
            <w:tcBorders>
              <w:top w:val="nil"/>
              <w:left w:val="nil"/>
              <w:bottom w:val="nil"/>
              <w:right w:val="single" w:sz="4" w:space="0" w:color="auto"/>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-93</w:t>
            </w:r>
          </w:p>
        </w:tc>
        <w:tc>
          <w:tcPr>
            <w:tcW w:w="1133"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-70</w:t>
            </w:r>
          </w:p>
        </w:tc>
        <w:tc>
          <w:tcPr>
            <w:tcW w:w="984"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458</w:t>
            </w:r>
          </w:p>
        </w:tc>
        <w:tc>
          <w:tcPr>
            <w:tcW w:w="743" w:type="dxa"/>
            <w:tcBorders>
              <w:top w:val="nil"/>
              <w:left w:val="nil"/>
              <w:bottom w:val="nil"/>
              <w:right w:val="single" w:sz="4" w:space="0" w:color="auto"/>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388</w:t>
            </w:r>
          </w:p>
        </w:tc>
      </w:tr>
      <w:tr w:rsidR="00B27969" w:rsidRPr="000D7436" w:rsidTr="00B27969">
        <w:trPr>
          <w:trHeight w:hRule="exact" w:val="255"/>
        </w:trPr>
        <w:tc>
          <w:tcPr>
            <w:tcW w:w="3100" w:type="dxa"/>
            <w:tcBorders>
              <w:top w:val="nil"/>
              <w:left w:val="single" w:sz="4" w:space="0" w:color="auto"/>
              <w:bottom w:val="nil"/>
              <w:right w:val="nil"/>
            </w:tcBorders>
            <w:shd w:val="clear" w:color="auto" w:fill="auto"/>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8.Road</w:t>
            </w:r>
          </w:p>
        </w:tc>
        <w:tc>
          <w:tcPr>
            <w:tcW w:w="1154"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-492</w:t>
            </w:r>
          </w:p>
        </w:tc>
        <w:tc>
          <w:tcPr>
            <w:tcW w:w="1002"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1401</w:t>
            </w:r>
          </w:p>
        </w:tc>
        <w:tc>
          <w:tcPr>
            <w:tcW w:w="664" w:type="dxa"/>
            <w:tcBorders>
              <w:top w:val="nil"/>
              <w:left w:val="nil"/>
              <w:bottom w:val="nil"/>
              <w:right w:val="single" w:sz="4" w:space="0" w:color="auto"/>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909</w:t>
            </w:r>
          </w:p>
        </w:tc>
        <w:tc>
          <w:tcPr>
            <w:tcW w:w="1133"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-31</w:t>
            </w:r>
          </w:p>
        </w:tc>
        <w:tc>
          <w:tcPr>
            <w:tcW w:w="984"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1165</w:t>
            </w:r>
          </w:p>
        </w:tc>
        <w:tc>
          <w:tcPr>
            <w:tcW w:w="743" w:type="dxa"/>
            <w:tcBorders>
              <w:top w:val="nil"/>
              <w:left w:val="nil"/>
              <w:bottom w:val="nil"/>
              <w:right w:val="single" w:sz="4" w:space="0" w:color="auto"/>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1134</w:t>
            </w:r>
          </w:p>
        </w:tc>
      </w:tr>
      <w:tr w:rsidR="00B27969" w:rsidRPr="000D7436" w:rsidTr="00B27969">
        <w:trPr>
          <w:trHeight w:hRule="exact" w:val="255"/>
        </w:trPr>
        <w:tc>
          <w:tcPr>
            <w:tcW w:w="3100" w:type="dxa"/>
            <w:tcBorders>
              <w:top w:val="nil"/>
              <w:left w:val="single" w:sz="4" w:space="0" w:color="auto"/>
              <w:bottom w:val="nil"/>
              <w:right w:val="nil"/>
            </w:tcBorders>
            <w:shd w:val="clear" w:color="auto" w:fill="auto"/>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9.Rail</w:t>
            </w:r>
          </w:p>
        </w:tc>
        <w:tc>
          <w:tcPr>
            <w:tcW w:w="1154"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-422</w:t>
            </w:r>
          </w:p>
        </w:tc>
        <w:tc>
          <w:tcPr>
            <w:tcW w:w="1002"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77</w:t>
            </w:r>
          </w:p>
        </w:tc>
        <w:tc>
          <w:tcPr>
            <w:tcW w:w="664" w:type="dxa"/>
            <w:tcBorders>
              <w:top w:val="nil"/>
              <w:left w:val="nil"/>
              <w:bottom w:val="nil"/>
              <w:right w:val="single" w:sz="4" w:space="0" w:color="auto"/>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-345</w:t>
            </w:r>
          </w:p>
        </w:tc>
        <w:tc>
          <w:tcPr>
            <w:tcW w:w="1133"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-1282</w:t>
            </w:r>
          </w:p>
        </w:tc>
        <w:tc>
          <w:tcPr>
            <w:tcW w:w="984"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959</w:t>
            </w:r>
          </w:p>
        </w:tc>
        <w:tc>
          <w:tcPr>
            <w:tcW w:w="743" w:type="dxa"/>
            <w:tcBorders>
              <w:top w:val="nil"/>
              <w:left w:val="nil"/>
              <w:bottom w:val="nil"/>
              <w:right w:val="single" w:sz="4" w:space="0" w:color="auto"/>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-323</w:t>
            </w:r>
          </w:p>
        </w:tc>
      </w:tr>
      <w:tr w:rsidR="00B27969" w:rsidRPr="000D7436" w:rsidTr="00B27969">
        <w:trPr>
          <w:trHeight w:hRule="exact" w:val="255"/>
        </w:trPr>
        <w:tc>
          <w:tcPr>
            <w:tcW w:w="3100" w:type="dxa"/>
            <w:tcBorders>
              <w:top w:val="nil"/>
              <w:left w:val="single" w:sz="4" w:space="0" w:color="auto"/>
              <w:bottom w:val="nil"/>
              <w:right w:val="nil"/>
            </w:tcBorders>
            <w:shd w:val="clear" w:color="auto" w:fill="auto"/>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10.Other transport</w:t>
            </w:r>
          </w:p>
        </w:tc>
        <w:tc>
          <w:tcPr>
            <w:tcW w:w="1154"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-619</w:t>
            </w:r>
          </w:p>
        </w:tc>
        <w:tc>
          <w:tcPr>
            <w:tcW w:w="1002"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246</w:t>
            </w:r>
          </w:p>
        </w:tc>
        <w:tc>
          <w:tcPr>
            <w:tcW w:w="664" w:type="dxa"/>
            <w:tcBorders>
              <w:top w:val="nil"/>
              <w:left w:val="nil"/>
              <w:bottom w:val="nil"/>
              <w:right w:val="single" w:sz="4" w:space="0" w:color="auto"/>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-373</w:t>
            </w:r>
          </w:p>
        </w:tc>
        <w:tc>
          <w:tcPr>
            <w:tcW w:w="1133"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-920</w:t>
            </w:r>
          </w:p>
        </w:tc>
        <w:tc>
          <w:tcPr>
            <w:tcW w:w="984"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85</w:t>
            </w:r>
          </w:p>
        </w:tc>
        <w:tc>
          <w:tcPr>
            <w:tcW w:w="743" w:type="dxa"/>
            <w:tcBorders>
              <w:top w:val="nil"/>
              <w:left w:val="nil"/>
              <w:bottom w:val="nil"/>
              <w:right w:val="single" w:sz="4" w:space="0" w:color="auto"/>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-835</w:t>
            </w:r>
          </w:p>
        </w:tc>
      </w:tr>
      <w:tr w:rsidR="00B27969" w:rsidRPr="000D7436" w:rsidTr="00B27969">
        <w:trPr>
          <w:trHeight w:hRule="exact" w:val="255"/>
        </w:trPr>
        <w:tc>
          <w:tcPr>
            <w:tcW w:w="3100" w:type="dxa"/>
            <w:tcBorders>
              <w:top w:val="nil"/>
              <w:left w:val="single" w:sz="4" w:space="0" w:color="auto"/>
              <w:bottom w:val="nil"/>
              <w:right w:val="nil"/>
            </w:tcBorders>
            <w:shd w:val="clear" w:color="auto" w:fill="auto"/>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11.Human capital</w:t>
            </w:r>
          </w:p>
        </w:tc>
        <w:tc>
          <w:tcPr>
            <w:tcW w:w="1154"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-73</w:t>
            </w:r>
          </w:p>
        </w:tc>
        <w:tc>
          <w:tcPr>
            <w:tcW w:w="1002"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0</w:t>
            </w:r>
          </w:p>
        </w:tc>
        <w:tc>
          <w:tcPr>
            <w:tcW w:w="664" w:type="dxa"/>
            <w:tcBorders>
              <w:top w:val="nil"/>
              <w:left w:val="nil"/>
              <w:bottom w:val="nil"/>
              <w:right w:val="single" w:sz="4" w:space="0" w:color="auto"/>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-73</w:t>
            </w:r>
          </w:p>
        </w:tc>
        <w:tc>
          <w:tcPr>
            <w:tcW w:w="1133"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-38</w:t>
            </w:r>
          </w:p>
        </w:tc>
        <w:tc>
          <w:tcPr>
            <w:tcW w:w="984"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11</w:t>
            </w:r>
          </w:p>
        </w:tc>
        <w:tc>
          <w:tcPr>
            <w:tcW w:w="743" w:type="dxa"/>
            <w:tcBorders>
              <w:top w:val="nil"/>
              <w:left w:val="nil"/>
              <w:bottom w:val="nil"/>
              <w:right w:val="single" w:sz="4" w:space="0" w:color="auto"/>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-27</w:t>
            </w:r>
          </w:p>
        </w:tc>
      </w:tr>
      <w:tr w:rsidR="00B27969" w:rsidRPr="000D7436" w:rsidTr="00B27969">
        <w:trPr>
          <w:trHeight w:hRule="exact" w:val="255"/>
        </w:trPr>
        <w:tc>
          <w:tcPr>
            <w:tcW w:w="3100" w:type="dxa"/>
            <w:tcBorders>
              <w:top w:val="nil"/>
              <w:left w:val="single" w:sz="4" w:space="0" w:color="auto"/>
              <w:bottom w:val="nil"/>
              <w:right w:val="nil"/>
            </w:tcBorders>
            <w:shd w:val="clear" w:color="auto" w:fill="auto"/>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12.Labour market</w:t>
            </w:r>
          </w:p>
        </w:tc>
        <w:tc>
          <w:tcPr>
            <w:tcW w:w="1154"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-204</w:t>
            </w:r>
          </w:p>
        </w:tc>
        <w:tc>
          <w:tcPr>
            <w:tcW w:w="1002"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0</w:t>
            </w:r>
          </w:p>
        </w:tc>
        <w:tc>
          <w:tcPr>
            <w:tcW w:w="664" w:type="dxa"/>
            <w:tcBorders>
              <w:top w:val="nil"/>
              <w:left w:val="nil"/>
              <w:bottom w:val="nil"/>
              <w:right w:val="single" w:sz="4" w:space="0" w:color="auto"/>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-204</w:t>
            </w:r>
          </w:p>
        </w:tc>
        <w:tc>
          <w:tcPr>
            <w:tcW w:w="1133"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-127</w:t>
            </w:r>
          </w:p>
        </w:tc>
        <w:tc>
          <w:tcPr>
            <w:tcW w:w="984"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5</w:t>
            </w:r>
          </w:p>
        </w:tc>
        <w:tc>
          <w:tcPr>
            <w:tcW w:w="743" w:type="dxa"/>
            <w:tcBorders>
              <w:top w:val="nil"/>
              <w:left w:val="nil"/>
              <w:bottom w:val="nil"/>
              <w:right w:val="single" w:sz="4" w:space="0" w:color="auto"/>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-122</w:t>
            </w:r>
          </w:p>
        </w:tc>
      </w:tr>
      <w:tr w:rsidR="00B27969" w:rsidRPr="000D7436" w:rsidTr="00B27969">
        <w:trPr>
          <w:trHeight w:hRule="exact" w:val="255"/>
        </w:trPr>
        <w:tc>
          <w:tcPr>
            <w:tcW w:w="3100" w:type="dxa"/>
            <w:tcBorders>
              <w:top w:val="nil"/>
              <w:left w:val="single" w:sz="4" w:space="0" w:color="auto"/>
              <w:bottom w:val="nil"/>
              <w:right w:val="nil"/>
            </w:tcBorders>
            <w:shd w:val="clear" w:color="auto" w:fill="auto"/>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13.Culture &amp; social</w:t>
            </w:r>
          </w:p>
        </w:tc>
        <w:tc>
          <w:tcPr>
            <w:tcW w:w="1154"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-113</w:t>
            </w:r>
          </w:p>
        </w:tc>
        <w:tc>
          <w:tcPr>
            <w:tcW w:w="1002"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864</w:t>
            </w:r>
          </w:p>
        </w:tc>
        <w:tc>
          <w:tcPr>
            <w:tcW w:w="664" w:type="dxa"/>
            <w:tcBorders>
              <w:top w:val="nil"/>
              <w:left w:val="nil"/>
              <w:bottom w:val="nil"/>
              <w:right w:val="single" w:sz="4" w:space="0" w:color="auto"/>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751</w:t>
            </w:r>
          </w:p>
        </w:tc>
        <w:tc>
          <w:tcPr>
            <w:tcW w:w="1133"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-342</w:t>
            </w:r>
          </w:p>
        </w:tc>
        <w:tc>
          <w:tcPr>
            <w:tcW w:w="984"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1628</w:t>
            </w:r>
          </w:p>
        </w:tc>
        <w:tc>
          <w:tcPr>
            <w:tcW w:w="743" w:type="dxa"/>
            <w:tcBorders>
              <w:top w:val="nil"/>
              <w:left w:val="nil"/>
              <w:bottom w:val="nil"/>
              <w:right w:val="single" w:sz="4" w:space="0" w:color="auto"/>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1286</w:t>
            </w:r>
          </w:p>
        </w:tc>
      </w:tr>
      <w:tr w:rsidR="00B27969" w:rsidRPr="000D7436" w:rsidTr="00B27969">
        <w:trPr>
          <w:trHeight w:hRule="exact" w:val="255"/>
        </w:trPr>
        <w:tc>
          <w:tcPr>
            <w:tcW w:w="3100" w:type="dxa"/>
            <w:tcBorders>
              <w:top w:val="nil"/>
              <w:left w:val="single" w:sz="4" w:space="0" w:color="auto"/>
              <w:bottom w:val="nil"/>
              <w:right w:val="nil"/>
            </w:tcBorders>
            <w:shd w:val="clear" w:color="auto" w:fill="auto"/>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14.Social Inclusion</w:t>
            </w:r>
          </w:p>
        </w:tc>
        <w:tc>
          <w:tcPr>
            <w:tcW w:w="1154"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0</w:t>
            </w:r>
          </w:p>
        </w:tc>
        <w:tc>
          <w:tcPr>
            <w:tcW w:w="1002"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0</w:t>
            </w:r>
          </w:p>
        </w:tc>
        <w:tc>
          <w:tcPr>
            <w:tcW w:w="664" w:type="dxa"/>
            <w:tcBorders>
              <w:top w:val="nil"/>
              <w:left w:val="nil"/>
              <w:bottom w:val="nil"/>
              <w:right w:val="single" w:sz="4" w:space="0" w:color="auto"/>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0</w:t>
            </w:r>
          </w:p>
        </w:tc>
        <w:tc>
          <w:tcPr>
            <w:tcW w:w="1133"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-40</w:t>
            </w:r>
          </w:p>
        </w:tc>
        <w:tc>
          <w:tcPr>
            <w:tcW w:w="984"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0</w:t>
            </w:r>
          </w:p>
        </w:tc>
        <w:tc>
          <w:tcPr>
            <w:tcW w:w="743" w:type="dxa"/>
            <w:tcBorders>
              <w:top w:val="nil"/>
              <w:left w:val="nil"/>
              <w:bottom w:val="nil"/>
              <w:right w:val="single" w:sz="4" w:space="0" w:color="auto"/>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-40</w:t>
            </w:r>
          </w:p>
        </w:tc>
      </w:tr>
      <w:tr w:rsidR="00B27969" w:rsidRPr="000D7436" w:rsidTr="00B27969">
        <w:trPr>
          <w:trHeight w:hRule="exact" w:val="255"/>
        </w:trPr>
        <w:tc>
          <w:tcPr>
            <w:tcW w:w="3100" w:type="dxa"/>
            <w:tcBorders>
              <w:top w:val="nil"/>
              <w:left w:val="single" w:sz="4" w:space="0" w:color="auto"/>
              <w:bottom w:val="nil"/>
              <w:right w:val="nil"/>
            </w:tcBorders>
            <w:shd w:val="clear" w:color="auto" w:fill="auto"/>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15.Territorial Dimension</w:t>
            </w:r>
          </w:p>
        </w:tc>
        <w:tc>
          <w:tcPr>
            <w:tcW w:w="1154"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-870</w:t>
            </w:r>
          </w:p>
        </w:tc>
        <w:tc>
          <w:tcPr>
            <w:tcW w:w="1002"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525</w:t>
            </w:r>
          </w:p>
        </w:tc>
        <w:tc>
          <w:tcPr>
            <w:tcW w:w="664" w:type="dxa"/>
            <w:tcBorders>
              <w:top w:val="nil"/>
              <w:left w:val="nil"/>
              <w:bottom w:val="nil"/>
              <w:right w:val="single" w:sz="4" w:space="0" w:color="auto"/>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-345</w:t>
            </w:r>
          </w:p>
        </w:tc>
        <w:tc>
          <w:tcPr>
            <w:tcW w:w="1133"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-421</w:t>
            </w:r>
          </w:p>
        </w:tc>
        <w:tc>
          <w:tcPr>
            <w:tcW w:w="984"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586</w:t>
            </w:r>
          </w:p>
        </w:tc>
        <w:tc>
          <w:tcPr>
            <w:tcW w:w="743" w:type="dxa"/>
            <w:tcBorders>
              <w:top w:val="nil"/>
              <w:left w:val="nil"/>
              <w:bottom w:val="nil"/>
              <w:right w:val="single" w:sz="4" w:space="0" w:color="auto"/>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165</w:t>
            </w:r>
          </w:p>
        </w:tc>
      </w:tr>
      <w:tr w:rsidR="00B27969" w:rsidRPr="000D7436" w:rsidTr="00B27969">
        <w:trPr>
          <w:trHeight w:hRule="exact" w:val="255"/>
        </w:trPr>
        <w:tc>
          <w:tcPr>
            <w:tcW w:w="3100" w:type="dxa"/>
            <w:tcBorders>
              <w:top w:val="nil"/>
              <w:left w:val="single" w:sz="4" w:space="0" w:color="auto"/>
              <w:bottom w:val="nil"/>
              <w:right w:val="nil"/>
            </w:tcBorders>
            <w:shd w:val="clear" w:color="auto" w:fill="auto"/>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16.Capacity Building</w:t>
            </w:r>
          </w:p>
        </w:tc>
        <w:tc>
          <w:tcPr>
            <w:tcW w:w="1154"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-111</w:t>
            </w:r>
          </w:p>
        </w:tc>
        <w:tc>
          <w:tcPr>
            <w:tcW w:w="1002"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9</w:t>
            </w:r>
          </w:p>
        </w:tc>
        <w:tc>
          <w:tcPr>
            <w:tcW w:w="664" w:type="dxa"/>
            <w:tcBorders>
              <w:top w:val="nil"/>
              <w:left w:val="nil"/>
              <w:bottom w:val="nil"/>
              <w:right w:val="single" w:sz="4" w:space="0" w:color="auto"/>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-102</w:t>
            </w:r>
          </w:p>
        </w:tc>
        <w:tc>
          <w:tcPr>
            <w:tcW w:w="1133"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-693</w:t>
            </w:r>
          </w:p>
        </w:tc>
        <w:tc>
          <w:tcPr>
            <w:tcW w:w="984"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8</w:t>
            </w:r>
          </w:p>
        </w:tc>
        <w:tc>
          <w:tcPr>
            <w:tcW w:w="743" w:type="dxa"/>
            <w:tcBorders>
              <w:top w:val="nil"/>
              <w:left w:val="nil"/>
              <w:bottom w:val="nil"/>
              <w:right w:val="single" w:sz="4" w:space="0" w:color="auto"/>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-685</w:t>
            </w:r>
          </w:p>
        </w:tc>
      </w:tr>
      <w:tr w:rsidR="00B27969" w:rsidRPr="000D7436" w:rsidTr="00B27969">
        <w:trPr>
          <w:trHeight w:hRule="exact" w:val="255"/>
        </w:trPr>
        <w:tc>
          <w:tcPr>
            <w:tcW w:w="3100" w:type="dxa"/>
            <w:tcBorders>
              <w:top w:val="nil"/>
              <w:left w:val="single" w:sz="4" w:space="0" w:color="auto"/>
              <w:bottom w:val="nil"/>
              <w:right w:val="nil"/>
            </w:tcBorders>
            <w:shd w:val="clear" w:color="auto" w:fill="auto"/>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17.Technical Assistance</w:t>
            </w:r>
          </w:p>
        </w:tc>
        <w:tc>
          <w:tcPr>
            <w:tcW w:w="1154"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-590</w:t>
            </w:r>
          </w:p>
        </w:tc>
        <w:tc>
          <w:tcPr>
            <w:tcW w:w="1002"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23</w:t>
            </w:r>
          </w:p>
        </w:tc>
        <w:tc>
          <w:tcPr>
            <w:tcW w:w="664" w:type="dxa"/>
            <w:tcBorders>
              <w:top w:val="nil"/>
              <w:left w:val="nil"/>
              <w:bottom w:val="nil"/>
              <w:right w:val="single" w:sz="4" w:space="0" w:color="auto"/>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-567</w:t>
            </w:r>
          </w:p>
        </w:tc>
        <w:tc>
          <w:tcPr>
            <w:tcW w:w="1133"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-241</w:t>
            </w:r>
          </w:p>
        </w:tc>
        <w:tc>
          <w:tcPr>
            <w:tcW w:w="984" w:type="dxa"/>
            <w:tcBorders>
              <w:top w:val="nil"/>
              <w:left w:val="nil"/>
              <w:bottom w:val="nil"/>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228</w:t>
            </w:r>
          </w:p>
        </w:tc>
        <w:tc>
          <w:tcPr>
            <w:tcW w:w="743" w:type="dxa"/>
            <w:tcBorders>
              <w:top w:val="nil"/>
              <w:left w:val="nil"/>
              <w:bottom w:val="nil"/>
              <w:right w:val="single" w:sz="4" w:space="0" w:color="auto"/>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-13</w:t>
            </w:r>
          </w:p>
        </w:tc>
      </w:tr>
      <w:tr w:rsidR="00B27969" w:rsidRPr="000D7436" w:rsidTr="00B27969">
        <w:trPr>
          <w:trHeight w:hRule="exact" w:val="255"/>
        </w:trPr>
        <w:tc>
          <w:tcPr>
            <w:tcW w:w="3100" w:type="dxa"/>
            <w:tcBorders>
              <w:top w:val="nil"/>
              <w:left w:val="single" w:sz="4" w:space="0" w:color="auto"/>
              <w:bottom w:val="single" w:sz="4" w:space="0" w:color="auto"/>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Total</w:t>
            </w:r>
          </w:p>
        </w:tc>
        <w:tc>
          <w:tcPr>
            <w:tcW w:w="1154" w:type="dxa"/>
            <w:tcBorders>
              <w:top w:val="nil"/>
              <w:left w:val="nil"/>
              <w:bottom w:val="single" w:sz="4" w:space="0" w:color="auto"/>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-271</w:t>
            </w:r>
          </w:p>
        </w:tc>
        <w:tc>
          <w:tcPr>
            <w:tcW w:w="1002" w:type="dxa"/>
            <w:tcBorders>
              <w:top w:val="nil"/>
              <w:left w:val="nil"/>
              <w:bottom w:val="single" w:sz="4" w:space="0" w:color="auto"/>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1801</w:t>
            </w:r>
          </w:p>
        </w:tc>
        <w:tc>
          <w:tcPr>
            <w:tcW w:w="664" w:type="dxa"/>
            <w:tcBorders>
              <w:top w:val="nil"/>
              <w:left w:val="nil"/>
              <w:bottom w:val="single" w:sz="4" w:space="0" w:color="auto"/>
              <w:right w:val="single" w:sz="4" w:space="0" w:color="auto"/>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1530</w:t>
            </w:r>
          </w:p>
        </w:tc>
        <w:tc>
          <w:tcPr>
            <w:tcW w:w="1133" w:type="dxa"/>
            <w:tcBorders>
              <w:top w:val="nil"/>
              <w:left w:val="nil"/>
              <w:bottom w:val="single" w:sz="4" w:space="0" w:color="auto"/>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-437</w:t>
            </w:r>
          </w:p>
        </w:tc>
        <w:tc>
          <w:tcPr>
            <w:tcW w:w="984" w:type="dxa"/>
            <w:tcBorders>
              <w:top w:val="nil"/>
              <w:left w:val="nil"/>
              <w:bottom w:val="single" w:sz="4" w:space="0" w:color="auto"/>
              <w:right w:val="nil"/>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0</w:t>
            </w:r>
          </w:p>
        </w:tc>
        <w:tc>
          <w:tcPr>
            <w:tcW w:w="743" w:type="dxa"/>
            <w:tcBorders>
              <w:top w:val="nil"/>
              <w:left w:val="nil"/>
              <w:bottom w:val="single" w:sz="4" w:space="0" w:color="auto"/>
              <w:right w:val="single" w:sz="4" w:space="0" w:color="auto"/>
            </w:tcBorders>
            <w:shd w:val="clear" w:color="auto" w:fill="auto"/>
            <w:noWrap/>
            <w:vAlign w:val="bottom"/>
            <w:hideMark/>
          </w:tcPr>
          <w:p w:rsidR="00B27969" w:rsidRPr="000D7436" w:rsidRDefault="00B27969" w:rsidP="00B27969">
            <w:pPr>
              <w:spacing w:after="0" w:line="240" w:lineRule="auto"/>
              <w:jc w:val="both"/>
              <w:rPr>
                <w:rFonts w:ascii="Calibri" w:eastAsia="Times New Roman" w:hAnsi="Calibri" w:cs="Arial"/>
                <w:color w:val="000000"/>
                <w:sz w:val="20"/>
                <w:szCs w:val="20"/>
                <w:lang w:eastAsia="en-GB"/>
              </w:rPr>
            </w:pPr>
            <w:r w:rsidRPr="000D7436">
              <w:rPr>
                <w:rFonts w:ascii="Calibri" w:eastAsia="Times New Roman" w:hAnsi="Calibri" w:cs="Arial"/>
                <w:color w:val="000000"/>
                <w:sz w:val="20"/>
                <w:szCs w:val="20"/>
                <w:lang w:eastAsia="en-GB"/>
              </w:rPr>
              <w:t>-437</w:t>
            </w:r>
          </w:p>
        </w:tc>
      </w:tr>
      <w:tr w:rsidR="00B27969" w:rsidRPr="000D7436" w:rsidTr="00B27969">
        <w:trPr>
          <w:trHeight w:val="780"/>
        </w:trPr>
        <w:tc>
          <w:tcPr>
            <w:tcW w:w="8780" w:type="dxa"/>
            <w:gridSpan w:val="7"/>
            <w:tcBorders>
              <w:top w:val="single" w:sz="4" w:space="0" w:color="auto"/>
              <w:left w:val="nil"/>
              <w:bottom w:val="nil"/>
              <w:right w:val="nil"/>
            </w:tcBorders>
            <w:shd w:val="clear" w:color="auto" w:fill="auto"/>
            <w:vAlign w:val="bottom"/>
            <w:hideMark/>
          </w:tcPr>
          <w:p w:rsidR="00B27969" w:rsidRPr="000D7436" w:rsidRDefault="00B27969" w:rsidP="00B27969">
            <w:pPr>
              <w:spacing w:after="0" w:line="240" w:lineRule="auto"/>
              <w:jc w:val="both"/>
              <w:rPr>
                <w:rFonts w:ascii="Calibri" w:eastAsia="Times New Roman" w:hAnsi="Calibri" w:cs="Arial"/>
                <w:i/>
                <w:iCs/>
                <w:sz w:val="20"/>
                <w:szCs w:val="20"/>
                <w:lang w:eastAsia="en-GB"/>
              </w:rPr>
            </w:pPr>
            <w:r w:rsidRPr="000D7436">
              <w:rPr>
                <w:rFonts w:ascii="Calibri" w:eastAsia="Times New Roman" w:hAnsi="Calibri" w:cs="Arial"/>
                <w:i/>
                <w:iCs/>
                <w:sz w:val="20"/>
                <w:szCs w:val="20"/>
                <w:lang w:eastAsia="en-GB"/>
              </w:rPr>
              <w:t xml:space="preserve">Note: The figures in the Negative columns are the sum of the figures for those Member States where the net change in funding across OPs was negative; the figures in the Positive columns are sum of the figures in Member States where the net change across OPs was positive. </w:t>
            </w:r>
          </w:p>
        </w:tc>
      </w:tr>
      <w:tr w:rsidR="00B27969" w:rsidRPr="00C67CE1" w:rsidTr="00B27969">
        <w:trPr>
          <w:trHeight w:val="300"/>
        </w:trPr>
        <w:tc>
          <w:tcPr>
            <w:tcW w:w="4254" w:type="dxa"/>
            <w:gridSpan w:val="2"/>
            <w:tcBorders>
              <w:top w:val="nil"/>
              <w:left w:val="nil"/>
              <w:bottom w:val="nil"/>
              <w:right w:val="nil"/>
            </w:tcBorders>
            <w:shd w:val="clear" w:color="auto" w:fill="auto"/>
            <w:noWrap/>
            <w:vAlign w:val="bottom"/>
            <w:hideMark/>
          </w:tcPr>
          <w:p w:rsidR="00B27969" w:rsidRPr="00C67CE1" w:rsidRDefault="00B27969" w:rsidP="00B27969">
            <w:pPr>
              <w:spacing w:after="0" w:line="240" w:lineRule="auto"/>
              <w:jc w:val="both"/>
              <w:rPr>
                <w:rFonts w:ascii="Calibri" w:eastAsia="Times New Roman" w:hAnsi="Calibri" w:cs="Arial"/>
                <w:i/>
                <w:iCs/>
                <w:sz w:val="20"/>
                <w:szCs w:val="20"/>
                <w:lang w:eastAsia="en-GB"/>
              </w:rPr>
            </w:pPr>
            <w:r w:rsidRPr="000D7436">
              <w:rPr>
                <w:rFonts w:ascii="Calibri" w:eastAsia="Times New Roman" w:hAnsi="Calibri" w:cs="Arial"/>
                <w:i/>
                <w:iCs/>
                <w:sz w:val="20"/>
                <w:szCs w:val="20"/>
                <w:lang w:eastAsia="en-GB"/>
              </w:rPr>
              <w:t xml:space="preserve">Source: DG Regional Policy </w:t>
            </w:r>
            <w:proofErr w:type="spellStart"/>
            <w:r w:rsidRPr="000D7436">
              <w:rPr>
                <w:rFonts w:ascii="Calibri" w:eastAsia="Times New Roman" w:hAnsi="Calibri" w:cs="Arial"/>
                <w:i/>
                <w:iCs/>
                <w:sz w:val="20"/>
                <w:szCs w:val="20"/>
                <w:lang w:eastAsia="en-GB"/>
              </w:rPr>
              <w:t>Inforegio</w:t>
            </w:r>
            <w:proofErr w:type="spellEnd"/>
            <w:r w:rsidRPr="000D7436">
              <w:rPr>
                <w:rFonts w:ascii="Calibri" w:eastAsia="Times New Roman" w:hAnsi="Calibri" w:cs="Arial"/>
                <w:i/>
                <w:iCs/>
                <w:sz w:val="20"/>
                <w:szCs w:val="20"/>
                <w:lang w:eastAsia="en-GB"/>
              </w:rPr>
              <w:t xml:space="preserve"> database</w:t>
            </w:r>
          </w:p>
        </w:tc>
        <w:tc>
          <w:tcPr>
            <w:tcW w:w="1002" w:type="dxa"/>
            <w:tcBorders>
              <w:top w:val="nil"/>
              <w:left w:val="nil"/>
              <w:bottom w:val="nil"/>
              <w:right w:val="nil"/>
            </w:tcBorders>
            <w:shd w:val="clear" w:color="auto" w:fill="auto"/>
            <w:noWrap/>
            <w:vAlign w:val="bottom"/>
            <w:hideMark/>
          </w:tcPr>
          <w:p w:rsidR="00B27969" w:rsidRPr="00C67CE1" w:rsidRDefault="00B27969" w:rsidP="00B27969">
            <w:pPr>
              <w:spacing w:after="0" w:line="240" w:lineRule="auto"/>
              <w:jc w:val="both"/>
              <w:rPr>
                <w:rFonts w:ascii="Calibri" w:eastAsia="Times New Roman" w:hAnsi="Calibri" w:cs="Arial"/>
                <w:sz w:val="20"/>
                <w:szCs w:val="20"/>
                <w:lang w:eastAsia="en-GB"/>
              </w:rPr>
            </w:pPr>
          </w:p>
        </w:tc>
        <w:tc>
          <w:tcPr>
            <w:tcW w:w="664" w:type="dxa"/>
            <w:tcBorders>
              <w:top w:val="nil"/>
              <w:left w:val="nil"/>
              <w:bottom w:val="nil"/>
              <w:right w:val="nil"/>
            </w:tcBorders>
            <w:shd w:val="clear" w:color="auto" w:fill="auto"/>
            <w:noWrap/>
            <w:vAlign w:val="bottom"/>
            <w:hideMark/>
          </w:tcPr>
          <w:p w:rsidR="00B27969" w:rsidRPr="00C67CE1" w:rsidRDefault="00B27969" w:rsidP="00B27969">
            <w:pPr>
              <w:spacing w:after="0" w:line="240" w:lineRule="auto"/>
              <w:jc w:val="both"/>
              <w:rPr>
                <w:rFonts w:ascii="Calibri" w:eastAsia="Times New Roman" w:hAnsi="Calibri" w:cs="Arial"/>
                <w:sz w:val="20"/>
                <w:szCs w:val="20"/>
                <w:lang w:eastAsia="en-GB"/>
              </w:rPr>
            </w:pPr>
          </w:p>
        </w:tc>
        <w:tc>
          <w:tcPr>
            <w:tcW w:w="1133" w:type="dxa"/>
            <w:tcBorders>
              <w:top w:val="nil"/>
              <w:left w:val="nil"/>
              <w:bottom w:val="nil"/>
              <w:right w:val="nil"/>
            </w:tcBorders>
            <w:shd w:val="clear" w:color="auto" w:fill="auto"/>
            <w:noWrap/>
            <w:vAlign w:val="bottom"/>
            <w:hideMark/>
          </w:tcPr>
          <w:p w:rsidR="00B27969" w:rsidRPr="00C67CE1" w:rsidRDefault="00B27969" w:rsidP="00B27969">
            <w:pPr>
              <w:spacing w:after="0" w:line="240" w:lineRule="auto"/>
              <w:jc w:val="both"/>
              <w:rPr>
                <w:rFonts w:ascii="Calibri" w:eastAsia="Times New Roman" w:hAnsi="Calibri" w:cs="Arial"/>
                <w:sz w:val="20"/>
                <w:szCs w:val="20"/>
                <w:lang w:eastAsia="en-GB"/>
              </w:rPr>
            </w:pPr>
          </w:p>
        </w:tc>
        <w:tc>
          <w:tcPr>
            <w:tcW w:w="984" w:type="dxa"/>
            <w:tcBorders>
              <w:top w:val="nil"/>
              <w:left w:val="nil"/>
              <w:bottom w:val="nil"/>
              <w:right w:val="nil"/>
            </w:tcBorders>
            <w:shd w:val="clear" w:color="auto" w:fill="auto"/>
            <w:noWrap/>
            <w:vAlign w:val="bottom"/>
            <w:hideMark/>
          </w:tcPr>
          <w:p w:rsidR="00B27969" w:rsidRPr="00C67CE1" w:rsidRDefault="00B27969" w:rsidP="00B27969">
            <w:pPr>
              <w:spacing w:after="0" w:line="240" w:lineRule="auto"/>
              <w:jc w:val="both"/>
              <w:rPr>
                <w:rFonts w:ascii="Calibri" w:eastAsia="Times New Roman" w:hAnsi="Calibri" w:cs="Arial"/>
                <w:sz w:val="20"/>
                <w:szCs w:val="20"/>
                <w:lang w:eastAsia="en-GB"/>
              </w:rPr>
            </w:pPr>
          </w:p>
        </w:tc>
        <w:tc>
          <w:tcPr>
            <w:tcW w:w="743" w:type="dxa"/>
            <w:tcBorders>
              <w:top w:val="nil"/>
              <w:left w:val="nil"/>
              <w:bottom w:val="nil"/>
              <w:right w:val="nil"/>
            </w:tcBorders>
            <w:shd w:val="clear" w:color="auto" w:fill="auto"/>
            <w:noWrap/>
            <w:vAlign w:val="bottom"/>
            <w:hideMark/>
          </w:tcPr>
          <w:p w:rsidR="00B27969" w:rsidRPr="00C67CE1" w:rsidRDefault="00B27969" w:rsidP="00B27969">
            <w:pPr>
              <w:spacing w:after="0" w:line="240" w:lineRule="auto"/>
              <w:jc w:val="both"/>
              <w:rPr>
                <w:rFonts w:ascii="Calibri" w:eastAsia="Times New Roman" w:hAnsi="Calibri" w:cs="Arial"/>
                <w:sz w:val="20"/>
                <w:szCs w:val="20"/>
                <w:lang w:eastAsia="en-GB"/>
              </w:rPr>
            </w:pPr>
          </w:p>
        </w:tc>
      </w:tr>
    </w:tbl>
    <w:p w:rsidR="00424E49" w:rsidRPr="00424E49" w:rsidRDefault="00424E49" w:rsidP="000F13B5">
      <w:pPr>
        <w:jc w:val="both"/>
      </w:pPr>
    </w:p>
    <w:sectPr w:rsidR="00424E49" w:rsidRPr="00424E49" w:rsidSect="000F13B5">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969" w:rsidRDefault="00B27969" w:rsidP="00C65429">
      <w:pPr>
        <w:spacing w:after="0" w:line="240" w:lineRule="auto"/>
      </w:pPr>
      <w:r>
        <w:separator/>
      </w:r>
    </w:p>
  </w:endnote>
  <w:endnote w:type="continuationSeparator" w:id="0">
    <w:p w:rsidR="00B27969" w:rsidRDefault="00B27969" w:rsidP="00C65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969" w:rsidRDefault="00B27969">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1138308"/>
      <w:docPartObj>
        <w:docPartGallery w:val="Page Numbers (Bottom of Page)"/>
        <w:docPartUnique/>
      </w:docPartObj>
    </w:sdtPr>
    <w:sdtEndPr>
      <w:rPr>
        <w:noProof/>
      </w:rPr>
    </w:sdtEndPr>
    <w:sdtContent>
      <w:p w:rsidR="00B27969" w:rsidRDefault="00B27969">
        <w:pPr>
          <w:pStyle w:val="Footer"/>
          <w:jc w:val="center"/>
        </w:pPr>
        <w:r>
          <w:fldChar w:fldCharType="begin"/>
        </w:r>
        <w:r>
          <w:instrText xml:space="preserve"> PAGE   \* MERGEFORMAT </w:instrText>
        </w:r>
        <w:r>
          <w:fldChar w:fldCharType="separate"/>
        </w:r>
        <w:r w:rsidR="0002483B">
          <w:rPr>
            <w:noProof/>
          </w:rPr>
          <w:t>1</w:t>
        </w:r>
        <w:r>
          <w:rPr>
            <w:noProof/>
          </w:rPr>
          <w:fldChar w:fldCharType="end"/>
        </w:r>
      </w:p>
    </w:sdtContent>
  </w:sdt>
  <w:p w:rsidR="00B27969" w:rsidRDefault="00B2796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969" w:rsidRDefault="00B27969" w:rsidP="00C65429">
      <w:pPr>
        <w:spacing w:after="0" w:line="240" w:lineRule="auto"/>
      </w:pPr>
      <w:r>
        <w:separator/>
      </w:r>
    </w:p>
  </w:footnote>
  <w:footnote w:type="continuationSeparator" w:id="0">
    <w:p w:rsidR="00B27969" w:rsidRDefault="00B27969" w:rsidP="00C65429">
      <w:pPr>
        <w:spacing w:after="0" w:line="240" w:lineRule="auto"/>
      </w:pPr>
      <w:r>
        <w:continuationSeparator/>
      </w:r>
    </w:p>
  </w:footnote>
  <w:footnote w:id="1">
    <w:p w:rsidR="00B27969" w:rsidRPr="00872268" w:rsidRDefault="00B27969" w:rsidP="00537A89">
      <w:pPr>
        <w:pStyle w:val="FootnoteText"/>
        <w:rPr>
          <w:rFonts w:asciiTheme="majorHAnsi" w:hAnsiTheme="majorHAnsi"/>
        </w:rPr>
      </w:pPr>
      <w:r w:rsidRPr="00872268">
        <w:rPr>
          <w:rStyle w:val="FootnoteReference"/>
          <w:rFonts w:asciiTheme="majorHAnsi" w:hAnsiTheme="majorHAnsi"/>
          <w:sz w:val="18"/>
          <w:szCs w:val="18"/>
        </w:rPr>
        <w:footnoteRef/>
      </w:r>
      <w:r w:rsidRPr="00872268">
        <w:rPr>
          <w:rFonts w:asciiTheme="majorHAnsi" w:hAnsiTheme="majorHAnsi"/>
          <w:sz w:val="18"/>
          <w:szCs w:val="18"/>
        </w:rPr>
        <w:t xml:space="preserve"> </w:t>
      </w:r>
      <w:proofErr w:type="gramStart"/>
      <w:r w:rsidRPr="00872268">
        <w:rPr>
          <w:rFonts w:asciiTheme="majorHAnsi" w:hAnsiTheme="majorHAnsi"/>
          <w:sz w:val="18"/>
          <w:szCs w:val="18"/>
        </w:rPr>
        <w:t>COM(</w:t>
      </w:r>
      <w:proofErr w:type="gramEnd"/>
      <w:r w:rsidRPr="00872268">
        <w:rPr>
          <w:rFonts w:asciiTheme="majorHAnsi" w:hAnsiTheme="majorHAnsi"/>
          <w:sz w:val="18"/>
          <w:szCs w:val="18"/>
        </w:rPr>
        <w:t>2008) 800, 26.11.2008</w:t>
      </w:r>
      <w:r w:rsidRPr="00872268">
        <w:rPr>
          <w:rFonts w:asciiTheme="majorHAnsi" w:hAnsiTheme="majorHAnsi"/>
        </w:rPr>
        <w:t>.</w:t>
      </w:r>
    </w:p>
  </w:footnote>
  <w:footnote w:id="2">
    <w:p w:rsidR="00B27969" w:rsidRPr="00744DF7" w:rsidRDefault="00B27969">
      <w:pPr>
        <w:pStyle w:val="FootnoteText"/>
      </w:pPr>
      <w:r>
        <w:rPr>
          <w:rStyle w:val="FootnoteReference"/>
        </w:rPr>
        <w:footnoteRef/>
      </w:r>
      <w:r>
        <w:t xml:space="preserve"> </w:t>
      </w:r>
      <w:r w:rsidRPr="00744DF7">
        <w:t>For example, Council Regulation (EC) No 284/2009 amending Regulation (EC) No 1083/2006 laying down general provisions on the European Regional Development Fund, the European Social Fund and the Cohesion Fund concerning certain provisions relating to financial management; Regulation (EC) No 397/2009 amending Regulation (EC) No 1080/2006 on the European Regional Development Fund as regards the eligibility of energy efficiency and renewable energy investments in housing</w:t>
      </w:r>
    </w:p>
  </w:footnote>
  <w:footnote w:id="3">
    <w:p w:rsidR="00B27969" w:rsidRPr="00744DF7" w:rsidRDefault="00B27969" w:rsidP="007344F2">
      <w:pPr>
        <w:pStyle w:val="FootnoteText"/>
      </w:pPr>
      <w:r w:rsidRPr="00744DF7">
        <w:rPr>
          <w:rStyle w:val="FootnoteReference"/>
        </w:rPr>
        <w:footnoteRef/>
      </w:r>
      <w:r w:rsidRPr="00744DF7">
        <w:t xml:space="preserve"> Joint Assistance in Supporting Projects in European Regions</w:t>
      </w:r>
    </w:p>
  </w:footnote>
  <w:footnote w:id="4">
    <w:p w:rsidR="00B27969" w:rsidRPr="00744DF7" w:rsidRDefault="00B27969" w:rsidP="00982B60">
      <w:pPr>
        <w:pStyle w:val="FootnoteText"/>
      </w:pPr>
      <w:r w:rsidRPr="00744DF7">
        <w:rPr>
          <w:rStyle w:val="FootnoteReference"/>
        </w:rPr>
        <w:footnoteRef/>
      </w:r>
      <w:r w:rsidRPr="00744DF7">
        <w:t xml:space="preserve"> </w:t>
      </w:r>
      <w:proofErr w:type="gramStart"/>
      <w:r w:rsidRPr="00744DF7">
        <w:t>Joint European Resources for Micro to Medium Enterprises.</w:t>
      </w:r>
      <w:proofErr w:type="gramEnd"/>
    </w:p>
  </w:footnote>
  <w:footnote w:id="5">
    <w:p w:rsidR="00B27969" w:rsidRPr="00744DF7" w:rsidRDefault="00B27969" w:rsidP="00982B60">
      <w:pPr>
        <w:pStyle w:val="FootnoteText"/>
        <w:jc w:val="both"/>
      </w:pPr>
      <w:r w:rsidRPr="00744DF7">
        <w:rPr>
          <w:rStyle w:val="FootnoteReference"/>
        </w:rPr>
        <w:footnoteRef/>
      </w:r>
      <w:r w:rsidRPr="00744DF7">
        <w:t xml:space="preserve"> </w:t>
      </w:r>
      <w:proofErr w:type="gramStart"/>
      <w:r w:rsidRPr="00744DF7">
        <w:t>Joint Action to support Microfinance Institutions in Europe.</w:t>
      </w:r>
      <w:proofErr w:type="gramEnd"/>
    </w:p>
  </w:footnote>
  <w:footnote w:id="6">
    <w:p w:rsidR="00B27969" w:rsidRDefault="00B27969" w:rsidP="0061373C">
      <w:pPr>
        <w:pStyle w:val="FootnoteText"/>
      </w:pPr>
      <w:r>
        <w:rPr>
          <w:rStyle w:val="FootnoteReference"/>
        </w:rPr>
        <w:footnoteRef/>
      </w:r>
      <w:r>
        <w:t xml:space="preserve"> This represents the average of the amounts added to planned expenditure in the different categories and the amounts subtracted from it. Overall, there was a net addition to total funding over the period of EUR 1.1 billion.</w:t>
      </w:r>
    </w:p>
  </w:footnote>
  <w:footnote w:id="7">
    <w:p w:rsidR="00B27969" w:rsidRDefault="00B27969">
      <w:pPr>
        <w:pStyle w:val="FootnoteText"/>
      </w:pPr>
      <w:r>
        <w:rPr>
          <w:rStyle w:val="FootnoteReference"/>
        </w:rPr>
        <w:footnoteRef/>
      </w:r>
      <w:r>
        <w:t xml:space="preserve"> See </w:t>
      </w:r>
      <w:proofErr w:type="spellStart"/>
      <w:r>
        <w:t>Evalnet</w:t>
      </w:r>
      <w:proofErr w:type="spellEnd"/>
      <w:r>
        <w:t xml:space="preserve"> </w:t>
      </w:r>
      <w:r w:rsidR="000B2EAE">
        <w:t xml:space="preserve">country </w:t>
      </w:r>
      <w:r>
        <w:t xml:space="preserve">reports </w:t>
      </w:r>
      <w:r w:rsidR="000B2EAE">
        <w:t xml:space="preserve">2013 </w:t>
      </w:r>
      <w:r>
        <w:t xml:space="preserve">on Germany and Sweden – </w:t>
      </w:r>
      <w:hyperlink r:id="rId1" w:anchor="1" w:history="1">
        <w:r w:rsidR="000B2EAE" w:rsidRPr="003F7870">
          <w:rPr>
            <w:rStyle w:val="Hyperlink"/>
          </w:rPr>
          <w:t>http://ec.europa.eu/regional_policy/en/policy/evaluations/ec/2007-2013/#1</w:t>
        </w:r>
      </w:hyperlink>
    </w:p>
    <w:p w:rsidR="000B2EAE" w:rsidRDefault="000B2EAE">
      <w:pPr>
        <w:pStyle w:val="FootnoteText"/>
      </w:pPr>
    </w:p>
  </w:footnote>
  <w:footnote w:id="8">
    <w:p w:rsidR="00B27969" w:rsidRDefault="00B27969">
      <w:pPr>
        <w:pStyle w:val="FootnoteText"/>
      </w:pPr>
      <w:r>
        <w:rPr>
          <w:rStyle w:val="FootnoteReference"/>
        </w:rPr>
        <w:footnoteRef/>
      </w:r>
      <w:r>
        <w:t xml:space="preserve"> They were also at 85% in the Czech Republic, Slovakia and Malta.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6716"/>
    <w:multiLevelType w:val="hybridMultilevel"/>
    <w:tmpl w:val="E6F870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C2E7C2F"/>
    <w:multiLevelType w:val="hybridMultilevel"/>
    <w:tmpl w:val="C5DC01D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6B0AFF"/>
    <w:multiLevelType w:val="hybridMultilevel"/>
    <w:tmpl w:val="28303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301935"/>
    <w:multiLevelType w:val="hybridMultilevel"/>
    <w:tmpl w:val="A8789262"/>
    <w:lvl w:ilvl="0" w:tplc="7436ADC0">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213680"/>
    <w:multiLevelType w:val="hybridMultilevel"/>
    <w:tmpl w:val="2902A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C590DE6"/>
    <w:multiLevelType w:val="hybridMultilevel"/>
    <w:tmpl w:val="D610E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8C815EB"/>
    <w:multiLevelType w:val="hybridMultilevel"/>
    <w:tmpl w:val="F770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6C824F9"/>
    <w:multiLevelType w:val="hybridMultilevel"/>
    <w:tmpl w:val="4D8AF5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3B3243A"/>
    <w:multiLevelType w:val="hybridMultilevel"/>
    <w:tmpl w:val="0EB6C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43E6FAC"/>
    <w:multiLevelType w:val="hybridMultilevel"/>
    <w:tmpl w:val="B7166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8695EEA"/>
    <w:multiLevelType w:val="hybridMultilevel"/>
    <w:tmpl w:val="0862D148"/>
    <w:lvl w:ilvl="0" w:tplc="334EB532">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DEE0B60"/>
    <w:multiLevelType w:val="hybridMultilevel"/>
    <w:tmpl w:val="21901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F891C15"/>
    <w:multiLevelType w:val="hybridMultilevel"/>
    <w:tmpl w:val="1A8CF4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15817FA"/>
    <w:multiLevelType w:val="hybridMultilevel"/>
    <w:tmpl w:val="FCE2F4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3C11600"/>
    <w:multiLevelType w:val="hybridMultilevel"/>
    <w:tmpl w:val="5B10E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9003571"/>
    <w:multiLevelType w:val="hybridMultilevel"/>
    <w:tmpl w:val="CFAA4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2"/>
  </w:num>
  <w:num w:numId="3">
    <w:abstractNumId w:val="0"/>
  </w:num>
  <w:num w:numId="4">
    <w:abstractNumId w:val="13"/>
  </w:num>
  <w:num w:numId="5">
    <w:abstractNumId w:val="7"/>
  </w:num>
  <w:num w:numId="6">
    <w:abstractNumId w:val="9"/>
  </w:num>
  <w:num w:numId="7">
    <w:abstractNumId w:val="15"/>
  </w:num>
  <w:num w:numId="8">
    <w:abstractNumId w:val="1"/>
  </w:num>
  <w:num w:numId="9">
    <w:abstractNumId w:val="14"/>
  </w:num>
  <w:num w:numId="10">
    <w:abstractNumId w:val="5"/>
  </w:num>
  <w:num w:numId="11">
    <w:abstractNumId w:val="4"/>
  </w:num>
  <w:num w:numId="12">
    <w:abstractNumId w:val="10"/>
  </w:num>
  <w:num w:numId="13">
    <w:abstractNumId w:val="2"/>
  </w:num>
  <w:num w:numId="14">
    <w:abstractNumId w:val="6"/>
  </w:num>
  <w:num w:numId="15">
    <w:abstractNumId w:val="11"/>
  </w:num>
  <w:num w:numId="1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760B5"/>
    <w:rsid w:val="0000057E"/>
    <w:rsid w:val="000056C5"/>
    <w:rsid w:val="0000689D"/>
    <w:rsid w:val="0000741B"/>
    <w:rsid w:val="00011259"/>
    <w:rsid w:val="0002483B"/>
    <w:rsid w:val="00024901"/>
    <w:rsid w:val="00026E7F"/>
    <w:rsid w:val="00032BC9"/>
    <w:rsid w:val="00044339"/>
    <w:rsid w:val="000457BB"/>
    <w:rsid w:val="00051602"/>
    <w:rsid w:val="000521EC"/>
    <w:rsid w:val="0005342B"/>
    <w:rsid w:val="00057BF1"/>
    <w:rsid w:val="00057D97"/>
    <w:rsid w:val="00060DCA"/>
    <w:rsid w:val="00061302"/>
    <w:rsid w:val="000650FD"/>
    <w:rsid w:val="00067DD4"/>
    <w:rsid w:val="00071D50"/>
    <w:rsid w:val="00074ACB"/>
    <w:rsid w:val="00075B0B"/>
    <w:rsid w:val="000842E8"/>
    <w:rsid w:val="00086CF4"/>
    <w:rsid w:val="00090597"/>
    <w:rsid w:val="00091D36"/>
    <w:rsid w:val="00092BC1"/>
    <w:rsid w:val="00097B8B"/>
    <w:rsid w:val="000A1324"/>
    <w:rsid w:val="000A34E5"/>
    <w:rsid w:val="000A72E0"/>
    <w:rsid w:val="000B15A2"/>
    <w:rsid w:val="000B2EAE"/>
    <w:rsid w:val="000B3961"/>
    <w:rsid w:val="000B5C82"/>
    <w:rsid w:val="000C55BF"/>
    <w:rsid w:val="000C7CF7"/>
    <w:rsid w:val="000D7436"/>
    <w:rsid w:val="000E293A"/>
    <w:rsid w:val="000E45EF"/>
    <w:rsid w:val="000E46EB"/>
    <w:rsid w:val="000E6F85"/>
    <w:rsid w:val="000E6FD8"/>
    <w:rsid w:val="000F0A3A"/>
    <w:rsid w:val="000F13B5"/>
    <w:rsid w:val="000F5584"/>
    <w:rsid w:val="0010114A"/>
    <w:rsid w:val="00101301"/>
    <w:rsid w:val="00101363"/>
    <w:rsid w:val="00117B8D"/>
    <w:rsid w:val="00121C7C"/>
    <w:rsid w:val="00123A0E"/>
    <w:rsid w:val="00131368"/>
    <w:rsid w:val="00132997"/>
    <w:rsid w:val="00136E90"/>
    <w:rsid w:val="00140EAC"/>
    <w:rsid w:val="001414D3"/>
    <w:rsid w:val="00144B02"/>
    <w:rsid w:val="00144E8A"/>
    <w:rsid w:val="00150E08"/>
    <w:rsid w:val="00150E8C"/>
    <w:rsid w:val="00150FD7"/>
    <w:rsid w:val="00157926"/>
    <w:rsid w:val="00157D5D"/>
    <w:rsid w:val="00165279"/>
    <w:rsid w:val="0017061D"/>
    <w:rsid w:val="001768E2"/>
    <w:rsid w:val="001804E5"/>
    <w:rsid w:val="00190B44"/>
    <w:rsid w:val="00195BF2"/>
    <w:rsid w:val="001A30AB"/>
    <w:rsid w:val="001A3A98"/>
    <w:rsid w:val="001A7CB3"/>
    <w:rsid w:val="001B16B1"/>
    <w:rsid w:val="001B34D7"/>
    <w:rsid w:val="001B50E6"/>
    <w:rsid w:val="001B53DD"/>
    <w:rsid w:val="001B5C00"/>
    <w:rsid w:val="001B6D9D"/>
    <w:rsid w:val="001C0EDD"/>
    <w:rsid w:val="001C379B"/>
    <w:rsid w:val="001D3794"/>
    <w:rsid w:val="001E45C1"/>
    <w:rsid w:val="001E7052"/>
    <w:rsid w:val="001F07AE"/>
    <w:rsid w:val="001F5522"/>
    <w:rsid w:val="002020EF"/>
    <w:rsid w:val="00202E26"/>
    <w:rsid w:val="002030E4"/>
    <w:rsid w:val="00206FA4"/>
    <w:rsid w:val="00207BAC"/>
    <w:rsid w:val="00213C87"/>
    <w:rsid w:val="00222F4F"/>
    <w:rsid w:val="002270E6"/>
    <w:rsid w:val="002303E3"/>
    <w:rsid w:val="00230C72"/>
    <w:rsid w:val="00236BE1"/>
    <w:rsid w:val="0024181D"/>
    <w:rsid w:val="00242941"/>
    <w:rsid w:val="00243F14"/>
    <w:rsid w:val="002470F9"/>
    <w:rsid w:val="00247230"/>
    <w:rsid w:val="002502F9"/>
    <w:rsid w:val="00256218"/>
    <w:rsid w:val="0025717A"/>
    <w:rsid w:val="00257EF1"/>
    <w:rsid w:val="00260775"/>
    <w:rsid w:val="00261454"/>
    <w:rsid w:val="0026176B"/>
    <w:rsid w:val="00263F3F"/>
    <w:rsid w:val="002660D1"/>
    <w:rsid w:val="00266A35"/>
    <w:rsid w:val="002679D5"/>
    <w:rsid w:val="00271DE8"/>
    <w:rsid w:val="00273A3B"/>
    <w:rsid w:val="00276F25"/>
    <w:rsid w:val="002772D0"/>
    <w:rsid w:val="00291589"/>
    <w:rsid w:val="002923BF"/>
    <w:rsid w:val="00293C8B"/>
    <w:rsid w:val="002958CF"/>
    <w:rsid w:val="002A5361"/>
    <w:rsid w:val="002B069B"/>
    <w:rsid w:val="002B22F4"/>
    <w:rsid w:val="002B3CB2"/>
    <w:rsid w:val="002B536B"/>
    <w:rsid w:val="002B5E13"/>
    <w:rsid w:val="002B7865"/>
    <w:rsid w:val="002B7B3B"/>
    <w:rsid w:val="002C0522"/>
    <w:rsid w:val="002D6759"/>
    <w:rsid w:val="002D7EE4"/>
    <w:rsid w:val="002E0CBB"/>
    <w:rsid w:val="002F4B8B"/>
    <w:rsid w:val="00300E4C"/>
    <w:rsid w:val="00313304"/>
    <w:rsid w:val="00316B19"/>
    <w:rsid w:val="003206B6"/>
    <w:rsid w:val="00322A15"/>
    <w:rsid w:val="00325BC1"/>
    <w:rsid w:val="00326BB4"/>
    <w:rsid w:val="003324A2"/>
    <w:rsid w:val="00332E29"/>
    <w:rsid w:val="00342820"/>
    <w:rsid w:val="0034408C"/>
    <w:rsid w:val="003442FA"/>
    <w:rsid w:val="00344357"/>
    <w:rsid w:val="00345B0D"/>
    <w:rsid w:val="003522EC"/>
    <w:rsid w:val="0035426D"/>
    <w:rsid w:val="00357F54"/>
    <w:rsid w:val="00362B11"/>
    <w:rsid w:val="00363232"/>
    <w:rsid w:val="003648C0"/>
    <w:rsid w:val="003664AA"/>
    <w:rsid w:val="00371466"/>
    <w:rsid w:val="00376800"/>
    <w:rsid w:val="003801B4"/>
    <w:rsid w:val="003840CF"/>
    <w:rsid w:val="003850A4"/>
    <w:rsid w:val="003854FD"/>
    <w:rsid w:val="00386582"/>
    <w:rsid w:val="003902E2"/>
    <w:rsid w:val="003902F1"/>
    <w:rsid w:val="00390E71"/>
    <w:rsid w:val="0039461D"/>
    <w:rsid w:val="00394F50"/>
    <w:rsid w:val="003A0FAF"/>
    <w:rsid w:val="003A656E"/>
    <w:rsid w:val="003A78CC"/>
    <w:rsid w:val="003B256E"/>
    <w:rsid w:val="003B43FF"/>
    <w:rsid w:val="003B5334"/>
    <w:rsid w:val="003B6AE1"/>
    <w:rsid w:val="003B6F58"/>
    <w:rsid w:val="003C1BD1"/>
    <w:rsid w:val="003C2812"/>
    <w:rsid w:val="003C2EB1"/>
    <w:rsid w:val="003C3BCA"/>
    <w:rsid w:val="003C470E"/>
    <w:rsid w:val="003C7093"/>
    <w:rsid w:val="003D31F0"/>
    <w:rsid w:val="003E5954"/>
    <w:rsid w:val="003F00EF"/>
    <w:rsid w:val="003F1ECB"/>
    <w:rsid w:val="003F301B"/>
    <w:rsid w:val="003F3964"/>
    <w:rsid w:val="00402EB9"/>
    <w:rsid w:val="004052F7"/>
    <w:rsid w:val="00407409"/>
    <w:rsid w:val="00410286"/>
    <w:rsid w:val="00411E17"/>
    <w:rsid w:val="00412BAE"/>
    <w:rsid w:val="00414442"/>
    <w:rsid w:val="0041576D"/>
    <w:rsid w:val="004204AB"/>
    <w:rsid w:val="00420F84"/>
    <w:rsid w:val="00421226"/>
    <w:rsid w:val="00424E49"/>
    <w:rsid w:val="00431759"/>
    <w:rsid w:val="00435D1B"/>
    <w:rsid w:val="004431FD"/>
    <w:rsid w:val="004444BD"/>
    <w:rsid w:val="0044588C"/>
    <w:rsid w:val="00460BC8"/>
    <w:rsid w:val="00461713"/>
    <w:rsid w:val="004629EB"/>
    <w:rsid w:val="00463E41"/>
    <w:rsid w:val="0046648E"/>
    <w:rsid w:val="00466A2B"/>
    <w:rsid w:val="00470913"/>
    <w:rsid w:val="004718C1"/>
    <w:rsid w:val="00477CF3"/>
    <w:rsid w:val="0048795A"/>
    <w:rsid w:val="004933EC"/>
    <w:rsid w:val="00495453"/>
    <w:rsid w:val="004A0AE5"/>
    <w:rsid w:val="004A5CE0"/>
    <w:rsid w:val="004A6FF3"/>
    <w:rsid w:val="004B00A5"/>
    <w:rsid w:val="004B0DCF"/>
    <w:rsid w:val="004B15A1"/>
    <w:rsid w:val="004B50D5"/>
    <w:rsid w:val="004B5741"/>
    <w:rsid w:val="004D0BD5"/>
    <w:rsid w:val="004D21A8"/>
    <w:rsid w:val="004D358B"/>
    <w:rsid w:val="004D4F7B"/>
    <w:rsid w:val="004D7234"/>
    <w:rsid w:val="004E0EA6"/>
    <w:rsid w:val="004E2074"/>
    <w:rsid w:val="004E3298"/>
    <w:rsid w:val="004E616E"/>
    <w:rsid w:val="004E78B0"/>
    <w:rsid w:val="004F13D8"/>
    <w:rsid w:val="004F651A"/>
    <w:rsid w:val="00531B9C"/>
    <w:rsid w:val="005323EA"/>
    <w:rsid w:val="00532C12"/>
    <w:rsid w:val="0053353E"/>
    <w:rsid w:val="005343FF"/>
    <w:rsid w:val="00534F2A"/>
    <w:rsid w:val="00537A89"/>
    <w:rsid w:val="00547DB8"/>
    <w:rsid w:val="00551760"/>
    <w:rsid w:val="005564D9"/>
    <w:rsid w:val="0055661C"/>
    <w:rsid w:val="00557CE8"/>
    <w:rsid w:val="0056241E"/>
    <w:rsid w:val="00562AFF"/>
    <w:rsid w:val="00563341"/>
    <w:rsid w:val="005653B5"/>
    <w:rsid w:val="00567579"/>
    <w:rsid w:val="00572F1C"/>
    <w:rsid w:val="0057471E"/>
    <w:rsid w:val="005759BF"/>
    <w:rsid w:val="00575FF2"/>
    <w:rsid w:val="005833FC"/>
    <w:rsid w:val="00585C14"/>
    <w:rsid w:val="00593250"/>
    <w:rsid w:val="00594F0A"/>
    <w:rsid w:val="00597527"/>
    <w:rsid w:val="005979D2"/>
    <w:rsid w:val="005A4638"/>
    <w:rsid w:val="005A5545"/>
    <w:rsid w:val="005A6B7C"/>
    <w:rsid w:val="005B0BD6"/>
    <w:rsid w:val="005B265C"/>
    <w:rsid w:val="005B6E5C"/>
    <w:rsid w:val="005C0BFF"/>
    <w:rsid w:val="005C112A"/>
    <w:rsid w:val="005C40CD"/>
    <w:rsid w:val="005C4369"/>
    <w:rsid w:val="005C4663"/>
    <w:rsid w:val="005C5AEE"/>
    <w:rsid w:val="005C7C59"/>
    <w:rsid w:val="005D00D9"/>
    <w:rsid w:val="005D181A"/>
    <w:rsid w:val="005D6ACD"/>
    <w:rsid w:val="005E00EB"/>
    <w:rsid w:val="005E0594"/>
    <w:rsid w:val="005E0852"/>
    <w:rsid w:val="005E29D1"/>
    <w:rsid w:val="005E5111"/>
    <w:rsid w:val="005E7C84"/>
    <w:rsid w:val="005F2E76"/>
    <w:rsid w:val="0060162C"/>
    <w:rsid w:val="00601935"/>
    <w:rsid w:val="00602179"/>
    <w:rsid w:val="0060405C"/>
    <w:rsid w:val="00610C55"/>
    <w:rsid w:val="0061373C"/>
    <w:rsid w:val="00613F39"/>
    <w:rsid w:val="0061494A"/>
    <w:rsid w:val="00615D11"/>
    <w:rsid w:val="00617DAA"/>
    <w:rsid w:val="00624091"/>
    <w:rsid w:val="00627360"/>
    <w:rsid w:val="006460C4"/>
    <w:rsid w:val="00646FC2"/>
    <w:rsid w:val="006473C4"/>
    <w:rsid w:val="006544A3"/>
    <w:rsid w:val="006626B5"/>
    <w:rsid w:val="0066279E"/>
    <w:rsid w:val="006629B9"/>
    <w:rsid w:val="00663502"/>
    <w:rsid w:val="00671E5B"/>
    <w:rsid w:val="00671F64"/>
    <w:rsid w:val="00672D47"/>
    <w:rsid w:val="00674747"/>
    <w:rsid w:val="006900FA"/>
    <w:rsid w:val="00690D43"/>
    <w:rsid w:val="0069102C"/>
    <w:rsid w:val="006910EC"/>
    <w:rsid w:val="006921CE"/>
    <w:rsid w:val="0069225E"/>
    <w:rsid w:val="00693EB2"/>
    <w:rsid w:val="006955D2"/>
    <w:rsid w:val="006A4DB9"/>
    <w:rsid w:val="006A6793"/>
    <w:rsid w:val="006B00D5"/>
    <w:rsid w:val="006B03AD"/>
    <w:rsid w:val="006B0874"/>
    <w:rsid w:val="006B3EE5"/>
    <w:rsid w:val="006B67C9"/>
    <w:rsid w:val="006B7A91"/>
    <w:rsid w:val="006C2A12"/>
    <w:rsid w:val="006D17B1"/>
    <w:rsid w:val="006D1DA2"/>
    <w:rsid w:val="006D31CC"/>
    <w:rsid w:val="006E6324"/>
    <w:rsid w:val="006E65E1"/>
    <w:rsid w:val="006E777C"/>
    <w:rsid w:val="006F17B8"/>
    <w:rsid w:val="006F205D"/>
    <w:rsid w:val="006F22DB"/>
    <w:rsid w:val="006F5861"/>
    <w:rsid w:val="006F5AA4"/>
    <w:rsid w:val="00701376"/>
    <w:rsid w:val="0070294C"/>
    <w:rsid w:val="007049CA"/>
    <w:rsid w:val="00706740"/>
    <w:rsid w:val="00707034"/>
    <w:rsid w:val="007074B4"/>
    <w:rsid w:val="007078D9"/>
    <w:rsid w:val="00711866"/>
    <w:rsid w:val="007137B1"/>
    <w:rsid w:val="007171E1"/>
    <w:rsid w:val="00721D45"/>
    <w:rsid w:val="007222DB"/>
    <w:rsid w:val="007263A8"/>
    <w:rsid w:val="007273E9"/>
    <w:rsid w:val="00727A4B"/>
    <w:rsid w:val="00732C63"/>
    <w:rsid w:val="00732EE2"/>
    <w:rsid w:val="007332D6"/>
    <w:rsid w:val="00733FEC"/>
    <w:rsid w:val="007344F2"/>
    <w:rsid w:val="00734784"/>
    <w:rsid w:val="00734C9B"/>
    <w:rsid w:val="00734E63"/>
    <w:rsid w:val="0074470C"/>
    <w:rsid w:val="00744DF7"/>
    <w:rsid w:val="00745A13"/>
    <w:rsid w:val="00750747"/>
    <w:rsid w:val="007516FA"/>
    <w:rsid w:val="007574E3"/>
    <w:rsid w:val="007606B0"/>
    <w:rsid w:val="00765A0A"/>
    <w:rsid w:val="00774BD2"/>
    <w:rsid w:val="007772AB"/>
    <w:rsid w:val="007826F3"/>
    <w:rsid w:val="0079481F"/>
    <w:rsid w:val="007A0E89"/>
    <w:rsid w:val="007A3C02"/>
    <w:rsid w:val="007A4FAF"/>
    <w:rsid w:val="007A7CC3"/>
    <w:rsid w:val="007B7E65"/>
    <w:rsid w:val="007C0888"/>
    <w:rsid w:val="007C4909"/>
    <w:rsid w:val="007D32DA"/>
    <w:rsid w:val="007D4130"/>
    <w:rsid w:val="007D7E2D"/>
    <w:rsid w:val="007D7F55"/>
    <w:rsid w:val="007E1C44"/>
    <w:rsid w:val="007E1ED6"/>
    <w:rsid w:val="007E2618"/>
    <w:rsid w:val="007E71CC"/>
    <w:rsid w:val="007F0C59"/>
    <w:rsid w:val="007F17EF"/>
    <w:rsid w:val="007F2BA5"/>
    <w:rsid w:val="007F2DF8"/>
    <w:rsid w:val="007F4E27"/>
    <w:rsid w:val="007F6CDC"/>
    <w:rsid w:val="00802E61"/>
    <w:rsid w:val="00807F50"/>
    <w:rsid w:val="00807FC1"/>
    <w:rsid w:val="00810DFE"/>
    <w:rsid w:val="00815426"/>
    <w:rsid w:val="008210F7"/>
    <w:rsid w:val="00825D92"/>
    <w:rsid w:val="008332BB"/>
    <w:rsid w:val="00833B85"/>
    <w:rsid w:val="00837616"/>
    <w:rsid w:val="00837EE2"/>
    <w:rsid w:val="008464D6"/>
    <w:rsid w:val="008471D2"/>
    <w:rsid w:val="008503E9"/>
    <w:rsid w:val="0085125E"/>
    <w:rsid w:val="00854FCD"/>
    <w:rsid w:val="00855041"/>
    <w:rsid w:val="008564B8"/>
    <w:rsid w:val="00861A13"/>
    <w:rsid w:val="008632BA"/>
    <w:rsid w:val="00863D38"/>
    <w:rsid w:val="00872268"/>
    <w:rsid w:val="0087417C"/>
    <w:rsid w:val="00874963"/>
    <w:rsid w:val="00875191"/>
    <w:rsid w:val="00881FFB"/>
    <w:rsid w:val="00883216"/>
    <w:rsid w:val="00884EB8"/>
    <w:rsid w:val="008939B5"/>
    <w:rsid w:val="00894F54"/>
    <w:rsid w:val="00895099"/>
    <w:rsid w:val="008A3AB3"/>
    <w:rsid w:val="008A589B"/>
    <w:rsid w:val="008A79B2"/>
    <w:rsid w:val="008B0BAE"/>
    <w:rsid w:val="008C2FE3"/>
    <w:rsid w:val="008C4E76"/>
    <w:rsid w:val="008C58ED"/>
    <w:rsid w:val="008C5A17"/>
    <w:rsid w:val="008D07FB"/>
    <w:rsid w:val="008D27C4"/>
    <w:rsid w:val="008D2CD5"/>
    <w:rsid w:val="008D3118"/>
    <w:rsid w:val="008E1993"/>
    <w:rsid w:val="008E2521"/>
    <w:rsid w:val="008E58CE"/>
    <w:rsid w:val="008E73E8"/>
    <w:rsid w:val="008E7B0E"/>
    <w:rsid w:val="008E7CD2"/>
    <w:rsid w:val="008F1775"/>
    <w:rsid w:val="009125DD"/>
    <w:rsid w:val="00914304"/>
    <w:rsid w:val="0092152A"/>
    <w:rsid w:val="00925422"/>
    <w:rsid w:val="009254A9"/>
    <w:rsid w:val="009267DA"/>
    <w:rsid w:val="00935788"/>
    <w:rsid w:val="00936DD1"/>
    <w:rsid w:val="00941D5F"/>
    <w:rsid w:val="00942430"/>
    <w:rsid w:val="0094561C"/>
    <w:rsid w:val="0095681A"/>
    <w:rsid w:val="009613C5"/>
    <w:rsid w:val="009615EF"/>
    <w:rsid w:val="00961BE5"/>
    <w:rsid w:val="00962EB2"/>
    <w:rsid w:val="009705B3"/>
    <w:rsid w:val="00972C26"/>
    <w:rsid w:val="00975933"/>
    <w:rsid w:val="00982B60"/>
    <w:rsid w:val="0099423C"/>
    <w:rsid w:val="00996B2D"/>
    <w:rsid w:val="00996CD0"/>
    <w:rsid w:val="00997BBC"/>
    <w:rsid w:val="00997D9B"/>
    <w:rsid w:val="009B1F0E"/>
    <w:rsid w:val="009B46B3"/>
    <w:rsid w:val="009C1EC7"/>
    <w:rsid w:val="009C4F65"/>
    <w:rsid w:val="009D307B"/>
    <w:rsid w:val="009D373F"/>
    <w:rsid w:val="009D3A72"/>
    <w:rsid w:val="009E018D"/>
    <w:rsid w:val="009E126C"/>
    <w:rsid w:val="009E1279"/>
    <w:rsid w:val="009E2AE1"/>
    <w:rsid w:val="009E7716"/>
    <w:rsid w:val="009E78AD"/>
    <w:rsid w:val="009E7C35"/>
    <w:rsid w:val="009F3DE8"/>
    <w:rsid w:val="009F5090"/>
    <w:rsid w:val="009F5A24"/>
    <w:rsid w:val="009F717F"/>
    <w:rsid w:val="00A02EE4"/>
    <w:rsid w:val="00A04E33"/>
    <w:rsid w:val="00A12DE5"/>
    <w:rsid w:val="00A13326"/>
    <w:rsid w:val="00A133DF"/>
    <w:rsid w:val="00A206EA"/>
    <w:rsid w:val="00A21659"/>
    <w:rsid w:val="00A260D5"/>
    <w:rsid w:val="00A2744B"/>
    <w:rsid w:val="00A31E00"/>
    <w:rsid w:val="00A32103"/>
    <w:rsid w:val="00A33330"/>
    <w:rsid w:val="00A41378"/>
    <w:rsid w:val="00A436F5"/>
    <w:rsid w:val="00A44FF2"/>
    <w:rsid w:val="00A55C30"/>
    <w:rsid w:val="00A564E2"/>
    <w:rsid w:val="00A62D51"/>
    <w:rsid w:val="00A63395"/>
    <w:rsid w:val="00A633DD"/>
    <w:rsid w:val="00A6618C"/>
    <w:rsid w:val="00A665F0"/>
    <w:rsid w:val="00A72B80"/>
    <w:rsid w:val="00A814D7"/>
    <w:rsid w:val="00A84049"/>
    <w:rsid w:val="00A93024"/>
    <w:rsid w:val="00A96FC5"/>
    <w:rsid w:val="00AA005C"/>
    <w:rsid w:val="00AA231F"/>
    <w:rsid w:val="00AA5552"/>
    <w:rsid w:val="00AA58F4"/>
    <w:rsid w:val="00AB126F"/>
    <w:rsid w:val="00AB183F"/>
    <w:rsid w:val="00AB56AD"/>
    <w:rsid w:val="00AC1F4C"/>
    <w:rsid w:val="00AC4B35"/>
    <w:rsid w:val="00AD1ACD"/>
    <w:rsid w:val="00AD370D"/>
    <w:rsid w:val="00AD4C54"/>
    <w:rsid w:val="00AE0447"/>
    <w:rsid w:val="00AE109E"/>
    <w:rsid w:val="00AE2A45"/>
    <w:rsid w:val="00AE3256"/>
    <w:rsid w:val="00AE339B"/>
    <w:rsid w:val="00AF28F3"/>
    <w:rsid w:val="00AF519E"/>
    <w:rsid w:val="00AF6C7D"/>
    <w:rsid w:val="00AF7CC7"/>
    <w:rsid w:val="00B007B1"/>
    <w:rsid w:val="00B0285C"/>
    <w:rsid w:val="00B030E8"/>
    <w:rsid w:val="00B05110"/>
    <w:rsid w:val="00B05F48"/>
    <w:rsid w:val="00B0681A"/>
    <w:rsid w:val="00B07F66"/>
    <w:rsid w:val="00B10423"/>
    <w:rsid w:val="00B10871"/>
    <w:rsid w:val="00B13438"/>
    <w:rsid w:val="00B163BD"/>
    <w:rsid w:val="00B20F4A"/>
    <w:rsid w:val="00B213DA"/>
    <w:rsid w:val="00B22949"/>
    <w:rsid w:val="00B23B87"/>
    <w:rsid w:val="00B27969"/>
    <w:rsid w:val="00B27B9E"/>
    <w:rsid w:val="00B33426"/>
    <w:rsid w:val="00B350CA"/>
    <w:rsid w:val="00B37FFD"/>
    <w:rsid w:val="00B57C50"/>
    <w:rsid w:val="00B714A5"/>
    <w:rsid w:val="00B77110"/>
    <w:rsid w:val="00B771C8"/>
    <w:rsid w:val="00B8682A"/>
    <w:rsid w:val="00B86948"/>
    <w:rsid w:val="00B96BAE"/>
    <w:rsid w:val="00BA1C90"/>
    <w:rsid w:val="00BA2CFE"/>
    <w:rsid w:val="00BA4327"/>
    <w:rsid w:val="00BC45BD"/>
    <w:rsid w:val="00BD5468"/>
    <w:rsid w:val="00BE1442"/>
    <w:rsid w:val="00BE2871"/>
    <w:rsid w:val="00BE41EB"/>
    <w:rsid w:val="00BF0E7B"/>
    <w:rsid w:val="00BF159B"/>
    <w:rsid w:val="00BF79CF"/>
    <w:rsid w:val="00C00309"/>
    <w:rsid w:val="00C02BF4"/>
    <w:rsid w:val="00C07683"/>
    <w:rsid w:val="00C108CE"/>
    <w:rsid w:val="00C13C8F"/>
    <w:rsid w:val="00C15769"/>
    <w:rsid w:val="00C16604"/>
    <w:rsid w:val="00C17EC8"/>
    <w:rsid w:val="00C249EA"/>
    <w:rsid w:val="00C305E2"/>
    <w:rsid w:val="00C31A29"/>
    <w:rsid w:val="00C31F21"/>
    <w:rsid w:val="00C33318"/>
    <w:rsid w:val="00C41BF2"/>
    <w:rsid w:val="00C42A91"/>
    <w:rsid w:val="00C44573"/>
    <w:rsid w:val="00C447E4"/>
    <w:rsid w:val="00C467C7"/>
    <w:rsid w:val="00C5167A"/>
    <w:rsid w:val="00C6121E"/>
    <w:rsid w:val="00C61369"/>
    <w:rsid w:val="00C65429"/>
    <w:rsid w:val="00C67CE1"/>
    <w:rsid w:val="00C72228"/>
    <w:rsid w:val="00C72E48"/>
    <w:rsid w:val="00C730C8"/>
    <w:rsid w:val="00C74F4A"/>
    <w:rsid w:val="00C77BDE"/>
    <w:rsid w:val="00C85F43"/>
    <w:rsid w:val="00C9152D"/>
    <w:rsid w:val="00C92F46"/>
    <w:rsid w:val="00CA592C"/>
    <w:rsid w:val="00CB2DA6"/>
    <w:rsid w:val="00CB305B"/>
    <w:rsid w:val="00CB3DAA"/>
    <w:rsid w:val="00CC7DCE"/>
    <w:rsid w:val="00CC7F02"/>
    <w:rsid w:val="00CD1A6C"/>
    <w:rsid w:val="00CD1AE4"/>
    <w:rsid w:val="00CD2CAC"/>
    <w:rsid w:val="00CD4444"/>
    <w:rsid w:val="00CE2D41"/>
    <w:rsid w:val="00CE2E8E"/>
    <w:rsid w:val="00CF3B5D"/>
    <w:rsid w:val="00CF665D"/>
    <w:rsid w:val="00CF6B1B"/>
    <w:rsid w:val="00CF73F3"/>
    <w:rsid w:val="00D00D36"/>
    <w:rsid w:val="00D02096"/>
    <w:rsid w:val="00D05EB0"/>
    <w:rsid w:val="00D07E86"/>
    <w:rsid w:val="00D1233B"/>
    <w:rsid w:val="00D13107"/>
    <w:rsid w:val="00D13EB7"/>
    <w:rsid w:val="00D17514"/>
    <w:rsid w:val="00D22AFA"/>
    <w:rsid w:val="00D24037"/>
    <w:rsid w:val="00D2590B"/>
    <w:rsid w:val="00D30934"/>
    <w:rsid w:val="00D32686"/>
    <w:rsid w:val="00D33E5D"/>
    <w:rsid w:val="00D357A6"/>
    <w:rsid w:val="00D41A0C"/>
    <w:rsid w:val="00D45BCF"/>
    <w:rsid w:val="00D51A95"/>
    <w:rsid w:val="00D5367F"/>
    <w:rsid w:val="00D575D8"/>
    <w:rsid w:val="00D576DF"/>
    <w:rsid w:val="00D57C7E"/>
    <w:rsid w:val="00D63832"/>
    <w:rsid w:val="00D645C9"/>
    <w:rsid w:val="00D6724D"/>
    <w:rsid w:val="00D72766"/>
    <w:rsid w:val="00D7283E"/>
    <w:rsid w:val="00D74F3F"/>
    <w:rsid w:val="00D75FDE"/>
    <w:rsid w:val="00D760B5"/>
    <w:rsid w:val="00D80430"/>
    <w:rsid w:val="00D81645"/>
    <w:rsid w:val="00D82C3B"/>
    <w:rsid w:val="00D85E0C"/>
    <w:rsid w:val="00D86D6A"/>
    <w:rsid w:val="00D91DE1"/>
    <w:rsid w:val="00D9251D"/>
    <w:rsid w:val="00DA1200"/>
    <w:rsid w:val="00DA14CA"/>
    <w:rsid w:val="00DA33E6"/>
    <w:rsid w:val="00DA4276"/>
    <w:rsid w:val="00DA44F6"/>
    <w:rsid w:val="00DB2BC9"/>
    <w:rsid w:val="00DB4B88"/>
    <w:rsid w:val="00DB7763"/>
    <w:rsid w:val="00DC0EF8"/>
    <w:rsid w:val="00DD11B7"/>
    <w:rsid w:val="00DD39E7"/>
    <w:rsid w:val="00DD4E6F"/>
    <w:rsid w:val="00DD53A5"/>
    <w:rsid w:val="00DD5B8F"/>
    <w:rsid w:val="00DE271D"/>
    <w:rsid w:val="00DE2B51"/>
    <w:rsid w:val="00DE32AE"/>
    <w:rsid w:val="00DE3EE0"/>
    <w:rsid w:val="00DF6490"/>
    <w:rsid w:val="00DF6558"/>
    <w:rsid w:val="00DF70DD"/>
    <w:rsid w:val="00DF7148"/>
    <w:rsid w:val="00E0424E"/>
    <w:rsid w:val="00E054E1"/>
    <w:rsid w:val="00E060C3"/>
    <w:rsid w:val="00E061FF"/>
    <w:rsid w:val="00E14A88"/>
    <w:rsid w:val="00E20B6B"/>
    <w:rsid w:val="00E23DE0"/>
    <w:rsid w:val="00E248FC"/>
    <w:rsid w:val="00E26CAD"/>
    <w:rsid w:val="00E31B4C"/>
    <w:rsid w:val="00E3249C"/>
    <w:rsid w:val="00E3309B"/>
    <w:rsid w:val="00E33828"/>
    <w:rsid w:val="00E414CC"/>
    <w:rsid w:val="00E41525"/>
    <w:rsid w:val="00E50CD0"/>
    <w:rsid w:val="00E512C3"/>
    <w:rsid w:val="00E529C6"/>
    <w:rsid w:val="00E53F52"/>
    <w:rsid w:val="00E67BA0"/>
    <w:rsid w:val="00E67E5F"/>
    <w:rsid w:val="00E711BF"/>
    <w:rsid w:val="00E74BCC"/>
    <w:rsid w:val="00E81176"/>
    <w:rsid w:val="00E845E0"/>
    <w:rsid w:val="00E84A82"/>
    <w:rsid w:val="00E92813"/>
    <w:rsid w:val="00E94446"/>
    <w:rsid w:val="00E968EC"/>
    <w:rsid w:val="00EA3F69"/>
    <w:rsid w:val="00EA5438"/>
    <w:rsid w:val="00EA5CC2"/>
    <w:rsid w:val="00EB081C"/>
    <w:rsid w:val="00EB4DF3"/>
    <w:rsid w:val="00EB5BCB"/>
    <w:rsid w:val="00EB5C38"/>
    <w:rsid w:val="00EB6883"/>
    <w:rsid w:val="00EC15D9"/>
    <w:rsid w:val="00EC2D1B"/>
    <w:rsid w:val="00EC3125"/>
    <w:rsid w:val="00EC39B8"/>
    <w:rsid w:val="00EC4573"/>
    <w:rsid w:val="00EC61AF"/>
    <w:rsid w:val="00EC66F3"/>
    <w:rsid w:val="00ED0B36"/>
    <w:rsid w:val="00ED3344"/>
    <w:rsid w:val="00EE10D8"/>
    <w:rsid w:val="00EE34E7"/>
    <w:rsid w:val="00EE4D29"/>
    <w:rsid w:val="00EE6419"/>
    <w:rsid w:val="00F01032"/>
    <w:rsid w:val="00F03A4F"/>
    <w:rsid w:val="00F11770"/>
    <w:rsid w:val="00F12FB6"/>
    <w:rsid w:val="00F13B85"/>
    <w:rsid w:val="00F20390"/>
    <w:rsid w:val="00F214CF"/>
    <w:rsid w:val="00F218E2"/>
    <w:rsid w:val="00F3176B"/>
    <w:rsid w:val="00F34CC6"/>
    <w:rsid w:val="00F372D0"/>
    <w:rsid w:val="00F40E6D"/>
    <w:rsid w:val="00F43D20"/>
    <w:rsid w:val="00F44D23"/>
    <w:rsid w:val="00F50A10"/>
    <w:rsid w:val="00F604B0"/>
    <w:rsid w:val="00F747FF"/>
    <w:rsid w:val="00F762BB"/>
    <w:rsid w:val="00F764C0"/>
    <w:rsid w:val="00F80428"/>
    <w:rsid w:val="00F82322"/>
    <w:rsid w:val="00F82B26"/>
    <w:rsid w:val="00F857BE"/>
    <w:rsid w:val="00F86899"/>
    <w:rsid w:val="00F92C49"/>
    <w:rsid w:val="00F95411"/>
    <w:rsid w:val="00F96CA7"/>
    <w:rsid w:val="00FA0DD8"/>
    <w:rsid w:val="00FA5167"/>
    <w:rsid w:val="00FB64FF"/>
    <w:rsid w:val="00FB779E"/>
    <w:rsid w:val="00FB7BAD"/>
    <w:rsid w:val="00FB7E52"/>
    <w:rsid w:val="00FC06B5"/>
    <w:rsid w:val="00FC4543"/>
    <w:rsid w:val="00FC5DA2"/>
    <w:rsid w:val="00FC65A5"/>
    <w:rsid w:val="00FC7432"/>
    <w:rsid w:val="00FD11EF"/>
    <w:rsid w:val="00FE0FAD"/>
    <w:rsid w:val="00FE1552"/>
    <w:rsid w:val="00FE1C5F"/>
    <w:rsid w:val="00FF1D36"/>
    <w:rsid w:val="00FF6E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CC7"/>
  </w:style>
  <w:style w:type="paragraph" w:styleId="Heading1">
    <w:name w:val="heading 1"/>
    <w:basedOn w:val="Normal"/>
    <w:next w:val="Normal"/>
    <w:link w:val="Heading1Char"/>
    <w:uiPriority w:val="9"/>
    <w:qFormat/>
    <w:rsid w:val="00FC7432"/>
    <w:pPr>
      <w:keepNext/>
      <w:keepLines/>
      <w:numPr>
        <w:numId w:val="12"/>
      </w:numPr>
      <w:spacing w:before="240" w:after="120"/>
      <w:ind w:left="357" w:hanging="357"/>
      <w:outlineLvl w:val="0"/>
    </w:pPr>
    <w:rPr>
      <w:rFonts w:asciiTheme="majorHAnsi" w:eastAsiaTheme="majorEastAsia" w:hAnsiTheme="majorHAnsi" w:cstheme="majorBidi"/>
      <w:b/>
      <w:bCs/>
      <w:color w:val="943634" w:themeColor="accent2" w:themeShade="BF"/>
      <w:sz w:val="28"/>
      <w:szCs w:val="28"/>
    </w:rPr>
  </w:style>
  <w:style w:type="paragraph" w:styleId="Heading2">
    <w:name w:val="heading 2"/>
    <w:basedOn w:val="Normal"/>
    <w:next w:val="Normal"/>
    <w:link w:val="Heading2Char"/>
    <w:uiPriority w:val="9"/>
    <w:unhideWhenUsed/>
    <w:qFormat/>
    <w:rsid w:val="00D576DF"/>
    <w:pPr>
      <w:keepNext/>
      <w:keepLines/>
      <w:spacing w:before="200" w:after="120"/>
      <w:outlineLvl w:val="1"/>
    </w:pPr>
    <w:rPr>
      <w:rFonts w:asciiTheme="majorHAnsi" w:eastAsiaTheme="majorEastAsia" w:hAnsiTheme="majorHAnsi" w:cstheme="majorBidi"/>
      <w:b/>
      <w:bCs/>
      <w:color w:val="943634" w:themeColor="accent2" w:themeShade="BF"/>
      <w:sz w:val="24"/>
      <w:szCs w:val="26"/>
    </w:rPr>
  </w:style>
  <w:style w:type="paragraph" w:styleId="Heading3">
    <w:name w:val="heading 3"/>
    <w:basedOn w:val="Normal"/>
    <w:next w:val="Normal"/>
    <w:link w:val="Heading3Char"/>
    <w:uiPriority w:val="9"/>
    <w:unhideWhenUsed/>
    <w:qFormat/>
    <w:rsid w:val="006F205D"/>
    <w:pPr>
      <w:keepNext/>
      <w:keepLines/>
      <w:spacing w:before="200" w:after="120"/>
      <w:outlineLvl w:val="2"/>
    </w:pPr>
    <w:rPr>
      <w:rFonts w:asciiTheme="majorHAnsi" w:eastAsiaTheme="majorEastAsia" w:hAnsiTheme="majorHAnsi" w:cstheme="majorBidi"/>
      <w:b/>
      <w:bCs/>
      <w:color w:val="943634" w:themeColor="accent2" w:themeShade="BF"/>
    </w:rPr>
  </w:style>
  <w:style w:type="paragraph" w:styleId="Heading4">
    <w:name w:val="heading 4"/>
    <w:basedOn w:val="Normal"/>
    <w:next w:val="Normal"/>
    <w:link w:val="Heading4Char"/>
    <w:uiPriority w:val="9"/>
    <w:unhideWhenUsed/>
    <w:qFormat/>
    <w:rsid w:val="003840C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432"/>
    <w:rPr>
      <w:rFonts w:asciiTheme="majorHAnsi" w:eastAsiaTheme="majorEastAsia" w:hAnsiTheme="majorHAnsi" w:cstheme="majorBidi"/>
      <w:b/>
      <w:bCs/>
      <w:color w:val="943634" w:themeColor="accent2" w:themeShade="BF"/>
      <w:sz w:val="28"/>
      <w:szCs w:val="28"/>
    </w:rPr>
  </w:style>
  <w:style w:type="character" w:customStyle="1" w:styleId="Heading2Char">
    <w:name w:val="Heading 2 Char"/>
    <w:basedOn w:val="DefaultParagraphFont"/>
    <w:link w:val="Heading2"/>
    <w:uiPriority w:val="9"/>
    <w:rsid w:val="00D576DF"/>
    <w:rPr>
      <w:rFonts w:asciiTheme="majorHAnsi" w:eastAsiaTheme="majorEastAsia" w:hAnsiTheme="majorHAnsi" w:cstheme="majorBidi"/>
      <w:b/>
      <w:bCs/>
      <w:color w:val="943634" w:themeColor="accent2" w:themeShade="BF"/>
      <w:sz w:val="24"/>
      <w:szCs w:val="26"/>
    </w:rPr>
  </w:style>
  <w:style w:type="paragraph" w:styleId="Header">
    <w:name w:val="header"/>
    <w:basedOn w:val="Normal"/>
    <w:link w:val="HeaderChar"/>
    <w:uiPriority w:val="99"/>
    <w:unhideWhenUsed/>
    <w:rsid w:val="00C654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429"/>
  </w:style>
  <w:style w:type="paragraph" w:styleId="Footer">
    <w:name w:val="footer"/>
    <w:basedOn w:val="Normal"/>
    <w:link w:val="FooterChar"/>
    <w:uiPriority w:val="99"/>
    <w:unhideWhenUsed/>
    <w:rsid w:val="00C654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429"/>
  </w:style>
  <w:style w:type="paragraph" w:styleId="ListParagraph">
    <w:name w:val="List Paragraph"/>
    <w:basedOn w:val="Normal"/>
    <w:uiPriority w:val="34"/>
    <w:qFormat/>
    <w:rsid w:val="00537A89"/>
    <w:pPr>
      <w:numPr>
        <w:numId w:val="1"/>
      </w:numPr>
      <w:spacing w:after="60"/>
    </w:pPr>
  </w:style>
  <w:style w:type="character" w:customStyle="1" w:styleId="Heading3Char">
    <w:name w:val="Heading 3 Char"/>
    <w:basedOn w:val="DefaultParagraphFont"/>
    <w:link w:val="Heading3"/>
    <w:uiPriority w:val="9"/>
    <w:rsid w:val="006F205D"/>
    <w:rPr>
      <w:rFonts w:asciiTheme="majorHAnsi" w:eastAsiaTheme="majorEastAsia" w:hAnsiTheme="majorHAnsi" w:cstheme="majorBidi"/>
      <w:b/>
      <w:bCs/>
      <w:color w:val="943634" w:themeColor="accent2" w:themeShade="BF"/>
    </w:rPr>
  </w:style>
  <w:style w:type="paragraph" w:styleId="FootnoteText">
    <w:name w:val="footnote text"/>
    <w:basedOn w:val="Normal"/>
    <w:link w:val="FootnoteTextChar1"/>
    <w:uiPriority w:val="99"/>
    <w:unhideWhenUsed/>
    <w:rsid w:val="00322A15"/>
    <w:pPr>
      <w:spacing w:after="0" w:line="240" w:lineRule="auto"/>
    </w:pPr>
    <w:rPr>
      <w:sz w:val="20"/>
      <w:szCs w:val="20"/>
    </w:rPr>
  </w:style>
  <w:style w:type="character" w:customStyle="1" w:styleId="FootnoteTextChar1">
    <w:name w:val="Footnote Text Char1"/>
    <w:basedOn w:val="DefaultParagraphFont"/>
    <w:link w:val="FootnoteText"/>
    <w:uiPriority w:val="99"/>
    <w:rsid w:val="00322A15"/>
    <w:rPr>
      <w:sz w:val="20"/>
      <w:szCs w:val="20"/>
    </w:rPr>
  </w:style>
  <w:style w:type="character" w:styleId="FootnoteReference">
    <w:name w:val="footnote reference"/>
    <w:basedOn w:val="DefaultParagraphFont"/>
    <w:uiPriority w:val="99"/>
    <w:semiHidden/>
    <w:unhideWhenUsed/>
    <w:rsid w:val="00322A15"/>
    <w:rPr>
      <w:vertAlign w:val="superscript"/>
    </w:rPr>
  </w:style>
  <w:style w:type="paragraph" w:styleId="BalloonText">
    <w:name w:val="Balloon Text"/>
    <w:basedOn w:val="Normal"/>
    <w:link w:val="BalloonTextChar"/>
    <w:uiPriority w:val="99"/>
    <w:semiHidden/>
    <w:unhideWhenUsed/>
    <w:rsid w:val="00032B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BC9"/>
    <w:rPr>
      <w:rFonts w:ascii="Tahoma" w:hAnsi="Tahoma" w:cs="Tahoma"/>
      <w:sz w:val="16"/>
      <w:szCs w:val="16"/>
    </w:rPr>
  </w:style>
  <w:style w:type="paragraph" w:styleId="NoSpacing">
    <w:name w:val="No Spacing"/>
    <w:uiPriority w:val="1"/>
    <w:qFormat/>
    <w:rsid w:val="006F205D"/>
    <w:pPr>
      <w:spacing w:after="0" w:line="240" w:lineRule="auto"/>
    </w:pPr>
  </w:style>
  <w:style w:type="paragraph" w:styleId="TOCHeading">
    <w:name w:val="TOC Heading"/>
    <w:basedOn w:val="Heading1"/>
    <w:next w:val="Normal"/>
    <w:uiPriority w:val="39"/>
    <w:unhideWhenUsed/>
    <w:qFormat/>
    <w:rsid w:val="005B265C"/>
    <w:pPr>
      <w:spacing w:before="480" w:after="0"/>
      <w:outlineLvl w:val="9"/>
    </w:pPr>
    <w:rPr>
      <w:color w:val="365F91" w:themeColor="accent1" w:themeShade="BF"/>
      <w:lang w:val="en-US" w:eastAsia="ja-JP"/>
    </w:rPr>
  </w:style>
  <w:style w:type="paragraph" w:styleId="TOC1">
    <w:name w:val="toc 1"/>
    <w:basedOn w:val="Normal"/>
    <w:next w:val="Normal"/>
    <w:autoRedefine/>
    <w:uiPriority w:val="39"/>
    <w:unhideWhenUsed/>
    <w:rsid w:val="005B265C"/>
    <w:pPr>
      <w:spacing w:after="100"/>
    </w:pPr>
  </w:style>
  <w:style w:type="paragraph" w:styleId="TOC2">
    <w:name w:val="toc 2"/>
    <w:basedOn w:val="Normal"/>
    <w:next w:val="Normal"/>
    <w:autoRedefine/>
    <w:uiPriority w:val="39"/>
    <w:unhideWhenUsed/>
    <w:rsid w:val="005B265C"/>
    <w:pPr>
      <w:spacing w:after="100"/>
      <w:ind w:left="220"/>
    </w:pPr>
  </w:style>
  <w:style w:type="paragraph" w:styleId="TOC3">
    <w:name w:val="toc 3"/>
    <w:basedOn w:val="Normal"/>
    <w:next w:val="Normal"/>
    <w:autoRedefine/>
    <w:uiPriority w:val="39"/>
    <w:unhideWhenUsed/>
    <w:rsid w:val="005B265C"/>
    <w:pPr>
      <w:spacing w:after="100"/>
      <w:ind w:left="440"/>
    </w:pPr>
  </w:style>
  <w:style w:type="character" w:styleId="Hyperlink">
    <w:name w:val="Hyperlink"/>
    <w:basedOn w:val="DefaultParagraphFont"/>
    <w:uiPriority w:val="99"/>
    <w:unhideWhenUsed/>
    <w:rsid w:val="005B265C"/>
    <w:rPr>
      <w:color w:val="0000FF" w:themeColor="hyperlink"/>
      <w:u w:val="single"/>
    </w:rPr>
  </w:style>
  <w:style w:type="character" w:customStyle="1" w:styleId="Heading4Char">
    <w:name w:val="Heading 4 Char"/>
    <w:basedOn w:val="DefaultParagraphFont"/>
    <w:link w:val="Heading4"/>
    <w:uiPriority w:val="9"/>
    <w:rsid w:val="003840CF"/>
    <w:rPr>
      <w:rFonts w:asciiTheme="majorHAnsi" w:eastAsiaTheme="majorEastAsia" w:hAnsiTheme="majorHAnsi" w:cstheme="majorBidi"/>
      <w:b/>
      <w:bCs/>
      <w:i/>
      <w:iCs/>
      <w:color w:val="4F81BD" w:themeColor="accent1"/>
    </w:rPr>
  </w:style>
  <w:style w:type="paragraph" w:styleId="Caption">
    <w:name w:val="caption"/>
    <w:basedOn w:val="Normal"/>
    <w:next w:val="Normal"/>
    <w:uiPriority w:val="35"/>
    <w:unhideWhenUsed/>
    <w:qFormat/>
    <w:rsid w:val="00394F50"/>
    <w:pPr>
      <w:spacing w:line="240" w:lineRule="auto"/>
    </w:pPr>
    <w:rPr>
      <w:rFonts w:asciiTheme="majorHAnsi" w:hAnsiTheme="majorHAnsi"/>
      <w:b/>
      <w:bCs/>
      <w:color w:val="1F497D" w:themeColor="text2"/>
      <w:sz w:val="24"/>
      <w:szCs w:val="18"/>
    </w:rPr>
  </w:style>
  <w:style w:type="paragraph" w:customStyle="1" w:styleId="Default">
    <w:name w:val="Default"/>
    <w:rsid w:val="00EC15D9"/>
    <w:pPr>
      <w:autoSpaceDE w:val="0"/>
      <w:autoSpaceDN w:val="0"/>
      <w:adjustRightInd w:val="0"/>
      <w:spacing w:after="0" w:line="240" w:lineRule="auto"/>
    </w:pPr>
    <w:rPr>
      <w:rFonts w:ascii="Calibri" w:hAnsi="Calibri" w:cs="Calibri"/>
      <w:color w:val="000000"/>
      <w:sz w:val="24"/>
      <w:szCs w:val="24"/>
      <w:lang w:val="it-IT"/>
    </w:rPr>
  </w:style>
  <w:style w:type="character" w:styleId="CommentReference">
    <w:name w:val="annotation reference"/>
    <w:basedOn w:val="DefaultParagraphFont"/>
    <w:uiPriority w:val="99"/>
    <w:semiHidden/>
    <w:unhideWhenUsed/>
    <w:rsid w:val="00881FFB"/>
    <w:rPr>
      <w:sz w:val="16"/>
      <w:szCs w:val="16"/>
    </w:rPr>
  </w:style>
  <w:style w:type="paragraph" w:styleId="CommentText">
    <w:name w:val="annotation text"/>
    <w:basedOn w:val="Normal"/>
    <w:link w:val="CommentTextChar"/>
    <w:uiPriority w:val="99"/>
    <w:semiHidden/>
    <w:unhideWhenUsed/>
    <w:rsid w:val="00881FFB"/>
    <w:pPr>
      <w:spacing w:line="240" w:lineRule="auto"/>
    </w:pPr>
    <w:rPr>
      <w:sz w:val="20"/>
      <w:szCs w:val="20"/>
    </w:rPr>
  </w:style>
  <w:style w:type="character" w:customStyle="1" w:styleId="CommentTextChar">
    <w:name w:val="Comment Text Char"/>
    <w:basedOn w:val="DefaultParagraphFont"/>
    <w:link w:val="CommentText"/>
    <w:uiPriority w:val="99"/>
    <w:semiHidden/>
    <w:rsid w:val="00881FFB"/>
    <w:rPr>
      <w:sz w:val="20"/>
      <w:szCs w:val="20"/>
    </w:rPr>
  </w:style>
  <w:style w:type="paragraph" w:styleId="CommentSubject">
    <w:name w:val="annotation subject"/>
    <w:basedOn w:val="CommentText"/>
    <w:next w:val="CommentText"/>
    <w:link w:val="CommentSubjectChar"/>
    <w:uiPriority w:val="99"/>
    <w:semiHidden/>
    <w:unhideWhenUsed/>
    <w:rsid w:val="00881FFB"/>
    <w:rPr>
      <w:b/>
      <w:bCs/>
    </w:rPr>
  </w:style>
  <w:style w:type="character" w:customStyle="1" w:styleId="CommentSubjectChar">
    <w:name w:val="Comment Subject Char"/>
    <w:basedOn w:val="CommentTextChar"/>
    <w:link w:val="CommentSubject"/>
    <w:uiPriority w:val="99"/>
    <w:semiHidden/>
    <w:rsid w:val="00881FFB"/>
    <w:rPr>
      <w:b/>
      <w:bCs/>
      <w:sz w:val="20"/>
      <w:szCs w:val="20"/>
    </w:rPr>
  </w:style>
  <w:style w:type="character" w:customStyle="1" w:styleId="apple-converted-space">
    <w:name w:val="apple-converted-space"/>
    <w:basedOn w:val="DefaultParagraphFont"/>
    <w:rsid w:val="003850A4"/>
  </w:style>
  <w:style w:type="character" w:styleId="BookTitle">
    <w:name w:val="Book Title"/>
    <w:basedOn w:val="DefaultParagraphFont"/>
    <w:uiPriority w:val="33"/>
    <w:qFormat/>
    <w:rsid w:val="00AC4B35"/>
    <w:rPr>
      <w:b/>
      <w:bCs/>
      <w:smallCaps/>
      <w:spacing w:val="5"/>
    </w:rPr>
  </w:style>
  <w:style w:type="character" w:styleId="Strong">
    <w:name w:val="Strong"/>
    <w:basedOn w:val="DefaultParagraphFont"/>
    <w:uiPriority w:val="22"/>
    <w:qFormat/>
    <w:rsid w:val="00AC4B35"/>
    <w:rPr>
      <w:b/>
      <w:bCs/>
    </w:rPr>
  </w:style>
  <w:style w:type="paragraph" w:customStyle="1" w:styleId="Figuretitle">
    <w:name w:val="Figure title"/>
    <w:basedOn w:val="Normal"/>
    <w:next w:val="Normal"/>
    <w:qFormat/>
    <w:rsid w:val="00EE4D29"/>
    <w:pPr>
      <w:spacing w:after="60" w:line="240" w:lineRule="auto"/>
    </w:pPr>
    <w:rPr>
      <w:rFonts w:asciiTheme="majorHAnsi" w:hAnsiTheme="majorHAnsi"/>
      <w:b/>
      <w:color w:val="632423" w:themeColor="accent2" w:themeShade="80"/>
      <w:sz w:val="20"/>
    </w:rPr>
  </w:style>
  <w:style w:type="paragraph" w:customStyle="1" w:styleId="Figureheading">
    <w:name w:val="Figure heading"/>
    <w:basedOn w:val="Figuretitle"/>
    <w:qFormat/>
    <w:rsid w:val="00AC4B35"/>
  </w:style>
  <w:style w:type="character" w:customStyle="1" w:styleId="FootnoteTextChar">
    <w:name w:val="Footnote Text Char"/>
    <w:basedOn w:val="DefaultParagraphFont"/>
    <w:uiPriority w:val="99"/>
    <w:rsid w:val="0061373C"/>
    <w:rPr>
      <w:sz w:val="20"/>
      <w:szCs w:val="20"/>
    </w:rPr>
  </w:style>
  <w:style w:type="paragraph" w:styleId="Title">
    <w:name w:val="Title"/>
    <w:basedOn w:val="Normal"/>
    <w:next w:val="Normal"/>
    <w:link w:val="TitleChar"/>
    <w:uiPriority w:val="10"/>
    <w:qFormat/>
    <w:rsid w:val="00EE641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E6419"/>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CC7"/>
  </w:style>
  <w:style w:type="paragraph" w:styleId="Heading1">
    <w:name w:val="heading 1"/>
    <w:basedOn w:val="Normal"/>
    <w:next w:val="Normal"/>
    <w:link w:val="Heading1Char"/>
    <w:uiPriority w:val="9"/>
    <w:qFormat/>
    <w:rsid w:val="00FC7432"/>
    <w:pPr>
      <w:keepNext/>
      <w:keepLines/>
      <w:numPr>
        <w:numId w:val="12"/>
      </w:numPr>
      <w:spacing w:before="240" w:after="120"/>
      <w:ind w:left="357" w:hanging="357"/>
      <w:outlineLvl w:val="0"/>
    </w:pPr>
    <w:rPr>
      <w:rFonts w:asciiTheme="majorHAnsi" w:eastAsiaTheme="majorEastAsia" w:hAnsiTheme="majorHAnsi" w:cstheme="majorBidi"/>
      <w:b/>
      <w:bCs/>
      <w:color w:val="943634" w:themeColor="accent2" w:themeShade="BF"/>
      <w:sz w:val="28"/>
      <w:szCs w:val="28"/>
    </w:rPr>
  </w:style>
  <w:style w:type="paragraph" w:styleId="Heading2">
    <w:name w:val="heading 2"/>
    <w:basedOn w:val="Normal"/>
    <w:next w:val="Normal"/>
    <w:link w:val="Heading2Char"/>
    <w:uiPriority w:val="9"/>
    <w:unhideWhenUsed/>
    <w:qFormat/>
    <w:rsid w:val="00D576DF"/>
    <w:pPr>
      <w:keepNext/>
      <w:keepLines/>
      <w:spacing w:before="200" w:after="120"/>
      <w:outlineLvl w:val="1"/>
    </w:pPr>
    <w:rPr>
      <w:rFonts w:asciiTheme="majorHAnsi" w:eastAsiaTheme="majorEastAsia" w:hAnsiTheme="majorHAnsi" w:cstheme="majorBidi"/>
      <w:b/>
      <w:bCs/>
      <w:color w:val="943634" w:themeColor="accent2" w:themeShade="BF"/>
      <w:sz w:val="24"/>
      <w:szCs w:val="26"/>
    </w:rPr>
  </w:style>
  <w:style w:type="paragraph" w:styleId="Heading3">
    <w:name w:val="heading 3"/>
    <w:basedOn w:val="Normal"/>
    <w:next w:val="Normal"/>
    <w:link w:val="Heading3Char"/>
    <w:uiPriority w:val="9"/>
    <w:unhideWhenUsed/>
    <w:qFormat/>
    <w:rsid w:val="006F205D"/>
    <w:pPr>
      <w:keepNext/>
      <w:keepLines/>
      <w:spacing w:before="200" w:after="120"/>
      <w:outlineLvl w:val="2"/>
    </w:pPr>
    <w:rPr>
      <w:rFonts w:asciiTheme="majorHAnsi" w:eastAsiaTheme="majorEastAsia" w:hAnsiTheme="majorHAnsi" w:cstheme="majorBidi"/>
      <w:b/>
      <w:bCs/>
      <w:color w:val="943634" w:themeColor="accent2" w:themeShade="BF"/>
    </w:rPr>
  </w:style>
  <w:style w:type="paragraph" w:styleId="Heading4">
    <w:name w:val="heading 4"/>
    <w:basedOn w:val="Normal"/>
    <w:next w:val="Normal"/>
    <w:link w:val="Heading4Char"/>
    <w:uiPriority w:val="9"/>
    <w:unhideWhenUsed/>
    <w:qFormat/>
    <w:rsid w:val="003840C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432"/>
    <w:rPr>
      <w:rFonts w:asciiTheme="majorHAnsi" w:eastAsiaTheme="majorEastAsia" w:hAnsiTheme="majorHAnsi" w:cstheme="majorBidi"/>
      <w:b/>
      <w:bCs/>
      <w:color w:val="943634" w:themeColor="accent2" w:themeShade="BF"/>
      <w:sz w:val="28"/>
      <w:szCs w:val="28"/>
    </w:rPr>
  </w:style>
  <w:style w:type="character" w:customStyle="1" w:styleId="Heading2Char">
    <w:name w:val="Heading 2 Char"/>
    <w:basedOn w:val="DefaultParagraphFont"/>
    <w:link w:val="Heading2"/>
    <w:uiPriority w:val="9"/>
    <w:rsid w:val="00D576DF"/>
    <w:rPr>
      <w:rFonts w:asciiTheme="majorHAnsi" w:eastAsiaTheme="majorEastAsia" w:hAnsiTheme="majorHAnsi" w:cstheme="majorBidi"/>
      <w:b/>
      <w:bCs/>
      <w:color w:val="943634" w:themeColor="accent2" w:themeShade="BF"/>
      <w:sz w:val="24"/>
      <w:szCs w:val="26"/>
    </w:rPr>
  </w:style>
  <w:style w:type="paragraph" w:styleId="Header">
    <w:name w:val="header"/>
    <w:basedOn w:val="Normal"/>
    <w:link w:val="HeaderChar"/>
    <w:uiPriority w:val="99"/>
    <w:unhideWhenUsed/>
    <w:rsid w:val="00C654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429"/>
  </w:style>
  <w:style w:type="paragraph" w:styleId="Footer">
    <w:name w:val="footer"/>
    <w:basedOn w:val="Normal"/>
    <w:link w:val="FooterChar"/>
    <w:uiPriority w:val="99"/>
    <w:unhideWhenUsed/>
    <w:rsid w:val="00C654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429"/>
  </w:style>
  <w:style w:type="paragraph" w:styleId="ListParagraph">
    <w:name w:val="List Paragraph"/>
    <w:basedOn w:val="Normal"/>
    <w:uiPriority w:val="34"/>
    <w:qFormat/>
    <w:rsid w:val="00537A89"/>
    <w:pPr>
      <w:numPr>
        <w:numId w:val="1"/>
      </w:numPr>
      <w:spacing w:after="60"/>
    </w:pPr>
  </w:style>
  <w:style w:type="character" w:customStyle="1" w:styleId="Heading3Char">
    <w:name w:val="Heading 3 Char"/>
    <w:basedOn w:val="DefaultParagraphFont"/>
    <w:link w:val="Heading3"/>
    <w:uiPriority w:val="9"/>
    <w:rsid w:val="006F205D"/>
    <w:rPr>
      <w:rFonts w:asciiTheme="majorHAnsi" w:eastAsiaTheme="majorEastAsia" w:hAnsiTheme="majorHAnsi" w:cstheme="majorBidi"/>
      <w:b/>
      <w:bCs/>
      <w:color w:val="943634" w:themeColor="accent2" w:themeShade="BF"/>
    </w:rPr>
  </w:style>
  <w:style w:type="paragraph" w:styleId="FootnoteText">
    <w:name w:val="footnote text"/>
    <w:basedOn w:val="Normal"/>
    <w:link w:val="FootnoteTextChar1"/>
    <w:uiPriority w:val="99"/>
    <w:unhideWhenUsed/>
    <w:rsid w:val="00322A15"/>
    <w:pPr>
      <w:spacing w:after="0" w:line="240" w:lineRule="auto"/>
    </w:pPr>
    <w:rPr>
      <w:sz w:val="20"/>
      <w:szCs w:val="20"/>
    </w:rPr>
  </w:style>
  <w:style w:type="character" w:customStyle="1" w:styleId="FootnoteTextChar1">
    <w:name w:val="Footnote Text Char1"/>
    <w:basedOn w:val="DefaultParagraphFont"/>
    <w:link w:val="FootnoteText"/>
    <w:uiPriority w:val="99"/>
    <w:rsid w:val="00322A15"/>
    <w:rPr>
      <w:sz w:val="20"/>
      <w:szCs w:val="20"/>
    </w:rPr>
  </w:style>
  <w:style w:type="character" w:styleId="FootnoteReference">
    <w:name w:val="footnote reference"/>
    <w:basedOn w:val="DefaultParagraphFont"/>
    <w:uiPriority w:val="99"/>
    <w:semiHidden/>
    <w:unhideWhenUsed/>
    <w:rsid w:val="00322A15"/>
    <w:rPr>
      <w:vertAlign w:val="superscript"/>
    </w:rPr>
  </w:style>
  <w:style w:type="paragraph" w:styleId="BalloonText">
    <w:name w:val="Balloon Text"/>
    <w:basedOn w:val="Normal"/>
    <w:link w:val="BalloonTextChar"/>
    <w:uiPriority w:val="99"/>
    <w:semiHidden/>
    <w:unhideWhenUsed/>
    <w:rsid w:val="00032B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BC9"/>
    <w:rPr>
      <w:rFonts w:ascii="Tahoma" w:hAnsi="Tahoma" w:cs="Tahoma"/>
      <w:sz w:val="16"/>
      <w:szCs w:val="16"/>
    </w:rPr>
  </w:style>
  <w:style w:type="paragraph" w:styleId="NoSpacing">
    <w:name w:val="No Spacing"/>
    <w:uiPriority w:val="1"/>
    <w:qFormat/>
    <w:rsid w:val="006F205D"/>
    <w:pPr>
      <w:spacing w:after="0" w:line="240" w:lineRule="auto"/>
    </w:pPr>
  </w:style>
  <w:style w:type="paragraph" w:styleId="TOCHeading">
    <w:name w:val="TOC Heading"/>
    <w:basedOn w:val="Heading1"/>
    <w:next w:val="Normal"/>
    <w:uiPriority w:val="39"/>
    <w:unhideWhenUsed/>
    <w:qFormat/>
    <w:rsid w:val="005B265C"/>
    <w:pPr>
      <w:spacing w:before="480" w:after="0"/>
      <w:outlineLvl w:val="9"/>
    </w:pPr>
    <w:rPr>
      <w:color w:val="365F91" w:themeColor="accent1" w:themeShade="BF"/>
      <w:lang w:val="en-US" w:eastAsia="ja-JP"/>
    </w:rPr>
  </w:style>
  <w:style w:type="paragraph" w:styleId="TOC1">
    <w:name w:val="toc 1"/>
    <w:basedOn w:val="Normal"/>
    <w:next w:val="Normal"/>
    <w:autoRedefine/>
    <w:uiPriority w:val="39"/>
    <w:unhideWhenUsed/>
    <w:rsid w:val="005B265C"/>
    <w:pPr>
      <w:spacing w:after="100"/>
    </w:pPr>
  </w:style>
  <w:style w:type="paragraph" w:styleId="TOC2">
    <w:name w:val="toc 2"/>
    <w:basedOn w:val="Normal"/>
    <w:next w:val="Normal"/>
    <w:autoRedefine/>
    <w:uiPriority w:val="39"/>
    <w:unhideWhenUsed/>
    <w:rsid w:val="005B265C"/>
    <w:pPr>
      <w:spacing w:after="100"/>
      <w:ind w:left="220"/>
    </w:pPr>
  </w:style>
  <w:style w:type="paragraph" w:styleId="TOC3">
    <w:name w:val="toc 3"/>
    <w:basedOn w:val="Normal"/>
    <w:next w:val="Normal"/>
    <w:autoRedefine/>
    <w:uiPriority w:val="39"/>
    <w:unhideWhenUsed/>
    <w:rsid w:val="005B265C"/>
    <w:pPr>
      <w:spacing w:after="100"/>
      <w:ind w:left="440"/>
    </w:pPr>
  </w:style>
  <w:style w:type="character" w:styleId="Hyperlink">
    <w:name w:val="Hyperlink"/>
    <w:basedOn w:val="DefaultParagraphFont"/>
    <w:uiPriority w:val="99"/>
    <w:unhideWhenUsed/>
    <w:rsid w:val="005B265C"/>
    <w:rPr>
      <w:color w:val="0000FF" w:themeColor="hyperlink"/>
      <w:u w:val="single"/>
    </w:rPr>
  </w:style>
  <w:style w:type="character" w:customStyle="1" w:styleId="Heading4Char">
    <w:name w:val="Heading 4 Char"/>
    <w:basedOn w:val="DefaultParagraphFont"/>
    <w:link w:val="Heading4"/>
    <w:uiPriority w:val="9"/>
    <w:rsid w:val="003840CF"/>
    <w:rPr>
      <w:rFonts w:asciiTheme="majorHAnsi" w:eastAsiaTheme="majorEastAsia" w:hAnsiTheme="majorHAnsi" w:cstheme="majorBidi"/>
      <w:b/>
      <w:bCs/>
      <w:i/>
      <w:iCs/>
      <w:color w:val="4F81BD" w:themeColor="accent1"/>
    </w:rPr>
  </w:style>
  <w:style w:type="paragraph" w:styleId="Caption">
    <w:name w:val="caption"/>
    <w:basedOn w:val="Normal"/>
    <w:next w:val="Normal"/>
    <w:uiPriority w:val="35"/>
    <w:unhideWhenUsed/>
    <w:qFormat/>
    <w:rsid w:val="00394F50"/>
    <w:pPr>
      <w:spacing w:line="240" w:lineRule="auto"/>
    </w:pPr>
    <w:rPr>
      <w:rFonts w:asciiTheme="majorHAnsi" w:hAnsiTheme="majorHAnsi"/>
      <w:b/>
      <w:bCs/>
      <w:color w:val="1F497D" w:themeColor="text2"/>
      <w:sz w:val="24"/>
      <w:szCs w:val="18"/>
    </w:rPr>
  </w:style>
  <w:style w:type="paragraph" w:customStyle="1" w:styleId="Default">
    <w:name w:val="Default"/>
    <w:rsid w:val="00EC15D9"/>
    <w:pPr>
      <w:autoSpaceDE w:val="0"/>
      <w:autoSpaceDN w:val="0"/>
      <w:adjustRightInd w:val="0"/>
      <w:spacing w:after="0" w:line="240" w:lineRule="auto"/>
    </w:pPr>
    <w:rPr>
      <w:rFonts w:ascii="Calibri" w:hAnsi="Calibri" w:cs="Calibri"/>
      <w:color w:val="000000"/>
      <w:sz w:val="24"/>
      <w:szCs w:val="24"/>
      <w:lang w:val="it-IT"/>
    </w:rPr>
  </w:style>
  <w:style w:type="character" w:styleId="CommentReference">
    <w:name w:val="annotation reference"/>
    <w:basedOn w:val="DefaultParagraphFont"/>
    <w:uiPriority w:val="99"/>
    <w:semiHidden/>
    <w:unhideWhenUsed/>
    <w:rsid w:val="00881FFB"/>
    <w:rPr>
      <w:sz w:val="16"/>
      <w:szCs w:val="16"/>
    </w:rPr>
  </w:style>
  <w:style w:type="paragraph" w:styleId="CommentText">
    <w:name w:val="annotation text"/>
    <w:basedOn w:val="Normal"/>
    <w:link w:val="CommentTextChar"/>
    <w:uiPriority w:val="99"/>
    <w:semiHidden/>
    <w:unhideWhenUsed/>
    <w:rsid w:val="00881FFB"/>
    <w:pPr>
      <w:spacing w:line="240" w:lineRule="auto"/>
    </w:pPr>
    <w:rPr>
      <w:sz w:val="20"/>
      <w:szCs w:val="20"/>
    </w:rPr>
  </w:style>
  <w:style w:type="character" w:customStyle="1" w:styleId="CommentTextChar">
    <w:name w:val="Comment Text Char"/>
    <w:basedOn w:val="DefaultParagraphFont"/>
    <w:link w:val="CommentText"/>
    <w:uiPriority w:val="99"/>
    <w:semiHidden/>
    <w:rsid w:val="00881FFB"/>
    <w:rPr>
      <w:sz w:val="20"/>
      <w:szCs w:val="20"/>
    </w:rPr>
  </w:style>
  <w:style w:type="paragraph" w:styleId="CommentSubject">
    <w:name w:val="annotation subject"/>
    <w:basedOn w:val="CommentText"/>
    <w:next w:val="CommentText"/>
    <w:link w:val="CommentSubjectChar"/>
    <w:uiPriority w:val="99"/>
    <w:semiHidden/>
    <w:unhideWhenUsed/>
    <w:rsid w:val="00881FFB"/>
    <w:rPr>
      <w:b/>
      <w:bCs/>
    </w:rPr>
  </w:style>
  <w:style w:type="character" w:customStyle="1" w:styleId="CommentSubjectChar">
    <w:name w:val="Comment Subject Char"/>
    <w:basedOn w:val="CommentTextChar"/>
    <w:link w:val="CommentSubject"/>
    <w:uiPriority w:val="99"/>
    <w:semiHidden/>
    <w:rsid w:val="00881FFB"/>
    <w:rPr>
      <w:b/>
      <w:bCs/>
      <w:sz w:val="20"/>
      <w:szCs w:val="20"/>
    </w:rPr>
  </w:style>
  <w:style w:type="character" w:customStyle="1" w:styleId="apple-converted-space">
    <w:name w:val="apple-converted-space"/>
    <w:basedOn w:val="DefaultParagraphFont"/>
    <w:rsid w:val="003850A4"/>
  </w:style>
  <w:style w:type="character" w:styleId="BookTitle">
    <w:name w:val="Book Title"/>
    <w:basedOn w:val="DefaultParagraphFont"/>
    <w:uiPriority w:val="33"/>
    <w:qFormat/>
    <w:rsid w:val="00AC4B35"/>
    <w:rPr>
      <w:b/>
      <w:bCs/>
      <w:smallCaps/>
      <w:spacing w:val="5"/>
    </w:rPr>
  </w:style>
  <w:style w:type="character" w:styleId="Strong">
    <w:name w:val="Strong"/>
    <w:basedOn w:val="DefaultParagraphFont"/>
    <w:uiPriority w:val="22"/>
    <w:qFormat/>
    <w:rsid w:val="00AC4B35"/>
    <w:rPr>
      <w:b/>
      <w:bCs/>
    </w:rPr>
  </w:style>
  <w:style w:type="paragraph" w:customStyle="1" w:styleId="Figuretitle">
    <w:name w:val="Figure title"/>
    <w:basedOn w:val="Normal"/>
    <w:next w:val="Normal"/>
    <w:qFormat/>
    <w:rsid w:val="00EE4D29"/>
    <w:pPr>
      <w:spacing w:after="60" w:line="240" w:lineRule="auto"/>
    </w:pPr>
    <w:rPr>
      <w:rFonts w:asciiTheme="majorHAnsi" w:hAnsiTheme="majorHAnsi"/>
      <w:b/>
      <w:color w:val="632423" w:themeColor="accent2" w:themeShade="80"/>
      <w:sz w:val="20"/>
    </w:rPr>
  </w:style>
  <w:style w:type="paragraph" w:customStyle="1" w:styleId="Figureheading">
    <w:name w:val="Figure heading"/>
    <w:basedOn w:val="Figuretitle"/>
    <w:qFormat/>
    <w:rsid w:val="00AC4B35"/>
  </w:style>
  <w:style w:type="character" w:customStyle="1" w:styleId="FootnoteTextChar">
    <w:name w:val="Footnote Text Char"/>
    <w:basedOn w:val="DefaultParagraphFont"/>
    <w:uiPriority w:val="99"/>
    <w:rsid w:val="0061373C"/>
    <w:rPr>
      <w:sz w:val="20"/>
      <w:szCs w:val="20"/>
    </w:rPr>
  </w:style>
  <w:style w:type="paragraph" w:styleId="Title">
    <w:name w:val="Title"/>
    <w:basedOn w:val="Normal"/>
    <w:next w:val="Normal"/>
    <w:link w:val="TitleChar"/>
    <w:uiPriority w:val="10"/>
    <w:qFormat/>
    <w:rsid w:val="00EE641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E6419"/>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54962">
      <w:bodyDiv w:val="1"/>
      <w:marLeft w:val="0"/>
      <w:marRight w:val="0"/>
      <w:marTop w:val="0"/>
      <w:marBottom w:val="0"/>
      <w:divBdr>
        <w:top w:val="none" w:sz="0" w:space="0" w:color="auto"/>
        <w:left w:val="none" w:sz="0" w:space="0" w:color="auto"/>
        <w:bottom w:val="none" w:sz="0" w:space="0" w:color="auto"/>
        <w:right w:val="none" w:sz="0" w:space="0" w:color="auto"/>
      </w:divBdr>
    </w:div>
    <w:div w:id="49379553">
      <w:bodyDiv w:val="1"/>
      <w:marLeft w:val="0"/>
      <w:marRight w:val="0"/>
      <w:marTop w:val="0"/>
      <w:marBottom w:val="0"/>
      <w:divBdr>
        <w:top w:val="none" w:sz="0" w:space="0" w:color="auto"/>
        <w:left w:val="none" w:sz="0" w:space="0" w:color="auto"/>
        <w:bottom w:val="none" w:sz="0" w:space="0" w:color="auto"/>
        <w:right w:val="none" w:sz="0" w:space="0" w:color="auto"/>
      </w:divBdr>
    </w:div>
    <w:div w:id="50615418">
      <w:bodyDiv w:val="1"/>
      <w:marLeft w:val="0"/>
      <w:marRight w:val="0"/>
      <w:marTop w:val="0"/>
      <w:marBottom w:val="0"/>
      <w:divBdr>
        <w:top w:val="none" w:sz="0" w:space="0" w:color="auto"/>
        <w:left w:val="none" w:sz="0" w:space="0" w:color="auto"/>
        <w:bottom w:val="none" w:sz="0" w:space="0" w:color="auto"/>
        <w:right w:val="none" w:sz="0" w:space="0" w:color="auto"/>
      </w:divBdr>
    </w:div>
    <w:div w:id="55905173">
      <w:bodyDiv w:val="1"/>
      <w:marLeft w:val="0"/>
      <w:marRight w:val="0"/>
      <w:marTop w:val="0"/>
      <w:marBottom w:val="0"/>
      <w:divBdr>
        <w:top w:val="none" w:sz="0" w:space="0" w:color="auto"/>
        <w:left w:val="none" w:sz="0" w:space="0" w:color="auto"/>
        <w:bottom w:val="none" w:sz="0" w:space="0" w:color="auto"/>
        <w:right w:val="none" w:sz="0" w:space="0" w:color="auto"/>
      </w:divBdr>
    </w:div>
    <w:div w:id="70202428">
      <w:bodyDiv w:val="1"/>
      <w:marLeft w:val="0"/>
      <w:marRight w:val="0"/>
      <w:marTop w:val="0"/>
      <w:marBottom w:val="0"/>
      <w:divBdr>
        <w:top w:val="none" w:sz="0" w:space="0" w:color="auto"/>
        <w:left w:val="none" w:sz="0" w:space="0" w:color="auto"/>
        <w:bottom w:val="none" w:sz="0" w:space="0" w:color="auto"/>
        <w:right w:val="none" w:sz="0" w:space="0" w:color="auto"/>
      </w:divBdr>
    </w:div>
    <w:div w:id="99959553">
      <w:bodyDiv w:val="1"/>
      <w:marLeft w:val="0"/>
      <w:marRight w:val="0"/>
      <w:marTop w:val="0"/>
      <w:marBottom w:val="0"/>
      <w:divBdr>
        <w:top w:val="none" w:sz="0" w:space="0" w:color="auto"/>
        <w:left w:val="none" w:sz="0" w:space="0" w:color="auto"/>
        <w:bottom w:val="none" w:sz="0" w:space="0" w:color="auto"/>
        <w:right w:val="none" w:sz="0" w:space="0" w:color="auto"/>
      </w:divBdr>
    </w:div>
    <w:div w:id="196165953">
      <w:bodyDiv w:val="1"/>
      <w:marLeft w:val="0"/>
      <w:marRight w:val="0"/>
      <w:marTop w:val="0"/>
      <w:marBottom w:val="0"/>
      <w:divBdr>
        <w:top w:val="none" w:sz="0" w:space="0" w:color="auto"/>
        <w:left w:val="none" w:sz="0" w:space="0" w:color="auto"/>
        <w:bottom w:val="none" w:sz="0" w:space="0" w:color="auto"/>
        <w:right w:val="none" w:sz="0" w:space="0" w:color="auto"/>
      </w:divBdr>
    </w:div>
    <w:div w:id="297927103">
      <w:bodyDiv w:val="1"/>
      <w:marLeft w:val="0"/>
      <w:marRight w:val="0"/>
      <w:marTop w:val="0"/>
      <w:marBottom w:val="0"/>
      <w:divBdr>
        <w:top w:val="none" w:sz="0" w:space="0" w:color="auto"/>
        <w:left w:val="none" w:sz="0" w:space="0" w:color="auto"/>
        <w:bottom w:val="none" w:sz="0" w:space="0" w:color="auto"/>
        <w:right w:val="none" w:sz="0" w:space="0" w:color="auto"/>
      </w:divBdr>
    </w:div>
    <w:div w:id="356546291">
      <w:bodyDiv w:val="1"/>
      <w:marLeft w:val="0"/>
      <w:marRight w:val="0"/>
      <w:marTop w:val="0"/>
      <w:marBottom w:val="0"/>
      <w:divBdr>
        <w:top w:val="none" w:sz="0" w:space="0" w:color="auto"/>
        <w:left w:val="none" w:sz="0" w:space="0" w:color="auto"/>
        <w:bottom w:val="none" w:sz="0" w:space="0" w:color="auto"/>
        <w:right w:val="none" w:sz="0" w:space="0" w:color="auto"/>
      </w:divBdr>
    </w:div>
    <w:div w:id="433014571">
      <w:bodyDiv w:val="1"/>
      <w:marLeft w:val="0"/>
      <w:marRight w:val="0"/>
      <w:marTop w:val="0"/>
      <w:marBottom w:val="0"/>
      <w:divBdr>
        <w:top w:val="none" w:sz="0" w:space="0" w:color="auto"/>
        <w:left w:val="none" w:sz="0" w:space="0" w:color="auto"/>
        <w:bottom w:val="none" w:sz="0" w:space="0" w:color="auto"/>
        <w:right w:val="none" w:sz="0" w:space="0" w:color="auto"/>
      </w:divBdr>
    </w:div>
    <w:div w:id="453405404">
      <w:bodyDiv w:val="1"/>
      <w:marLeft w:val="0"/>
      <w:marRight w:val="0"/>
      <w:marTop w:val="0"/>
      <w:marBottom w:val="0"/>
      <w:divBdr>
        <w:top w:val="none" w:sz="0" w:space="0" w:color="auto"/>
        <w:left w:val="none" w:sz="0" w:space="0" w:color="auto"/>
        <w:bottom w:val="none" w:sz="0" w:space="0" w:color="auto"/>
        <w:right w:val="none" w:sz="0" w:space="0" w:color="auto"/>
      </w:divBdr>
    </w:div>
    <w:div w:id="574901224">
      <w:bodyDiv w:val="1"/>
      <w:marLeft w:val="0"/>
      <w:marRight w:val="0"/>
      <w:marTop w:val="0"/>
      <w:marBottom w:val="0"/>
      <w:divBdr>
        <w:top w:val="none" w:sz="0" w:space="0" w:color="auto"/>
        <w:left w:val="none" w:sz="0" w:space="0" w:color="auto"/>
        <w:bottom w:val="none" w:sz="0" w:space="0" w:color="auto"/>
        <w:right w:val="none" w:sz="0" w:space="0" w:color="auto"/>
      </w:divBdr>
    </w:div>
    <w:div w:id="598611087">
      <w:bodyDiv w:val="1"/>
      <w:marLeft w:val="0"/>
      <w:marRight w:val="0"/>
      <w:marTop w:val="0"/>
      <w:marBottom w:val="0"/>
      <w:divBdr>
        <w:top w:val="none" w:sz="0" w:space="0" w:color="auto"/>
        <w:left w:val="none" w:sz="0" w:space="0" w:color="auto"/>
        <w:bottom w:val="none" w:sz="0" w:space="0" w:color="auto"/>
        <w:right w:val="none" w:sz="0" w:space="0" w:color="auto"/>
      </w:divBdr>
    </w:div>
    <w:div w:id="599530697">
      <w:bodyDiv w:val="1"/>
      <w:marLeft w:val="0"/>
      <w:marRight w:val="0"/>
      <w:marTop w:val="0"/>
      <w:marBottom w:val="0"/>
      <w:divBdr>
        <w:top w:val="none" w:sz="0" w:space="0" w:color="auto"/>
        <w:left w:val="none" w:sz="0" w:space="0" w:color="auto"/>
        <w:bottom w:val="none" w:sz="0" w:space="0" w:color="auto"/>
        <w:right w:val="none" w:sz="0" w:space="0" w:color="auto"/>
      </w:divBdr>
    </w:div>
    <w:div w:id="691371853">
      <w:bodyDiv w:val="1"/>
      <w:marLeft w:val="0"/>
      <w:marRight w:val="0"/>
      <w:marTop w:val="0"/>
      <w:marBottom w:val="0"/>
      <w:divBdr>
        <w:top w:val="none" w:sz="0" w:space="0" w:color="auto"/>
        <w:left w:val="none" w:sz="0" w:space="0" w:color="auto"/>
        <w:bottom w:val="none" w:sz="0" w:space="0" w:color="auto"/>
        <w:right w:val="none" w:sz="0" w:space="0" w:color="auto"/>
      </w:divBdr>
    </w:div>
    <w:div w:id="702291117">
      <w:bodyDiv w:val="1"/>
      <w:marLeft w:val="0"/>
      <w:marRight w:val="0"/>
      <w:marTop w:val="0"/>
      <w:marBottom w:val="0"/>
      <w:divBdr>
        <w:top w:val="none" w:sz="0" w:space="0" w:color="auto"/>
        <w:left w:val="none" w:sz="0" w:space="0" w:color="auto"/>
        <w:bottom w:val="none" w:sz="0" w:space="0" w:color="auto"/>
        <w:right w:val="none" w:sz="0" w:space="0" w:color="auto"/>
      </w:divBdr>
    </w:div>
    <w:div w:id="829563663">
      <w:bodyDiv w:val="1"/>
      <w:marLeft w:val="0"/>
      <w:marRight w:val="0"/>
      <w:marTop w:val="0"/>
      <w:marBottom w:val="0"/>
      <w:divBdr>
        <w:top w:val="none" w:sz="0" w:space="0" w:color="auto"/>
        <w:left w:val="none" w:sz="0" w:space="0" w:color="auto"/>
        <w:bottom w:val="none" w:sz="0" w:space="0" w:color="auto"/>
        <w:right w:val="none" w:sz="0" w:space="0" w:color="auto"/>
      </w:divBdr>
    </w:div>
    <w:div w:id="853299390">
      <w:bodyDiv w:val="1"/>
      <w:marLeft w:val="0"/>
      <w:marRight w:val="0"/>
      <w:marTop w:val="0"/>
      <w:marBottom w:val="0"/>
      <w:divBdr>
        <w:top w:val="none" w:sz="0" w:space="0" w:color="auto"/>
        <w:left w:val="none" w:sz="0" w:space="0" w:color="auto"/>
        <w:bottom w:val="none" w:sz="0" w:space="0" w:color="auto"/>
        <w:right w:val="none" w:sz="0" w:space="0" w:color="auto"/>
      </w:divBdr>
    </w:div>
    <w:div w:id="934283192">
      <w:bodyDiv w:val="1"/>
      <w:marLeft w:val="0"/>
      <w:marRight w:val="0"/>
      <w:marTop w:val="0"/>
      <w:marBottom w:val="0"/>
      <w:divBdr>
        <w:top w:val="none" w:sz="0" w:space="0" w:color="auto"/>
        <w:left w:val="none" w:sz="0" w:space="0" w:color="auto"/>
        <w:bottom w:val="none" w:sz="0" w:space="0" w:color="auto"/>
        <w:right w:val="none" w:sz="0" w:space="0" w:color="auto"/>
      </w:divBdr>
    </w:div>
    <w:div w:id="987127439">
      <w:bodyDiv w:val="1"/>
      <w:marLeft w:val="0"/>
      <w:marRight w:val="0"/>
      <w:marTop w:val="0"/>
      <w:marBottom w:val="0"/>
      <w:divBdr>
        <w:top w:val="none" w:sz="0" w:space="0" w:color="auto"/>
        <w:left w:val="none" w:sz="0" w:space="0" w:color="auto"/>
        <w:bottom w:val="none" w:sz="0" w:space="0" w:color="auto"/>
        <w:right w:val="none" w:sz="0" w:space="0" w:color="auto"/>
      </w:divBdr>
    </w:div>
    <w:div w:id="993871867">
      <w:bodyDiv w:val="1"/>
      <w:marLeft w:val="0"/>
      <w:marRight w:val="0"/>
      <w:marTop w:val="0"/>
      <w:marBottom w:val="0"/>
      <w:divBdr>
        <w:top w:val="none" w:sz="0" w:space="0" w:color="auto"/>
        <w:left w:val="none" w:sz="0" w:space="0" w:color="auto"/>
        <w:bottom w:val="none" w:sz="0" w:space="0" w:color="auto"/>
        <w:right w:val="none" w:sz="0" w:space="0" w:color="auto"/>
      </w:divBdr>
    </w:div>
    <w:div w:id="1003123012">
      <w:bodyDiv w:val="1"/>
      <w:marLeft w:val="0"/>
      <w:marRight w:val="0"/>
      <w:marTop w:val="0"/>
      <w:marBottom w:val="0"/>
      <w:divBdr>
        <w:top w:val="none" w:sz="0" w:space="0" w:color="auto"/>
        <w:left w:val="none" w:sz="0" w:space="0" w:color="auto"/>
        <w:bottom w:val="none" w:sz="0" w:space="0" w:color="auto"/>
        <w:right w:val="none" w:sz="0" w:space="0" w:color="auto"/>
      </w:divBdr>
    </w:div>
    <w:div w:id="1012335501">
      <w:bodyDiv w:val="1"/>
      <w:marLeft w:val="0"/>
      <w:marRight w:val="0"/>
      <w:marTop w:val="0"/>
      <w:marBottom w:val="0"/>
      <w:divBdr>
        <w:top w:val="none" w:sz="0" w:space="0" w:color="auto"/>
        <w:left w:val="none" w:sz="0" w:space="0" w:color="auto"/>
        <w:bottom w:val="none" w:sz="0" w:space="0" w:color="auto"/>
        <w:right w:val="none" w:sz="0" w:space="0" w:color="auto"/>
      </w:divBdr>
    </w:div>
    <w:div w:id="1031804643">
      <w:bodyDiv w:val="1"/>
      <w:marLeft w:val="0"/>
      <w:marRight w:val="0"/>
      <w:marTop w:val="0"/>
      <w:marBottom w:val="0"/>
      <w:divBdr>
        <w:top w:val="none" w:sz="0" w:space="0" w:color="auto"/>
        <w:left w:val="none" w:sz="0" w:space="0" w:color="auto"/>
        <w:bottom w:val="none" w:sz="0" w:space="0" w:color="auto"/>
        <w:right w:val="none" w:sz="0" w:space="0" w:color="auto"/>
      </w:divBdr>
    </w:div>
    <w:div w:id="1063138347">
      <w:bodyDiv w:val="1"/>
      <w:marLeft w:val="0"/>
      <w:marRight w:val="0"/>
      <w:marTop w:val="0"/>
      <w:marBottom w:val="0"/>
      <w:divBdr>
        <w:top w:val="none" w:sz="0" w:space="0" w:color="auto"/>
        <w:left w:val="none" w:sz="0" w:space="0" w:color="auto"/>
        <w:bottom w:val="none" w:sz="0" w:space="0" w:color="auto"/>
        <w:right w:val="none" w:sz="0" w:space="0" w:color="auto"/>
      </w:divBdr>
    </w:div>
    <w:div w:id="1108088354">
      <w:bodyDiv w:val="1"/>
      <w:marLeft w:val="0"/>
      <w:marRight w:val="0"/>
      <w:marTop w:val="0"/>
      <w:marBottom w:val="0"/>
      <w:divBdr>
        <w:top w:val="none" w:sz="0" w:space="0" w:color="auto"/>
        <w:left w:val="none" w:sz="0" w:space="0" w:color="auto"/>
        <w:bottom w:val="none" w:sz="0" w:space="0" w:color="auto"/>
        <w:right w:val="none" w:sz="0" w:space="0" w:color="auto"/>
      </w:divBdr>
    </w:div>
    <w:div w:id="1153832751">
      <w:bodyDiv w:val="1"/>
      <w:marLeft w:val="0"/>
      <w:marRight w:val="0"/>
      <w:marTop w:val="0"/>
      <w:marBottom w:val="0"/>
      <w:divBdr>
        <w:top w:val="none" w:sz="0" w:space="0" w:color="auto"/>
        <w:left w:val="none" w:sz="0" w:space="0" w:color="auto"/>
        <w:bottom w:val="none" w:sz="0" w:space="0" w:color="auto"/>
        <w:right w:val="none" w:sz="0" w:space="0" w:color="auto"/>
      </w:divBdr>
    </w:div>
    <w:div w:id="1217620948">
      <w:bodyDiv w:val="1"/>
      <w:marLeft w:val="0"/>
      <w:marRight w:val="0"/>
      <w:marTop w:val="0"/>
      <w:marBottom w:val="0"/>
      <w:divBdr>
        <w:top w:val="none" w:sz="0" w:space="0" w:color="auto"/>
        <w:left w:val="none" w:sz="0" w:space="0" w:color="auto"/>
        <w:bottom w:val="none" w:sz="0" w:space="0" w:color="auto"/>
        <w:right w:val="none" w:sz="0" w:space="0" w:color="auto"/>
      </w:divBdr>
    </w:div>
    <w:div w:id="1266569982">
      <w:bodyDiv w:val="1"/>
      <w:marLeft w:val="0"/>
      <w:marRight w:val="0"/>
      <w:marTop w:val="0"/>
      <w:marBottom w:val="0"/>
      <w:divBdr>
        <w:top w:val="none" w:sz="0" w:space="0" w:color="auto"/>
        <w:left w:val="none" w:sz="0" w:space="0" w:color="auto"/>
        <w:bottom w:val="none" w:sz="0" w:space="0" w:color="auto"/>
        <w:right w:val="none" w:sz="0" w:space="0" w:color="auto"/>
      </w:divBdr>
    </w:div>
    <w:div w:id="1290433039">
      <w:bodyDiv w:val="1"/>
      <w:marLeft w:val="0"/>
      <w:marRight w:val="0"/>
      <w:marTop w:val="0"/>
      <w:marBottom w:val="0"/>
      <w:divBdr>
        <w:top w:val="none" w:sz="0" w:space="0" w:color="auto"/>
        <w:left w:val="none" w:sz="0" w:space="0" w:color="auto"/>
        <w:bottom w:val="none" w:sz="0" w:space="0" w:color="auto"/>
        <w:right w:val="none" w:sz="0" w:space="0" w:color="auto"/>
      </w:divBdr>
    </w:div>
    <w:div w:id="1306395742">
      <w:bodyDiv w:val="1"/>
      <w:marLeft w:val="0"/>
      <w:marRight w:val="0"/>
      <w:marTop w:val="0"/>
      <w:marBottom w:val="0"/>
      <w:divBdr>
        <w:top w:val="none" w:sz="0" w:space="0" w:color="auto"/>
        <w:left w:val="none" w:sz="0" w:space="0" w:color="auto"/>
        <w:bottom w:val="none" w:sz="0" w:space="0" w:color="auto"/>
        <w:right w:val="none" w:sz="0" w:space="0" w:color="auto"/>
      </w:divBdr>
    </w:div>
    <w:div w:id="1508014302">
      <w:bodyDiv w:val="1"/>
      <w:marLeft w:val="0"/>
      <w:marRight w:val="0"/>
      <w:marTop w:val="0"/>
      <w:marBottom w:val="0"/>
      <w:divBdr>
        <w:top w:val="none" w:sz="0" w:space="0" w:color="auto"/>
        <w:left w:val="none" w:sz="0" w:space="0" w:color="auto"/>
        <w:bottom w:val="none" w:sz="0" w:space="0" w:color="auto"/>
        <w:right w:val="none" w:sz="0" w:space="0" w:color="auto"/>
      </w:divBdr>
    </w:div>
    <w:div w:id="1675450956">
      <w:bodyDiv w:val="1"/>
      <w:marLeft w:val="0"/>
      <w:marRight w:val="0"/>
      <w:marTop w:val="0"/>
      <w:marBottom w:val="0"/>
      <w:divBdr>
        <w:top w:val="none" w:sz="0" w:space="0" w:color="auto"/>
        <w:left w:val="none" w:sz="0" w:space="0" w:color="auto"/>
        <w:bottom w:val="none" w:sz="0" w:space="0" w:color="auto"/>
        <w:right w:val="none" w:sz="0" w:space="0" w:color="auto"/>
      </w:divBdr>
    </w:div>
    <w:div w:id="1694108533">
      <w:bodyDiv w:val="1"/>
      <w:marLeft w:val="0"/>
      <w:marRight w:val="0"/>
      <w:marTop w:val="0"/>
      <w:marBottom w:val="0"/>
      <w:divBdr>
        <w:top w:val="none" w:sz="0" w:space="0" w:color="auto"/>
        <w:left w:val="none" w:sz="0" w:space="0" w:color="auto"/>
        <w:bottom w:val="none" w:sz="0" w:space="0" w:color="auto"/>
        <w:right w:val="none" w:sz="0" w:space="0" w:color="auto"/>
      </w:divBdr>
    </w:div>
    <w:div w:id="1748654318">
      <w:bodyDiv w:val="1"/>
      <w:marLeft w:val="0"/>
      <w:marRight w:val="0"/>
      <w:marTop w:val="0"/>
      <w:marBottom w:val="0"/>
      <w:divBdr>
        <w:top w:val="none" w:sz="0" w:space="0" w:color="auto"/>
        <w:left w:val="none" w:sz="0" w:space="0" w:color="auto"/>
        <w:bottom w:val="none" w:sz="0" w:space="0" w:color="auto"/>
        <w:right w:val="none" w:sz="0" w:space="0" w:color="auto"/>
      </w:divBdr>
    </w:div>
    <w:div w:id="1755201827">
      <w:bodyDiv w:val="1"/>
      <w:marLeft w:val="0"/>
      <w:marRight w:val="0"/>
      <w:marTop w:val="0"/>
      <w:marBottom w:val="0"/>
      <w:divBdr>
        <w:top w:val="none" w:sz="0" w:space="0" w:color="auto"/>
        <w:left w:val="none" w:sz="0" w:space="0" w:color="auto"/>
        <w:bottom w:val="none" w:sz="0" w:space="0" w:color="auto"/>
        <w:right w:val="none" w:sz="0" w:space="0" w:color="auto"/>
      </w:divBdr>
    </w:div>
    <w:div w:id="1906991308">
      <w:bodyDiv w:val="1"/>
      <w:marLeft w:val="0"/>
      <w:marRight w:val="0"/>
      <w:marTop w:val="0"/>
      <w:marBottom w:val="0"/>
      <w:divBdr>
        <w:top w:val="none" w:sz="0" w:space="0" w:color="auto"/>
        <w:left w:val="none" w:sz="0" w:space="0" w:color="auto"/>
        <w:bottom w:val="none" w:sz="0" w:space="0" w:color="auto"/>
        <w:right w:val="none" w:sz="0" w:space="0" w:color="auto"/>
      </w:divBdr>
    </w:div>
    <w:div w:id="1985573993">
      <w:bodyDiv w:val="1"/>
      <w:marLeft w:val="0"/>
      <w:marRight w:val="0"/>
      <w:marTop w:val="0"/>
      <w:marBottom w:val="0"/>
      <w:divBdr>
        <w:top w:val="none" w:sz="0" w:space="0" w:color="auto"/>
        <w:left w:val="none" w:sz="0" w:space="0" w:color="auto"/>
        <w:bottom w:val="none" w:sz="0" w:space="0" w:color="auto"/>
        <w:right w:val="none" w:sz="0" w:space="0" w:color="auto"/>
      </w:divBdr>
    </w:div>
    <w:div w:id="2032098142">
      <w:bodyDiv w:val="1"/>
      <w:marLeft w:val="0"/>
      <w:marRight w:val="0"/>
      <w:marTop w:val="0"/>
      <w:marBottom w:val="0"/>
      <w:divBdr>
        <w:top w:val="none" w:sz="0" w:space="0" w:color="auto"/>
        <w:left w:val="none" w:sz="0" w:space="0" w:color="auto"/>
        <w:bottom w:val="none" w:sz="0" w:space="0" w:color="auto"/>
        <w:right w:val="none" w:sz="0" w:space="0" w:color="auto"/>
      </w:divBdr>
    </w:div>
    <w:div w:id="2063555247">
      <w:bodyDiv w:val="1"/>
      <w:marLeft w:val="0"/>
      <w:marRight w:val="0"/>
      <w:marTop w:val="0"/>
      <w:marBottom w:val="0"/>
      <w:divBdr>
        <w:top w:val="none" w:sz="0" w:space="0" w:color="auto"/>
        <w:left w:val="none" w:sz="0" w:space="0" w:color="auto"/>
        <w:bottom w:val="none" w:sz="0" w:space="0" w:color="auto"/>
        <w:right w:val="none" w:sz="0" w:space="0" w:color="auto"/>
      </w:divBdr>
    </w:div>
    <w:div w:id="213709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regional_policy/en/policy/evaluations/ec/2007-2013/"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applicasrv01\Economics\Projects\DG%20REGIO\WP%201%20-%20Ex%20post%20evaluation%202007-2013\Task%201_context\Task%201c_Effects%20of%20the%20economic%20and%20financial%20crisis\Seminar%20with%20MS%20effects%20of%20crisis\Tables_categories.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Projects\DG%20Regio%20WP1\Tab_figures_back_cri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0595986602420964E-2"/>
          <c:y val="2.9427501337613696E-2"/>
          <c:w val="0.8313516081012261"/>
          <c:h val="0.89349829574470607"/>
        </c:manualLayout>
      </c:layout>
      <c:barChart>
        <c:barDir val="bar"/>
        <c:grouping val="clustered"/>
        <c:varyColors val="0"/>
        <c:ser>
          <c:idx val="0"/>
          <c:order val="0"/>
          <c:invertIfNegative val="0"/>
          <c:cat>
            <c:strRef>
              <c:f>'MS aggregate changes'!$Q$2:$Q$26</c:f>
              <c:strCache>
                <c:ptCount val="25"/>
                <c:pt idx="0">
                  <c:v>FI</c:v>
                </c:pt>
                <c:pt idx="1">
                  <c:v>EE</c:v>
                </c:pt>
                <c:pt idx="2">
                  <c:v>LV</c:v>
                </c:pt>
                <c:pt idx="3">
                  <c:v>BE</c:v>
                </c:pt>
                <c:pt idx="4">
                  <c:v>DE</c:v>
                </c:pt>
                <c:pt idx="5">
                  <c:v>NL</c:v>
                </c:pt>
                <c:pt idx="6">
                  <c:v>PL</c:v>
                </c:pt>
                <c:pt idx="7">
                  <c:v>HU</c:v>
                </c:pt>
                <c:pt idx="8">
                  <c:v>FR</c:v>
                </c:pt>
                <c:pt idx="9">
                  <c:v>SI</c:v>
                </c:pt>
                <c:pt idx="10">
                  <c:v>CZ</c:v>
                </c:pt>
                <c:pt idx="11">
                  <c:v>ES</c:v>
                </c:pt>
                <c:pt idx="12">
                  <c:v>AT</c:v>
                </c:pt>
                <c:pt idx="13">
                  <c:v>UK</c:v>
                </c:pt>
                <c:pt idx="14">
                  <c:v>IT</c:v>
                </c:pt>
                <c:pt idx="15">
                  <c:v>SK</c:v>
                </c:pt>
                <c:pt idx="16">
                  <c:v>LT</c:v>
                </c:pt>
                <c:pt idx="17">
                  <c:v>RO</c:v>
                </c:pt>
                <c:pt idx="18">
                  <c:v>GR</c:v>
                </c:pt>
                <c:pt idx="19">
                  <c:v>BG</c:v>
                </c:pt>
                <c:pt idx="20">
                  <c:v>PT</c:v>
                </c:pt>
                <c:pt idx="21">
                  <c:v>IE</c:v>
                </c:pt>
                <c:pt idx="22">
                  <c:v>CY</c:v>
                </c:pt>
                <c:pt idx="23">
                  <c:v>MT</c:v>
                </c:pt>
                <c:pt idx="24">
                  <c:v>EU</c:v>
                </c:pt>
              </c:strCache>
            </c:strRef>
          </c:cat>
          <c:val>
            <c:numRef>
              <c:f>'MS aggregate changes'!$R$2:$R$26</c:f>
              <c:numCache>
                <c:formatCode>0.0</c:formatCode>
                <c:ptCount val="25"/>
                <c:pt idx="0">
                  <c:v>0.35313802003961547</c:v>
                </c:pt>
                <c:pt idx="1">
                  <c:v>2.1519284608187981</c:v>
                </c:pt>
                <c:pt idx="2">
                  <c:v>2.2965899970242107</c:v>
                </c:pt>
                <c:pt idx="3">
                  <c:v>4.0900434487035779</c:v>
                </c:pt>
                <c:pt idx="4">
                  <c:v>5.676702011407782</c:v>
                </c:pt>
                <c:pt idx="5">
                  <c:v>6.1289014457831339</c:v>
                </c:pt>
                <c:pt idx="6">
                  <c:v>6.6558320280463201</c:v>
                </c:pt>
                <c:pt idx="7">
                  <c:v>7.2027526201761365</c:v>
                </c:pt>
                <c:pt idx="8">
                  <c:v>7.5390981967908166</c:v>
                </c:pt>
                <c:pt idx="9">
                  <c:v>9.5674060778322332</c:v>
                </c:pt>
                <c:pt idx="10">
                  <c:v>10.53416714418562</c:v>
                </c:pt>
                <c:pt idx="11">
                  <c:v>10.772621012261034</c:v>
                </c:pt>
                <c:pt idx="12">
                  <c:v>11.15299112995972</c:v>
                </c:pt>
                <c:pt idx="13">
                  <c:v>13.09197599676159</c:v>
                </c:pt>
                <c:pt idx="14">
                  <c:v>13.370105592758796</c:v>
                </c:pt>
                <c:pt idx="15">
                  <c:v>14.308650309352675</c:v>
                </c:pt>
                <c:pt idx="16">
                  <c:v>14.943663397253598</c:v>
                </c:pt>
                <c:pt idx="17">
                  <c:v>16.004570896576716</c:v>
                </c:pt>
                <c:pt idx="18">
                  <c:v>19.640946062062717</c:v>
                </c:pt>
                <c:pt idx="19">
                  <c:v>20.953584860500666</c:v>
                </c:pt>
                <c:pt idx="20">
                  <c:v>27.283195619714494</c:v>
                </c:pt>
                <c:pt idx="21">
                  <c:v>29.691308536381477</c:v>
                </c:pt>
                <c:pt idx="22">
                  <c:v>30.697558135460213</c:v>
                </c:pt>
                <c:pt idx="23">
                  <c:v>30.862963024089186</c:v>
                </c:pt>
                <c:pt idx="24">
                  <c:v>11.410820959163065</c:v>
                </c:pt>
              </c:numCache>
            </c:numRef>
          </c:val>
        </c:ser>
        <c:dLbls>
          <c:showLegendKey val="0"/>
          <c:showVal val="0"/>
          <c:showCatName val="0"/>
          <c:showSerName val="0"/>
          <c:showPercent val="0"/>
          <c:showBubbleSize val="0"/>
        </c:dLbls>
        <c:gapWidth val="50"/>
        <c:axId val="84886656"/>
        <c:axId val="84888192"/>
      </c:barChart>
      <c:catAx>
        <c:axId val="84886656"/>
        <c:scaling>
          <c:orientation val="minMax"/>
        </c:scaling>
        <c:delete val="0"/>
        <c:axPos val="l"/>
        <c:numFmt formatCode="General" sourceLinked="1"/>
        <c:majorTickMark val="out"/>
        <c:minorTickMark val="none"/>
        <c:tickLblPos val="nextTo"/>
        <c:txPr>
          <a:bodyPr/>
          <a:lstStyle/>
          <a:p>
            <a:pPr>
              <a:defRPr sz="1000"/>
            </a:pPr>
            <a:endParaRPr lang="en-US"/>
          </a:p>
        </c:txPr>
        <c:crossAx val="84888192"/>
        <c:crosses val="autoZero"/>
        <c:auto val="1"/>
        <c:lblAlgn val="ctr"/>
        <c:lblOffset val="100"/>
        <c:noMultiLvlLbl val="0"/>
      </c:catAx>
      <c:valAx>
        <c:axId val="84888192"/>
        <c:scaling>
          <c:orientation val="minMax"/>
        </c:scaling>
        <c:delete val="0"/>
        <c:axPos val="b"/>
        <c:majorGridlines/>
        <c:numFmt formatCode="0.0" sourceLinked="1"/>
        <c:majorTickMark val="out"/>
        <c:minorTickMark val="none"/>
        <c:tickLblPos val="nextTo"/>
        <c:txPr>
          <a:bodyPr/>
          <a:lstStyle/>
          <a:p>
            <a:pPr>
              <a:defRPr sz="1000"/>
            </a:pPr>
            <a:endParaRPr lang="en-US"/>
          </a:p>
        </c:txPr>
        <c:crossAx val="84886656"/>
        <c:crosses val="autoZero"/>
        <c:crossBetween val="between"/>
        <c:majorUnit val="5"/>
      </c:valAx>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1849518810148481E-2"/>
          <c:y val="5.1400554097404488E-2"/>
          <c:w val="0.88797134733158545"/>
          <c:h val="0.78172907775841216"/>
        </c:manualLayout>
      </c:layout>
      <c:barChart>
        <c:barDir val="col"/>
        <c:grouping val="clustered"/>
        <c:varyColors val="0"/>
        <c:ser>
          <c:idx val="0"/>
          <c:order val="0"/>
          <c:tx>
            <c:strRef>
              <c:f>'Fig4'!$X$1</c:f>
              <c:strCache>
                <c:ptCount val="1"/>
                <c:pt idx="0">
                  <c:v>2007</c:v>
                </c:pt>
              </c:strCache>
            </c:strRef>
          </c:tx>
          <c:spPr>
            <a:solidFill>
              <a:schemeClr val="tx2">
                <a:lumMod val="40000"/>
                <a:lumOff val="60000"/>
              </a:schemeClr>
            </a:solidFill>
          </c:spPr>
          <c:invertIfNegative val="0"/>
          <c:cat>
            <c:strRef>
              <c:f>'Fig4'!$W$2:$W$15</c:f>
              <c:strCache>
                <c:ptCount val="14"/>
                <c:pt idx="0">
                  <c:v>FR</c:v>
                </c:pt>
                <c:pt idx="1">
                  <c:v>IE</c:v>
                </c:pt>
                <c:pt idx="2">
                  <c:v>SE</c:v>
                </c:pt>
                <c:pt idx="3">
                  <c:v>BE</c:v>
                </c:pt>
                <c:pt idx="4">
                  <c:v>UK</c:v>
                </c:pt>
                <c:pt idx="5">
                  <c:v>IT</c:v>
                </c:pt>
                <c:pt idx="6">
                  <c:v>PT</c:v>
                </c:pt>
                <c:pt idx="7">
                  <c:v>ES</c:v>
                </c:pt>
                <c:pt idx="8">
                  <c:v>LV</c:v>
                </c:pt>
                <c:pt idx="9">
                  <c:v>PL</c:v>
                </c:pt>
                <c:pt idx="10">
                  <c:v>GR</c:v>
                </c:pt>
                <c:pt idx="11">
                  <c:v>RO</c:v>
                </c:pt>
                <c:pt idx="12">
                  <c:v>LT</c:v>
                </c:pt>
                <c:pt idx="13">
                  <c:v>EU</c:v>
                </c:pt>
              </c:strCache>
            </c:strRef>
          </c:cat>
          <c:val>
            <c:numRef>
              <c:f>'Fig4'!$X$2:$X$15</c:f>
              <c:numCache>
                <c:formatCode>0%</c:formatCode>
                <c:ptCount val="14"/>
                <c:pt idx="0">
                  <c:v>0.35498654482987829</c:v>
                </c:pt>
                <c:pt idx="1">
                  <c:v>0.39979074767529182</c:v>
                </c:pt>
                <c:pt idx="2">
                  <c:v>0.46123065154992771</c:v>
                </c:pt>
                <c:pt idx="3">
                  <c:v>0.41195263059449388</c:v>
                </c:pt>
                <c:pt idx="4">
                  <c:v>0.48842142209846573</c:v>
                </c:pt>
                <c:pt idx="5">
                  <c:v>0.47688851912344427</c:v>
                </c:pt>
                <c:pt idx="6">
                  <c:v>0.63367336848483735</c:v>
                </c:pt>
                <c:pt idx="7">
                  <c:v>0.68203432782999451</c:v>
                </c:pt>
                <c:pt idx="8">
                  <c:v>0.78087242742904361</c:v>
                </c:pt>
                <c:pt idx="9">
                  <c:v>0.78613163496383864</c:v>
                </c:pt>
                <c:pt idx="10">
                  <c:v>0.78554497831509462</c:v>
                </c:pt>
                <c:pt idx="11">
                  <c:v>0.82093830033128312</c:v>
                </c:pt>
                <c:pt idx="12">
                  <c:v>0.81306555090443355</c:v>
                </c:pt>
                <c:pt idx="13">
                  <c:v>0.68871984240286965</c:v>
                </c:pt>
              </c:numCache>
            </c:numRef>
          </c:val>
        </c:ser>
        <c:ser>
          <c:idx val="1"/>
          <c:order val="1"/>
          <c:tx>
            <c:strRef>
              <c:f>'Fig4'!$Y$1</c:f>
              <c:strCache>
                <c:ptCount val="1"/>
                <c:pt idx="0">
                  <c:v>2014</c:v>
                </c:pt>
              </c:strCache>
            </c:strRef>
          </c:tx>
          <c:spPr>
            <a:solidFill>
              <a:schemeClr val="tx2"/>
            </a:solidFill>
          </c:spPr>
          <c:invertIfNegative val="0"/>
          <c:cat>
            <c:strRef>
              <c:f>'Fig4'!$W$2:$W$15</c:f>
              <c:strCache>
                <c:ptCount val="14"/>
                <c:pt idx="0">
                  <c:v>FR</c:v>
                </c:pt>
                <c:pt idx="1">
                  <c:v>IE</c:v>
                </c:pt>
                <c:pt idx="2">
                  <c:v>SE</c:v>
                </c:pt>
                <c:pt idx="3">
                  <c:v>BE</c:v>
                </c:pt>
                <c:pt idx="4">
                  <c:v>UK</c:v>
                </c:pt>
                <c:pt idx="5">
                  <c:v>IT</c:v>
                </c:pt>
                <c:pt idx="6">
                  <c:v>PT</c:v>
                </c:pt>
                <c:pt idx="7">
                  <c:v>ES</c:v>
                </c:pt>
                <c:pt idx="8">
                  <c:v>LV</c:v>
                </c:pt>
                <c:pt idx="9">
                  <c:v>PL</c:v>
                </c:pt>
                <c:pt idx="10">
                  <c:v>GR</c:v>
                </c:pt>
                <c:pt idx="11">
                  <c:v>RO</c:v>
                </c:pt>
                <c:pt idx="12">
                  <c:v>LT</c:v>
                </c:pt>
                <c:pt idx="13">
                  <c:v>EU</c:v>
                </c:pt>
              </c:strCache>
            </c:strRef>
          </c:cat>
          <c:val>
            <c:numRef>
              <c:f>'Fig4'!$Y$2:$Y$15</c:f>
              <c:numCache>
                <c:formatCode>0%</c:formatCode>
                <c:ptCount val="14"/>
                <c:pt idx="0">
                  <c:v>0.37696245633631131</c:v>
                </c:pt>
                <c:pt idx="1">
                  <c:v>0.45525084898240581</c:v>
                </c:pt>
                <c:pt idx="2">
                  <c:v>0.47034045990909634</c:v>
                </c:pt>
                <c:pt idx="3">
                  <c:v>0.51387176911434951</c:v>
                </c:pt>
                <c:pt idx="4">
                  <c:v>0.51420956866940515</c:v>
                </c:pt>
                <c:pt idx="5">
                  <c:v>0.64284981569595534</c:v>
                </c:pt>
                <c:pt idx="6">
                  <c:v>0.74924785547730144</c:v>
                </c:pt>
                <c:pt idx="7">
                  <c:v>0.75948157516079462</c:v>
                </c:pt>
                <c:pt idx="8">
                  <c:v>0.79511335064241706</c:v>
                </c:pt>
                <c:pt idx="9">
                  <c:v>0.81325279665349126</c:v>
                </c:pt>
                <c:pt idx="10">
                  <c:v>0.84107670121056355</c:v>
                </c:pt>
                <c:pt idx="11">
                  <c:v>0.84998909867265882</c:v>
                </c:pt>
                <c:pt idx="12">
                  <c:v>0.84999999988168162</c:v>
                </c:pt>
                <c:pt idx="13">
                  <c:v>0.73850446807415193</c:v>
                </c:pt>
              </c:numCache>
            </c:numRef>
          </c:val>
        </c:ser>
        <c:dLbls>
          <c:showLegendKey val="0"/>
          <c:showVal val="0"/>
          <c:showCatName val="0"/>
          <c:showSerName val="0"/>
          <c:showPercent val="0"/>
          <c:showBubbleSize val="0"/>
        </c:dLbls>
        <c:gapWidth val="50"/>
        <c:axId val="84966400"/>
        <c:axId val="84972288"/>
      </c:barChart>
      <c:catAx>
        <c:axId val="84966400"/>
        <c:scaling>
          <c:orientation val="minMax"/>
        </c:scaling>
        <c:delete val="0"/>
        <c:axPos val="b"/>
        <c:majorTickMark val="out"/>
        <c:minorTickMark val="none"/>
        <c:tickLblPos val="nextTo"/>
        <c:crossAx val="84972288"/>
        <c:crosses val="autoZero"/>
        <c:auto val="1"/>
        <c:lblAlgn val="ctr"/>
        <c:lblOffset val="100"/>
        <c:noMultiLvlLbl val="0"/>
      </c:catAx>
      <c:valAx>
        <c:axId val="84972288"/>
        <c:scaling>
          <c:orientation val="minMax"/>
        </c:scaling>
        <c:delete val="0"/>
        <c:axPos val="l"/>
        <c:majorGridlines/>
        <c:numFmt formatCode="0%" sourceLinked="1"/>
        <c:majorTickMark val="out"/>
        <c:minorTickMark val="none"/>
        <c:tickLblPos val="nextTo"/>
        <c:crossAx val="84966400"/>
        <c:crosses val="autoZero"/>
        <c:crossBetween val="between"/>
      </c:valAx>
    </c:plotArea>
    <c:legend>
      <c:legendPos val="r"/>
      <c:layout>
        <c:manualLayout>
          <c:xMode val="edge"/>
          <c:yMode val="edge"/>
          <c:x val="0.19093197725284342"/>
          <c:y val="6.9060586176727903E-2"/>
          <c:w val="0.24517913385826826"/>
          <c:h val="8.8730679498396428E-2"/>
        </c:manualLayout>
      </c:layout>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0.36599</cdr:x>
      <cdr:y>0.02032</cdr:y>
    </cdr:from>
    <cdr:to>
      <cdr:x>0.58068</cdr:x>
      <cdr:y>0.07008</cdr:y>
    </cdr:to>
    <cdr:sp macro="" textlink="">
      <cdr:nvSpPr>
        <cdr:cNvPr id="2" name="TextBox 1"/>
        <cdr:cNvSpPr txBox="1"/>
      </cdr:nvSpPr>
      <cdr:spPr>
        <a:xfrm xmlns:a="http://schemas.openxmlformats.org/drawingml/2006/main">
          <a:off x="1497602" y="104980"/>
          <a:ext cx="878499" cy="25707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000"/>
            <a:t>29,736</a:t>
          </a:r>
        </a:p>
      </cdr:txBody>
    </cdr:sp>
  </cdr:relSizeAnchor>
  <cdr:relSizeAnchor xmlns:cdr="http://schemas.openxmlformats.org/drawingml/2006/chartDrawing">
    <cdr:from>
      <cdr:x>0.83091</cdr:x>
      <cdr:y>0.05269</cdr:y>
    </cdr:from>
    <cdr:to>
      <cdr:x>0.96085</cdr:x>
      <cdr:y>0.10245</cdr:y>
    </cdr:to>
    <cdr:sp macro="" textlink="">
      <cdr:nvSpPr>
        <cdr:cNvPr id="3" name="TextBox 1"/>
        <cdr:cNvSpPr txBox="1"/>
      </cdr:nvSpPr>
      <cdr:spPr>
        <a:xfrm xmlns:a="http://schemas.openxmlformats.org/drawingml/2006/main">
          <a:off x="3400040" y="272216"/>
          <a:ext cx="531706" cy="2570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a:t>225</a:t>
          </a:r>
        </a:p>
        <a:p xmlns:a="http://schemas.openxmlformats.org/drawingml/2006/main">
          <a:endParaRPr lang="en-GB" sz="1100"/>
        </a:p>
      </cdr:txBody>
    </cdr:sp>
  </cdr:relSizeAnchor>
  <cdr:relSizeAnchor xmlns:cdr="http://schemas.openxmlformats.org/drawingml/2006/chartDrawing">
    <cdr:from>
      <cdr:x>0.82542</cdr:x>
      <cdr:y>0.09109</cdr:y>
    </cdr:from>
    <cdr:to>
      <cdr:x>0.95536</cdr:x>
      <cdr:y>0.14085</cdr:y>
    </cdr:to>
    <cdr:sp macro="" textlink="">
      <cdr:nvSpPr>
        <cdr:cNvPr id="4" name="TextBox 1"/>
        <cdr:cNvSpPr txBox="1"/>
      </cdr:nvSpPr>
      <cdr:spPr>
        <a:xfrm xmlns:a="http://schemas.openxmlformats.org/drawingml/2006/main">
          <a:off x="3377569" y="470604"/>
          <a:ext cx="531707" cy="2570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a:t>142</a:t>
          </a:r>
        </a:p>
        <a:p xmlns:a="http://schemas.openxmlformats.org/drawingml/2006/main">
          <a:endParaRPr lang="en-GB" sz="1100"/>
        </a:p>
      </cdr:txBody>
    </cdr:sp>
  </cdr:relSizeAnchor>
  <cdr:relSizeAnchor xmlns:cdr="http://schemas.openxmlformats.org/drawingml/2006/chartDrawing">
    <cdr:from>
      <cdr:x>0.78974</cdr:x>
      <cdr:y>0.12736</cdr:y>
    </cdr:from>
    <cdr:to>
      <cdr:x>0.91968</cdr:x>
      <cdr:y>0.17711</cdr:y>
    </cdr:to>
    <cdr:sp macro="" textlink="">
      <cdr:nvSpPr>
        <cdr:cNvPr id="5" name="TextBox 1"/>
        <cdr:cNvSpPr txBox="1"/>
      </cdr:nvSpPr>
      <cdr:spPr>
        <a:xfrm xmlns:a="http://schemas.openxmlformats.org/drawingml/2006/main">
          <a:off x="3231583" y="657987"/>
          <a:ext cx="531707" cy="25702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a:t>111</a:t>
          </a:r>
        </a:p>
        <a:p xmlns:a="http://schemas.openxmlformats.org/drawingml/2006/main">
          <a:endParaRPr lang="en-GB" sz="1100"/>
        </a:p>
      </cdr:txBody>
    </cdr:sp>
  </cdr:relSizeAnchor>
  <cdr:relSizeAnchor xmlns:cdr="http://schemas.openxmlformats.org/drawingml/2006/chartDrawing">
    <cdr:from>
      <cdr:x>0.73198</cdr:x>
      <cdr:y>0.16294</cdr:y>
    </cdr:from>
    <cdr:to>
      <cdr:x>0.86193</cdr:x>
      <cdr:y>0.2127</cdr:y>
    </cdr:to>
    <cdr:sp macro="" textlink="">
      <cdr:nvSpPr>
        <cdr:cNvPr id="6" name="TextBox 1"/>
        <cdr:cNvSpPr txBox="1"/>
      </cdr:nvSpPr>
      <cdr:spPr>
        <a:xfrm xmlns:a="http://schemas.openxmlformats.org/drawingml/2006/main">
          <a:off x="3129104" y="835577"/>
          <a:ext cx="555471" cy="25518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a:t>4,065</a:t>
          </a:r>
        </a:p>
        <a:p xmlns:a="http://schemas.openxmlformats.org/drawingml/2006/main">
          <a:endParaRPr lang="en-GB" sz="1100"/>
        </a:p>
      </cdr:txBody>
    </cdr:sp>
  </cdr:relSizeAnchor>
  <cdr:relSizeAnchor xmlns:cdr="http://schemas.openxmlformats.org/drawingml/2006/chartDrawing">
    <cdr:from>
      <cdr:x>0.58854</cdr:x>
      <cdr:y>0.19797</cdr:y>
    </cdr:from>
    <cdr:to>
      <cdr:x>0.71848</cdr:x>
      <cdr:y>0.24773</cdr:y>
    </cdr:to>
    <cdr:sp macro="" textlink="">
      <cdr:nvSpPr>
        <cdr:cNvPr id="7" name="TextBox 1"/>
        <cdr:cNvSpPr txBox="1"/>
      </cdr:nvSpPr>
      <cdr:spPr>
        <a:xfrm xmlns:a="http://schemas.openxmlformats.org/drawingml/2006/main">
          <a:off x="2515916" y="1015235"/>
          <a:ext cx="555470" cy="25518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a:t>1,150</a:t>
          </a:r>
        </a:p>
        <a:p xmlns:a="http://schemas.openxmlformats.org/drawingml/2006/main">
          <a:endParaRPr lang="en-GB" sz="1100"/>
        </a:p>
      </cdr:txBody>
    </cdr:sp>
  </cdr:relSizeAnchor>
  <cdr:relSizeAnchor xmlns:cdr="http://schemas.openxmlformats.org/drawingml/2006/chartDrawing">
    <cdr:from>
      <cdr:x>0.5688</cdr:x>
      <cdr:y>0.23515</cdr:y>
    </cdr:from>
    <cdr:to>
      <cdr:x>0.69875</cdr:x>
      <cdr:y>0.28491</cdr:y>
    </cdr:to>
    <cdr:sp macro="" textlink="">
      <cdr:nvSpPr>
        <cdr:cNvPr id="8" name="TextBox 1"/>
        <cdr:cNvSpPr txBox="1"/>
      </cdr:nvSpPr>
      <cdr:spPr>
        <a:xfrm xmlns:a="http://schemas.openxmlformats.org/drawingml/2006/main">
          <a:off x="2327506" y="1214893"/>
          <a:ext cx="531748" cy="25707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a:t>3,112</a:t>
          </a:r>
        </a:p>
        <a:p xmlns:a="http://schemas.openxmlformats.org/drawingml/2006/main">
          <a:endParaRPr lang="en-GB" sz="1100"/>
        </a:p>
      </cdr:txBody>
    </cdr:sp>
  </cdr:relSizeAnchor>
  <cdr:relSizeAnchor xmlns:cdr="http://schemas.openxmlformats.org/drawingml/2006/chartDrawing">
    <cdr:from>
      <cdr:x>0.48072</cdr:x>
      <cdr:y>0.27259</cdr:y>
    </cdr:from>
    <cdr:to>
      <cdr:x>0.61066</cdr:x>
      <cdr:y>0.32235</cdr:y>
    </cdr:to>
    <cdr:sp macro="" textlink="">
      <cdr:nvSpPr>
        <cdr:cNvPr id="9" name="TextBox 1"/>
        <cdr:cNvSpPr txBox="1"/>
      </cdr:nvSpPr>
      <cdr:spPr>
        <a:xfrm xmlns:a="http://schemas.openxmlformats.org/drawingml/2006/main">
          <a:off x="1967059" y="1408321"/>
          <a:ext cx="531707" cy="2570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a:t>2,485</a:t>
          </a:r>
        </a:p>
        <a:p xmlns:a="http://schemas.openxmlformats.org/drawingml/2006/main">
          <a:endParaRPr lang="en-GB" sz="1100"/>
        </a:p>
      </cdr:txBody>
    </cdr:sp>
  </cdr:relSizeAnchor>
  <cdr:relSizeAnchor xmlns:cdr="http://schemas.openxmlformats.org/drawingml/2006/chartDrawing">
    <cdr:from>
      <cdr:x>0.45179</cdr:x>
      <cdr:y>0.31021</cdr:y>
    </cdr:from>
    <cdr:to>
      <cdr:x>0.58174</cdr:x>
      <cdr:y>0.35997</cdr:y>
    </cdr:to>
    <cdr:sp macro="" textlink="">
      <cdr:nvSpPr>
        <cdr:cNvPr id="10" name="TextBox 1"/>
        <cdr:cNvSpPr txBox="1"/>
      </cdr:nvSpPr>
      <cdr:spPr>
        <a:xfrm xmlns:a="http://schemas.openxmlformats.org/drawingml/2006/main">
          <a:off x="1848694" y="1602678"/>
          <a:ext cx="531748" cy="2570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a:t>859</a:t>
          </a:r>
        </a:p>
        <a:p xmlns:a="http://schemas.openxmlformats.org/drawingml/2006/main">
          <a:endParaRPr lang="en-GB" sz="1100"/>
        </a:p>
      </cdr:txBody>
    </cdr:sp>
  </cdr:relSizeAnchor>
  <cdr:relSizeAnchor xmlns:cdr="http://schemas.openxmlformats.org/drawingml/2006/chartDrawing">
    <cdr:from>
      <cdr:x>0.42568</cdr:x>
      <cdr:y>0.34218</cdr:y>
    </cdr:from>
    <cdr:to>
      <cdr:x>0.55563</cdr:x>
      <cdr:y>0.39194</cdr:y>
    </cdr:to>
    <cdr:sp macro="" textlink="">
      <cdr:nvSpPr>
        <cdr:cNvPr id="11" name="TextBox 1"/>
        <cdr:cNvSpPr txBox="1"/>
      </cdr:nvSpPr>
      <cdr:spPr>
        <a:xfrm xmlns:a="http://schemas.openxmlformats.org/drawingml/2006/main">
          <a:off x="1741845" y="1767847"/>
          <a:ext cx="531748" cy="25707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a:t>1,411</a:t>
          </a:r>
        </a:p>
        <a:p xmlns:a="http://schemas.openxmlformats.org/drawingml/2006/main">
          <a:endParaRPr lang="en-GB" sz="1100"/>
        </a:p>
      </cdr:txBody>
    </cdr:sp>
  </cdr:relSizeAnchor>
  <cdr:relSizeAnchor xmlns:cdr="http://schemas.openxmlformats.org/drawingml/2006/chartDrawing">
    <cdr:from>
      <cdr:x>0.40664</cdr:x>
      <cdr:y>0.38006</cdr:y>
    </cdr:from>
    <cdr:to>
      <cdr:x>0.53658</cdr:x>
      <cdr:y>0.42982</cdr:y>
    </cdr:to>
    <cdr:sp macro="" textlink="">
      <cdr:nvSpPr>
        <cdr:cNvPr id="12" name="TextBox 1"/>
        <cdr:cNvSpPr txBox="1"/>
      </cdr:nvSpPr>
      <cdr:spPr>
        <a:xfrm xmlns:a="http://schemas.openxmlformats.org/drawingml/2006/main">
          <a:off x="1663939" y="1963522"/>
          <a:ext cx="531707" cy="2570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a:t>2,811</a:t>
          </a:r>
        </a:p>
        <a:p xmlns:a="http://schemas.openxmlformats.org/drawingml/2006/main">
          <a:r>
            <a:rPr lang="en-GB" sz="1100"/>
            <a:t>1</a:t>
          </a:r>
        </a:p>
        <a:p xmlns:a="http://schemas.openxmlformats.org/drawingml/2006/main">
          <a:endParaRPr lang="en-GB" sz="1100"/>
        </a:p>
      </cdr:txBody>
    </cdr:sp>
  </cdr:relSizeAnchor>
  <cdr:relSizeAnchor xmlns:cdr="http://schemas.openxmlformats.org/drawingml/2006/chartDrawing">
    <cdr:from>
      <cdr:x>0.39159</cdr:x>
      <cdr:y>0.41536</cdr:y>
    </cdr:from>
    <cdr:to>
      <cdr:x>0.52153</cdr:x>
      <cdr:y>0.46512</cdr:y>
    </cdr:to>
    <cdr:sp macro="" textlink="">
      <cdr:nvSpPr>
        <cdr:cNvPr id="13" name="TextBox 1"/>
        <cdr:cNvSpPr txBox="1"/>
      </cdr:nvSpPr>
      <cdr:spPr>
        <a:xfrm xmlns:a="http://schemas.openxmlformats.org/drawingml/2006/main">
          <a:off x="1602365" y="2145921"/>
          <a:ext cx="531706" cy="2570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a:t>738</a:t>
          </a:r>
        </a:p>
        <a:p xmlns:a="http://schemas.openxmlformats.org/drawingml/2006/main">
          <a:endParaRPr lang="en-GB" sz="1100"/>
        </a:p>
      </cdr:txBody>
    </cdr:sp>
  </cdr:relSizeAnchor>
  <cdr:relSizeAnchor xmlns:cdr="http://schemas.openxmlformats.org/drawingml/2006/chartDrawing">
    <cdr:from>
      <cdr:x>0.3476</cdr:x>
      <cdr:y>0.45228</cdr:y>
    </cdr:from>
    <cdr:to>
      <cdr:x>0.47754</cdr:x>
      <cdr:y>0.50204</cdr:y>
    </cdr:to>
    <cdr:sp macro="" textlink="">
      <cdr:nvSpPr>
        <cdr:cNvPr id="14" name="TextBox 1"/>
        <cdr:cNvSpPr txBox="1"/>
      </cdr:nvSpPr>
      <cdr:spPr>
        <a:xfrm xmlns:a="http://schemas.openxmlformats.org/drawingml/2006/main">
          <a:off x="1485924" y="2319400"/>
          <a:ext cx="555469" cy="25518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a:t>76</a:t>
          </a:r>
        </a:p>
        <a:p xmlns:a="http://schemas.openxmlformats.org/drawingml/2006/main">
          <a:endParaRPr lang="en-GB" sz="1100"/>
        </a:p>
      </cdr:txBody>
    </cdr:sp>
  </cdr:relSizeAnchor>
  <cdr:relSizeAnchor xmlns:cdr="http://schemas.openxmlformats.org/drawingml/2006/chartDrawing">
    <cdr:from>
      <cdr:x>0.34341</cdr:x>
      <cdr:y>0.4876</cdr:y>
    </cdr:from>
    <cdr:to>
      <cdr:x>0.47335</cdr:x>
      <cdr:y>0.53736</cdr:y>
    </cdr:to>
    <cdr:sp macro="" textlink="">
      <cdr:nvSpPr>
        <cdr:cNvPr id="15" name="TextBox 1"/>
        <cdr:cNvSpPr txBox="1"/>
      </cdr:nvSpPr>
      <cdr:spPr>
        <a:xfrm xmlns:a="http://schemas.openxmlformats.org/drawingml/2006/main">
          <a:off x="1468003" y="2500535"/>
          <a:ext cx="555471" cy="25518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a:t>2,866</a:t>
          </a:r>
        </a:p>
        <a:p xmlns:a="http://schemas.openxmlformats.org/drawingml/2006/main">
          <a:endParaRPr lang="en-GB" sz="1100"/>
        </a:p>
      </cdr:txBody>
    </cdr:sp>
  </cdr:relSizeAnchor>
  <cdr:relSizeAnchor xmlns:cdr="http://schemas.openxmlformats.org/drawingml/2006/chartDrawing">
    <cdr:from>
      <cdr:x>0.33372</cdr:x>
      <cdr:y>0.52417</cdr:y>
    </cdr:from>
    <cdr:to>
      <cdr:x>0.46367</cdr:x>
      <cdr:y>0.57393</cdr:y>
    </cdr:to>
    <cdr:sp macro="" textlink="">
      <cdr:nvSpPr>
        <cdr:cNvPr id="17" name="TextBox 1"/>
        <cdr:cNvSpPr txBox="1"/>
      </cdr:nvSpPr>
      <cdr:spPr>
        <a:xfrm xmlns:a="http://schemas.openxmlformats.org/drawingml/2006/main">
          <a:off x="1426603" y="2688083"/>
          <a:ext cx="555512" cy="25518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a:t>2,373</a:t>
          </a:r>
        </a:p>
        <a:p xmlns:a="http://schemas.openxmlformats.org/drawingml/2006/main">
          <a:endParaRPr lang="en-GB" sz="1100"/>
        </a:p>
      </cdr:txBody>
    </cdr:sp>
  </cdr:relSizeAnchor>
  <cdr:relSizeAnchor xmlns:cdr="http://schemas.openxmlformats.org/drawingml/2006/chartDrawing">
    <cdr:from>
      <cdr:x>0.31971</cdr:x>
      <cdr:y>0.55666</cdr:y>
    </cdr:from>
    <cdr:to>
      <cdr:x>0.45624</cdr:x>
      <cdr:y>0.61062</cdr:y>
    </cdr:to>
    <cdr:sp macro="" textlink="">
      <cdr:nvSpPr>
        <cdr:cNvPr id="18" name="TextBox 1"/>
        <cdr:cNvSpPr txBox="1"/>
      </cdr:nvSpPr>
      <cdr:spPr>
        <a:xfrm xmlns:a="http://schemas.openxmlformats.org/drawingml/2006/main">
          <a:off x="1308232" y="2875910"/>
          <a:ext cx="558667" cy="27877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a:t>320</a:t>
          </a:r>
        </a:p>
        <a:p xmlns:a="http://schemas.openxmlformats.org/drawingml/2006/main">
          <a:endParaRPr lang="en-GB" sz="1100"/>
        </a:p>
      </cdr:txBody>
    </cdr:sp>
  </cdr:relSizeAnchor>
  <cdr:relSizeAnchor xmlns:cdr="http://schemas.openxmlformats.org/drawingml/2006/chartDrawing">
    <cdr:from>
      <cdr:x>0.27475</cdr:x>
      <cdr:y>0.59627</cdr:y>
    </cdr:from>
    <cdr:to>
      <cdr:x>0.40469</cdr:x>
      <cdr:y>0.64603</cdr:y>
    </cdr:to>
    <cdr:sp macro="" textlink="">
      <cdr:nvSpPr>
        <cdr:cNvPr id="19" name="TextBox 1"/>
        <cdr:cNvSpPr txBox="1"/>
      </cdr:nvSpPr>
      <cdr:spPr>
        <a:xfrm xmlns:a="http://schemas.openxmlformats.org/drawingml/2006/main">
          <a:off x="1124252" y="3080548"/>
          <a:ext cx="531707" cy="2570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a:t>607</a:t>
          </a:r>
        </a:p>
        <a:p xmlns:a="http://schemas.openxmlformats.org/drawingml/2006/main">
          <a:endParaRPr lang="en-GB" sz="1100"/>
        </a:p>
      </cdr:txBody>
    </cdr:sp>
  </cdr:relSizeAnchor>
  <cdr:relSizeAnchor xmlns:cdr="http://schemas.openxmlformats.org/drawingml/2006/chartDrawing">
    <cdr:from>
      <cdr:x>0.26351</cdr:x>
      <cdr:y>0.62998</cdr:y>
    </cdr:from>
    <cdr:to>
      <cdr:x>0.39345</cdr:x>
      <cdr:y>0.67974</cdr:y>
    </cdr:to>
    <cdr:sp macro="" textlink="">
      <cdr:nvSpPr>
        <cdr:cNvPr id="20" name="TextBox 1"/>
        <cdr:cNvSpPr txBox="1"/>
      </cdr:nvSpPr>
      <cdr:spPr>
        <a:xfrm xmlns:a="http://schemas.openxmlformats.org/drawingml/2006/main">
          <a:off x="1078268" y="3254707"/>
          <a:ext cx="531707" cy="2570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a:t>1,524</a:t>
          </a:r>
        </a:p>
        <a:p xmlns:a="http://schemas.openxmlformats.org/drawingml/2006/main">
          <a:endParaRPr lang="en-GB" sz="1100"/>
        </a:p>
      </cdr:txBody>
    </cdr:sp>
  </cdr:relSizeAnchor>
  <cdr:relSizeAnchor xmlns:cdr="http://schemas.openxmlformats.org/drawingml/2006/chartDrawing">
    <cdr:from>
      <cdr:x>0.24087</cdr:x>
      <cdr:y>0.66837</cdr:y>
    </cdr:from>
    <cdr:to>
      <cdr:x>0.37081</cdr:x>
      <cdr:y>0.71813</cdr:y>
    </cdr:to>
    <cdr:sp macro="" textlink="">
      <cdr:nvSpPr>
        <cdr:cNvPr id="21" name="TextBox 1"/>
        <cdr:cNvSpPr txBox="1"/>
      </cdr:nvSpPr>
      <cdr:spPr>
        <a:xfrm xmlns:a="http://schemas.openxmlformats.org/drawingml/2006/main">
          <a:off x="985618" y="3453042"/>
          <a:ext cx="531707" cy="2570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a:t>3,695</a:t>
          </a:r>
        </a:p>
        <a:p xmlns:a="http://schemas.openxmlformats.org/drawingml/2006/main">
          <a:endParaRPr lang="en-GB" sz="1100"/>
        </a:p>
        <a:p xmlns:a="http://schemas.openxmlformats.org/drawingml/2006/main">
          <a:endParaRPr lang="en-GB" sz="1100"/>
        </a:p>
      </cdr:txBody>
    </cdr:sp>
  </cdr:relSizeAnchor>
  <cdr:relSizeAnchor xmlns:cdr="http://schemas.openxmlformats.org/drawingml/2006/chartDrawing">
    <cdr:from>
      <cdr:x>0.23882</cdr:x>
      <cdr:y>0.70087</cdr:y>
    </cdr:from>
    <cdr:to>
      <cdr:x>0.36876</cdr:x>
      <cdr:y>0.75063</cdr:y>
    </cdr:to>
    <cdr:sp macro="" textlink="">
      <cdr:nvSpPr>
        <cdr:cNvPr id="22" name="TextBox 1"/>
        <cdr:cNvSpPr txBox="1"/>
      </cdr:nvSpPr>
      <cdr:spPr>
        <a:xfrm xmlns:a="http://schemas.openxmlformats.org/drawingml/2006/main">
          <a:off x="977228" y="3620948"/>
          <a:ext cx="531707" cy="2570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a:t>51</a:t>
          </a:r>
        </a:p>
        <a:p xmlns:a="http://schemas.openxmlformats.org/drawingml/2006/main">
          <a:endParaRPr lang="en-GB" sz="1100"/>
        </a:p>
      </cdr:txBody>
    </cdr:sp>
  </cdr:relSizeAnchor>
  <cdr:relSizeAnchor xmlns:cdr="http://schemas.openxmlformats.org/drawingml/2006/chartDrawing">
    <cdr:from>
      <cdr:x>0.22568</cdr:x>
      <cdr:y>0.73739</cdr:y>
    </cdr:from>
    <cdr:to>
      <cdr:x>0.35562</cdr:x>
      <cdr:y>0.78715</cdr:y>
    </cdr:to>
    <cdr:sp macro="" textlink="">
      <cdr:nvSpPr>
        <cdr:cNvPr id="23" name="TextBox 1"/>
        <cdr:cNvSpPr txBox="1"/>
      </cdr:nvSpPr>
      <cdr:spPr>
        <a:xfrm xmlns:a="http://schemas.openxmlformats.org/drawingml/2006/main">
          <a:off x="923469" y="3809624"/>
          <a:ext cx="531707" cy="2570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a:t>914</a:t>
          </a:r>
        </a:p>
        <a:p xmlns:a="http://schemas.openxmlformats.org/drawingml/2006/main">
          <a:endParaRPr lang="en-GB" sz="1100"/>
        </a:p>
        <a:p xmlns:a="http://schemas.openxmlformats.org/drawingml/2006/main">
          <a:endParaRPr lang="en-GB" sz="1100"/>
        </a:p>
      </cdr:txBody>
    </cdr:sp>
  </cdr:relSizeAnchor>
  <cdr:relSizeAnchor xmlns:cdr="http://schemas.openxmlformats.org/drawingml/2006/chartDrawing">
    <cdr:from>
      <cdr:x>0.18994</cdr:x>
      <cdr:y>0.77297</cdr:y>
    </cdr:from>
    <cdr:to>
      <cdr:x>0.31988</cdr:x>
      <cdr:y>0.82273</cdr:y>
    </cdr:to>
    <cdr:sp macro="" textlink="">
      <cdr:nvSpPr>
        <cdr:cNvPr id="24" name="TextBox 1"/>
        <cdr:cNvSpPr txBox="1"/>
      </cdr:nvSpPr>
      <cdr:spPr>
        <a:xfrm xmlns:a="http://schemas.openxmlformats.org/drawingml/2006/main">
          <a:off x="777219" y="3993417"/>
          <a:ext cx="531707" cy="2570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a:t>41</a:t>
          </a:r>
        </a:p>
        <a:p xmlns:a="http://schemas.openxmlformats.org/drawingml/2006/main">
          <a:endParaRPr lang="en-GB" sz="1100"/>
        </a:p>
      </cdr:txBody>
    </cdr:sp>
  </cdr:relSizeAnchor>
  <cdr:relSizeAnchor xmlns:cdr="http://schemas.openxmlformats.org/drawingml/2006/chartDrawing">
    <cdr:from>
      <cdr:x>0.13917</cdr:x>
      <cdr:y>0.80816</cdr:y>
    </cdr:from>
    <cdr:to>
      <cdr:x>0.26912</cdr:x>
      <cdr:y>0.85791</cdr:y>
    </cdr:to>
    <cdr:sp macro="" textlink="">
      <cdr:nvSpPr>
        <cdr:cNvPr id="25" name="TextBox 1"/>
        <cdr:cNvSpPr txBox="1"/>
      </cdr:nvSpPr>
      <cdr:spPr>
        <a:xfrm xmlns:a="http://schemas.openxmlformats.org/drawingml/2006/main">
          <a:off x="569484" y="4175221"/>
          <a:ext cx="531748" cy="25702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a:t>91</a:t>
          </a:r>
        </a:p>
        <a:p xmlns:a="http://schemas.openxmlformats.org/drawingml/2006/main">
          <a:endParaRPr lang="en-GB" sz="1100"/>
        </a:p>
      </cdr:txBody>
    </cdr:sp>
  </cdr:relSizeAnchor>
  <cdr:relSizeAnchor xmlns:cdr="http://schemas.openxmlformats.org/drawingml/2006/chartDrawing">
    <cdr:from>
      <cdr:x>0.1374</cdr:x>
      <cdr:y>0.84468</cdr:y>
    </cdr:from>
    <cdr:to>
      <cdr:x>0.26734</cdr:x>
      <cdr:y>0.89444</cdr:y>
    </cdr:to>
    <cdr:sp macro="" textlink="">
      <cdr:nvSpPr>
        <cdr:cNvPr id="26" name="TextBox 1"/>
        <cdr:cNvSpPr txBox="1"/>
      </cdr:nvSpPr>
      <cdr:spPr>
        <a:xfrm xmlns:a="http://schemas.openxmlformats.org/drawingml/2006/main">
          <a:off x="562215" y="4363912"/>
          <a:ext cx="531721" cy="25707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a:t>65</a:t>
          </a:r>
        </a:p>
        <a:p xmlns:a="http://schemas.openxmlformats.org/drawingml/2006/main">
          <a:endParaRPr lang="en-GB" sz="1100"/>
        </a:p>
      </cdr:txBody>
    </cdr:sp>
  </cdr:relSizeAnchor>
  <cdr:relSizeAnchor xmlns:cdr="http://schemas.openxmlformats.org/drawingml/2006/chartDrawing">
    <cdr:from>
      <cdr:x>0.1017</cdr:x>
      <cdr:y>0.87947</cdr:y>
    </cdr:from>
    <cdr:to>
      <cdr:x>0.23164</cdr:x>
      <cdr:y>0.92923</cdr:y>
    </cdr:to>
    <cdr:sp macro="" textlink="">
      <cdr:nvSpPr>
        <cdr:cNvPr id="27" name="TextBox 1"/>
        <cdr:cNvSpPr txBox="1"/>
      </cdr:nvSpPr>
      <cdr:spPr>
        <a:xfrm xmlns:a="http://schemas.openxmlformats.org/drawingml/2006/main">
          <a:off x="416144" y="4543660"/>
          <a:ext cx="531721" cy="2570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a:t>3</a:t>
          </a:r>
        </a:p>
        <a:p xmlns:a="http://schemas.openxmlformats.org/drawingml/2006/main">
          <a:endParaRPr lang="en-GB" sz="1100"/>
        </a:p>
      </cdr:txBody>
    </cdr:sp>
  </cdr:relSizeAnchor>
  <cdr:relSizeAnchor xmlns:cdr="http://schemas.openxmlformats.org/drawingml/2006/chartDrawing">
    <cdr:from>
      <cdr:x>0.0031</cdr:x>
      <cdr:y>0.95428</cdr:y>
    </cdr:from>
    <cdr:to>
      <cdr:x>0.92737</cdr:x>
      <cdr:y>1</cdr:y>
    </cdr:to>
    <cdr:sp macro="" textlink="">
      <cdr:nvSpPr>
        <cdr:cNvPr id="28" name="TextBox 1"/>
        <cdr:cNvSpPr txBox="1"/>
      </cdr:nvSpPr>
      <cdr:spPr>
        <a:xfrm xmlns:a="http://schemas.openxmlformats.org/drawingml/2006/main">
          <a:off x="12700" y="4930140"/>
          <a:ext cx="3782060" cy="23622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900" i="1"/>
            <a:t>Source: DG Regional Policy        DK, LU and SE:</a:t>
          </a:r>
          <a:r>
            <a:rPr lang="en-GB" sz="900" i="1" baseline="0"/>
            <a:t>  no shifts over period</a:t>
          </a:r>
          <a:endParaRPr lang="en-GB" sz="900" i="1"/>
        </a:p>
        <a:p xmlns:a="http://schemas.openxmlformats.org/drawingml/2006/main">
          <a:endParaRPr lang="en-GB" sz="900" i="1"/>
        </a:p>
      </cdr:txBody>
    </cdr:sp>
  </cdr:relSizeAnchor>
  <cdr:relSizeAnchor xmlns:cdr="http://schemas.openxmlformats.org/drawingml/2006/chartDrawing">
    <cdr:from>
      <cdr:x>0.33458</cdr:x>
      <cdr:y>0.87709</cdr:y>
    </cdr:from>
    <cdr:to>
      <cdr:x>0.94786</cdr:x>
      <cdr:y>0.92281</cdr:y>
    </cdr:to>
    <cdr:sp macro="" textlink="">
      <cdr:nvSpPr>
        <cdr:cNvPr id="29" name="TextBox 1"/>
        <cdr:cNvSpPr txBox="1"/>
      </cdr:nvSpPr>
      <cdr:spPr>
        <a:xfrm xmlns:a="http://schemas.openxmlformats.org/drawingml/2006/main">
          <a:off x="1369063" y="4531360"/>
          <a:ext cx="2509517" cy="23620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i="0"/>
            <a:t>Amount shifted as % of inital total funding</a:t>
          </a:r>
        </a:p>
      </cdr:txBody>
    </cdr:sp>
  </cdr:relSizeAnchor>
</c:userShapes>
</file>

<file path=word/drawings/drawing2.xml><?xml version="1.0" encoding="utf-8"?>
<c:userShapes xmlns:c="http://schemas.openxmlformats.org/drawingml/2006/chart">
  <cdr:relSizeAnchor xmlns:cdr="http://schemas.openxmlformats.org/drawingml/2006/chartDrawing">
    <cdr:from>
      <cdr:x>0.00555</cdr:x>
      <cdr:y>0.9084</cdr:y>
    </cdr:from>
    <cdr:to>
      <cdr:x>0.56379</cdr:x>
      <cdr:y>1</cdr:y>
    </cdr:to>
    <cdr:sp macro="" textlink="">
      <cdr:nvSpPr>
        <cdr:cNvPr id="2" name="TextBox 1"/>
        <cdr:cNvSpPr txBox="1"/>
      </cdr:nvSpPr>
      <cdr:spPr>
        <a:xfrm xmlns:a="http://schemas.openxmlformats.org/drawingml/2006/main">
          <a:off x="27940" y="2266950"/>
          <a:ext cx="2811780" cy="2286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900" i="1"/>
            <a:t>Source: DG Regional</a:t>
          </a:r>
          <a:r>
            <a:rPr lang="en-GB" sz="900" i="1" baseline="0"/>
            <a:t> Policy Inforegio data</a:t>
          </a:r>
          <a:endParaRPr lang="en-GB" sz="900" i="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2E420-3EFA-4B49-AA33-9B401D3EA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4702</Words>
  <Characters>22525</Characters>
  <Application>Microsoft Office Word</Application>
  <DocSecurity>0</DocSecurity>
  <Lines>1251</Lines>
  <Paragraphs>1047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HP</Company>
  <LinksUpToDate>false</LinksUpToDate>
  <CharactersWithSpaces>26180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Ward</dc:creator>
  <cp:lastModifiedBy>BERARD-DELAY Cecile (REGIO)</cp:lastModifiedBy>
  <cp:revision>2</cp:revision>
  <cp:lastPrinted>2015-04-23T09:57:00Z</cp:lastPrinted>
  <dcterms:created xsi:type="dcterms:W3CDTF">2015-05-06T08:47:00Z</dcterms:created>
  <dcterms:modified xsi:type="dcterms:W3CDTF">2015-05-06T08:47:00Z</dcterms:modified>
</cp:coreProperties>
</file>