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Pr="00D603C1" w:rsidRDefault="007544E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573400"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240" behindDoc="1" locked="0" layoutInCell="1" allowOverlap="1">
                <wp:simplePos x="0" y="0"/>
                <wp:positionH relativeFrom="margin">
                  <wp:posOffset>2457450</wp:posOffset>
                </wp:positionH>
                <wp:positionV relativeFrom="page">
                  <wp:posOffset>1371600</wp:posOffset>
                </wp:positionV>
                <wp:extent cx="1285875" cy="83153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e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Scql&#10;3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18297B">
        <w:rPr>
          <w:b/>
          <w:sz w:val="28"/>
          <w:szCs w:val="28"/>
        </w:rPr>
        <w:t>8/2</w:t>
      </w:r>
      <w:r w:rsidRPr="00D414E6">
        <w:rPr>
          <w:b/>
          <w:sz w:val="28"/>
          <w:szCs w:val="28"/>
        </w:rPr>
        <w:t>, platnost</w:t>
      </w:r>
      <w:r>
        <w:rPr>
          <w:b/>
          <w:sz w:val="28"/>
          <w:szCs w:val="28"/>
        </w:rPr>
        <w:t xml:space="preserve"> </w:t>
      </w:r>
      <w:r w:rsidR="00213923">
        <w:rPr>
          <w:b/>
          <w:sz w:val="28"/>
          <w:szCs w:val="28"/>
        </w:rPr>
        <w:t>9</w:t>
      </w:r>
      <w:bookmarkStart w:id="0" w:name="_GoBack"/>
      <w:bookmarkEnd w:id="0"/>
      <w:r w:rsidR="00AE2E26" w:rsidRPr="000D666D">
        <w:rPr>
          <w:b/>
          <w:sz w:val="28"/>
          <w:szCs w:val="28"/>
        </w:rPr>
        <w:t xml:space="preserve">. </w:t>
      </w:r>
      <w:r w:rsidR="000D666D" w:rsidRPr="000D666D">
        <w:rPr>
          <w:b/>
          <w:sz w:val="28"/>
          <w:szCs w:val="28"/>
        </w:rPr>
        <w:t>6</w:t>
      </w:r>
      <w:r w:rsidR="00AE2E26" w:rsidRPr="000D666D">
        <w:rPr>
          <w:b/>
          <w:sz w:val="28"/>
          <w:szCs w:val="28"/>
        </w:rPr>
        <w:t>. 201</w:t>
      </w:r>
      <w:r w:rsidR="000D666D">
        <w:rPr>
          <w:b/>
          <w:sz w:val="28"/>
          <w:szCs w:val="28"/>
        </w:rPr>
        <w:t>4</w:t>
      </w:r>
      <w:r w:rsidR="00AE2E26">
        <w:rPr>
          <w:b/>
          <w:sz w:val="28"/>
          <w:szCs w:val="28"/>
        </w:rPr>
        <w:t>,</w:t>
      </w:r>
      <w:r w:rsidR="00D414E6">
        <w:rPr>
          <w:b/>
          <w:sz w:val="28"/>
          <w:szCs w:val="28"/>
        </w:rPr>
        <w:t xml:space="preserve"> účinnost </w:t>
      </w:r>
      <w:r>
        <w:rPr>
          <w:b/>
          <w:sz w:val="28"/>
          <w:szCs w:val="28"/>
        </w:rPr>
        <w:t xml:space="preserve">od </w:t>
      </w:r>
      <w:r w:rsidR="00D414E6" w:rsidRPr="000D666D">
        <w:rPr>
          <w:b/>
          <w:sz w:val="28"/>
          <w:szCs w:val="28"/>
        </w:rPr>
        <w:t>1</w:t>
      </w:r>
      <w:r w:rsidR="000D666D" w:rsidRPr="000D666D">
        <w:rPr>
          <w:b/>
          <w:sz w:val="28"/>
          <w:szCs w:val="28"/>
        </w:rPr>
        <w:t>0</w:t>
      </w:r>
      <w:r w:rsidRPr="000D666D">
        <w:rPr>
          <w:b/>
          <w:sz w:val="28"/>
          <w:szCs w:val="28"/>
        </w:rPr>
        <w:t xml:space="preserve">. </w:t>
      </w:r>
      <w:r w:rsidR="000D666D" w:rsidRPr="000D666D">
        <w:rPr>
          <w:b/>
          <w:sz w:val="28"/>
          <w:szCs w:val="28"/>
        </w:rPr>
        <w:t>6</w:t>
      </w:r>
      <w:r w:rsidRPr="000D666D">
        <w:rPr>
          <w:b/>
          <w:sz w:val="28"/>
          <w:szCs w:val="28"/>
        </w:rPr>
        <w:t>. 201</w:t>
      </w:r>
      <w:r w:rsidR="000D666D">
        <w:rPr>
          <w:b/>
          <w:sz w:val="28"/>
          <w:szCs w:val="28"/>
        </w:rPr>
        <w:t>4</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20. 11. 2006 a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 xml:space="preserve">Evidenční číslo  </w:t>
      </w:r>
      <w:r w:rsidR="00E25D71">
        <w:rPr>
          <w:b/>
          <w:snapToGrid w:val="0"/>
          <w:sz w:val="24"/>
        </w:rPr>
        <w:t>ED</w:t>
      </w:r>
      <w:r w:rsidR="00333C14">
        <w:rPr>
          <w:b/>
          <w:snapToGrid w:val="0"/>
          <w:sz w:val="24"/>
        </w:rPr>
        <w:t>S</w:t>
      </w:r>
      <w:r w:rsidR="00E25D71">
        <w:rPr>
          <w:b/>
          <w:snapToGrid w:val="0"/>
          <w:sz w:val="24"/>
        </w:rPr>
        <w:t>/SMVS</w:t>
      </w:r>
      <w:r>
        <w:rPr>
          <w:b/>
          <w:snapToGrid w:val="0"/>
          <w:sz w:val="24"/>
        </w:rPr>
        <w:t>:</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lastRenderedPageBreak/>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w:t>
      </w:r>
      <w:r w:rsidR="00AB7913">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měla být monitorovací zpráva předložena. </w:t>
      </w:r>
      <w:r>
        <w:rPr>
          <w:sz w:val="24"/>
          <w:szCs w:val="24"/>
        </w:rPr>
        <w:t xml:space="preserve">Následující monitorovací zprávy jsou podávány k datu posledního dne každých 6 následujících měsíců. </w:t>
      </w:r>
      <w:r>
        <w:rPr>
          <w:snapToGrid w:val="0"/>
          <w:sz w:val="24"/>
          <w:szCs w:val="24"/>
        </w:rPr>
        <w:t xml:space="preserve"> </w:t>
      </w:r>
      <w:r>
        <w:rPr>
          <w:snapToGrid w:val="0"/>
          <w:sz w:val="24"/>
        </w:rPr>
        <w:t xml:space="preserve"> V případě, že je projekt rozdělen na etapy, předkládá příjemce etapovou monitorovací zprávu, a to vždy do 20 pracovních dnů po ukončení etapy. Závěrečnou monitorovací zprávu předkládá příjemce do 20 pracovních dnů po ukončení realizace projektu. V případě překrytí termínů monitorovací zprávy +/-30 kalendářních dnů s etapovou/závěrečnou monitorovací zprávou předkládá příjemce jen etapovou/závěrečnou monitorovací zprávu.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monitorovacích zpráv mohou být prodlouženy, pokud o to příjemce prostřednictvím ZS před uplynutím lhůty pro podání požádá 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 xml:space="preserve">Příjemce je povinen bez zbytečného prodlení, oznámit </w:t>
      </w:r>
      <w:commentRangeStart w:id="1"/>
      <w:r w:rsidR="002C44A4">
        <w:rPr>
          <w:snapToGrid w:val="0"/>
          <w:sz w:val="24"/>
        </w:rPr>
        <w:t>ŘO OPTP</w:t>
      </w:r>
      <w:commentRangeEnd w:id="1"/>
      <w:r w:rsidR="00457B52">
        <w:rPr>
          <w:rStyle w:val="Odkaznakoment"/>
        </w:rPr>
        <w:commentReference w:id="1"/>
      </w:r>
      <w:r w:rsidRPr="005F4F75">
        <w:rPr>
          <w:snapToGrid w:val="0"/>
          <w:sz w:val="24"/>
        </w:rPr>
        <w:t xml:space="preserve"> všechny změny a</w:t>
      </w:r>
      <w:r w:rsidR="00333C14">
        <w:rPr>
          <w:snapToGrid w:val="0"/>
          <w:sz w:val="24"/>
        </w:rPr>
        <w:t> </w:t>
      </w:r>
      <w:r w:rsidRPr="005F4F75">
        <w:rPr>
          <w:snapToGrid w:val="0"/>
          <w:sz w:val="24"/>
        </w:rPr>
        <w:t>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333C14">
        <w:rPr>
          <w:snapToGrid w:val="0"/>
          <w:sz w:val="24"/>
        </w:rPr>
        <w:t>etapové monitorovací zprávy</w:t>
      </w:r>
      <w:r w:rsidRPr="005F4F75">
        <w:rPr>
          <w:snapToGrid w:val="0"/>
          <w:sz w:val="24"/>
        </w:rPr>
        <w:t>.</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B7913">
        <w:rPr>
          <w:szCs w:val="24"/>
        </w:rPr>
        <w:t> </w:t>
      </w:r>
      <w:r>
        <w:rPr>
          <w:szCs w:val="24"/>
        </w:rPr>
        <w:t xml:space="preserve">pracovních dnů od ukončení etapy/projektu, spolu s monitorovací zprávou 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00333C14" w:rsidRPr="00333C14">
        <w:rPr>
          <w:b/>
          <w:szCs w:val="24"/>
        </w:rPr>
        <w:t xml:space="preserve"> </w:t>
      </w:r>
      <w:r w:rsidRPr="00C73694">
        <w:rPr>
          <w:snapToGrid w:val="0"/>
        </w:rPr>
        <w:t xml:space="preserve">Lhůta 20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 xml:space="preserve">prokázat, že indikátory uvedené ve Stanovení výdajů byly naplněny v termínu uvedeném ve Stanovení </w:t>
      </w:r>
      <w:r w:rsidRPr="00B54612">
        <w:rPr>
          <w:snapToGrid w:val="0"/>
          <w:sz w:val="24"/>
        </w:rPr>
        <w:lastRenderedPageBreak/>
        <w:t>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minimálně do konce roku </w:t>
      </w:r>
      <w:r w:rsidRPr="00C828C5">
        <w:rPr>
          <w:snapToGrid w:val="0"/>
          <w:sz w:val="24"/>
        </w:rPr>
        <w:t>2021,</w:t>
      </w:r>
      <w:r w:rsidRPr="001D4E3F">
        <w:rPr>
          <w:snapToGrid w:val="0"/>
          <w:sz w:val="24"/>
        </w:rPr>
        <w:t xml:space="preserve"> 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2007-2013 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podle Metodiky výběru zaměstnanců implementujících fondy EU v</w:t>
      </w:r>
      <w:r>
        <w:rPr>
          <w:snapToGrid w:val="0"/>
          <w:sz w:val="24"/>
        </w:rPr>
        <w:t> </w:t>
      </w:r>
      <w:r w:rsidRPr="002B15BE">
        <w:rPr>
          <w:snapToGrid w:val="0"/>
          <w:sz w:val="24"/>
        </w:rPr>
        <w:t>programovém období 2007–2013 a v programovém období 2014</w:t>
      </w:r>
      <w:r w:rsidR="004B58D0">
        <w:rPr>
          <w:snapToGrid w:val="0"/>
          <w:sz w:val="24"/>
        </w:rPr>
        <w:t>+</w:t>
      </w:r>
      <w:r w:rsidRPr="002B15BE">
        <w:rPr>
          <w:snapToGrid w:val="0"/>
          <w:sz w:val="24"/>
        </w:rPr>
        <w:t xml:space="preserve">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sidR="00263012">
        <w:rPr>
          <w:snapToGrid w:val="0"/>
          <w:sz w:val="24"/>
        </w:rPr>
        <w:t>u veřejných zakázek</w:t>
      </w:r>
      <w:r w:rsidR="00AA51C1">
        <w:rPr>
          <w:snapToGrid w:val="0"/>
          <w:sz w:val="24"/>
        </w:rPr>
        <w:t>)</w:t>
      </w:r>
      <w:r w:rsidR="00263012">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 xml:space="preserve">snížení </w:t>
      </w:r>
      <w:r w:rsidR="003A509C">
        <w:rPr>
          <w:snapToGrid w:val="0"/>
          <w:sz w:val="24"/>
        </w:rPr>
        <w:lastRenderedPageBreak/>
        <w:t>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v souvislosti s výběrovým/zadávacím řízením, u kterého se porušení pravidla vyskytlo. </w:t>
      </w:r>
      <w:r w:rsidR="00AA51C1">
        <w:rPr>
          <w:snapToGrid w:val="0"/>
          <w:sz w:val="24"/>
        </w:rPr>
        <w:t xml:space="preserve">Sazby </w:t>
      </w:r>
      <w:r w:rsidR="00A471E3">
        <w:rPr>
          <w:snapToGrid w:val="0"/>
          <w:sz w:val="24"/>
        </w:rPr>
        <w:t xml:space="preserve">finančních oprav </w:t>
      </w:r>
      <w:r w:rsidRPr="00B7116E">
        <w:rPr>
          <w:snapToGrid w:val="0"/>
          <w:sz w:val="24"/>
        </w:rPr>
        <w:t>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Default="003E1334" w:rsidP="0039765B">
      <w:pPr>
        <w:pStyle w:val="Zkladntext"/>
        <w:spacing w:after="240"/>
        <w:jc w:val="both"/>
        <w:rPr>
          <w:szCs w:val="24"/>
        </w:rPr>
      </w:pPr>
    </w:p>
    <w:p w:rsidR="000A1981" w:rsidRDefault="000A1981" w:rsidP="0039765B">
      <w:pPr>
        <w:pStyle w:val="Zkladntext"/>
        <w:spacing w:after="240"/>
        <w:jc w:val="both"/>
        <w:rPr>
          <w:szCs w:val="24"/>
        </w:rPr>
      </w:pPr>
    </w:p>
    <w:p w:rsidR="000A1981" w:rsidRPr="00C83126" w:rsidRDefault="000A1981" w:rsidP="0039765B">
      <w:pPr>
        <w:pStyle w:val="Zkladntext"/>
        <w:spacing w:after="240"/>
        <w:jc w:val="both"/>
        <w:rPr>
          <w:szCs w:val="24"/>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lastRenderedPageBreak/>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 xml:space="preserve">Předmět zakázky je v zadávacích podmínkách vymezen příliš konkrétně, tak že není zajištěn rovný přístup k jednotlivým </w:t>
            </w:r>
            <w:r w:rsidRPr="00C83126">
              <w:rPr>
                <w:lang w:eastAsia="ar-SA"/>
              </w:rPr>
              <w:lastRenderedPageBreak/>
              <w:t>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100 %</w:t>
            </w:r>
          </w:p>
        </w:tc>
      </w:tr>
    </w:tbl>
    <w:p w:rsidR="003E1334" w:rsidRPr="00C83126" w:rsidRDefault="003E1334" w:rsidP="003E1334">
      <w:pPr>
        <w:suppressAutoHyphens/>
        <w:spacing w:after="240"/>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805A6B">
            <w:pPr>
              <w:pStyle w:val="Mjstyl3"/>
              <w:numPr>
                <w:ilvl w:val="0"/>
                <w:numId w:val="0"/>
              </w:numPr>
              <w:tabs>
                <w:tab w:val="left" w:pos="708"/>
              </w:tabs>
              <w:spacing w:before="0"/>
              <w:ind w:left="357" w:hanging="357"/>
              <w:rPr>
                <w:rFonts w:ascii="Times New Roman" w:hAnsi="Times New Roman" w:cs="Times New Roman"/>
                <w:sz w:val="20"/>
                <w:szCs w:val="20"/>
              </w:rPr>
            </w:pPr>
            <w:bookmarkStart w:id="2" w:name="_Toc323899562"/>
            <w:bookmarkStart w:id="3" w:name="_Toc323819405"/>
            <w:bookmarkStart w:id="4" w:name="_Toc320285902"/>
            <w:bookmarkStart w:id="5" w:name="_Toc320281397"/>
            <w:bookmarkStart w:id="6" w:name="_Toc320280108"/>
            <w:bookmarkStart w:id="7"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20% ceny u zakázek v režimu zákona.</w:t>
            </w:r>
            <w:bookmarkEnd w:id="2"/>
            <w:bookmarkEnd w:id="3"/>
            <w:bookmarkEnd w:id="4"/>
            <w:bookmarkEnd w:id="5"/>
            <w:bookmarkEnd w:id="6"/>
            <w:bookmarkEnd w:id="7"/>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Pr>
                <w:color w:val="222222"/>
              </w:rPr>
              <w:t>20%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9F695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20%</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F75852">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20% ceny původní zakázky u</w:t>
            </w:r>
            <w:r w:rsidR="00F75852">
              <w:rPr>
                <w:color w:val="222222"/>
              </w:rPr>
              <w:t> </w:t>
            </w:r>
            <w:r>
              <w:rPr>
                <w:color w:val="222222"/>
              </w:rPr>
              <w:t>zakázek v režimu zákona.</w:t>
            </w:r>
            <w:r w:rsidRPr="00C83126">
              <w:rPr>
                <w:lang w:eastAsia="ar-SA"/>
              </w:rPr>
              <w:t xml:space="preserve"> </w:t>
            </w:r>
          </w:p>
        </w:tc>
      </w:tr>
    </w:tbl>
    <w:p w:rsidR="003E1334" w:rsidRDefault="003E1334" w:rsidP="003E1334">
      <w:pPr>
        <w:pStyle w:val="Zkladntext"/>
        <w:spacing w:after="240"/>
        <w:ind w:left="720"/>
        <w:rPr>
          <w:sz w:val="20"/>
        </w:rPr>
      </w:pPr>
    </w:p>
    <w:p w:rsidR="00656FEE" w:rsidRPr="00C83126" w:rsidRDefault="00656FEE" w:rsidP="003E1334">
      <w:pPr>
        <w:pStyle w:val="Zkladntext"/>
        <w:spacing w:after="240"/>
        <w:ind w:left="720"/>
        <w:rPr>
          <w:sz w:val="20"/>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v rozmezí 90 % včetně – 105 % včetně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 nad 105</w:t>
      </w:r>
      <w:r>
        <w:rPr>
          <w:snapToGrid w:val="0"/>
          <w:sz w:val="24"/>
        </w:rPr>
        <w:t xml:space="preserve"> </w:t>
      </w:r>
      <w:r w:rsidRPr="007C2254">
        <w:rPr>
          <w:snapToGrid w:val="0"/>
          <w:sz w:val="24"/>
        </w:rPr>
        <w:t xml:space="preserve">% </w:t>
      </w:r>
      <w:r>
        <w:rPr>
          <w:snapToGrid w:val="0"/>
          <w:sz w:val="24"/>
        </w:rPr>
        <w:t>ne</w:t>
      </w:r>
      <w:r w:rsidRPr="007C2254">
        <w:rPr>
          <w:snapToGrid w:val="0"/>
          <w:sz w:val="24"/>
        </w:rPr>
        <w:t xml:space="preserve">bude požadovaná částka </w:t>
      </w:r>
      <w:r>
        <w:rPr>
          <w:snapToGrid w:val="0"/>
          <w:sz w:val="24"/>
        </w:rPr>
        <w:t>vyplacena</w:t>
      </w:r>
      <w:r w:rsidRPr="007C2254">
        <w:rPr>
          <w:snapToGrid w:val="0"/>
          <w:sz w:val="24"/>
        </w:rPr>
        <w:t xml:space="preserve"> dle míry přeplnění;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7544E1" w:rsidRDefault="007544E1">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w:t>
      </w:r>
      <w:r w:rsidRPr="007B1CD8">
        <w:rPr>
          <w:snapToGrid w:val="0"/>
          <w:sz w:val="24"/>
        </w:rPr>
        <w:t xml:space="preserve">Metodiky </w:t>
      </w:r>
      <w:r>
        <w:rPr>
          <w:snapToGrid w:val="0"/>
          <w:sz w:val="24"/>
        </w:rPr>
        <w:t>odňata část</w:t>
      </w:r>
      <w:r w:rsidRPr="000A59D3">
        <w:rPr>
          <w:snapToGrid w:val="0"/>
          <w:sz w:val="24"/>
        </w:rPr>
        <w:t xml:space="preserve"> požadované částky odpo</w:t>
      </w:r>
      <w:r w:rsidRPr="00A1237C">
        <w:rPr>
          <w:snapToGrid w:val="0"/>
          <w:sz w:val="24"/>
        </w:rPr>
        <w:t>vídající výši výdajů vynaložených na daného zaměstnance v souvislosti s jeho finančním ohodnocením.</w:t>
      </w:r>
      <w:r>
        <w:rPr>
          <w:snapToGrid w:val="0"/>
          <w:sz w:val="24"/>
        </w:rPr>
        <w:t xml:space="preserve"> </w:t>
      </w:r>
    </w:p>
    <w:p w:rsidR="007544E1" w:rsidRDefault="007544E1" w:rsidP="00D94F22">
      <w:pPr>
        <w:numPr>
          <w:ilvl w:val="0"/>
          <w:numId w:val="14"/>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7544E1" w:rsidRDefault="007544E1"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pěti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mana Karešová" w:date="2014-06-06T14:30:00Z" w:initials="R.K.">
    <w:p w:rsidR="00457B52" w:rsidRDefault="00457B52">
      <w:pPr>
        <w:pStyle w:val="Textkomente"/>
      </w:pPr>
      <w:r>
        <w:rPr>
          <w:rStyle w:val="Odkaznakoment"/>
        </w:rPr>
        <w:annotationRef/>
      </w:r>
    </w:p>
    <w:p w:rsidR="00457B52" w:rsidRDefault="00457B52">
      <w:pPr>
        <w:pStyle w:val="Textkomente"/>
      </w:pPr>
      <w:r>
        <w:t>V případě, že příjemcem je ŘO OPTP, informace se předkládají  FÚ1.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14:anchorId="21AEEF7A" wp14:editId="4F25E367">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213923">
      <w:rPr>
        <w:noProof/>
        <w:snapToGrid w:val="0"/>
        <w:sz w:val="22"/>
        <w:szCs w:val="22"/>
      </w:rPr>
      <w:t>3</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213923">
      <w:rPr>
        <w:noProof/>
        <w:snapToGrid w:val="0"/>
        <w:sz w:val="22"/>
        <w:szCs w:val="22"/>
      </w:rPr>
      <w:t>11</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AB7913" w:rsidRDefault="00AB7913" w:rsidP="00E706B4">
      <w:pPr>
        <w:pStyle w:val="Textpoznpodarou"/>
        <w:jc w:val="both"/>
      </w:pPr>
      <w:r>
        <w:rPr>
          <w:rStyle w:val="Znakapoznpodarou"/>
        </w:rPr>
        <w:footnoteRef/>
      </w:r>
      <w:r>
        <w:t xml:space="preserve"> Podle ustanovení § 44 odst. 2 písm. f</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w:t>
      </w:r>
    </w:p>
  </w:footnote>
  <w:footnote w:id="4">
    <w:p w:rsidR="00AB7913" w:rsidRDefault="00AB7913"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6.</w:t>
      </w:r>
      <w:r w:rsidR="00F260B7">
        <w:t xml:space="preserve"> </w:t>
      </w:r>
      <w:r>
        <w:t xml:space="preserve">2014 </w:t>
      </w:r>
      <w:r w:rsidRPr="00491989">
        <w:t>a je vztažena k</w:t>
      </w:r>
      <w:r>
        <w:t xml:space="preserve"> řídícím dokumentům a právním aktům o poskytnutí podpory, které byly vydány </w:t>
      </w:r>
      <w:r w:rsidRPr="00491989">
        <w:t>po tomto datu</w:t>
      </w:r>
      <w:r>
        <w:t>.</w:t>
      </w:r>
    </w:p>
    <w:p w:rsidR="00AB7913" w:rsidRDefault="00AB7913" w:rsidP="00142401">
      <w:pPr>
        <w:pStyle w:val="Textpoznpodarou"/>
        <w:jc w:val="both"/>
      </w:pPr>
    </w:p>
  </w:footnote>
  <w:footnote w:id="5">
    <w:p w:rsidR="00AB7913" w:rsidRDefault="00AB7913"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AB7913" w:rsidRDefault="00AB7913" w:rsidP="005F4F75">
      <w:pPr>
        <w:pStyle w:val="Textkomen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8"/>
  </w:num>
  <w:num w:numId="3">
    <w:abstractNumId w:val="11"/>
  </w:num>
  <w:num w:numId="4">
    <w:abstractNumId w:val="30"/>
  </w:num>
  <w:num w:numId="5">
    <w:abstractNumId w:val="22"/>
  </w:num>
  <w:num w:numId="6">
    <w:abstractNumId w:val="13"/>
  </w:num>
  <w:num w:numId="7">
    <w:abstractNumId w:val="31"/>
  </w:num>
  <w:num w:numId="8">
    <w:abstractNumId w:val="10"/>
  </w:num>
  <w:num w:numId="9">
    <w:abstractNumId w:val="5"/>
  </w:num>
  <w:num w:numId="10">
    <w:abstractNumId w:val="20"/>
  </w:num>
  <w:num w:numId="11">
    <w:abstractNumId w:val="2"/>
  </w:num>
  <w:num w:numId="12">
    <w:abstractNumId w:val="19"/>
  </w:num>
  <w:num w:numId="13">
    <w:abstractNumId w:val="32"/>
  </w:num>
  <w:num w:numId="14">
    <w:abstractNumId w:val="7"/>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DF9"/>
    <w:rsid w:val="00477252"/>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0EA1"/>
    <w:rsid w:val="00572ED2"/>
    <w:rsid w:val="00573400"/>
    <w:rsid w:val="00576B6D"/>
    <w:rsid w:val="00580192"/>
    <w:rsid w:val="005817F8"/>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4CE0"/>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416E"/>
    <w:rsid w:val="006441CB"/>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281"/>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FFE"/>
    <w:rsid w:val="007E7826"/>
    <w:rsid w:val="007E7835"/>
    <w:rsid w:val="007F01C6"/>
    <w:rsid w:val="007F0FAB"/>
    <w:rsid w:val="007F273F"/>
    <w:rsid w:val="007F2D4A"/>
    <w:rsid w:val="007F3564"/>
    <w:rsid w:val="007F40B8"/>
    <w:rsid w:val="008006EC"/>
    <w:rsid w:val="00800CE4"/>
    <w:rsid w:val="00802EA0"/>
    <w:rsid w:val="00802F41"/>
    <w:rsid w:val="00805476"/>
    <w:rsid w:val="00805A6B"/>
    <w:rsid w:val="00810127"/>
    <w:rsid w:val="00810A08"/>
    <w:rsid w:val="00811040"/>
    <w:rsid w:val="00813A3B"/>
    <w:rsid w:val="0081757C"/>
    <w:rsid w:val="00820AA7"/>
    <w:rsid w:val="008215F7"/>
    <w:rsid w:val="00821B7A"/>
    <w:rsid w:val="0082370B"/>
    <w:rsid w:val="00823809"/>
    <w:rsid w:val="00825A01"/>
    <w:rsid w:val="008266FE"/>
    <w:rsid w:val="00826F47"/>
    <w:rsid w:val="00833EAC"/>
    <w:rsid w:val="00835CEA"/>
    <w:rsid w:val="00835D37"/>
    <w:rsid w:val="008409A7"/>
    <w:rsid w:val="00842612"/>
    <w:rsid w:val="008438D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861"/>
    <w:rsid w:val="009669DD"/>
    <w:rsid w:val="00967A6F"/>
    <w:rsid w:val="00967CE4"/>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F22D2"/>
    <w:rsid w:val="009F2EF9"/>
    <w:rsid w:val="009F345A"/>
    <w:rsid w:val="009F6953"/>
    <w:rsid w:val="00A00A86"/>
    <w:rsid w:val="00A016D1"/>
    <w:rsid w:val="00A01758"/>
    <w:rsid w:val="00A04159"/>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6C72"/>
    <w:rsid w:val="00A37079"/>
    <w:rsid w:val="00A409C7"/>
    <w:rsid w:val="00A41FA6"/>
    <w:rsid w:val="00A4449A"/>
    <w:rsid w:val="00A448F1"/>
    <w:rsid w:val="00A45B5C"/>
    <w:rsid w:val="00A46A05"/>
    <w:rsid w:val="00A471A5"/>
    <w:rsid w:val="00A471E3"/>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E25"/>
    <w:rsid w:val="00AC17AF"/>
    <w:rsid w:val="00AC18BA"/>
    <w:rsid w:val="00AC2359"/>
    <w:rsid w:val="00AC62AD"/>
    <w:rsid w:val="00AC6CF4"/>
    <w:rsid w:val="00AD09E8"/>
    <w:rsid w:val="00AD1713"/>
    <w:rsid w:val="00AD1B78"/>
    <w:rsid w:val="00AD2561"/>
    <w:rsid w:val="00AD4A8B"/>
    <w:rsid w:val="00AE012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1669"/>
    <w:rsid w:val="00C24555"/>
    <w:rsid w:val="00C301ED"/>
    <w:rsid w:val="00C3055F"/>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602E"/>
    <w:rsid w:val="00CD6AEE"/>
    <w:rsid w:val="00CD6D05"/>
    <w:rsid w:val="00CE05A5"/>
    <w:rsid w:val="00CE06D3"/>
    <w:rsid w:val="00CE1624"/>
    <w:rsid w:val="00CE4277"/>
    <w:rsid w:val="00CE5639"/>
    <w:rsid w:val="00CF11A1"/>
    <w:rsid w:val="00CF5029"/>
    <w:rsid w:val="00CF5130"/>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DC3C-1B16-40D2-B28C-8D1AB2C2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3727</Words>
  <Characters>22093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17</cp:revision>
  <cp:lastPrinted>2014-05-26T16:32:00Z</cp:lastPrinted>
  <dcterms:created xsi:type="dcterms:W3CDTF">2014-06-03T13:20:00Z</dcterms:created>
  <dcterms:modified xsi:type="dcterms:W3CDTF">2014-06-06T14:48:00Z</dcterms:modified>
</cp:coreProperties>
</file>