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CC6940">
      <w:pPr>
        <w:ind w:left="708" w:firstLine="708"/>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713EA"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Pr="007F7016" w:rsidRDefault="00C965B9" w:rsidP="006A654C">
      <w:pPr>
        <w:rPr>
          <w:b/>
          <w:sz w:val="28"/>
          <w:szCs w:val="28"/>
        </w:rPr>
      </w:pPr>
      <w:r w:rsidRPr="007E52C1">
        <w:rPr>
          <w:b/>
          <w:sz w:val="28"/>
          <w:szCs w:val="28"/>
        </w:rPr>
        <w:t xml:space="preserve">Vydání </w:t>
      </w:r>
      <w:r w:rsidR="00C72038">
        <w:rPr>
          <w:b/>
          <w:sz w:val="28"/>
          <w:szCs w:val="28"/>
        </w:rPr>
        <w:t>8/</w:t>
      </w:r>
      <w:r w:rsidR="005C2FCB">
        <w:rPr>
          <w:b/>
          <w:sz w:val="28"/>
          <w:szCs w:val="28"/>
        </w:rPr>
        <w:t>3</w:t>
      </w:r>
      <w:r>
        <w:rPr>
          <w:b/>
          <w:sz w:val="28"/>
          <w:szCs w:val="28"/>
        </w:rPr>
        <w:t xml:space="preserve">, platnost </w:t>
      </w:r>
      <w:r w:rsidR="005C2FCB">
        <w:rPr>
          <w:b/>
          <w:sz w:val="28"/>
          <w:szCs w:val="28"/>
        </w:rPr>
        <w:t>28</w:t>
      </w:r>
      <w:r w:rsidR="005B76C9" w:rsidRPr="007F7016">
        <w:rPr>
          <w:b/>
          <w:sz w:val="28"/>
          <w:szCs w:val="28"/>
        </w:rPr>
        <w:t xml:space="preserve">. </w:t>
      </w:r>
      <w:r w:rsidR="005C2FCB">
        <w:rPr>
          <w:b/>
          <w:sz w:val="28"/>
          <w:szCs w:val="28"/>
        </w:rPr>
        <w:t>8</w:t>
      </w:r>
      <w:r w:rsidR="005B76C9" w:rsidRPr="007F7016">
        <w:rPr>
          <w:b/>
          <w:sz w:val="28"/>
          <w:szCs w:val="28"/>
        </w:rPr>
        <w:t>. 201</w:t>
      </w:r>
      <w:r w:rsidR="007F7016">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7E52C1" w:rsidRPr="007F7016">
        <w:rPr>
          <w:b/>
          <w:sz w:val="28"/>
          <w:szCs w:val="28"/>
        </w:rPr>
        <w:t>1</w:t>
      </w:r>
      <w:r w:rsidRPr="007F7016">
        <w:rPr>
          <w:b/>
          <w:sz w:val="28"/>
          <w:szCs w:val="28"/>
        </w:rPr>
        <w:t xml:space="preserve">. </w:t>
      </w:r>
      <w:r w:rsidR="005C2FCB">
        <w:rPr>
          <w:b/>
          <w:sz w:val="28"/>
          <w:szCs w:val="28"/>
        </w:rPr>
        <w:t>9</w:t>
      </w:r>
      <w:r w:rsidRPr="007F7016">
        <w:rPr>
          <w:b/>
          <w:sz w:val="28"/>
          <w:szCs w:val="28"/>
        </w:rPr>
        <w:t>. 201</w:t>
      </w:r>
      <w:r w:rsidR="007F7016">
        <w:rPr>
          <w:b/>
          <w:sz w:val="28"/>
          <w:szCs w:val="28"/>
        </w:rPr>
        <w:t>4</w:t>
      </w: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052C89F0" wp14:editId="18B46840">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14:anchorId="5C100B3B" wp14:editId="6E8BC82C">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gramStart"/>
      <w:r>
        <w:rPr>
          <w:bCs/>
        </w:rPr>
        <w:t>č.j.</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D03B21" w:rsidRDefault="00C965B9" w:rsidP="00D03B21">
      <w:pPr>
        <w:pStyle w:val="Zkladntext3"/>
        <w:numPr>
          <w:ilvl w:val="0"/>
          <w:numId w:val="27"/>
        </w:numPr>
        <w:tabs>
          <w:tab w:val="num" w:pos="786"/>
        </w:tabs>
        <w:snapToGrid w:val="0"/>
        <w:spacing w:after="120"/>
        <w:ind w:left="786"/>
        <w:rPr>
          <w:bCs/>
        </w:rPr>
      </w:pPr>
      <w:r>
        <w:rPr>
          <w:bCs/>
          <w:szCs w:val="24"/>
        </w:rPr>
        <w:t xml:space="preserve"> </w:t>
      </w:r>
      <w:r w:rsidRPr="00D03B21">
        <w:rPr>
          <w:bCs/>
        </w:rPr>
        <w:t xml:space="preserve">Administraci projektu provádí Řídící orgán Operačního programu Technická pomoc (dále jen „ŘO OPTP“). Pro potřeby realizace tohoto projektu je kontaktním místem pro příjemce: Ministerstvo pro místní rozvoj, odbor ŘO OPTP, Staroměstské náměstí 6, 110 15 Praha 1. </w:t>
      </w:r>
    </w:p>
    <w:p w:rsidR="00C965B9" w:rsidRDefault="00C965B9"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D03B21" w:rsidRPr="00353D6E" w:rsidRDefault="00D03B21" w:rsidP="004207D3">
      <w:pPr>
        <w:pStyle w:val="Zkladntext3"/>
        <w:snapToGrid w:val="0"/>
        <w:spacing w:after="120"/>
        <w:ind w:left="786"/>
        <w:rPr>
          <w:bCs/>
        </w:rPr>
      </w:pPr>
    </w:p>
    <w:p w:rsidR="00C965B9" w:rsidRPr="00B23BC3" w:rsidRDefault="00C965B9" w:rsidP="004207D3"/>
    <w:p w:rsidR="00C965B9" w:rsidRPr="00964654" w:rsidRDefault="00C965B9" w:rsidP="004207D3">
      <w:pPr>
        <w:pStyle w:val="Nadpis3"/>
        <w:spacing w:after="120"/>
        <w:rPr>
          <w:i/>
        </w:rPr>
      </w:pPr>
      <w:r w:rsidRPr="00964654">
        <w:rPr>
          <w:i/>
        </w:rPr>
        <w:lastRenderedPageBreak/>
        <w:t>Část II</w:t>
      </w:r>
    </w:p>
    <w:p w:rsidR="00C965B9" w:rsidRDefault="00C965B9" w:rsidP="000C35EC">
      <w:pPr>
        <w:widowControl w:val="0"/>
        <w:tabs>
          <w:tab w:val="left" w:pos="708"/>
        </w:tabs>
        <w:spacing w:after="120"/>
        <w:jc w:val="center"/>
        <w:rPr>
          <w:b/>
          <w:snapToGrid w:val="0"/>
          <w:sz w:val="24"/>
        </w:rPr>
      </w:pPr>
      <w:r w:rsidRPr="00964654">
        <w:rPr>
          <w:b/>
          <w:i/>
          <w:snapToGrid w:val="0"/>
          <w:sz w:val="24"/>
        </w:rPr>
        <w:t>Finanční rámec</w:t>
      </w: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4207D3">
      <w:pPr>
        <w:widowControl w:val="0"/>
        <w:numPr>
          <w:ilvl w:val="0"/>
          <w:numId w:val="3"/>
        </w:numPr>
        <w:spacing w:after="120"/>
        <w:ind w:right="180"/>
        <w:rPr>
          <w:snapToGrid w:val="0"/>
          <w:sz w:val="24"/>
          <w:szCs w:val="24"/>
        </w:rPr>
      </w:pPr>
      <w:r>
        <w:rPr>
          <w:snapToGrid w:val="0"/>
          <w:sz w:val="24"/>
          <w:szCs w:val="24"/>
        </w:rPr>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4207D3">
            <w:pPr>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4207D3">
            <w:pPr>
              <w:widowControl w:val="0"/>
              <w:jc w:val="center"/>
              <w:rPr>
                <w:b/>
                <w:snapToGrid w:val="0"/>
                <w:sz w:val="24"/>
                <w:szCs w:val="24"/>
              </w:rPr>
            </w:pPr>
            <w:r>
              <w:rPr>
                <w:b/>
                <w:snapToGrid w:val="0"/>
                <w:sz w:val="24"/>
                <w:szCs w:val="24"/>
              </w:rPr>
              <w:t>Částka v Kč</w:t>
            </w:r>
          </w:p>
        </w:tc>
        <w:tc>
          <w:tcPr>
            <w:tcW w:w="2340" w:type="dxa"/>
          </w:tcPr>
          <w:p w:rsidR="00C965B9" w:rsidRDefault="00C965B9" w:rsidP="004207D3">
            <w:pPr>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4207D3">
            <w:pPr>
              <w:widowControl w:val="0"/>
              <w:rPr>
                <w:snapToGrid w:val="0"/>
                <w:sz w:val="24"/>
                <w:szCs w:val="24"/>
              </w:rPr>
            </w:pPr>
            <w:r>
              <w:rPr>
                <w:snapToGrid w:val="0"/>
                <w:sz w:val="24"/>
                <w:szCs w:val="24"/>
              </w:rPr>
              <w:t>Dotace ze  strukturálního fondu Evropský fond pro regionální rozvoj</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w:t>
      </w:r>
      <w:r w:rsidR="00D405C3">
        <w:rPr>
          <w:b/>
          <w:snapToGrid w:val="0"/>
          <w:sz w:val="24"/>
          <w:szCs w:val="24"/>
        </w:rPr>
        <w:t>EDS/SMVS</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9A12EB">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 xml:space="preserve">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sidR="00F84DDD">
        <w:rPr>
          <w:snapToGrid w:val="0"/>
          <w:sz w:val="24"/>
        </w:rPr>
        <w:t xml:space="preserve"> OPTP</w:t>
      </w:r>
      <w:r w:rsidRPr="00795BC8">
        <w:rPr>
          <w:snapToGrid w:val="0"/>
          <w:sz w:val="24"/>
        </w:rPr>
        <w:t xml:space="preserve"> všechny změny a</w:t>
      </w:r>
      <w:r w:rsidR="00BC7BC3">
        <w:rPr>
          <w:snapToGrid w:val="0"/>
          <w:sz w:val="24"/>
        </w:rPr>
        <w:t> </w:t>
      </w:r>
      <w:r w:rsidRPr="00795BC8">
        <w:rPr>
          <w:snapToGrid w:val="0"/>
          <w:sz w:val="24"/>
        </w:rPr>
        <w:t xml:space="preserve">skutečnosti, které mají vliv na plnění Rozhodnutí a Podmínek, nebo skutečnosti s tím související. </w:t>
      </w:r>
      <w:r w:rsidR="00E55165">
        <w:rPr>
          <w:snapToGrid w:val="0"/>
          <w:sz w:val="24"/>
        </w:rPr>
        <w:t xml:space="preserve">Změna </w:t>
      </w:r>
      <w:r w:rsidRPr="00795BC8">
        <w:rPr>
          <w:snapToGrid w:val="0"/>
          <w:sz w:val="24"/>
        </w:rPr>
        <w:t>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w:t>
      </w:r>
      <w:r w:rsidR="00BD3621">
        <w:rPr>
          <w:snapToGrid w:val="0"/>
          <w:sz w:val="24"/>
          <w:szCs w:val="24"/>
        </w:rPr>
        <w:t>etapové monitorovací zprávy</w:t>
      </w:r>
      <w:r w:rsidRPr="00DC45B8">
        <w:rPr>
          <w:snapToGrid w:val="0"/>
          <w:sz w:val="24"/>
          <w:szCs w:val="24"/>
        </w:rPr>
        <w:t>.</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B07ABD">
        <w:rPr>
          <w:szCs w:val="24"/>
        </w:rPr>
        <w:t> </w:t>
      </w:r>
      <w:r w:rsidRPr="00795BC8">
        <w:rPr>
          <w:szCs w:val="24"/>
        </w:rPr>
        <w:t xml:space="preserve">pracovních dnů od ukončení </w:t>
      </w:r>
      <w:r>
        <w:rPr>
          <w:szCs w:val="24"/>
        </w:rPr>
        <w:t>etapy projektu resp. 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BD3621">
        <w:rPr>
          <w:b/>
          <w:szCs w:val="24"/>
        </w:rPr>
        <w:t xml:space="preserve"> </w:t>
      </w:r>
      <w:r>
        <w:rPr>
          <w:szCs w:val="24"/>
        </w:rPr>
        <w:t xml:space="preserve">Lhůta 20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w:t>
      </w:r>
      <w:r w:rsidR="0076137E" w:rsidRPr="00EB6E67">
        <w:rPr>
          <w:sz w:val="24"/>
          <w:szCs w:val="24"/>
        </w:rPr>
        <w:t>Metodického pokynu k rozvoji lidských zdrojů v programovém období let 2014 až 2020 a v programovém období 2007 až 2013 schváleným usnesením vlády č. 444 ze dne 16. 6. 2014</w:t>
      </w:r>
      <w:r w:rsidR="0076137E">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 v souvislosti s vý</w:t>
      </w:r>
      <w:r w:rsidR="007A233D">
        <w:rPr>
          <w:snapToGrid w:val="0"/>
          <w:sz w:val="24"/>
        </w:rPr>
        <w:t>běrovým</w:t>
      </w:r>
      <w:r w:rsidR="008D5F3A">
        <w:rPr>
          <w:snapToGrid w:val="0"/>
          <w:sz w:val="24"/>
        </w:rPr>
        <w:t>/zadávacím řízením, u</w:t>
      </w:r>
      <w:r w:rsidR="009A12EB">
        <w:rPr>
          <w:snapToGrid w:val="0"/>
          <w:sz w:val="24"/>
        </w:rPr>
        <w:t> </w:t>
      </w:r>
      <w:r w:rsidR="008D5F3A">
        <w:rPr>
          <w:snapToGrid w:val="0"/>
          <w:sz w:val="24"/>
        </w:rPr>
        <w:t xml:space="preserve">kterého se porušení pravidla vyskytlo. Sazby finančních oprav </w:t>
      </w:r>
      <w:r>
        <w:rPr>
          <w:snapToGrid w:val="0"/>
          <w:sz w:val="24"/>
        </w:rPr>
        <w:t>a fixně stanovené sankce jsou 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6"/>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9E4C44" w:rsidRDefault="009E4C44" w:rsidP="001878E7">
      <w:pPr>
        <w:suppressAutoHyphens/>
        <w:rPr>
          <w:lang w:eastAsia="ar-SA"/>
        </w:rPr>
      </w:pPr>
    </w:p>
    <w:p w:rsidR="00A56A73" w:rsidRDefault="00A56A73" w:rsidP="001878E7">
      <w:pPr>
        <w:suppressAutoHyphens/>
        <w:rPr>
          <w:lang w:eastAsia="ar-SA"/>
        </w:rPr>
      </w:pPr>
    </w:p>
    <w:p w:rsidR="00A56A73" w:rsidRDefault="00A56A73" w:rsidP="001878E7">
      <w:pPr>
        <w:suppressAutoHyphens/>
        <w:rPr>
          <w:lang w:eastAsia="ar-SA"/>
        </w:rPr>
      </w:pPr>
    </w:p>
    <w:p w:rsidR="00A56A73" w:rsidRDefault="00A56A73" w:rsidP="001878E7">
      <w:pPr>
        <w:suppressAutoHyphens/>
        <w:rPr>
          <w:lang w:eastAsia="ar-SA"/>
        </w:rPr>
      </w:pPr>
    </w:p>
    <w:p w:rsidR="00A56A73" w:rsidRPr="00C83126" w:rsidRDefault="00A56A73" w:rsidP="001878E7">
      <w:pPr>
        <w:suppressAutoHyphens/>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100 %</w:t>
            </w:r>
          </w:p>
        </w:tc>
      </w:tr>
    </w:tbl>
    <w:p w:rsidR="001878E7" w:rsidRPr="00C83126" w:rsidRDefault="001878E7" w:rsidP="001878E7">
      <w:pPr>
        <w:suppressAutoHyphens/>
        <w:spacing w:after="240"/>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FB3BA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20%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20%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A61988">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20%</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B3BA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20%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1878E7" w:rsidRPr="007E3B48" w:rsidRDefault="001878E7"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při přeplnění plánované hodnoty indikátorů</w:t>
      </w:r>
      <w:r w:rsidR="009E6361">
        <w:rPr>
          <w:snapToGrid w:val="0"/>
          <w:sz w:val="24"/>
        </w:rPr>
        <w:t>, tj.</w:t>
      </w:r>
      <w:r>
        <w:rPr>
          <w:snapToGrid w:val="0"/>
          <w:sz w:val="24"/>
        </w:rPr>
        <w:t xml:space="preserve"> nad 10</w:t>
      </w:r>
      <w:r w:rsidR="00B57E8C">
        <w:rPr>
          <w:snapToGrid w:val="0"/>
          <w:sz w:val="24"/>
        </w:rPr>
        <w:t>0</w:t>
      </w:r>
      <w:r>
        <w:rPr>
          <w:snapToGrid w:val="0"/>
          <w:sz w:val="24"/>
        </w:rPr>
        <w:t xml:space="preserve"> % bude dotace vyplacena </w:t>
      </w:r>
      <w:r w:rsidR="00B57E8C">
        <w:rPr>
          <w:snapToGrid w:val="0"/>
          <w:sz w:val="24"/>
        </w:rPr>
        <w:t>v plné výši</w:t>
      </w:r>
      <w:r>
        <w:rPr>
          <w:snapToGrid w:val="0"/>
          <w:sz w:val="24"/>
        </w:rPr>
        <w:t xml:space="preserve">;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1E14C0" w:rsidRPr="00A1237C" w:rsidRDefault="001E14C0" w:rsidP="001E14C0">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Vynaložené výdaje v minulosti i v budoucnosti na daného zaměstnance jsou ze 100 % nezpůsobilé.</w:t>
      </w:r>
      <w:r w:rsidRPr="00743611">
        <w:rPr>
          <w:snapToGrid w:val="0"/>
          <w:sz w:val="24"/>
        </w:rPr>
        <w:t xml:space="preserve"> </w:t>
      </w: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Default="00C965B9" w:rsidP="009430BB">
      <w:pPr>
        <w:widowControl w:val="0"/>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vyhotoveno v</w:t>
      </w:r>
      <w:r>
        <w:rPr>
          <w:snapToGrid w:val="0"/>
          <w:sz w:val="24"/>
          <w:szCs w:val="24"/>
        </w:rPr>
        <w:t>e</w:t>
      </w:r>
      <w:r w:rsidRPr="00964654">
        <w:rPr>
          <w:snapToGrid w:val="0"/>
          <w:sz w:val="24"/>
          <w:szCs w:val="24"/>
        </w:rPr>
        <w:t> </w:t>
      </w:r>
      <w:r w:rsidR="00BF6C94">
        <w:rPr>
          <w:snapToGrid w:val="0"/>
          <w:sz w:val="24"/>
          <w:szCs w:val="24"/>
        </w:rPr>
        <w:t>třech</w:t>
      </w:r>
      <w:r w:rsidR="00BF6C94" w:rsidRPr="00964654">
        <w:rPr>
          <w:snapToGrid w:val="0"/>
          <w:sz w:val="24"/>
          <w:szCs w:val="24"/>
        </w:rPr>
        <w:t xml:space="preserve"> </w:t>
      </w:r>
      <w:r w:rsidRPr="00964654">
        <w:rPr>
          <w:snapToGrid w:val="0"/>
          <w:sz w:val="24"/>
          <w:szCs w:val="24"/>
        </w:rPr>
        <w:t>stejnopisech</w:t>
      </w:r>
      <w:r>
        <w:rPr>
          <w:snapToGrid w:val="0"/>
          <w:sz w:val="24"/>
          <w:szCs w:val="24"/>
        </w:rPr>
        <w:t xml:space="preserve">, </w:t>
      </w:r>
      <w:r w:rsidRPr="00964654">
        <w:rPr>
          <w:snapToGrid w:val="0"/>
          <w:sz w:val="24"/>
          <w:szCs w:val="24"/>
        </w:rPr>
        <w:t xml:space="preserve">z nichž každý má platnost originálu Jeden stejnopis obdrží příjemce, </w:t>
      </w:r>
      <w:r w:rsidR="00BF6C94">
        <w:rPr>
          <w:snapToGrid w:val="0"/>
          <w:sz w:val="24"/>
          <w:szCs w:val="24"/>
        </w:rPr>
        <w:t>dva</w:t>
      </w:r>
      <w:r w:rsidR="00BF6C94" w:rsidRPr="00964654">
        <w:rPr>
          <w:snapToGrid w:val="0"/>
          <w:sz w:val="24"/>
          <w:szCs w:val="24"/>
        </w:rPr>
        <w:t xml:space="preserve"> </w:t>
      </w:r>
      <w:r w:rsidRPr="00964654">
        <w:rPr>
          <w:snapToGrid w:val="0"/>
          <w:sz w:val="24"/>
          <w:szCs w:val="24"/>
        </w:rPr>
        <w:t xml:space="preserve">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3" w:rsidRDefault="00BC7BC3">
      <w:r>
        <w:separator/>
      </w:r>
    </w:p>
  </w:endnote>
  <w:endnote w:type="continuationSeparator" w:id="0">
    <w:p w:rsidR="00BC7BC3" w:rsidRDefault="00BC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Pr="00FE72D5" w:rsidRDefault="00BC7BC3" w:rsidP="00950014">
    <w:pPr>
      <w:pStyle w:val="Zpat"/>
      <w:framePr w:wrap="around" w:vAnchor="text" w:hAnchor="margin" w:xAlign="center" w:y="1"/>
      <w:rPr>
        <w:sz w:val="22"/>
        <w:szCs w:val="22"/>
      </w:rPr>
    </w:pPr>
    <w:r>
      <w:rPr>
        <w:snapToGrid w:val="0"/>
      </w:rPr>
      <w:tab/>
    </w:r>
    <w:r>
      <w:rPr>
        <w:snapToGrid w:val="0"/>
      </w:rPr>
      <w:tab/>
    </w:r>
  </w:p>
  <w:p w:rsidR="00BC7BC3" w:rsidRDefault="00BC7BC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0C35EC">
      <w:rPr>
        <w:rStyle w:val="slostrnky"/>
        <w:noProof/>
      </w:rPr>
      <w:t>11</w:t>
    </w:r>
    <w:r>
      <w:rPr>
        <w:rStyle w:val="slostrnky"/>
      </w:rPr>
      <w:fldChar w:fldCharType="end"/>
    </w:r>
  </w:p>
  <w:p w:rsidR="00BC7BC3" w:rsidRDefault="00BC7BC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3" w:rsidRDefault="00BC7BC3">
      <w:r>
        <w:separator/>
      </w:r>
    </w:p>
  </w:footnote>
  <w:footnote w:type="continuationSeparator" w:id="0">
    <w:p w:rsidR="00BC7BC3" w:rsidRDefault="00BC7BC3">
      <w:r>
        <w:continuationSeparator/>
      </w:r>
    </w:p>
  </w:footnote>
  <w:footnote w:id="1">
    <w:p w:rsidR="00BC7BC3" w:rsidRDefault="00BC7BC3"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BC7BC3" w:rsidRDefault="00BC7BC3" w:rsidP="004207D3">
      <w:pPr>
        <w:pStyle w:val="Textpoznpodarou"/>
        <w:jc w:val="both"/>
      </w:pPr>
      <w:r>
        <w:rPr>
          <w:rStyle w:val="Znakapoznpodarou"/>
        </w:rPr>
        <w:footnoteRef/>
      </w:r>
      <w:r>
        <w:t xml:space="preserve"> Podle ustanovení § 44 odst. 2 písm. </w:t>
      </w:r>
      <w:r w:rsidR="00DC75A4">
        <w:t>e</w:t>
      </w:r>
      <w:r>
        <w:t>) zákona č. 218/2000 Sb., o rozpočtových pravidlech a o změně některých zákonů (rozpočtová pravidla), ve znění pozdějších předpisů;</w:t>
      </w:r>
    </w:p>
  </w:footnote>
  <w:footnote w:id="3">
    <w:p w:rsidR="00BC7BC3" w:rsidRDefault="00BC7BC3" w:rsidP="004207D3">
      <w:pPr>
        <w:pStyle w:val="Textpoznpodarou"/>
        <w:jc w:val="both"/>
      </w:pPr>
      <w:r>
        <w:rPr>
          <w:rStyle w:val="Znakapoznpodarou"/>
        </w:rPr>
        <w:footnoteRef/>
      </w:r>
      <w:r>
        <w:t xml:space="preserve"> Podle ustanovení § 44 odst. 2 písm. </w:t>
      </w:r>
      <w:r w:rsidR="00DC75A4">
        <w:t>i</w:t>
      </w:r>
      <w:r>
        <w:t xml:space="preserve">) zákona č. 218/2000 Sb., o rozpočtových pravidlech a o změně některých zákonů (rozpočtová pravidla), ve znění pozdějších předpisů. </w:t>
      </w:r>
    </w:p>
    <w:p w:rsidR="00BC7BC3" w:rsidRDefault="00BC7BC3" w:rsidP="004207D3">
      <w:pPr>
        <w:pStyle w:val="Textpoznpodarou"/>
        <w:jc w:val="both"/>
      </w:pPr>
    </w:p>
  </w:footnote>
  <w:footnote w:id="4">
    <w:p w:rsidR="00BC7BC3" w:rsidRDefault="00BC7BC3">
      <w:pPr>
        <w:pStyle w:val="Textpoznpodarou"/>
        <w:jc w:val="both"/>
      </w:pPr>
      <w:r>
        <w:rPr>
          <w:rStyle w:val="Znakapoznpodarou"/>
        </w:rPr>
        <w:footnoteRef/>
      </w:r>
      <w:r>
        <w:t xml:space="preserve"> Účinnost aktualizovaných Závazných postupů je stanovena od 1. 6.</w:t>
      </w:r>
      <w:r w:rsidR="00BD3621">
        <w:t xml:space="preserve"> </w:t>
      </w:r>
      <w:r>
        <w:t>2014 a je vztažena k řídícím dokumentům, a</w:t>
      </w:r>
      <w:r w:rsidR="00B07ABD">
        <w:t> </w:t>
      </w:r>
      <w:r>
        <w:t>právním aktům o poskytnutí podpory, které byly vydány po tomto datu.</w:t>
      </w:r>
    </w:p>
  </w:footnote>
  <w:footnote w:id="5">
    <w:p w:rsidR="00BC7BC3" w:rsidRDefault="00BC7BC3">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BC7BC3" w:rsidRDefault="00BC7BC3">
      <w:pPr>
        <w:pStyle w:val="Textkomente"/>
        <w:jc w:val="both"/>
      </w:pPr>
    </w:p>
  </w:footnote>
  <w:footnote w:id="6">
    <w:p w:rsidR="00BC7BC3" w:rsidRDefault="00BC7BC3" w:rsidP="001878E7">
      <w:pPr>
        <w:pStyle w:val="Textpoznpodarou"/>
      </w:pPr>
      <w:r>
        <w:rPr>
          <w:rStyle w:val="Znakapoznpodarou"/>
        </w:rPr>
        <w:footnoteRef/>
      </w:r>
      <w:r>
        <w:t xml:space="preserve"> </w:t>
      </w:r>
      <w:r w:rsidRPr="001E6397">
        <w:rPr>
          <w:rFonts w:ascii="Arial" w:hAnsi="Arial" w:cs="Arial"/>
          <w:sz w:val="16"/>
          <w:szCs w:val="16"/>
        </w:rPr>
        <w:t>Za jednotlivý případ podle § 44a odst. 4 písm. b)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8">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9">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2">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4">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9"/>
  </w:num>
  <w:num w:numId="3">
    <w:abstractNumId w:val="11"/>
  </w:num>
  <w:num w:numId="4">
    <w:abstractNumId w:val="32"/>
  </w:num>
  <w:num w:numId="5">
    <w:abstractNumId w:val="24"/>
  </w:num>
  <w:num w:numId="6">
    <w:abstractNumId w:val="13"/>
  </w:num>
  <w:num w:numId="7">
    <w:abstractNumId w:val="34"/>
  </w:num>
  <w:num w:numId="8">
    <w:abstractNumId w:val="10"/>
  </w:num>
  <w:num w:numId="9">
    <w:abstractNumId w:val="5"/>
  </w:num>
  <w:num w:numId="10">
    <w:abstractNumId w:val="21"/>
  </w:num>
  <w:num w:numId="11">
    <w:abstractNumId w:val="2"/>
  </w:num>
  <w:num w:numId="12">
    <w:abstractNumId w:val="20"/>
  </w:num>
  <w:num w:numId="13">
    <w:abstractNumId w:val="37"/>
  </w:num>
  <w:num w:numId="14">
    <w:abstractNumId w:val="7"/>
  </w:num>
  <w:num w:numId="15">
    <w:abstractNumId w:val="1"/>
  </w:num>
  <w:num w:numId="16">
    <w:abstractNumId w:val="4"/>
  </w:num>
  <w:num w:numId="17">
    <w:abstractNumId w:val="39"/>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38"/>
  </w:num>
  <w:num w:numId="32">
    <w:abstractNumId w:val="29"/>
  </w:num>
  <w:num w:numId="33">
    <w:abstractNumId w:val="33"/>
  </w:num>
  <w:num w:numId="34">
    <w:abstractNumId w:val="8"/>
  </w:num>
  <w:num w:numId="35">
    <w:abstractNumId w:val="3"/>
  </w:num>
  <w:num w:numId="36">
    <w:abstractNumId w:val="27"/>
  </w:num>
  <w:num w:numId="37">
    <w:abstractNumId w:val="22"/>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8"/>
  </w:num>
  <w:num w:numId="43">
    <w:abstractNumId w:val="19"/>
  </w:num>
  <w:num w:numId="44">
    <w:abstractNumId w:val="26"/>
  </w:num>
  <w:num w:numId="45">
    <w:abstractNumId w:val="31"/>
  </w:num>
  <w:num w:numId="46">
    <w:abstractNumId w:val="1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424"/>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017"/>
    <w:rsid w:val="003F2EF6"/>
    <w:rsid w:val="003F390F"/>
    <w:rsid w:val="003F55E2"/>
    <w:rsid w:val="003F6D7A"/>
    <w:rsid w:val="00401704"/>
    <w:rsid w:val="00402300"/>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2FCB"/>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C7CB2"/>
    <w:rsid w:val="006D0786"/>
    <w:rsid w:val="006D1C3E"/>
    <w:rsid w:val="006D2E83"/>
    <w:rsid w:val="006D6D0D"/>
    <w:rsid w:val="006D71B1"/>
    <w:rsid w:val="006E0106"/>
    <w:rsid w:val="006E116A"/>
    <w:rsid w:val="006E2ED1"/>
    <w:rsid w:val="006E4DC4"/>
    <w:rsid w:val="006E54B8"/>
    <w:rsid w:val="006F1B2B"/>
    <w:rsid w:val="006F359A"/>
    <w:rsid w:val="006F3E72"/>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63E"/>
    <w:rsid w:val="00862DCB"/>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E6361"/>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56A73"/>
    <w:rsid w:val="00A60744"/>
    <w:rsid w:val="00A61988"/>
    <w:rsid w:val="00A61E80"/>
    <w:rsid w:val="00A6269C"/>
    <w:rsid w:val="00A642CC"/>
    <w:rsid w:val="00A647DA"/>
    <w:rsid w:val="00A64DED"/>
    <w:rsid w:val="00A65902"/>
    <w:rsid w:val="00A659D5"/>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5EA3"/>
    <w:rsid w:val="00AC62AD"/>
    <w:rsid w:val="00AD09E8"/>
    <w:rsid w:val="00AD1713"/>
    <w:rsid w:val="00AD1B78"/>
    <w:rsid w:val="00AD2561"/>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57E8C"/>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5A4"/>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DE5"/>
    <w:rsid w:val="00F00FE4"/>
    <w:rsid w:val="00F01705"/>
    <w:rsid w:val="00F01C28"/>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D99D-5A75-4B93-A7B4-29053F8D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4271</Words>
  <Characters>24897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Eva Karlíková</cp:lastModifiedBy>
  <cp:revision>3</cp:revision>
  <cp:lastPrinted>2012-08-28T07:34:00Z</cp:lastPrinted>
  <dcterms:created xsi:type="dcterms:W3CDTF">2014-08-26T14:36:00Z</dcterms:created>
  <dcterms:modified xsi:type="dcterms:W3CDTF">2014-08-26T14:37:00Z</dcterms:modified>
</cp:coreProperties>
</file>