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7E3BE5-7A22-41CE-B9C9-961FE1B61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</Properties>
</file>