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0E7F0" w14:textId="77777777" w:rsidR="00A55C55" w:rsidRDefault="00A55C55" w:rsidP="00765BF2">
      <w:pPr>
        <w:spacing w:after="200" w:line="276" w:lineRule="auto"/>
        <w:ind w:left="4248" w:firstLine="708"/>
        <w:rPr>
          <w:szCs w:val="22"/>
        </w:rPr>
      </w:pPr>
    </w:p>
    <w:p w14:paraId="4C7ED461" w14:textId="77777777" w:rsidR="00A55C55" w:rsidRDefault="00A55C55">
      <w:pPr>
        <w:spacing w:after="200" w:line="276" w:lineRule="auto"/>
        <w:rPr>
          <w:szCs w:val="22"/>
        </w:rPr>
      </w:pPr>
    </w:p>
    <w:p w14:paraId="38A6602F" w14:textId="77777777" w:rsidR="00A55C55" w:rsidRDefault="00A55C55">
      <w:pPr>
        <w:spacing w:after="200" w:line="276" w:lineRule="auto"/>
        <w:rPr>
          <w:szCs w:val="22"/>
        </w:rPr>
      </w:pPr>
    </w:p>
    <w:p w14:paraId="61C4C7D5" w14:textId="77777777" w:rsidR="00A55C55" w:rsidRDefault="00A55C55">
      <w:pPr>
        <w:spacing w:after="200" w:line="276" w:lineRule="auto"/>
        <w:rPr>
          <w:szCs w:val="22"/>
        </w:rPr>
      </w:pPr>
    </w:p>
    <w:p w14:paraId="553331A3" w14:textId="77777777" w:rsidR="00A55C55" w:rsidRDefault="00A55C55">
      <w:pPr>
        <w:spacing w:after="200" w:line="276" w:lineRule="auto"/>
        <w:rPr>
          <w:szCs w:val="22"/>
        </w:rPr>
      </w:pPr>
    </w:p>
    <w:p w14:paraId="28040C57" w14:textId="77777777" w:rsidR="00A55C55" w:rsidRDefault="00A55C55">
      <w:pPr>
        <w:spacing w:after="200" w:line="276" w:lineRule="auto"/>
        <w:rPr>
          <w:szCs w:val="22"/>
        </w:rPr>
      </w:pPr>
    </w:p>
    <w:p w14:paraId="3E5A1C14" w14:textId="77777777" w:rsidR="00A55C55" w:rsidRDefault="00A55C55">
      <w:pPr>
        <w:spacing w:after="200" w:line="276" w:lineRule="auto"/>
        <w:rPr>
          <w:szCs w:val="22"/>
        </w:rPr>
      </w:pPr>
    </w:p>
    <w:p w14:paraId="21F40721" w14:textId="77777777" w:rsidR="00A55C55" w:rsidRDefault="00A55C55">
      <w:pPr>
        <w:spacing w:after="200" w:line="276" w:lineRule="auto"/>
        <w:rPr>
          <w:szCs w:val="22"/>
        </w:rPr>
      </w:pPr>
    </w:p>
    <w:p w14:paraId="29C24AFE"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1DC3A920"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63BE299" w14:textId="77777777" w:rsidR="009A408A" w:rsidRPr="007F3718" w:rsidRDefault="009A408A" w:rsidP="00A55C55">
      <w:pPr>
        <w:jc w:val="center"/>
        <w:rPr>
          <w:rFonts w:cs="Arial"/>
          <w:b/>
          <w:sz w:val="44"/>
          <w:szCs w:val="44"/>
        </w:rPr>
      </w:pPr>
    </w:p>
    <w:p w14:paraId="72710DB3" w14:textId="77777777" w:rsidR="00A55C55" w:rsidRPr="007F3718" w:rsidRDefault="00A55C55" w:rsidP="00A55C55">
      <w:pPr>
        <w:jc w:val="center"/>
        <w:rPr>
          <w:rFonts w:cs="Arial"/>
          <w:b/>
          <w:sz w:val="44"/>
          <w:szCs w:val="44"/>
        </w:rPr>
      </w:pPr>
    </w:p>
    <w:p w14:paraId="7627919F" w14:textId="77777777" w:rsidR="005B695B" w:rsidRPr="007F3718" w:rsidRDefault="005B695B" w:rsidP="00A55C55">
      <w:pPr>
        <w:jc w:val="center"/>
        <w:rPr>
          <w:rFonts w:cs="Arial"/>
          <w:b/>
          <w:caps/>
          <w:sz w:val="44"/>
          <w:szCs w:val="44"/>
          <w:u w:val="single"/>
        </w:rPr>
      </w:pPr>
    </w:p>
    <w:p w14:paraId="670A7BDE"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183EDE46" w14:textId="77777777" w:rsidR="00B071B4" w:rsidRDefault="00B071B4" w:rsidP="00691ECE">
      <w:pPr>
        <w:pStyle w:val="Default"/>
        <w:jc w:val="both"/>
        <w:rPr>
          <w:sz w:val="22"/>
          <w:szCs w:val="22"/>
        </w:rPr>
      </w:pPr>
    </w:p>
    <w:p w14:paraId="3EE1E91D" w14:textId="77777777" w:rsidR="00B071B4" w:rsidRPr="00B071B4" w:rsidRDefault="00B071B4" w:rsidP="00B071B4">
      <w:pPr>
        <w:rPr>
          <w:lang w:eastAsia="en-US"/>
        </w:rPr>
      </w:pPr>
    </w:p>
    <w:p w14:paraId="7BB8D486" w14:textId="77777777" w:rsidR="00B071B4" w:rsidRPr="00B071B4" w:rsidRDefault="00B071B4" w:rsidP="00B071B4">
      <w:pPr>
        <w:rPr>
          <w:lang w:eastAsia="en-US"/>
        </w:rPr>
      </w:pPr>
    </w:p>
    <w:p w14:paraId="7CBE1475" w14:textId="77777777" w:rsidR="00B071B4" w:rsidRPr="00B071B4" w:rsidRDefault="00B071B4" w:rsidP="00B071B4">
      <w:pPr>
        <w:rPr>
          <w:lang w:eastAsia="en-US"/>
        </w:rPr>
      </w:pPr>
    </w:p>
    <w:p w14:paraId="2323CF68" w14:textId="77777777" w:rsidR="00B071B4" w:rsidRPr="00B071B4" w:rsidRDefault="00B071B4" w:rsidP="00B071B4">
      <w:pPr>
        <w:rPr>
          <w:lang w:eastAsia="en-US"/>
        </w:rPr>
      </w:pPr>
    </w:p>
    <w:p w14:paraId="2FD888D9" w14:textId="77777777" w:rsidR="00B071B4" w:rsidRPr="00B071B4" w:rsidRDefault="00B071B4" w:rsidP="00B071B4">
      <w:pPr>
        <w:rPr>
          <w:lang w:eastAsia="en-US"/>
        </w:rPr>
      </w:pPr>
    </w:p>
    <w:p w14:paraId="2106ABED" w14:textId="77777777" w:rsidR="00B071B4" w:rsidRPr="00B071B4" w:rsidRDefault="00B071B4" w:rsidP="00B071B4">
      <w:pPr>
        <w:rPr>
          <w:lang w:eastAsia="en-US"/>
        </w:rPr>
      </w:pPr>
    </w:p>
    <w:p w14:paraId="17FE5454" w14:textId="77777777" w:rsidR="00B071B4" w:rsidRPr="00B071B4" w:rsidRDefault="00B071B4" w:rsidP="00B071B4">
      <w:pPr>
        <w:rPr>
          <w:lang w:eastAsia="en-US"/>
        </w:rPr>
      </w:pPr>
    </w:p>
    <w:p w14:paraId="12F5DAF5" w14:textId="77777777" w:rsidR="00B071B4" w:rsidRPr="00B071B4" w:rsidRDefault="00B071B4" w:rsidP="00B071B4">
      <w:pPr>
        <w:rPr>
          <w:lang w:eastAsia="en-US"/>
        </w:rPr>
      </w:pPr>
    </w:p>
    <w:p w14:paraId="7CDDA492"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5DFF5E63" w14:textId="77777777" w:rsidR="00B071B4" w:rsidRPr="00B071B4" w:rsidRDefault="00B071B4" w:rsidP="00B071B4">
      <w:pPr>
        <w:rPr>
          <w:lang w:eastAsia="en-US"/>
        </w:rPr>
      </w:pPr>
    </w:p>
    <w:p w14:paraId="28D4E4CB" w14:textId="77777777" w:rsidR="00B071B4" w:rsidRDefault="00B071B4" w:rsidP="00691ECE">
      <w:pPr>
        <w:pStyle w:val="Default"/>
        <w:jc w:val="both"/>
      </w:pPr>
    </w:p>
    <w:p w14:paraId="0A59F7A5" w14:textId="77777777" w:rsidR="009A408A" w:rsidRDefault="009A408A" w:rsidP="00691ECE">
      <w:pPr>
        <w:pStyle w:val="Default"/>
        <w:jc w:val="both"/>
      </w:pPr>
    </w:p>
    <w:p w14:paraId="387E3BC0" w14:textId="77777777" w:rsidR="00B071B4" w:rsidRDefault="00B071B4" w:rsidP="00B071B4">
      <w:pPr>
        <w:pStyle w:val="Default"/>
        <w:tabs>
          <w:tab w:val="left" w:pos="5685"/>
        </w:tabs>
        <w:jc w:val="both"/>
      </w:pPr>
      <w:r>
        <w:tab/>
      </w:r>
    </w:p>
    <w:p w14:paraId="5DC7012D" w14:textId="77777777" w:rsidR="003B3EAF" w:rsidRDefault="003B3EAF" w:rsidP="009A408A">
      <w:pPr>
        <w:rPr>
          <w:b/>
          <w:sz w:val="28"/>
          <w:szCs w:val="28"/>
        </w:rPr>
      </w:pPr>
    </w:p>
    <w:p w14:paraId="3684FFAD" w14:textId="77777777" w:rsidR="003B3EAF" w:rsidRDefault="003B3EAF" w:rsidP="009A408A">
      <w:pPr>
        <w:rPr>
          <w:b/>
          <w:sz w:val="28"/>
          <w:szCs w:val="28"/>
        </w:rPr>
      </w:pPr>
    </w:p>
    <w:p w14:paraId="27517201" w14:textId="77777777" w:rsidR="003B3EAF" w:rsidRDefault="003B3EAF" w:rsidP="009A408A">
      <w:pPr>
        <w:rPr>
          <w:b/>
          <w:sz w:val="28"/>
          <w:szCs w:val="28"/>
        </w:rPr>
      </w:pPr>
    </w:p>
    <w:p w14:paraId="7A8F6840" w14:textId="77777777" w:rsidR="003B3EAF" w:rsidRDefault="003B3EAF" w:rsidP="009A408A">
      <w:pPr>
        <w:rPr>
          <w:b/>
          <w:sz w:val="28"/>
          <w:szCs w:val="28"/>
        </w:rPr>
      </w:pPr>
    </w:p>
    <w:p w14:paraId="6A9F61EC" w14:textId="3AAD5460" w:rsidR="00BA124E" w:rsidRDefault="00BA124E" w:rsidP="00BA124E">
      <w:pPr>
        <w:rPr>
          <w:b/>
          <w:sz w:val="28"/>
          <w:szCs w:val="28"/>
        </w:rPr>
      </w:pPr>
      <w:r w:rsidRPr="00973DDD">
        <w:rPr>
          <w:b/>
          <w:sz w:val="28"/>
          <w:szCs w:val="28"/>
        </w:rPr>
        <w:t xml:space="preserve">Vydání </w:t>
      </w:r>
      <w:r w:rsidR="005A60AC">
        <w:rPr>
          <w:b/>
          <w:sz w:val="28"/>
          <w:szCs w:val="28"/>
        </w:rPr>
        <w:t>2</w:t>
      </w:r>
      <w:r w:rsidRPr="00973DDD">
        <w:rPr>
          <w:b/>
          <w:sz w:val="28"/>
          <w:szCs w:val="28"/>
        </w:rPr>
        <w:t>/</w:t>
      </w:r>
      <w:r w:rsidR="006046CA">
        <w:rPr>
          <w:b/>
          <w:sz w:val="28"/>
          <w:szCs w:val="28"/>
        </w:rPr>
        <w:t>8</w:t>
      </w:r>
      <w:r w:rsidRPr="00973DDD">
        <w:rPr>
          <w:b/>
          <w:sz w:val="28"/>
          <w:szCs w:val="28"/>
        </w:rPr>
        <w:t xml:space="preserve">, </w:t>
      </w:r>
      <w:r w:rsidRPr="00587F65">
        <w:rPr>
          <w:b/>
          <w:sz w:val="28"/>
          <w:szCs w:val="28"/>
        </w:rPr>
        <w:t>platnost</w:t>
      </w:r>
      <w:r w:rsidR="00EE68AF" w:rsidRPr="00587F65">
        <w:rPr>
          <w:b/>
          <w:sz w:val="28"/>
          <w:szCs w:val="28"/>
        </w:rPr>
        <w:t xml:space="preserve"> od </w:t>
      </w:r>
      <w:r w:rsidR="00F250A9">
        <w:rPr>
          <w:b/>
          <w:sz w:val="28"/>
          <w:szCs w:val="28"/>
        </w:rPr>
        <w:t>21</w:t>
      </w:r>
      <w:r w:rsidR="00EE68AF" w:rsidRPr="004A4B43">
        <w:rPr>
          <w:b/>
          <w:sz w:val="28"/>
          <w:szCs w:val="28"/>
        </w:rPr>
        <w:t xml:space="preserve">. </w:t>
      </w:r>
      <w:r w:rsidR="004A4B43" w:rsidRPr="004A4B43">
        <w:rPr>
          <w:b/>
          <w:sz w:val="28"/>
          <w:szCs w:val="28"/>
        </w:rPr>
        <w:t>0</w:t>
      </w:r>
      <w:r w:rsidR="007A5D01" w:rsidRPr="004A4B43">
        <w:rPr>
          <w:b/>
          <w:sz w:val="28"/>
          <w:szCs w:val="28"/>
        </w:rPr>
        <w:t>1</w:t>
      </w:r>
      <w:r w:rsidR="00EE68AF" w:rsidRPr="004A4B43">
        <w:rPr>
          <w:b/>
          <w:sz w:val="28"/>
          <w:szCs w:val="28"/>
        </w:rPr>
        <w:t>. 201</w:t>
      </w:r>
      <w:r w:rsidR="004A4B43" w:rsidRPr="004A4B43">
        <w:rPr>
          <w:b/>
          <w:sz w:val="28"/>
          <w:szCs w:val="28"/>
        </w:rPr>
        <w:t>9</w:t>
      </w:r>
      <w:r w:rsidRPr="00046E53">
        <w:rPr>
          <w:b/>
          <w:sz w:val="28"/>
          <w:szCs w:val="28"/>
        </w:rPr>
        <w:t xml:space="preserve"> a účinnost od </w:t>
      </w:r>
      <w:r w:rsidR="007A5D01" w:rsidRPr="00046E53">
        <w:rPr>
          <w:b/>
          <w:sz w:val="28"/>
          <w:szCs w:val="28"/>
        </w:rPr>
        <w:t>0</w:t>
      </w:r>
      <w:r w:rsidR="00D057A7" w:rsidRPr="00046E53">
        <w:rPr>
          <w:b/>
          <w:sz w:val="28"/>
          <w:szCs w:val="28"/>
        </w:rPr>
        <w:t>1</w:t>
      </w:r>
      <w:r w:rsidRPr="00724D2F">
        <w:rPr>
          <w:b/>
          <w:sz w:val="28"/>
          <w:szCs w:val="28"/>
        </w:rPr>
        <w:t xml:space="preserve">. </w:t>
      </w:r>
      <w:r w:rsidR="00D057A7" w:rsidRPr="00164819">
        <w:rPr>
          <w:b/>
          <w:sz w:val="28"/>
          <w:szCs w:val="28"/>
        </w:rPr>
        <w:t>0</w:t>
      </w:r>
      <w:r w:rsidR="00DF7961" w:rsidRPr="004A4B43">
        <w:rPr>
          <w:b/>
          <w:sz w:val="28"/>
          <w:szCs w:val="28"/>
        </w:rPr>
        <w:t>2</w:t>
      </w:r>
      <w:r w:rsidRPr="004A4B43">
        <w:rPr>
          <w:b/>
          <w:sz w:val="28"/>
          <w:szCs w:val="28"/>
        </w:rPr>
        <w:t xml:space="preserve">. </w:t>
      </w:r>
      <w:r w:rsidR="00D057A7" w:rsidRPr="004A4B43">
        <w:rPr>
          <w:b/>
          <w:sz w:val="28"/>
          <w:szCs w:val="28"/>
        </w:rPr>
        <w:t>201</w:t>
      </w:r>
      <w:r w:rsidR="007A5D01" w:rsidRPr="004A4B43">
        <w:rPr>
          <w:b/>
          <w:sz w:val="28"/>
          <w:szCs w:val="28"/>
        </w:rPr>
        <w:t>9</w:t>
      </w:r>
    </w:p>
    <w:p w14:paraId="7F7C928B" w14:textId="77777777" w:rsidR="00BB18CB" w:rsidRDefault="00BB18CB" w:rsidP="00BA124E">
      <w:pPr>
        <w:rPr>
          <w:b/>
          <w:sz w:val="28"/>
          <w:szCs w:val="28"/>
        </w:rPr>
      </w:pPr>
    </w:p>
    <w:p w14:paraId="690EC957" w14:textId="77777777" w:rsidR="00BB18CB" w:rsidRDefault="00BB18CB" w:rsidP="00BA124E">
      <w:pPr>
        <w:rPr>
          <w:b/>
          <w:sz w:val="28"/>
          <w:szCs w:val="28"/>
        </w:rPr>
      </w:pPr>
    </w:p>
    <w:p w14:paraId="774F0FB4" w14:textId="77777777" w:rsidR="00BB18CB" w:rsidRDefault="00BB18CB" w:rsidP="00BA124E">
      <w:pPr>
        <w:rPr>
          <w:b/>
          <w:sz w:val="28"/>
          <w:szCs w:val="28"/>
        </w:rPr>
      </w:pPr>
    </w:p>
    <w:p w14:paraId="2F1A6B52" w14:textId="77777777" w:rsidR="00BB18CB" w:rsidRDefault="00BB18CB" w:rsidP="00BA124E">
      <w:pPr>
        <w:rPr>
          <w:b/>
          <w:sz w:val="28"/>
          <w:szCs w:val="28"/>
        </w:rPr>
      </w:pPr>
    </w:p>
    <w:p w14:paraId="2393F73E" w14:textId="77777777" w:rsidR="00BB18CB" w:rsidRDefault="00BB18CB" w:rsidP="00BA124E">
      <w:pPr>
        <w:rPr>
          <w:rFonts w:cs="Arial"/>
          <w:b/>
          <w:sz w:val="28"/>
          <w:szCs w:val="28"/>
        </w:rPr>
      </w:pPr>
      <w:r w:rsidRPr="007909EB">
        <w:rPr>
          <w:rFonts w:cs="Arial"/>
          <w:b/>
          <w:sz w:val="28"/>
          <w:szCs w:val="28"/>
        </w:rPr>
        <w:lastRenderedPageBreak/>
        <w:t>Obsah</w:t>
      </w:r>
    </w:p>
    <w:p w14:paraId="7E80BFD0" w14:textId="77777777" w:rsidR="00BD68A1" w:rsidRPr="007909EB" w:rsidRDefault="00BD68A1" w:rsidP="00BA124E">
      <w:pPr>
        <w:rPr>
          <w:rFonts w:cs="Arial"/>
          <w:b/>
          <w:sz w:val="28"/>
          <w:szCs w:val="28"/>
        </w:rPr>
      </w:pPr>
    </w:p>
    <w:p w14:paraId="78507914" w14:textId="4C9064FA" w:rsidR="00E57E31" w:rsidRDefault="00BB18CB">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535831498" w:history="1">
        <w:r w:rsidR="00E57E31" w:rsidRPr="00EF4E02">
          <w:rPr>
            <w:rStyle w:val="Hypertextovodkaz"/>
            <w:noProof/>
          </w:rPr>
          <w:t>1</w:t>
        </w:r>
        <w:r w:rsidR="00E57E31">
          <w:rPr>
            <w:rFonts w:eastAsiaTheme="minorEastAsia" w:cstheme="minorBidi"/>
            <w:b w:val="0"/>
            <w:bCs w:val="0"/>
            <w:caps w:val="0"/>
            <w:noProof/>
            <w:sz w:val="22"/>
            <w:szCs w:val="22"/>
          </w:rPr>
          <w:tab/>
        </w:r>
        <w:r w:rsidR="00E57E31" w:rsidRPr="00EF4E02">
          <w:rPr>
            <w:rStyle w:val="Hypertextovodkaz"/>
            <w:noProof/>
          </w:rPr>
          <w:t>Pravidla způsobilosti výdajů</w:t>
        </w:r>
        <w:r w:rsidR="00E57E31">
          <w:rPr>
            <w:noProof/>
            <w:webHidden/>
          </w:rPr>
          <w:tab/>
        </w:r>
        <w:r w:rsidR="00E57E31">
          <w:rPr>
            <w:noProof/>
            <w:webHidden/>
          </w:rPr>
          <w:fldChar w:fldCharType="begin"/>
        </w:r>
        <w:r w:rsidR="00E57E31">
          <w:rPr>
            <w:noProof/>
            <w:webHidden/>
          </w:rPr>
          <w:instrText xml:space="preserve"> PAGEREF _Toc535831498 \h </w:instrText>
        </w:r>
        <w:r w:rsidR="00E57E31">
          <w:rPr>
            <w:noProof/>
            <w:webHidden/>
          </w:rPr>
        </w:r>
        <w:r w:rsidR="00E57E31">
          <w:rPr>
            <w:noProof/>
            <w:webHidden/>
          </w:rPr>
          <w:fldChar w:fldCharType="separate"/>
        </w:r>
        <w:r w:rsidR="00E57E31">
          <w:rPr>
            <w:noProof/>
            <w:webHidden/>
          </w:rPr>
          <w:t>3</w:t>
        </w:r>
        <w:r w:rsidR="00E57E31">
          <w:rPr>
            <w:noProof/>
            <w:webHidden/>
          </w:rPr>
          <w:fldChar w:fldCharType="end"/>
        </w:r>
      </w:hyperlink>
    </w:p>
    <w:p w14:paraId="4241FDFC" w14:textId="6DF1D8FA" w:rsidR="00E57E31" w:rsidRDefault="00E57E31">
      <w:pPr>
        <w:pStyle w:val="Obsah2"/>
        <w:tabs>
          <w:tab w:val="left" w:pos="720"/>
          <w:tab w:val="right" w:leader="dot" w:pos="9060"/>
        </w:tabs>
        <w:rPr>
          <w:rFonts w:eastAsiaTheme="minorEastAsia" w:cstheme="minorBidi"/>
          <w:smallCaps w:val="0"/>
          <w:noProof/>
          <w:sz w:val="22"/>
          <w:szCs w:val="22"/>
        </w:rPr>
      </w:pPr>
      <w:hyperlink w:anchor="_Toc535831499" w:history="1">
        <w:r w:rsidRPr="00EF4E02">
          <w:rPr>
            <w:rStyle w:val="Hypertextovodkaz"/>
            <w:noProof/>
          </w:rPr>
          <w:t>1.1</w:t>
        </w:r>
        <w:r>
          <w:rPr>
            <w:rFonts w:eastAsiaTheme="minorEastAsia" w:cstheme="minorBidi"/>
            <w:smallCaps w:val="0"/>
            <w:noProof/>
            <w:sz w:val="22"/>
            <w:szCs w:val="22"/>
          </w:rPr>
          <w:tab/>
        </w:r>
        <w:r w:rsidRPr="00EF4E02">
          <w:rPr>
            <w:rStyle w:val="Hypertextovodkaz"/>
            <w:noProof/>
          </w:rPr>
          <w:t>Způsobilost výdajů</w:t>
        </w:r>
        <w:r>
          <w:rPr>
            <w:noProof/>
            <w:webHidden/>
          </w:rPr>
          <w:tab/>
        </w:r>
        <w:r>
          <w:rPr>
            <w:noProof/>
            <w:webHidden/>
          </w:rPr>
          <w:fldChar w:fldCharType="begin"/>
        </w:r>
        <w:r>
          <w:rPr>
            <w:noProof/>
            <w:webHidden/>
          </w:rPr>
          <w:instrText xml:space="preserve"> PAGEREF _Toc535831499 \h </w:instrText>
        </w:r>
        <w:r>
          <w:rPr>
            <w:noProof/>
            <w:webHidden/>
          </w:rPr>
        </w:r>
        <w:r>
          <w:rPr>
            <w:noProof/>
            <w:webHidden/>
          </w:rPr>
          <w:fldChar w:fldCharType="separate"/>
        </w:r>
        <w:r>
          <w:rPr>
            <w:noProof/>
            <w:webHidden/>
          </w:rPr>
          <w:t>3</w:t>
        </w:r>
        <w:r>
          <w:rPr>
            <w:noProof/>
            <w:webHidden/>
          </w:rPr>
          <w:fldChar w:fldCharType="end"/>
        </w:r>
      </w:hyperlink>
    </w:p>
    <w:p w14:paraId="78B980FD" w14:textId="46ADE1B3" w:rsidR="00E57E31" w:rsidRDefault="00E57E31">
      <w:pPr>
        <w:pStyle w:val="Obsah2"/>
        <w:tabs>
          <w:tab w:val="left" w:pos="720"/>
          <w:tab w:val="right" w:leader="dot" w:pos="9060"/>
        </w:tabs>
        <w:rPr>
          <w:rFonts w:eastAsiaTheme="minorEastAsia" w:cstheme="minorBidi"/>
          <w:smallCaps w:val="0"/>
          <w:noProof/>
          <w:sz w:val="22"/>
          <w:szCs w:val="22"/>
        </w:rPr>
      </w:pPr>
      <w:hyperlink w:anchor="_Toc535831500" w:history="1">
        <w:r w:rsidRPr="00EF4E02">
          <w:rPr>
            <w:rStyle w:val="Hypertextovodkaz"/>
            <w:noProof/>
          </w:rPr>
          <w:t>1.2</w:t>
        </w:r>
        <w:r>
          <w:rPr>
            <w:rFonts w:eastAsiaTheme="minorEastAsia" w:cstheme="minorBidi"/>
            <w:smallCaps w:val="0"/>
            <w:noProof/>
            <w:sz w:val="22"/>
            <w:szCs w:val="22"/>
          </w:rPr>
          <w:tab/>
        </w:r>
        <w:r w:rsidRPr="00EF4E02">
          <w:rPr>
            <w:rStyle w:val="Hypertextovodkaz"/>
            <w:noProof/>
          </w:rPr>
          <w:t>Vykazování výdajů</w:t>
        </w:r>
        <w:r>
          <w:rPr>
            <w:noProof/>
            <w:webHidden/>
          </w:rPr>
          <w:tab/>
        </w:r>
        <w:r>
          <w:rPr>
            <w:noProof/>
            <w:webHidden/>
          </w:rPr>
          <w:fldChar w:fldCharType="begin"/>
        </w:r>
        <w:r>
          <w:rPr>
            <w:noProof/>
            <w:webHidden/>
          </w:rPr>
          <w:instrText xml:space="preserve"> PAGEREF _Toc535831500 \h </w:instrText>
        </w:r>
        <w:r>
          <w:rPr>
            <w:noProof/>
            <w:webHidden/>
          </w:rPr>
        </w:r>
        <w:r>
          <w:rPr>
            <w:noProof/>
            <w:webHidden/>
          </w:rPr>
          <w:fldChar w:fldCharType="separate"/>
        </w:r>
        <w:r>
          <w:rPr>
            <w:noProof/>
            <w:webHidden/>
          </w:rPr>
          <w:t>4</w:t>
        </w:r>
        <w:r>
          <w:rPr>
            <w:noProof/>
            <w:webHidden/>
          </w:rPr>
          <w:fldChar w:fldCharType="end"/>
        </w:r>
      </w:hyperlink>
    </w:p>
    <w:p w14:paraId="7F965EF2" w14:textId="15B95040" w:rsidR="00E57E31" w:rsidRDefault="00E57E31">
      <w:pPr>
        <w:pStyle w:val="Obsah2"/>
        <w:tabs>
          <w:tab w:val="left" w:pos="720"/>
          <w:tab w:val="right" w:leader="dot" w:pos="9060"/>
        </w:tabs>
        <w:rPr>
          <w:rFonts w:eastAsiaTheme="minorEastAsia" w:cstheme="minorBidi"/>
          <w:smallCaps w:val="0"/>
          <w:noProof/>
          <w:sz w:val="22"/>
          <w:szCs w:val="22"/>
        </w:rPr>
      </w:pPr>
      <w:hyperlink w:anchor="_Toc535831501" w:history="1">
        <w:r w:rsidRPr="00EF4E02">
          <w:rPr>
            <w:rStyle w:val="Hypertextovodkaz"/>
            <w:noProof/>
          </w:rPr>
          <w:t>1.3</w:t>
        </w:r>
        <w:r>
          <w:rPr>
            <w:rFonts w:eastAsiaTheme="minorEastAsia" w:cstheme="minorBidi"/>
            <w:smallCaps w:val="0"/>
            <w:noProof/>
            <w:sz w:val="22"/>
            <w:szCs w:val="22"/>
          </w:rPr>
          <w:tab/>
        </w:r>
        <w:r w:rsidRPr="00EF4E02">
          <w:rPr>
            <w:rStyle w:val="Hypertextovodkaz"/>
            <w:noProof/>
          </w:rPr>
          <w:t>Doložení ceny obvyklé</w:t>
        </w:r>
        <w:r>
          <w:rPr>
            <w:noProof/>
            <w:webHidden/>
          </w:rPr>
          <w:tab/>
        </w:r>
        <w:r>
          <w:rPr>
            <w:noProof/>
            <w:webHidden/>
          </w:rPr>
          <w:fldChar w:fldCharType="begin"/>
        </w:r>
        <w:r>
          <w:rPr>
            <w:noProof/>
            <w:webHidden/>
          </w:rPr>
          <w:instrText xml:space="preserve"> PAGEREF _Toc535831501 \h </w:instrText>
        </w:r>
        <w:r>
          <w:rPr>
            <w:noProof/>
            <w:webHidden/>
          </w:rPr>
        </w:r>
        <w:r>
          <w:rPr>
            <w:noProof/>
            <w:webHidden/>
          </w:rPr>
          <w:fldChar w:fldCharType="separate"/>
        </w:r>
        <w:r>
          <w:rPr>
            <w:noProof/>
            <w:webHidden/>
          </w:rPr>
          <w:t>4</w:t>
        </w:r>
        <w:r>
          <w:rPr>
            <w:noProof/>
            <w:webHidden/>
          </w:rPr>
          <w:fldChar w:fldCharType="end"/>
        </w:r>
      </w:hyperlink>
    </w:p>
    <w:p w14:paraId="46C55FA0" w14:textId="08F194D7" w:rsidR="00E57E31" w:rsidRDefault="00E57E31">
      <w:pPr>
        <w:pStyle w:val="Obsah1"/>
        <w:rPr>
          <w:rFonts w:eastAsiaTheme="minorEastAsia" w:cstheme="minorBidi"/>
          <w:b w:val="0"/>
          <w:bCs w:val="0"/>
          <w:caps w:val="0"/>
          <w:noProof/>
          <w:sz w:val="22"/>
          <w:szCs w:val="22"/>
        </w:rPr>
      </w:pPr>
      <w:hyperlink w:anchor="_Toc535831502" w:history="1">
        <w:r w:rsidRPr="00EF4E02">
          <w:rPr>
            <w:rStyle w:val="Hypertextovodkaz"/>
            <w:noProof/>
          </w:rPr>
          <w:t>2</w:t>
        </w:r>
        <w:r>
          <w:rPr>
            <w:rFonts w:eastAsiaTheme="minorEastAsia" w:cstheme="minorBidi"/>
            <w:b w:val="0"/>
            <w:bCs w:val="0"/>
            <w:caps w:val="0"/>
            <w:noProof/>
            <w:sz w:val="22"/>
            <w:szCs w:val="22"/>
          </w:rPr>
          <w:tab/>
        </w:r>
        <w:r w:rsidRPr="00EF4E02">
          <w:rPr>
            <w:rStyle w:val="Hypertextovodkaz"/>
            <w:noProof/>
          </w:rPr>
          <w:t>Dokladování</w:t>
        </w:r>
        <w:r>
          <w:rPr>
            <w:noProof/>
            <w:webHidden/>
          </w:rPr>
          <w:tab/>
        </w:r>
        <w:r>
          <w:rPr>
            <w:noProof/>
            <w:webHidden/>
          </w:rPr>
          <w:fldChar w:fldCharType="begin"/>
        </w:r>
        <w:r>
          <w:rPr>
            <w:noProof/>
            <w:webHidden/>
          </w:rPr>
          <w:instrText xml:space="preserve"> PAGEREF _Toc535831502 \h </w:instrText>
        </w:r>
        <w:r>
          <w:rPr>
            <w:noProof/>
            <w:webHidden/>
          </w:rPr>
        </w:r>
        <w:r>
          <w:rPr>
            <w:noProof/>
            <w:webHidden/>
          </w:rPr>
          <w:fldChar w:fldCharType="separate"/>
        </w:r>
        <w:r>
          <w:rPr>
            <w:noProof/>
            <w:webHidden/>
          </w:rPr>
          <w:t>6</w:t>
        </w:r>
        <w:r>
          <w:rPr>
            <w:noProof/>
            <w:webHidden/>
          </w:rPr>
          <w:fldChar w:fldCharType="end"/>
        </w:r>
      </w:hyperlink>
    </w:p>
    <w:p w14:paraId="1CF264C1" w14:textId="1EDBA754" w:rsidR="00E57E31" w:rsidRDefault="00E57E31">
      <w:pPr>
        <w:pStyle w:val="Obsah2"/>
        <w:tabs>
          <w:tab w:val="left" w:pos="720"/>
          <w:tab w:val="right" w:leader="dot" w:pos="9060"/>
        </w:tabs>
        <w:rPr>
          <w:rFonts w:eastAsiaTheme="minorEastAsia" w:cstheme="minorBidi"/>
          <w:smallCaps w:val="0"/>
          <w:noProof/>
          <w:sz w:val="22"/>
          <w:szCs w:val="22"/>
        </w:rPr>
      </w:pPr>
      <w:hyperlink w:anchor="_Toc535831503" w:history="1">
        <w:r w:rsidRPr="00EF4E02">
          <w:rPr>
            <w:rStyle w:val="Hypertextovodkaz"/>
            <w:noProof/>
          </w:rPr>
          <w:t>2.1</w:t>
        </w:r>
        <w:r>
          <w:rPr>
            <w:rFonts w:eastAsiaTheme="minorEastAsia" w:cstheme="minorBidi"/>
            <w:smallCaps w:val="0"/>
            <w:noProof/>
            <w:sz w:val="22"/>
            <w:szCs w:val="22"/>
          </w:rPr>
          <w:tab/>
        </w:r>
        <w:r w:rsidRPr="00EF4E02">
          <w:rPr>
            <w:rStyle w:val="Hypertextovodkaz"/>
            <w:noProof/>
          </w:rPr>
          <w:t>Osobní náklady</w:t>
        </w:r>
        <w:r>
          <w:rPr>
            <w:noProof/>
            <w:webHidden/>
          </w:rPr>
          <w:tab/>
        </w:r>
        <w:r>
          <w:rPr>
            <w:noProof/>
            <w:webHidden/>
          </w:rPr>
          <w:fldChar w:fldCharType="begin"/>
        </w:r>
        <w:r>
          <w:rPr>
            <w:noProof/>
            <w:webHidden/>
          </w:rPr>
          <w:instrText xml:space="preserve"> PAGEREF _Toc535831503 \h </w:instrText>
        </w:r>
        <w:r>
          <w:rPr>
            <w:noProof/>
            <w:webHidden/>
          </w:rPr>
        </w:r>
        <w:r>
          <w:rPr>
            <w:noProof/>
            <w:webHidden/>
          </w:rPr>
          <w:fldChar w:fldCharType="separate"/>
        </w:r>
        <w:r>
          <w:rPr>
            <w:noProof/>
            <w:webHidden/>
          </w:rPr>
          <w:t>6</w:t>
        </w:r>
        <w:r>
          <w:rPr>
            <w:noProof/>
            <w:webHidden/>
          </w:rPr>
          <w:fldChar w:fldCharType="end"/>
        </w:r>
      </w:hyperlink>
    </w:p>
    <w:p w14:paraId="1A0FFB9C" w14:textId="338C75A6"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04" w:history="1">
        <w:r w:rsidRPr="00EF4E02">
          <w:rPr>
            <w:rStyle w:val="Hypertextovodkaz"/>
            <w:noProof/>
          </w:rPr>
          <w:t>2.1.1</w:t>
        </w:r>
        <w:r>
          <w:rPr>
            <w:rFonts w:eastAsiaTheme="minorEastAsia" w:cstheme="minorBidi"/>
            <w:i w:val="0"/>
            <w:iCs w:val="0"/>
            <w:noProof/>
            <w:sz w:val="22"/>
            <w:szCs w:val="22"/>
          </w:rPr>
          <w:tab/>
        </w:r>
        <w:r w:rsidRPr="00EF4E02">
          <w:rPr>
            <w:rStyle w:val="Hypertextovodkaz"/>
            <w:noProof/>
          </w:rPr>
          <w:t>Způsobilost osobních nákladů</w:t>
        </w:r>
        <w:r>
          <w:rPr>
            <w:noProof/>
            <w:webHidden/>
          </w:rPr>
          <w:tab/>
        </w:r>
        <w:r>
          <w:rPr>
            <w:noProof/>
            <w:webHidden/>
          </w:rPr>
          <w:fldChar w:fldCharType="begin"/>
        </w:r>
        <w:r>
          <w:rPr>
            <w:noProof/>
            <w:webHidden/>
          </w:rPr>
          <w:instrText xml:space="preserve"> PAGEREF _Toc535831504 \h </w:instrText>
        </w:r>
        <w:r>
          <w:rPr>
            <w:noProof/>
            <w:webHidden/>
          </w:rPr>
        </w:r>
        <w:r>
          <w:rPr>
            <w:noProof/>
            <w:webHidden/>
          </w:rPr>
          <w:fldChar w:fldCharType="separate"/>
        </w:r>
        <w:r>
          <w:rPr>
            <w:noProof/>
            <w:webHidden/>
          </w:rPr>
          <w:t>7</w:t>
        </w:r>
        <w:r>
          <w:rPr>
            <w:noProof/>
            <w:webHidden/>
          </w:rPr>
          <w:fldChar w:fldCharType="end"/>
        </w:r>
      </w:hyperlink>
    </w:p>
    <w:p w14:paraId="72344BB0" w14:textId="496B7E27"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05" w:history="1">
        <w:r w:rsidRPr="00EF4E02">
          <w:rPr>
            <w:rStyle w:val="Hypertextovodkaz"/>
            <w:noProof/>
          </w:rPr>
          <w:t>2.1.2</w:t>
        </w:r>
        <w:r>
          <w:rPr>
            <w:rFonts w:eastAsiaTheme="minorEastAsia" w:cstheme="minorBidi"/>
            <w:i w:val="0"/>
            <w:iCs w:val="0"/>
            <w:noProof/>
            <w:sz w:val="22"/>
            <w:szCs w:val="22"/>
          </w:rPr>
          <w:tab/>
        </w:r>
        <w:r w:rsidRPr="00EF4E02">
          <w:rPr>
            <w:rStyle w:val="Hypertextovodkaz"/>
            <w:noProof/>
          </w:rPr>
          <w:t>Dokladování osobních nákladů</w:t>
        </w:r>
        <w:r>
          <w:rPr>
            <w:noProof/>
            <w:webHidden/>
          </w:rPr>
          <w:tab/>
        </w:r>
        <w:r>
          <w:rPr>
            <w:noProof/>
            <w:webHidden/>
          </w:rPr>
          <w:fldChar w:fldCharType="begin"/>
        </w:r>
        <w:r>
          <w:rPr>
            <w:noProof/>
            <w:webHidden/>
          </w:rPr>
          <w:instrText xml:space="preserve"> PAGEREF _Toc535831505 \h </w:instrText>
        </w:r>
        <w:r>
          <w:rPr>
            <w:noProof/>
            <w:webHidden/>
          </w:rPr>
        </w:r>
        <w:r>
          <w:rPr>
            <w:noProof/>
            <w:webHidden/>
          </w:rPr>
          <w:fldChar w:fldCharType="separate"/>
        </w:r>
        <w:r>
          <w:rPr>
            <w:noProof/>
            <w:webHidden/>
          </w:rPr>
          <w:t>9</w:t>
        </w:r>
        <w:r>
          <w:rPr>
            <w:noProof/>
            <w:webHidden/>
          </w:rPr>
          <w:fldChar w:fldCharType="end"/>
        </w:r>
      </w:hyperlink>
    </w:p>
    <w:p w14:paraId="5B488BBB" w14:textId="7B7C0ADB" w:rsidR="00E57E31" w:rsidRDefault="00E57E31">
      <w:pPr>
        <w:pStyle w:val="Obsah2"/>
        <w:tabs>
          <w:tab w:val="left" w:pos="720"/>
          <w:tab w:val="right" w:leader="dot" w:pos="9060"/>
        </w:tabs>
        <w:rPr>
          <w:rFonts w:eastAsiaTheme="minorEastAsia" w:cstheme="minorBidi"/>
          <w:smallCaps w:val="0"/>
          <w:noProof/>
          <w:sz w:val="22"/>
          <w:szCs w:val="22"/>
        </w:rPr>
      </w:pPr>
      <w:hyperlink w:anchor="_Toc535831506" w:history="1">
        <w:r w:rsidRPr="00EF4E02">
          <w:rPr>
            <w:rStyle w:val="Hypertextovodkaz"/>
            <w:noProof/>
          </w:rPr>
          <w:t>2.2</w:t>
        </w:r>
        <w:r>
          <w:rPr>
            <w:rFonts w:eastAsiaTheme="minorEastAsia" w:cstheme="minorBidi"/>
            <w:smallCaps w:val="0"/>
            <w:noProof/>
            <w:sz w:val="22"/>
            <w:szCs w:val="22"/>
          </w:rPr>
          <w:tab/>
        </w:r>
        <w:r w:rsidRPr="00EF4E02">
          <w:rPr>
            <w:rStyle w:val="Hypertextovodkaz"/>
            <w:noProof/>
          </w:rPr>
          <w:t>Cestovné</w:t>
        </w:r>
        <w:r>
          <w:rPr>
            <w:noProof/>
            <w:webHidden/>
          </w:rPr>
          <w:tab/>
        </w:r>
        <w:r>
          <w:rPr>
            <w:noProof/>
            <w:webHidden/>
          </w:rPr>
          <w:fldChar w:fldCharType="begin"/>
        </w:r>
        <w:r>
          <w:rPr>
            <w:noProof/>
            <w:webHidden/>
          </w:rPr>
          <w:instrText xml:space="preserve"> PAGEREF _Toc535831506 \h </w:instrText>
        </w:r>
        <w:r>
          <w:rPr>
            <w:noProof/>
            <w:webHidden/>
          </w:rPr>
        </w:r>
        <w:r>
          <w:rPr>
            <w:noProof/>
            <w:webHidden/>
          </w:rPr>
          <w:fldChar w:fldCharType="separate"/>
        </w:r>
        <w:r>
          <w:rPr>
            <w:noProof/>
            <w:webHidden/>
          </w:rPr>
          <w:t>11</w:t>
        </w:r>
        <w:r>
          <w:rPr>
            <w:noProof/>
            <w:webHidden/>
          </w:rPr>
          <w:fldChar w:fldCharType="end"/>
        </w:r>
      </w:hyperlink>
    </w:p>
    <w:p w14:paraId="09257B40" w14:textId="34A298EE"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07" w:history="1">
        <w:r w:rsidRPr="00EF4E02">
          <w:rPr>
            <w:rStyle w:val="Hypertextovodkaz"/>
            <w:noProof/>
          </w:rPr>
          <w:t>2.2.1</w:t>
        </w:r>
        <w:r>
          <w:rPr>
            <w:rFonts w:eastAsiaTheme="minorEastAsia" w:cstheme="minorBidi"/>
            <w:i w:val="0"/>
            <w:iCs w:val="0"/>
            <w:noProof/>
            <w:sz w:val="22"/>
            <w:szCs w:val="22"/>
          </w:rPr>
          <w:tab/>
        </w:r>
        <w:r w:rsidRPr="00EF4E02">
          <w:rPr>
            <w:rStyle w:val="Hypertextovodkaz"/>
            <w:noProof/>
          </w:rPr>
          <w:t>Způsobilost cestovních náhrad</w:t>
        </w:r>
        <w:r>
          <w:rPr>
            <w:noProof/>
            <w:webHidden/>
          </w:rPr>
          <w:tab/>
        </w:r>
        <w:r>
          <w:rPr>
            <w:noProof/>
            <w:webHidden/>
          </w:rPr>
          <w:fldChar w:fldCharType="begin"/>
        </w:r>
        <w:r>
          <w:rPr>
            <w:noProof/>
            <w:webHidden/>
          </w:rPr>
          <w:instrText xml:space="preserve"> PAGEREF _Toc535831507 \h </w:instrText>
        </w:r>
        <w:r>
          <w:rPr>
            <w:noProof/>
            <w:webHidden/>
          </w:rPr>
        </w:r>
        <w:r>
          <w:rPr>
            <w:noProof/>
            <w:webHidden/>
          </w:rPr>
          <w:fldChar w:fldCharType="separate"/>
        </w:r>
        <w:r>
          <w:rPr>
            <w:noProof/>
            <w:webHidden/>
          </w:rPr>
          <w:t>11</w:t>
        </w:r>
        <w:r>
          <w:rPr>
            <w:noProof/>
            <w:webHidden/>
          </w:rPr>
          <w:fldChar w:fldCharType="end"/>
        </w:r>
      </w:hyperlink>
    </w:p>
    <w:p w14:paraId="7DF5F274" w14:textId="540704CF"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08" w:history="1">
        <w:r w:rsidRPr="00EF4E02">
          <w:rPr>
            <w:rStyle w:val="Hypertextovodkaz"/>
            <w:noProof/>
          </w:rPr>
          <w:t>2.2.2</w:t>
        </w:r>
        <w:r>
          <w:rPr>
            <w:rFonts w:eastAsiaTheme="minorEastAsia" w:cstheme="minorBidi"/>
            <w:i w:val="0"/>
            <w:iCs w:val="0"/>
            <w:noProof/>
            <w:sz w:val="22"/>
            <w:szCs w:val="22"/>
          </w:rPr>
          <w:tab/>
        </w:r>
        <w:r w:rsidRPr="00EF4E02">
          <w:rPr>
            <w:rStyle w:val="Hypertextovodkaz"/>
            <w:noProof/>
          </w:rPr>
          <w:t>Dokladování cestovních náhrad</w:t>
        </w:r>
        <w:r>
          <w:rPr>
            <w:noProof/>
            <w:webHidden/>
          </w:rPr>
          <w:tab/>
        </w:r>
        <w:r>
          <w:rPr>
            <w:noProof/>
            <w:webHidden/>
          </w:rPr>
          <w:fldChar w:fldCharType="begin"/>
        </w:r>
        <w:r>
          <w:rPr>
            <w:noProof/>
            <w:webHidden/>
          </w:rPr>
          <w:instrText xml:space="preserve"> PAGEREF _Toc535831508 \h </w:instrText>
        </w:r>
        <w:r>
          <w:rPr>
            <w:noProof/>
            <w:webHidden/>
          </w:rPr>
        </w:r>
        <w:r>
          <w:rPr>
            <w:noProof/>
            <w:webHidden/>
          </w:rPr>
          <w:fldChar w:fldCharType="separate"/>
        </w:r>
        <w:r>
          <w:rPr>
            <w:noProof/>
            <w:webHidden/>
          </w:rPr>
          <w:t>12</w:t>
        </w:r>
        <w:r>
          <w:rPr>
            <w:noProof/>
            <w:webHidden/>
          </w:rPr>
          <w:fldChar w:fldCharType="end"/>
        </w:r>
      </w:hyperlink>
    </w:p>
    <w:p w14:paraId="5F6352C9" w14:textId="517B5039"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09" w:history="1">
        <w:r w:rsidRPr="00EF4E02">
          <w:rPr>
            <w:rStyle w:val="Hypertextovodkaz"/>
            <w:noProof/>
          </w:rPr>
          <w:t>2.2.3</w:t>
        </w:r>
        <w:r>
          <w:rPr>
            <w:rFonts w:eastAsiaTheme="minorEastAsia" w:cstheme="minorBidi"/>
            <w:i w:val="0"/>
            <w:iCs w:val="0"/>
            <w:noProof/>
            <w:sz w:val="22"/>
            <w:szCs w:val="22"/>
          </w:rPr>
          <w:tab/>
        </w:r>
        <w:r w:rsidRPr="00EF4E02">
          <w:rPr>
            <w:rStyle w:val="Hypertextovodkaz"/>
            <w:noProof/>
          </w:rPr>
          <w:t>Cestovní náhrady „per diems“ pro zahraniční experty</w:t>
        </w:r>
        <w:r>
          <w:rPr>
            <w:noProof/>
            <w:webHidden/>
          </w:rPr>
          <w:tab/>
        </w:r>
        <w:r>
          <w:rPr>
            <w:noProof/>
            <w:webHidden/>
          </w:rPr>
          <w:fldChar w:fldCharType="begin"/>
        </w:r>
        <w:r>
          <w:rPr>
            <w:noProof/>
            <w:webHidden/>
          </w:rPr>
          <w:instrText xml:space="preserve"> PAGEREF _Toc535831509 \h </w:instrText>
        </w:r>
        <w:r>
          <w:rPr>
            <w:noProof/>
            <w:webHidden/>
          </w:rPr>
        </w:r>
        <w:r>
          <w:rPr>
            <w:noProof/>
            <w:webHidden/>
          </w:rPr>
          <w:fldChar w:fldCharType="separate"/>
        </w:r>
        <w:r>
          <w:rPr>
            <w:noProof/>
            <w:webHidden/>
          </w:rPr>
          <w:t>13</w:t>
        </w:r>
        <w:r>
          <w:rPr>
            <w:noProof/>
            <w:webHidden/>
          </w:rPr>
          <w:fldChar w:fldCharType="end"/>
        </w:r>
      </w:hyperlink>
    </w:p>
    <w:p w14:paraId="006BD299" w14:textId="4F71D05D" w:rsidR="00E57E31" w:rsidRDefault="00E57E31">
      <w:pPr>
        <w:pStyle w:val="Obsah2"/>
        <w:tabs>
          <w:tab w:val="left" w:pos="720"/>
          <w:tab w:val="right" w:leader="dot" w:pos="9060"/>
        </w:tabs>
        <w:rPr>
          <w:rFonts w:eastAsiaTheme="minorEastAsia" w:cstheme="minorBidi"/>
          <w:smallCaps w:val="0"/>
          <w:noProof/>
          <w:sz w:val="22"/>
          <w:szCs w:val="22"/>
        </w:rPr>
      </w:pPr>
      <w:hyperlink w:anchor="_Toc535831510" w:history="1">
        <w:r w:rsidRPr="00EF4E02">
          <w:rPr>
            <w:rStyle w:val="Hypertextovodkaz"/>
            <w:noProof/>
          </w:rPr>
          <w:t>2.3</w:t>
        </w:r>
        <w:r>
          <w:rPr>
            <w:rFonts w:eastAsiaTheme="minorEastAsia" w:cstheme="minorBidi"/>
            <w:smallCaps w:val="0"/>
            <w:noProof/>
            <w:sz w:val="22"/>
            <w:szCs w:val="22"/>
          </w:rPr>
          <w:tab/>
        </w:r>
        <w:r w:rsidRPr="00EF4E02">
          <w:rPr>
            <w:rStyle w:val="Hypertextovodkaz"/>
            <w:noProof/>
          </w:rPr>
          <w:t>Nákup služeb</w:t>
        </w:r>
        <w:r>
          <w:rPr>
            <w:noProof/>
            <w:webHidden/>
          </w:rPr>
          <w:tab/>
        </w:r>
        <w:r>
          <w:rPr>
            <w:noProof/>
            <w:webHidden/>
          </w:rPr>
          <w:fldChar w:fldCharType="begin"/>
        </w:r>
        <w:r>
          <w:rPr>
            <w:noProof/>
            <w:webHidden/>
          </w:rPr>
          <w:instrText xml:space="preserve"> PAGEREF _Toc535831510 \h </w:instrText>
        </w:r>
        <w:r>
          <w:rPr>
            <w:noProof/>
            <w:webHidden/>
          </w:rPr>
        </w:r>
        <w:r>
          <w:rPr>
            <w:noProof/>
            <w:webHidden/>
          </w:rPr>
          <w:fldChar w:fldCharType="separate"/>
        </w:r>
        <w:r>
          <w:rPr>
            <w:noProof/>
            <w:webHidden/>
          </w:rPr>
          <w:t>14</w:t>
        </w:r>
        <w:r>
          <w:rPr>
            <w:noProof/>
            <w:webHidden/>
          </w:rPr>
          <w:fldChar w:fldCharType="end"/>
        </w:r>
      </w:hyperlink>
    </w:p>
    <w:p w14:paraId="437AE86F" w14:textId="009EF6FE" w:rsidR="00E57E31" w:rsidRDefault="00E57E31">
      <w:pPr>
        <w:pStyle w:val="Obsah2"/>
        <w:tabs>
          <w:tab w:val="left" w:pos="720"/>
          <w:tab w:val="right" w:leader="dot" w:pos="9060"/>
        </w:tabs>
        <w:rPr>
          <w:rFonts w:eastAsiaTheme="minorEastAsia" w:cstheme="minorBidi"/>
          <w:smallCaps w:val="0"/>
          <w:noProof/>
          <w:sz w:val="22"/>
          <w:szCs w:val="22"/>
        </w:rPr>
      </w:pPr>
      <w:hyperlink w:anchor="_Toc535831511" w:history="1">
        <w:r w:rsidRPr="00EF4E02">
          <w:rPr>
            <w:rStyle w:val="Hypertextovodkaz"/>
            <w:noProof/>
          </w:rPr>
          <w:t>2.4</w:t>
        </w:r>
        <w:r>
          <w:rPr>
            <w:rFonts w:eastAsiaTheme="minorEastAsia" w:cstheme="minorBidi"/>
            <w:smallCaps w:val="0"/>
            <w:noProof/>
            <w:sz w:val="22"/>
            <w:szCs w:val="22"/>
          </w:rPr>
          <w:tab/>
        </w:r>
        <w:r w:rsidRPr="00EF4E02">
          <w:rPr>
            <w:rStyle w:val="Hypertextovodkaz"/>
            <w:noProof/>
          </w:rPr>
          <w:t>Pořízení majetku a spotřebního materiálu</w:t>
        </w:r>
        <w:r>
          <w:rPr>
            <w:noProof/>
            <w:webHidden/>
          </w:rPr>
          <w:tab/>
        </w:r>
        <w:r>
          <w:rPr>
            <w:noProof/>
            <w:webHidden/>
          </w:rPr>
          <w:fldChar w:fldCharType="begin"/>
        </w:r>
        <w:r>
          <w:rPr>
            <w:noProof/>
            <w:webHidden/>
          </w:rPr>
          <w:instrText xml:space="preserve"> PAGEREF _Toc535831511 \h </w:instrText>
        </w:r>
        <w:r>
          <w:rPr>
            <w:noProof/>
            <w:webHidden/>
          </w:rPr>
        </w:r>
        <w:r>
          <w:rPr>
            <w:noProof/>
            <w:webHidden/>
          </w:rPr>
          <w:fldChar w:fldCharType="separate"/>
        </w:r>
        <w:r>
          <w:rPr>
            <w:noProof/>
            <w:webHidden/>
          </w:rPr>
          <w:t>15</w:t>
        </w:r>
        <w:r>
          <w:rPr>
            <w:noProof/>
            <w:webHidden/>
          </w:rPr>
          <w:fldChar w:fldCharType="end"/>
        </w:r>
      </w:hyperlink>
    </w:p>
    <w:p w14:paraId="5D33D4A6" w14:textId="0E9EEF7B" w:rsidR="00E57E31" w:rsidRDefault="00E57E31">
      <w:pPr>
        <w:pStyle w:val="Obsah2"/>
        <w:tabs>
          <w:tab w:val="left" w:pos="720"/>
          <w:tab w:val="right" w:leader="dot" w:pos="9060"/>
        </w:tabs>
        <w:rPr>
          <w:rFonts w:eastAsiaTheme="minorEastAsia" w:cstheme="minorBidi"/>
          <w:smallCaps w:val="0"/>
          <w:noProof/>
          <w:sz w:val="22"/>
          <w:szCs w:val="22"/>
        </w:rPr>
      </w:pPr>
      <w:hyperlink w:anchor="_Toc535831512" w:history="1">
        <w:r w:rsidRPr="00EF4E02">
          <w:rPr>
            <w:rStyle w:val="Hypertextovodkaz"/>
            <w:noProof/>
          </w:rPr>
          <w:t>2.5</w:t>
        </w:r>
        <w:r>
          <w:rPr>
            <w:rFonts w:eastAsiaTheme="minorEastAsia" w:cstheme="minorBidi"/>
            <w:smallCaps w:val="0"/>
            <w:noProof/>
            <w:sz w:val="22"/>
            <w:szCs w:val="22"/>
          </w:rPr>
          <w:tab/>
        </w:r>
        <w:r w:rsidRPr="00EF4E02">
          <w:rPr>
            <w:rStyle w:val="Hypertextovodkaz"/>
            <w:noProof/>
          </w:rPr>
          <w:t>Leasing</w:t>
        </w:r>
        <w:r>
          <w:rPr>
            <w:noProof/>
            <w:webHidden/>
          </w:rPr>
          <w:tab/>
        </w:r>
        <w:r>
          <w:rPr>
            <w:noProof/>
            <w:webHidden/>
          </w:rPr>
          <w:fldChar w:fldCharType="begin"/>
        </w:r>
        <w:r>
          <w:rPr>
            <w:noProof/>
            <w:webHidden/>
          </w:rPr>
          <w:instrText xml:space="preserve"> PAGEREF _Toc535831512 \h </w:instrText>
        </w:r>
        <w:r>
          <w:rPr>
            <w:noProof/>
            <w:webHidden/>
          </w:rPr>
        </w:r>
        <w:r>
          <w:rPr>
            <w:noProof/>
            <w:webHidden/>
          </w:rPr>
          <w:fldChar w:fldCharType="separate"/>
        </w:r>
        <w:r>
          <w:rPr>
            <w:noProof/>
            <w:webHidden/>
          </w:rPr>
          <w:t>16</w:t>
        </w:r>
        <w:r>
          <w:rPr>
            <w:noProof/>
            <w:webHidden/>
          </w:rPr>
          <w:fldChar w:fldCharType="end"/>
        </w:r>
      </w:hyperlink>
    </w:p>
    <w:p w14:paraId="2871BFF2" w14:textId="3347F70B" w:rsidR="00E57E31" w:rsidRDefault="00E57E31">
      <w:pPr>
        <w:pStyle w:val="Obsah2"/>
        <w:tabs>
          <w:tab w:val="left" w:pos="720"/>
          <w:tab w:val="right" w:leader="dot" w:pos="9060"/>
        </w:tabs>
        <w:rPr>
          <w:rFonts w:eastAsiaTheme="minorEastAsia" w:cstheme="minorBidi"/>
          <w:smallCaps w:val="0"/>
          <w:noProof/>
          <w:sz w:val="22"/>
          <w:szCs w:val="22"/>
        </w:rPr>
      </w:pPr>
      <w:hyperlink w:anchor="_Toc535831513" w:history="1">
        <w:r w:rsidRPr="00EF4E02">
          <w:rPr>
            <w:rStyle w:val="Hypertextovodkaz"/>
            <w:noProof/>
          </w:rPr>
          <w:t>2.6</w:t>
        </w:r>
        <w:r>
          <w:rPr>
            <w:rFonts w:eastAsiaTheme="minorEastAsia" w:cstheme="minorBidi"/>
            <w:smallCaps w:val="0"/>
            <w:noProof/>
            <w:sz w:val="22"/>
            <w:szCs w:val="22"/>
          </w:rPr>
          <w:tab/>
        </w:r>
        <w:r w:rsidRPr="00EF4E02">
          <w:rPr>
            <w:rStyle w:val="Hypertextovodkaz"/>
            <w:noProof/>
          </w:rPr>
          <w:t>Režijní náklady</w:t>
        </w:r>
        <w:r>
          <w:rPr>
            <w:noProof/>
            <w:webHidden/>
          </w:rPr>
          <w:tab/>
        </w:r>
        <w:r>
          <w:rPr>
            <w:noProof/>
            <w:webHidden/>
          </w:rPr>
          <w:fldChar w:fldCharType="begin"/>
        </w:r>
        <w:r>
          <w:rPr>
            <w:noProof/>
            <w:webHidden/>
          </w:rPr>
          <w:instrText xml:space="preserve"> PAGEREF _Toc535831513 \h </w:instrText>
        </w:r>
        <w:r>
          <w:rPr>
            <w:noProof/>
            <w:webHidden/>
          </w:rPr>
        </w:r>
        <w:r>
          <w:rPr>
            <w:noProof/>
            <w:webHidden/>
          </w:rPr>
          <w:fldChar w:fldCharType="separate"/>
        </w:r>
        <w:r>
          <w:rPr>
            <w:noProof/>
            <w:webHidden/>
          </w:rPr>
          <w:t>17</w:t>
        </w:r>
        <w:r>
          <w:rPr>
            <w:noProof/>
            <w:webHidden/>
          </w:rPr>
          <w:fldChar w:fldCharType="end"/>
        </w:r>
      </w:hyperlink>
    </w:p>
    <w:p w14:paraId="2EDD6003" w14:textId="24A9587D"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14" w:history="1">
        <w:r w:rsidRPr="00EF4E02">
          <w:rPr>
            <w:rStyle w:val="Hypertextovodkaz"/>
            <w:noProof/>
          </w:rPr>
          <w:t>2.6.1</w:t>
        </w:r>
        <w:r>
          <w:rPr>
            <w:rFonts w:eastAsiaTheme="minorEastAsia" w:cstheme="minorBidi"/>
            <w:i w:val="0"/>
            <w:iCs w:val="0"/>
            <w:noProof/>
            <w:sz w:val="22"/>
            <w:szCs w:val="22"/>
          </w:rPr>
          <w:tab/>
        </w:r>
        <w:r w:rsidRPr="00EF4E02">
          <w:rPr>
            <w:rStyle w:val="Hypertextovodkaz"/>
            <w:noProof/>
          </w:rPr>
          <w:t>Způsobilost režijních nákladů</w:t>
        </w:r>
        <w:r>
          <w:rPr>
            <w:noProof/>
            <w:webHidden/>
          </w:rPr>
          <w:tab/>
        </w:r>
        <w:r>
          <w:rPr>
            <w:noProof/>
            <w:webHidden/>
          </w:rPr>
          <w:fldChar w:fldCharType="begin"/>
        </w:r>
        <w:r>
          <w:rPr>
            <w:noProof/>
            <w:webHidden/>
          </w:rPr>
          <w:instrText xml:space="preserve"> PAGEREF _Toc535831514 \h </w:instrText>
        </w:r>
        <w:r>
          <w:rPr>
            <w:noProof/>
            <w:webHidden/>
          </w:rPr>
        </w:r>
        <w:r>
          <w:rPr>
            <w:noProof/>
            <w:webHidden/>
          </w:rPr>
          <w:fldChar w:fldCharType="separate"/>
        </w:r>
        <w:r>
          <w:rPr>
            <w:noProof/>
            <w:webHidden/>
          </w:rPr>
          <w:t>17</w:t>
        </w:r>
        <w:r>
          <w:rPr>
            <w:noProof/>
            <w:webHidden/>
          </w:rPr>
          <w:fldChar w:fldCharType="end"/>
        </w:r>
      </w:hyperlink>
    </w:p>
    <w:p w14:paraId="7DB9164C" w14:textId="24CD13D0"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15" w:history="1">
        <w:r w:rsidRPr="00EF4E02">
          <w:rPr>
            <w:rStyle w:val="Hypertextovodkaz"/>
            <w:noProof/>
          </w:rPr>
          <w:t>2.6.2</w:t>
        </w:r>
        <w:r>
          <w:rPr>
            <w:rFonts w:eastAsiaTheme="minorEastAsia" w:cstheme="minorBidi"/>
            <w:i w:val="0"/>
            <w:iCs w:val="0"/>
            <w:noProof/>
            <w:sz w:val="22"/>
            <w:szCs w:val="22"/>
          </w:rPr>
          <w:tab/>
        </w:r>
        <w:r w:rsidRPr="00EF4E02">
          <w:rPr>
            <w:rStyle w:val="Hypertextovodkaz"/>
            <w:noProof/>
          </w:rPr>
          <w:t>Dokladování režijních nákladů</w:t>
        </w:r>
        <w:r>
          <w:rPr>
            <w:noProof/>
            <w:webHidden/>
          </w:rPr>
          <w:tab/>
        </w:r>
        <w:r>
          <w:rPr>
            <w:noProof/>
            <w:webHidden/>
          </w:rPr>
          <w:fldChar w:fldCharType="begin"/>
        </w:r>
        <w:r>
          <w:rPr>
            <w:noProof/>
            <w:webHidden/>
          </w:rPr>
          <w:instrText xml:space="preserve"> PAGEREF _Toc535831515 \h </w:instrText>
        </w:r>
        <w:r>
          <w:rPr>
            <w:noProof/>
            <w:webHidden/>
          </w:rPr>
        </w:r>
        <w:r>
          <w:rPr>
            <w:noProof/>
            <w:webHidden/>
          </w:rPr>
          <w:fldChar w:fldCharType="separate"/>
        </w:r>
        <w:r>
          <w:rPr>
            <w:noProof/>
            <w:webHidden/>
          </w:rPr>
          <w:t>18</w:t>
        </w:r>
        <w:r>
          <w:rPr>
            <w:noProof/>
            <w:webHidden/>
          </w:rPr>
          <w:fldChar w:fldCharType="end"/>
        </w:r>
      </w:hyperlink>
    </w:p>
    <w:p w14:paraId="40995F31" w14:textId="4BB1A262" w:rsidR="00E57E31" w:rsidRDefault="00E57E31">
      <w:pPr>
        <w:pStyle w:val="Obsah2"/>
        <w:tabs>
          <w:tab w:val="left" w:pos="720"/>
          <w:tab w:val="right" w:leader="dot" w:pos="9060"/>
        </w:tabs>
        <w:rPr>
          <w:rFonts w:eastAsiaTheme="minorEastAsia" w:cstheme="minorBidi"/>
          <w:smallCaps w:val="0"/>
          <w:noProof/>
          <w:sz w:val="22"/>
          <w:szCs w:val="22"/>
        </w:rPr>
      </w:pPr>
      <w:hyperlink w:anchor="_Toc535831516" w:history="1">
        <w:r w:rsidRPr="00EF4E02">
          <w:rPr>
            <w:rStyle w:val="Hypertextovodkaz"/>
            <w:noProof/>
          </w:rPr>
          <w:t>2.7</w:t>
        </w:r>
        <w:r>
          <w:rPr>
            <w:rFonts w:eastAsiaTheme="minorEastAsia" w:cstheme="minorBidi"/>
            <w:smallCaps w:val="0"/>
            <w:noProof/>
            <w:sz w:val="22"/>
            <w:szCs w:val="22"/>
          </w:rPr>
          <w:tab/>
        </w:r>
        <w:r w:rsidRPr="00EF4E02">
          <w:rPr>
            <w:rStyle w:val="Hypertextovodkaz"/>
            <w:noProof/>
          </w:rPr>
          <w:t>Jiné výdaje a jejich způsobilost</w:t>
        </w:r>
        <w:r>
          <w:rPr>
            <w:noProof/>
            <w:webHidden/>
          </w:rPr>
          <w:tab/>
        </w:r>
        <w:r>
          <w:rPr>
            <w:noProof/>
            <w:webHidden/>
          </w:rPr>
          <w:fldChar w:fldCharType="begin"/>
        </w:r>
        <w:r>
          <w:rPr>
            <w:noProof/>
            <w:webHidden/>
          </w:rPr>
          <w:instrText xml:space="preserve"> PAGEREF _Toc535831516 \h </w:instrText>
        </w:r>
        <w:r>
          <w:rPr>
            <w:noProof/>
            <w:webHidden/>
          </w:rPr>
        </w:r>
        <w:r>
          <w:rPr>
            <w:noProof/>
            <w:webHidden/>
          </w:rPr>
          <w:fldChar w:fldCharType="separate"/>
        </w:r>
        <w:r>
          <w:rPr>
            <w:noProof/>
            <w:webHidden/>
          </w:rPr>
          <w:t>18</w:t>
        </w:r>
        <w:r>
          <w:rPr>
            <w:noProof/>
            <w:webHidden/>
          </w:rPr>
          <w:fldChar w:fldCharType="end"/>
        </w:r>
      </w:hyperlink>
    </w:p>
    <w:p w14:paraId="56E59EC2" w14:textId="054D1A5E"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17" w:history="1">
        <w:r w:rsidRPr="00EF4E02">
          <w:rPr>
            <w:rStyle w:val="Hypertextovodkaz"/>
            <w:noProof/>
          </w:rPr>
          <w:t>2.7.1</w:t>
        </w:r>
        <w:r>
          <w:rPr>
            <w:rFonts w:eastAsiaTheme="minorEastAsia" w:cstheme="minorBidi"/>
            <w:i w:val="0"/>
            <w:iCs w:val="0"/>
            <w:noProof/>
            <w:sz w:val="22"/>
            <w:szCs w:val="22"/>
          </w:rPr>
          <w:tab/>
        </w:r>
        <w:r w:rsidRPr="00EF4E02">
          <w:rPr>
            <w:rStyle w:val="Hypertextovodkaz"/>
            <w:noProof/>
          </w:rPr>
          <w:t>Finanční výdaje, správní a jiné poplatky</w:t>
        </w:r>
        <w:r>
          <w:rPr>
            <w:noProof/>
            <w:webHidden/>
          </w:rPr>
          <w:tab/>
        </w:r>
        <w:r>
          <w:rPr>
            <w:noProof/>
            <w:webHidden/>
          </w:rPr>
          <w:fldChar w:fldCharType="begin"/>
        </w:r>
        <w:r>
          <w:rPr>
            <w:noProof/>
            <w:webHidden/>
          </w:rPr>
          <w:instrText xml:space="preserve"> PAGEREF _Toc535831517 \h </w:instrText>
        </w:r>
        <w:r>
          <w:rPr>
            <w:noProof/>
            <w:webHidden/>
          </w:rPr>
        </w:r>
        <w:r>
          <w:rPr>
            <w:noProof/>
            <w:webHidden/>
          </w:rPr>
          <w:fldChar w:fldCharType="separate"/>
        </w:r>
        <w:r>
          <w:rPr>
            <w:noProof/>
            <w:webHidden/>
          </w:rPr>
          <w:t>18</w:t>
        </w:r>
        <w:r>
          <w:rPr>
            <w:noProof/>
            <w:webHidden/>
          </w:rPr>
          <w:fldChar w:fldCharType="end"/>
        </w:r>
      </w:hyperlink>
    </w:p>
    <w:p w14:paraId="42086F03" w14:textId="2E9B7DA0"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18" w:history="1">
        <w:r w:rsidRPr="00EF4E02">
          <w:rPr>
            <w:rStyle w:val="Hypertextovodkaz"/>
            <w:noProof/>
          </w:rPr>
          <w:t>2.7.2</w:t>
        </w:r>
        <w:r>
          <w:rPr>
            <w:rFonts w:eastAsiaTheme="minorEastAsia" w:cstheme="minorBidi"/>
            <w:i w:val="0"/>
            <w:iCs w:val="0"/>
            <w:noProof/>
            <w:sz w:val="22"/>
            <w:szCs w:val="22"/>
          </w:rPr>
          <w:tab/>
        </w:r>
        <w:r w:rsidRPr="00EF4E02">
          <w:rPr>
            <w:rStyle w:val="Hypertextovodkaz"/>
            <w:noProof/>
          </w:rPr>
          <w:t>Odpisy</w:t>
        </w:r>
        <w:r>
          <w:rPr>
            <w:noProof/>
            <w:webHidden/>
          </w:rPr>
          <w:tab/>
        </w:r>
        <w:r>
          <w:rPr>
            <w:noProof/>
            <w:webHidden/>
          </w:rPr>
          <w:fldChar w:fldCharType="begin"/>
        </w:r>
        <w:r>
          <w:rPr>
            <w:noProof/>
            <w:webHidden/>
          </w:rPr>
          <w:instrText xml:space="preserve"> PAGEREF _Toc535831518 \h </w:instrText>
        </w:r>
        <w:r>
          <w:rPr>
            <w:noProof/>
            <w:webHidden/>
          </w:rPr>
        </w:r>
        <w:r>
          <w:rPr>
            <w:noProof/>
            <w:webHidden/>
          </w:rPr>
          <w:fldChar w:fldCharType="separate"/>
        </w:r>
        <w:r>
          <w:rPr>
            <w:noProof/>
            <w:webHidden/>
          </w:rPr>
          <w:t>19</w:t>
        </w:r>
        <w:r>
          <w:rPr>
            <w:noProof/>
            <w:webHidden/>
          </w:rPr>
          <w:fldChar w:fldCharType="end"/>
        </w:r>
      </w:hyperlink>
    </w:p>
    <w:p w14:paraId="5897AD91" w14:textId="6AE6B1AD" w:rsidR="00E57E31" w:rsidRDefault="00E57E31">
      <w:pPr>
        <w:pStyle w:val="Obsah3"/>
        <w:tabs>
          <w:tab w:val="left" w:pos="1200"/>
          <w:tab w:val="right" w:leader="dot" w:pos="9060"/>
        </w:tabs>
        <w:rPr>
          <w:rFonts w:eastAsiaTheme="minorEastAsia" w:cstheme="minorBidi"/>
          <w:i w:val="0"/>
          <w:iCs w:val="0"/>
          <w:noProof/>
          <w:sz w:val="22"/>
          <w:szCs w:val="22"/>
        </w:rPr>
      </w:pPr>
      <w:hyperlink w:anchor="_Toc535831519" w:history="1">
        <w:r w:rsidRPr="00EF4E02">
          <w:rPr>
            <w:rStyle w:val="Hypertextovodkaz"/>
            <w:noProof/>
          </w:rPr>
          <w:t>2.7.3</w:t>
        </w:r>
        <w:r>
          <w:rPr>
            <w:rFonts w:eastAsiaTheme="minorEastAsia" w:cstheme="minorBidi"/>
            <w:i w:val="0"/>
            <w:iCs w:val="0"/>
            <w:noProof/>
            <w:sz w:val="22"/>
            <w:szCs w:val="22"/>
          </w:rPr>
          <w:tab/>
        </w:r>
        <w:r w:rsidRPr="00EF4E02">
          <w:rPr>
            <w:rStyle w:val="Hypertextovodkaz"/>
            <w:noProof/>
          </w:rPr>
          <w:t>Daň z přidané hodnoty</w:t>
        </w:r>
        <w:r>
          <w:rPr>
            <w:noProof/>
            <w:webHidden/>
          </w:rPr>
          <w:tab/>
        </w:r>
        <w:r>
          <w:rPr>
            <w:noProof/>
            <w:webHidden/>
          </w:rPr>
          <w:fldChar w:fldCharType="begin"/>
        </w:r>
        <w:r>
          <w:rPr>
            <w:noProof/>
            <w:webHidden/>
          </w:rPr>
          <w:instrText xml:space="preserve"> PAGEREF _Toc535831519 \h </w:instrText>
        </w:r>
        <w:r>
          <w:rPr>
            <w:noProof/>
            <w:webHidden/>
          </w:rPr>
        </w:r>
        <w:r>
          <w:rPr>
            <w:noProof/>
            <w:webHidden/>
          </w:rPr>
          <w:fldChar w:fldCharType="separate"/>
        </w:r>
        <w:r>
          <w:rPr>
            <w:noProof/>
            <w:webHidden/>
          </w:rPr>
          <w:t>19</w:t>
        </w:r>
        <w:r>
          <w:rPr>
            <w:noProof/>
            <w:webHidden/>
          </w:rPr>
          <w:fldChar w:fldCharType="end"/>
        </w:r>
      </w:hyperlink>
    </w:p>
    <w:p w14:paraId="4DEA6798" w14:textId="0C0711E6" w:rsidR="00E57E31" w:rsidRDefault="00E57E31">
      <w:pPr>
        <w:pStyle w:val="Obsah1"/>
        <w:rPr>
          <w:rFonts w:eastAsiaTheme="minorEastAsia" w:cstheme="minorBidi"/>
          <w:b w:val="0"/>
          <w:bCs w:val="0"/>
          <w:caps w:val="0"/>
          <w:noProof/>
          <w:sz w:val="22"/>
          <w:szCs w:val="22"/>
        </w:rPr>
      </w:pPr>
      <w:hyperlink w:anchor="_Toc535831520" w:history="1">
        <w:r w:rsidRPr="00EF4E02">
          <w:rPr>
            <w:rStyle w:val="Hypertextovodkaz"/>
            <w:noProof/>
          </w:rPr>
          <w:t>Tabulka č. 1: Přehled dokla</w:t>
        </w:r>
        <w:r w:rsidRPr="00EF4E02">
          <w:rPr>
            <w:rStyle w:val="Hypertextovodkaz"/>
            <w:noProof/>
          </w:rPr>
          <w:t>d</w:t>
        </w:r>
        <w:r w:rsidRPr="00EF4E02">
          <w:rPr>
            <w:rStyle w:val="Hypertextovodkaz"/>
            <w:noProof/>
          </w:rPr>
          <w:t>ování výdajů v Soupisce</w:t>
        </w:r>
        <w:r>
          <w:rPr>
            <w:noProof/>
            <w:webHidden/>
          </w:rPr>
          <w:tab/>
        </w:r>
        <w:r>
          <w:rPr>
            <w:noProof/>
            <w:webHidden/>
          </w:rPr>
          <w:fldChar w:fldCharType="begin"/>
        </w:r>
        <w:r>
          <w:rPr>
            <w:noProof/>
            <w:webHidden/>
          </w:rPr>
          <w:instrText xml:space="preserve"> PAGEREF _Toc535831520 \h </w:instrText>
        </w:r>
        <w:r>
          <w:rPr>
            <w:noProof/>
            <w:webHidden/>
          </w:rPr>
        </w:r>
        <w:r>
          <w:rPr>
            <w:noProof/>
            <w:webHidden/>
          </w:rPr>
          <w:fldChar w:fldCharType="separate"/>
        </w:r>
        <w:r>
          <w:rPr>
            <w:noProof/>
            <w:webHidden/>
          </w:rPr>
          <w:t>20</w:t>
        </w:r>
        <w:r>
          <w:rPr>
            <w:noProof/>
            <w:webHidden/>
          </w:rPr>
          <w:fldChar w:fldCharType="end"/>
        </w:r>
      </w:hyperlink>
    </w:p>
    <w:p w14:paraId="34951CD8" w14:textId="3B594455" w:rsidR="00E57E31" w:rsidRDefault="00E57E31">
      <w:pPr>
        <w:pStyle w:val="Obsah1"/>
        <w:rPr>
          <w:rFonts w:eastAsiaTheme="minorEastAsia" w:cstheme="minorBidi"/>
          <w:b w:val="0"/>
          <w:bCs w:val="0"/>
          <w:caps w:val="0"/>
          <w:noProof/>
          <w:sz w:val="22"/>
          <w:szCs w:val="22"/>
        </w:rPr>
      </w:pPr>
      <w:hyperlink w:anchor="_Toc535831521" w:history="1">
        <w:r w:rsidRPr="00EF4E02">
          <w:rPr>
            <w:rStyle w:val="Hypertextovodkaz"/>
            <w:noProof/>
          </w:rPr>
          <w:t>Tabulka č. 2: Přehl</w:t>
        </w:r>
        <w:r w:rsidRPr="00EF4E02">
          <w:rPr>
            <w:rStyle w:val="Hypertextovodkaz"/>
            <w:noProof/>
          </w:rPr>
          <w:t>e</w:t>
        </w:r>
        <w:r w:rsidRPr="00EF4E02">
          <w:rPr>
            <w:rStyle w:val="Hypertextovodkaz"/>
            <w:noProof/>
          </w:rPr>
          <w:t>d příloh k ZŽoP</w:t>
        </w:r>
        <w:r>
          <w:rPr>
            <w:noProof/>
            <w:webHidden/>
          </w:rPr>
          <w:tab/>
        </w:r>
        <w:r>
          <w:rPr>
            <w:noProof/>
            <w:webHidden/>
          </w:rPr>
          <w:fldChar w:fldCharType="begin"/>
        </w:r>
        <w:r>
          <w:rPr>
            <w:noProof/>
            <w:webHidden/>
          </w:rPr>
          <w:instrText xml:space="preserve"> PAGEREF _Toc535831521 \h </w:instrText>
        </w:r>
        <w:r>
          <w:rPr>
            <w:noProof/>
            <w:webHidden/>
          </w:rPr>
        </w:r>
        <w:r>
          <w:rPr>
            <w:noProof/>
            <w:webHidden/>
          </w:rPr>
          <w:fldChar w:fldCharType="separate"/>
        </w:r>
        <w:r>
          <w:rPr>
            <w:noProof/>
            <w:webHidden/>
          </w:rPr>
          <w:t>26</w:t>
        </w:r>
        <w:r>
          <w:rPr>
            <w:noProof/>
            <w:webHidden/>
          </w:rPr>
          <w:fldChar w:fldCharType="end"/>
        </w:r>
      </w:hyperlink>
    </w:p>
    <w:p w14:paraId="57805027" w14:textId="1738310B" w:rsidR="00E57E31" w:rsidRDefault="00E57E31">
      <w:pPr>
        <w:pStyle w:val="Obsah1"/>
        <w:rPr>
          <w:rFonts w:eastAsiaTheme="minorEastAsia" w:cstheme="minorBidi"/>
          <w:b w:val="0"/>
          <w:bCs w:val="0"/>
          <w:caps w:val="0"/>
          <w:noProof/>
          <w:sz w:val="22"/>
          <w:szCs w:val="22"/>
        </w:rPr>
      </w:pPr>
      <w:hyperlink w:anchor="_Toc535831522" w:history="1">
        <w:r w:rsidRPr="00EF4E02">
          <w:rPr>
            <w:rStyle w:val="Hypertextovodkaz"/>
            <w:noProof/>
          </w:rPr>
          <w:t>Přílo</w:t>
        </w:r>
        <w:r w:rsidRPr="00EF4E02">
          <w:rPr>
            <w:rStyle w:val="Hypertextovodkaz"/>
            <w:noProof/>
          </w:rPr>
          <w:t>h</w:t>
        </w:r>
        <w:r w:rsidRPr="00EF4E02">
          <w:rPr>
            <w:rStyle w:val="Hypertextovodkaz"/>
            <w:noProof/>
          </w:rPr>
          <w:t>y</w:t>
        </w:r>
        <w:r>
          <w:rPr>
            <w:noProof/>
            <w:webHidden/>
          </w:rPr>
          <w:tab/>
        </w:r>
        <w:r>
          <w:rPr>
            <w:noProof/>
            <w:webHidden/>
          </w:rPr>
          <w:fldChar w:fldCharType="begin"/>
        </w:r>
        <w:r>
          <w:rPr>
            <w:noProof/>
            <w:webHidden/>
          </w:rPr>
          <w:instrText xml:space="preserve"> PAGEREF _Toc535831522 \h </w:instrText>
        </w:r>
        <w:r>
          <w:rPr>
            <w:noProof/>
            <w:webHidden/>
          </w:rPr>
        </w:r>
        <w:r>
          <w:rPr>
            <w:noProof/>
            <w:webHidden/>
          </w:rPr>
          <w:fldChar w:fldCharType="separate"/>
        </w:r>
        <w:r>
          <w:rPr>
            <w:noProof/>
            <w:webHidden/>
          </w:rPr>
          <w:t>27</w:t>
        </w:r>
        <w:r>
          <w:rPr>
            <w:noProof/>
            <w:webHidden/>
          </w:rPr>
          <w:fldChar w:fldCharType="end"/>
        </w:r>
      </w:hyperlink>
    </w:p>
    <w:p w14:paraId="708FBF28" w14:textId="6542165B" w:rsidR="00E57E31" w:rsidRDefault="00E57E31">
      <w:pPr>
        <w:pStyle w:val="Obsah1"/>
        <w:rPr>
          <w:rFonts w:eastAsiaTheme="minorEastAsia" w:cstheme="minorBidi"/>
          <w:b w:val="0"/>
          <w:bCs w:val="0"/>
          <w:caps w:val="0"/>
          <w:noProof/>
          <w:sz w:val="22"/>
          <w:szCs w:val="22"/>
        </w:rPr>
      </w:pPr>
      <w:hyperlink w:anchor="_Toc535831523" w:history="1">
        <w:r w:rsidRPr="00EF4E02">
          <w:rPr>
            <w:rStyle w:val="Hypertextovodkaz"/>
            <w:noProof/>
          </w:rPr>
          <w:t>Přehled zm</w:t>
        </w:r>
        <w:r w:rsidRPr="00EF4E02">
          <w:rPr>
            <w:rStyle w:val="Hypertextovodkaz"/>
            <w:noProof/>
          </w:rPr>
          <w:t>ě</w:t>
        </w:r>
        <w:r w:rsidRPr="00EF4E02">
          <w:rPr>
            <w:rStyle w:val="Hypertextovodkaz"/>
            <w:noProof/>
          </w:rPr>
          <w:t>n v Příloze č. 11 PŽP</w:t>
        </w:r>
        <w:r>
          <w:rPr>
            <w:noProof/>
            <w:webHidden/>
          </w:rPr>
          <w:tab/>
        </w:r>
        <w:r>
          <w:rPr>
            <w:noProof/>
            <w:webHidden/>
          </w:rPr>
          <w:fldChar w:fldCharType="begin"/>
        </w:r>
        <w:r>
          <w:rPr>
            <w:noProof/>
            <w:webHidden/>
          </w:rPr>
          <w:instrText xml:space="preserve"> PAGEREF _Toc535831523 \h </w:instrText>
        </w:r>
        <w:r>
          <w:rPr>
            <w:noProof/>
            <w:webHidden/>
          </w:rPr>
        </w:r>
        <w:r>
          <w:rPr>
            <w:noProof/>
            <w:webHidden/>
          </w:rPr>
          <w:fldChar w:fldCharType="separate"/>
        </w:r>
        <w:r>
          <w:rPr>
            <w:noProof/>
            <w:webHidden/>
          </w:rPr>
          <w:t>28</w:t>
        </w:r>
        <w:r>
          <w:rPr>
            <w:noProof/>
            <w:webHidden/>
          </w:rPr>
          <w:fldChar w:fldCharType="end"/>
        </w:r>
      </w:hyperlink>
    </w:p>
    <w:p w14:paraId="45CF927E" w14:textId="1C5808A6" w:rsidR="00BC20CD" w:rsidRPr="00BC20CD" w:rsidRDefault="00BB18CB" w:rsidP="003E4C5B">
      <w:pPr>
        <w:pStyle w:val="Nadpis1"/>
      </w:pPr>
      <w:r w:rsidRPr="00436827">
        <w:rPr>
          <w:rFonts w:cs="Arial"/>
          <w:sz w:val="22"/>
          <w:szCs w:val="22"/>
        </w:rPr>
        <w:lastRenderedPageBreak/>
        <w:fldChar w:fldCharType="end"/>
      </w:r>
      <w:bookmarkStart w:id="0" w:name="_Toc444779805"/>
      <w:bookmarkStart w:id="1" w:name="_Toc535831498"/>
      <w:bookmarkEnd w:id="0"/>
      <w:r w:rsidR="00BC20CD">
        <w:t>Pravidla způsobilosti výdajů</w:t>
      </w:r>
      <w:bookmarkEnd w:id="1"/>
    </w:p>
    <w:p w14:paraId="4733C17E"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53583149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2792D0D2"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661DE28" w14:textId="77777777" w:rsidR="004B6A59"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 xml:space="preserve">období a jsou v souladu s příslušnými předpisy EU a ČR a dalšími pravidly stanovenými ŘO OPTP. </w:t>
      </w:r>
    </w:p>
    <w:p w14:paraId="33948484"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3AC8994"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D26D37F"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058C9C16"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7E4CAFA9"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 (časová způsobilost může být omezena v rámci konkrétní výzvy),</w:t>
      </w:r>
    </w:p>
    <w:p w14:paraId="5EFBE506" w14:textId="77777777"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p>
    <w:p w14:paraId="008DF020"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6041A00A"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50A5841D"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8CA21BA"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7D7CCA9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3773E907"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74BF8EFA" w14:textId="77777777" w:rsidR="0078390C" w:rsidRPr="007909EB" w:rsidRDefault="0078390C" w:rsidP="007909EB">
      <w:pPr>
        <w:spacing w:before="120" w:after="120"/>
        <w:contextualSpacing/>
        <w:rPr>
          <w:rFonts w:cs="Arial"/>
          <w:szCs w:val="22"/>
        </w:rPr>
      </w:pPr>
      <w:r w:rsidRPr="007909EB">
        <w:rPr>
          <w:rFonts w:cs="Arial"/>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73DCFA10"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7F7231B8"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5AEA4E10" w14:textId="141A8950"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00C57095" w:rsidRPr="00913D16">
        <w:rPr>
          <w:rFonts w:eastAsiaTheme="minorHAnsi" w:cs="Arial"/>
          <w:color w:val="000000"/>
          <w:szCs w:val="22"/>
          <w:lang w:eastAsia="en-US"/>
        </w:rPr>
        <w:t xml:space="preserve"> </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 xml:space="preserve"> /dodatku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5912825A" w14:textId="4E62E881"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 a to způsobem uvedeným v Metodickém návodu k aplikaci zákona o registru smluv, verze 1.8, vydaném v září 2018. </w:t>
      </w:r>
    </w:p>
    <w:p w14:paraId="3565F837" w14:textId="2B194A63"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69C19D24"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3B66C68" w14:textId="1F523AD5" w:rsidR="002F4183" w:rsidRDefault="00D03E41" w:rsidP="007909EB">
      <w:pPr>
        <w:spacing w:before="120" w:after="120"/>
        <w:rPr>
          <w:rFonts w:cs="Arial"/>
          <w:b/>
          <w:szCs w:val="22"/>
        </w:rPr>
      </w:pPr>
      <w:r>
        <w:rPr>
          <w:rFonts w:cs="Arial"/>
          <w:b/>
          <w:szCs w:val="22"/>
        </w:rPr>
        <w:lastRenderedPageBreak/>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30A7C2D7" w14:textId="77777777" w:rsidR="00822A69" w:rsidRDefault="00822A69" w:rsidP="007909EB">
      <w:pPr>
        <w:spacing w:before="120" w:after="120"/>
        <w:rPr>
          <w:rFonts w:cs="Arial"/>
          <w:b/>
          <w:szCs w:val="22"/>
        </w:rPr>
      </w:pPr>
    </w:p>
    <w:p w14:paraId="1A53F424" w14:textId="77777777" w:rsidR="002F4183" w:rsidRPr="007909EB" w:rsidRDefault="00A84E9D" w:rsidP="00DB20E1">
      <w:pPr>
        <w:pStyle w:val="Nadpis2"/>
      </w:pPr>
      <w:bookmarkStart w:id="24" w:name="_Toc535831500"/>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21C9CDF0"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55EE4741"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6B87EDF9" w14:textId="3D95F25C"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31306500" w14:textId="7987D875"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289F896B"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0B678E3D" w14:textId="77777777" w:rsidR="00827A6A" w:rsidRPr="00CA1E30" w:rsidRDefault="00133FCD" w:rsidP="00436827">
      <w:pPr>
        <w:spacing w:before="120" w:after="120"/>
        <w:rPr>
          <w:rFonts w:cs="Arial"/>
          <w:szCs w:val="22"/>
        </w:rPr>
      </w:pPr>
      <w:r>
        <w:rPr>
          <w:rFonts w:cs="Arial"/>
          <w:szCs w:val="22"/>
        </w:rPr>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1EC86EC3"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0A4DF5F3" w14:textId="77777777" w:rsidR="002C3D49" w:rsidRDefault="002C3D49" w:rsidP="00436827">
      <w:pPr>
        <w:spacing w:before="120" w:after="120"/>
        <w:rPr>
          <w:rFonts w:cs="Arial"/>
          <w:szCs w:val="22"/>
        </w:rPr>
      </w:pPr>
    </w:p>
    <w:p w14:paraId="6BE12D36" w14:textId="77777777" w:rsidR="00250C48" w:rsidRDefault="002C3D49" w:rsidP="00DB20E1">
      <w:pPr>
        <w:pStyle w:val="Nadpis2"/>
      </w:pPr>
      <w:bookmarkStart w:id="25" w:name="_Toc535831501"/>
      <w:r>
        <w:t>Doložení ceny obvyklé</w:t>
      </w:r>
      <w:bookmarkEnd w:id="25"/>
    </w:p>
    <w:p w14:paraId="38906AD3" w14:textId="6D2805AB"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681E058A"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175F0462" w14:textId="77777777" w:rsidR="002C3D49" w:rsidRPr="008B57A0" w:rsidRDefault="002C3D49" w:rsidP="0030223B">
      <w:pPr>
        <w:spacing w:after="120"/>
        <w:rPr>
          <w:rFonts w:cs="Arial"/>
        </w:rPr>
      </w:pPr>
      <w:r w:rsidRPr="008B57A0">
        <w:rPr>
          <w:rFonts w:cs="Arial"/>
        </w:rPr>
        <w:t>Cenu obvyklou lze z pohledu příjemce stanovit zejména:</w:t>
      </w:r>
    </w:p>
    <w:p w14:paraId="3337F460"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04A6D960"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0FEDEAD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lastRenderedPageBreak/>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35568E46" w14:textId="6FC524EF"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549CE34D" w14:textId="4D1F0EC4"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2"/>
      </w:r>
      <w:r w:rsidR="003A6D10">
        <w:rPr>
          <w:rFonts w:cs="Arial"/>
        </w:rPr>
        <w:t>.</w:t>
      </w:r>
    </w:p>
    <w:p w14:paraId="70C09884" w14:textId="77777777" w:rsidR="002F19CD" w:rsidRDefault="00E27810" w:rsidP="003E4C5B">
      <w:pPr>
        <w:pStyle w:val="Nadpis1"/>
      </w:pPr>
      <w:bookmarkStart w:id="26" w:name="_Toc444779727"/>
      <w:bookmarkStart w:id="27" w:name="_Toc444779816"/>
      <w:bookmarkStart w:id="28" w:name="_Toc535831502"/>
      <w:bookmarkEnd w:id="26"/>
      <w:bookmarkEnd w:id="27"/>
      <w:r w:rsidRPr="00D47A32">
        <w:lastRenderedPageBreak/>
        <w:t>Dokladování</w:t>
      </w:r>
      <w:bookmarkEnd w:id="28"/>
    </w:p>
    <w:p w14:paraId="27A7FC30"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w:t>
      </w:r>
      <w:proofErr w:type="spellStart"/>
      <w:r>
        <w:rPr>
          <w:rFonts w:cs="Arial"/>
        </w:rPr>
        <w:t>ZŽoP</w:t>
      </w:r>
      <w:proofErr w:type="spellEnd"/>
      <w:r>
        <w:rPr>
          <w:rFonts w:cs="Arial"/>
        </w:rPr>
        <w:t>“)</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72827734"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 xml:space="preserve">lné podobě (ve formát </w:t>
      </w:r>
      <w:proofErr w:type="spellStart"/>
      <w:r w:rsidR="00B523C6">
        <w:rPr>
          <w:rFonts w:cs="Arial"/>
        </w:rPr>
        <w:t>xls</w:t>
      </w:r>
      <w:proofErr w:type="spellEnd"/>
      <w:r w:rsidR="00B523C6">
        <w:rPr>
          <w:rFonts w:cs="Arial"/>
        </w:rPr>
        <w:t>.) a zároveň v případě podp</w:t>
      </w:r>
      <w:r w:rsidR="00646370">
        <w:rPr>
          <w:rFonts w:cs="Arial"/>
        </w:rPr>
        <w:t>i</w:t>
      </w:r>
      <w:r w:rsidR="00B523C6">
        <w:rPr>
          <w:rFonts w:cs="Arial"/>
        </w:rPr>
        <w:t>s</w:t>
      </w:r>
      <w:r w:rsidR="00646370">
        <w:rPr>
          <w:rFonts w:cs="Arial"/>
        </w:rPr>
        <w:t xml:space="preserve">u i ve formátu </w:t>
      </w:r>
      <w:proofErr w:type="spellStart"/>
      <w:r w:rsidR="00646370">
        <w:rPr>
          <w:rFonts w:cs="Arial"/>
        </w:rPr>
        <w:t>pdf</w:t>
      </w:r>
      <w:proofErr w:type="spellEnd"/>
      <w:r w:rsidR="00646370">
        <w:rPr>
          <w:rFonts w:cs="Arial"/>
        </w:rPr>
        <w:t xml:space="preserve">. </w:t>
      </w:r>
    </w:p>
    <w:p w14:paraId="122407D2"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0B4CB592"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18DE50F2"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53583150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09F66378" w14:textId="24F1936D"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7BE5AC8E" w14:textId="028C835D"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206CE9F5" w14:textId="4BFB2301"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0AB083E6" w14:textId="6BA33682"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musí být v souladu s náplní činnosti příslušného útvaru. </w:t>
      </w:r>
    </w:p>
    <w:p w14:paraId="0D581EEB" w14:textId="26F7B72E" w:rsidR="00FC766B" w:rsidRDefault="00FB162A" w:rsidP="007909EB">
      <w:pPr>
        <w:pStyle w:val="Default"/>
        <w:spacing w:before="120" w:after="120"/>
        <w:jc w:val="both"/>
        <w:rPr>
          <w:sz w:val="22"/>
          <w:szCs w:val="22"/>
        </w:rPr>
      </w:pPr>
      <w:r>
        <w:rPr>
          <w:sz w:val="22"/>
          <w:szCs w:val="22"/>
        </w:rPr>
        <w:t>V souladu s MP Lidské zdroje, č</w:t>
      </w:r>
      <w:r w:rsidR="00BB3ADA" w:rsidRPr="0011735B">
        <w:rPr>
          <w:sz w:val="22"/>
          <w:szCs w:val="22"/>
        </w:rPr>
        <w:t xml:space="preserve">innost vztahující se k implementaci </w:t>
      </w:r>
      <w:r w:rsidR="00BE4EDD">
        <w:rPr>
          <w:sz w:val="22"/>
          <w:szCs w:val="22"/>
        </w:rPr>
        <w:t xml:space="preserve">ESI </w:t>
      </w:r>
      <w:r w:rsidR="00BB3ADA" w:rsidRPr="0011735B">
        <w:rPr>
          <w:sz w:val="22"/>
          <w:szCs w:val="22"/>
        </w:rPr>
        <w:t xml:space="preserve">fondů je zaměstnancem vykonávána v rozsahu alespoň 25 % jeho </w:t>
      </w:r>
      <w:r w:rsidR="006046CA">
        <w:rPr>
          <w:sz w:val="22"/>
          <w:szCs w:val="22"/>
        </w:rPr>
        <w:t>služební/</w:t>
      </w:r>
      <w:r w:rsidR="00BB3ADA" w:rsidRPr="0011735B">
        <w:rPr>
          <w:sz w:val="22"/>
          <w:szCs w:val="22"/>
        </w:rPr>
        <w:t xml:space="preserve">pracovní činnosti, v případě zaměstnanců implementujících více programů je tato podmínka splněna součtem procentuálního zapojení v jednotlivých programech. </w:t>
      </w:r>
      <w:r w:rsidR="00BB3ADA" w:rsidRPr="004A48A4">
        <w:rPr>
          <w:sz w:val="22"/>
          <w:szCs w:val="22"/>
        </w:rPr>
        <w:t>Procentuální podíl činností vztahujících se k implementaci fondů EU je uveden v pracovní náplni nebo j</w:t>
      </w:r>
      <w:r w:rsidR="00BB3ADA" w:rsidRPr="00376136">
        <w:rPr>
          <w:sz w:val="22"/>
          <w:szCs w:val="22"/>
        </w:rPr>
        <w:t>e dokladován průkazným způsobem (souhrnnými pracovními listy denními</w:t>
      </w:r>
      <w:r w:rsidR="00D0167A" w:rsidRPr="004A48A4">
        <w:rPr>
          <w:sz w:val="22"/>
          <w:szCs w:val="22"/>
        </w:rPr>
        <w:t xml:space="preserve"> – výkazy práce</w:t>
      </w:r>
      <w:r w:rsidR="00BB3ADA" w:rsidRPr="004A48A4">
        <w:rPr>
          <w:sz w:val="22"/>
          <w:szCs w:val="22"/>
        </w:rPr>
        <w:t xml:space="preserve">). </w:t>
      </w:r>
    </w:p>
    <w:p w14:paraId="08A6D8B8" w14:textId="386BDD18" w:rsidR="00BB3ADA" w:rsidRDefault="00FC766B" w:rsidP="007909EB">
      <w:pPr>
        <w:pStyle w:val="Default"/>
        <w:spacing w:before="120" w:after="120"/>
        <w:jc w:val="both"/>
        <w:rPr>
          <w:sz w:val="22"/>
          <w:szCs w:val="22"/>
        </w:rPr>
      </w:pPr>
      <w:r>
        <w:rPr>
          <w:sz w:val="22"/>
          <w:szCs w:val="22"/>
        </w:rPr>
        <w:lastRenderedPageBreak/>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w:t>
      </w:r>
      <w:proofErr w:type="spellStart"/>
      <w:r w:rsidR="00CC722B">
        <w:rPr>
          <w:sz w:val="22"/>
          <w:szCs w:val="22"/>
        </w:rPr>
        <w:t>DoP</w:t>
      </w:r>
      <w:proofErr w:type="spellEnd"/>
      <w:r w:rsidR="00CC722B">
        <w:rPr>
          <w:sz w:val="22"/>
          <w:szCs w:val="22"/>
        </w:rPr>
        <w:t xml:space="preserve">/NSRR </w:t>
      </w:r>
      <w:r w:rsidR="00CC722B" w:rsidRPr="00AF6E3D">
        <w:rPr>
          <w:sz w:val="22"/>
          <w:szCs w:val="22"/>
        </w:rPr>
        <w:t>a to minimálně z 25 %</w:t>
      </w:r>
      <w:r w:rsidR="00CC722B" w:rsidRPr="00362584">
        <w:rPr>
          <w:sz w:val="22"/>
          <w:szCs w:val="22"/>
          <w:vertAlign w:val="superscript"/>
        </w:rPr>
        <w:footnoteReference w:id="3"/>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3D4B8EE" w14:textId="77777777" w:rsidR="00F86467" w:rsidRPr="004A48A4" w:rsidRDefault="00F86467" w:rsidP="007909EB">
      <w:pPr>
        <w:pStyle w:val="Nadpis3"/>
      </w:pPr>
      <w:bookmarkStart w:id="75" w:name="_Toc535831504"/>
      <w:r w:rsidRPr="004A48A4">
        <w:t>Způsobilost osobních nákladů</w:t>
      </w:r>
      <w:bookmarkEnd w:id="75"/>
    </w:p>
    <w:p w14:paraId="12C72AC7" w14:textId="2F122BED" w:rsidR="001A1DC4" w:rsidRDefault="001A1DC4" w:rsidP="007909EB">
      <w:pPr>
        <w:pStyle w:val="Default"/>
        <w:spacing w:before="120" w:after="120"/>
        <w:jc w:val="both"/>
        <w:rPr>
          <w:sz w:val="22"/>
          <w:szCs w:val="22"/>
        </w:rPr>
      </w:pPr>
      <w:r>
        <w:rPr>
          <w:sz w:val="22"/>
          <w:szCs w:val="22"/>
        </w:rPr>
        <w:t>Osobní náklady lze považovat za způsobilé, pokud splňují základní principy způsobilosti výdajů a jsou hrazeny v souladu s platnými právními předpisy</w:t>
      </w:r>
      <w:r w:rsidR="00D20A92" w:rsidRPr="00D20A92">
        <w:rPr>
          <w:sz w:val="22"/>
          <w:szCs w:val="22"/>
        </w:rPr>
        <w:t xml:space="preserve"> </w:t>
      </w:r>
      <w:r w:rsidR="00D20A92">
        <w:rPr>
          <w:sz w:val="22"/>
          <w:szCs w:val="22"/>
        </w:rPr>
        <w:t>a představují pro příjemce skutečný výdaj na daný projekt. Osobní náklady by neměly přesáhnout obvyklou výši v daném oboru, čase a místě, a pokud ji převyšují, je nezbytné ji náležitě odůvodnit</w:t>
      </w:r>
      <w:r>
        <w:rPr>
          <w:sz w:val="22"/>
          <w:szCs w:val="22"/>
        </w:rPr>
        <w:t xml:space="preserve">. </w:t>
      </w:r>
    </w:p>
    <w:p w14:paraId="7DC0BD20" w14:textId="41F5D83F"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 hrubá mzda, plat nebo odměna z dohod zaměstnanců pracujících na projektu</w:t>
      </w:r>
      <w:r>
        <w:rPr>
          <w:sz w:val="14"/>
          <w:szCs w:val="14"/>
        </w:rPr>
        <w:t xml:space="preserve"> </w:t>
      </w:r>
      <w:r>
        <w:rPr>
          <w:sz w:val="22"/>
          <w:szCs w:val="22"/>
        </w:rPr>
        <w:t>(popř. její alikvotní část odpovídající</w:t>
      </w:r>
      <w:r w:rsidR="00271AB8">
        <w:rPr>
          <w:sz w:val="22"/>
          <w:szCs w:val="22"/>
        </w:rPr>
        <w:t xml:space="preserve"> zapojení zaměstnance do realizace daného</w:t>
      </w:r>
      <w:r>
        <w:rPr>
          <w:sz w:val="22"/>
          <w:szCs w:val="22"/>
        </w:rPr>
        <w:t xml:space="preserve">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 xml:space="preserve">práci přesčas, práci ve svátek, pokud zaměstnanec vykonával v tomto časovém období práce </w:t>
      </w:r>
      <w:r w:rsidR="006954EB">
        <w:rPr>
          <w:sz w:val="22"/>
          <w:szCs w:val="22"/>
        </w:rPr>
        <w:t xml:space="preserve">související přímo </w:t>
      </w:r>
      <w:r>
        <w:rPr>
          <w:sz w:val="22"/>
          <w:szCs w:val="22"/>
        </w:rPr>
        <w:t>s projektem, odměn</w:t>
      </w:r>
      <w:r w:rsidR="006A526F">
        <w:rPr>
          <w:sz w:val="22"/>
          <w:szCs w:val="22"/>
        </w:rPr>
        <w:t xml:space="preserve">y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68C59BFD" w14:textId="6F3FCBE4"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15CFE46D" w14:textId="78BD4016" w:rsidR="005755D5" w:rsidRDefault="00F86467" w:rsidP="007909EB">
      <w:pPr>
        <w:pStyle w:val="Default"/>
        <w:spacing w:before="120" w:after="120"/>
        <w:jc w:val="both"/>
        <w:rPr>
          <w:color w:val="auto"/>
          <w:sz w:val="22"/>
          <w:szCs w:val="22"/>
        </w:rPr>
      </w:pPr>
      <w:r w:rsidRPr="00F25B6F">
        <w:rPr>
          <w:b/>
          <w:color w:val="auto"/>
          <w:sz w:val="22"/>
          <w:szCs w:val="22"/>
        </w:rPr>
        <w:t>Náhrady za dovolenou</w:t>
      </w:r>
      <w:r w:rsidRPr="008C0F7B">
        <w:rPr>
          <w:color w:val="auto"/>
          <w:sz w:val="22"/>
          <w:szCs w:val="22"/>
        </w:rPr>
        <w:t xml:space="preserve"> zaměstnance jsou způsobilé pouze v rozsahu, v jakém odpovídají zapojení zaměstnance do realizace projektu.</w:t>
      </w:r>
      <w:r w:rsidR="0010121F">
        <w:rPr>
          <w:color w:val="auto"/>
          <w:sz w:val="22"/>
          <w:szCs w:val="22"/>
        </w:rPr>
        <w:t xml:space="preserve"> </w:t>
      </w:r>
      <w:r w:rsidRPr="008C0F7B">
        <w:rPr>
          <w:color w:val="auto"/>
          <w:sz w:val="22"/>
          <w:szCs w:val="22"/>
        </w:rPr>
        <w:t>Způsobil</w:t>
      </w:r>
      <w:r>
        <w:rPr>
          <w:color w:val="auto"/>
          <w:sz w:val="22"/>
          <w:szCs w:val="22"/>
        </w:rPr>
        <w:t>é</w:t>
      </w:r>
      <w:r w:rsidR="002B10CE">
        <w:rPr>
          <w:color w:val="auto"/>
          <w:sz w:val="22"/>
          <w:szCs w:val="22"/>
        </w:rPr>
        <w:t xml:space="preserve"> výdaje</w:t>
      </w:r>
      <w:r w:rsidRPr="008C0F7B">
        <w:rPr>
          <w:color w:val="auto"/>
          <w:sz w:val="22"/>
          <w:szCs w:val="22"/>
        </w:rPr>
        <w:t xml:space="preserve"> j</w:t>
      </w:r>
      <w:r>
        <w:rPr>
          <w:color w:val="auto"/>
          <w:sz w:val="22"/>
          <w:szCs w:val="22"/>
        </w:rPr>
        <w:t>sou</w:t>
      </w:r>
      <w:r w:rsidRPr="008C0F7B">
        <w:rPr>
          <w:color w:val="auto"/>
          <w:sz w:val="22"/>
          <w:szCs w:val="22"/>
        </w:rPr>
        <w:t xml:space="preserve"> také </w:t>
      </w:r>
      <w:r w:rsidR="001A1DC4">
        <w:rPr>
          <w:color w:val="auto"/>
          <w:sz w:val="22"/>
          <w:szCs w:val="22"/>
        </w:rPr>
        <w:t xml:space="preserve">tzv. </w:t>
      </w:r>
      <w:r w:rsidRPr="008C0F7B">
        <w:rPr>
          <w:color w:val="auto"/>
          <w:sz w:val="22"/>
          <w:szCs w:val="22"/>
        </w:rPr>
        <w:t>náhrady mzdy</w:t>
      </w:r>
      <w:r w:rsidR="00BD0596">
        <w:rPr>
          <w:color w:val="auto"/>
          <w:sz w:val="22"/>
          <w:szCs w:val="22"/>
        </w:rPr>
        <w:t>/</w:t>
      </w:r>
      <w:r w:rsidRPr="008C0F7B">
        <w:rPr>
          <w:color w:val="auto"/>
          <w:sz w:val="22"/>
          <w:szCs w:val="22"/>
        </w:rPr>
        <w:t>platu (resp. poměrná část)</w:t>
      </w:r>
      <w:r w:rsidR="006954EB">
        <w:rPr>
          <w:color w:val="auto"/>
          <w:sz w:val="22"/>
          <w:szCs w:val="22"/>
        </w:rPr>
        <w:t xml:space="preserve"> </w:t>
      </w:r>
      <w:r w:rsidRPr="00F25B6F">
        <w:rPr>
          <w:b/>
          <w:color w:val="auto"/>
          <w:sz w:val="22"/>
          <w:szCs w:val="22"/>
        </w:rPr>
        <w:t>v případě překážek v</w:t>
      </w:r>
      <w:r w:rsidR="00BE1058" w:rsidRPr="00F25B6F">
        <w:rPr>
          <w:b/>
          <w:color w:val="auto"/>
          <w:sz w:val="22"/>
          <w:szCs w:val="22"/>
        </w:rPr>
        <w:t> </w:t>
      </w:r>
      <w:r w:rsidRPr="00F25B6F">
        <w:rPr>
          <w:b/>
          <w:color w:val="auto"/>
          <w:sz w:val="22"/>
          <w:szCs w:val="22"/>
        </w:rPr>
        <w:t>práci</w:t>
      </w:r>
      <w:r w:rsidR="00BE1058" w:rsidRPr="00F25B6F">
        <w:rPr>
          <w:b/>
          <w:color w:val="auto"/>
          <w:sz w:val="22"/>
          <w:szCs w:val="22"/>
        </w:rPr>
        <w:t xml:space="preserve"> či službě</w:t>
      </w:r>
      <w:r w:rsidRPr="008C0F7B">
        <w:rPr>
          <w:color w:val="auto"/>
          <w:sz w:val="22"/>
          <w:szCs w:val="22"/>
        </w:rPr>
        <w:t>, za které v souladu se zákoníkem práce</w:t>
      </w:r>
      <w:r>
        <w:rPr>
          <w:color w:val="auto"/>
          <w:sz w:val="22"/>
          <w:szCs w:val="22"/>
        </w:rPr>
        <w:t xml:space="preserve"> a ZSS</w:t>
      </w:r>
      <w:r w:rsidRPr="008C0F7B">
        <w:rPr>
          <w:color w:val="auto"/>
          <w:sz w:val="22"/>
          <w:szCs w:val="22"/>
        </w:rPr>
        <w:t xml:space="preserve"> přísluší zaměstnanci náhrada mzdy</w:t>
      </w:r>
      <w:r w:rsidR="00BD0596">
        <w:rPr>
          <w:color w:val="auto"/>
          <w:sz w:val="22"/>
          <w:szCs w:val="22"/>
        </w:rPr>
        <w:t>/</w:t>
      </w:r>
      <w:r w:rsidRPr="008C0F7B">
        <w:rPr>
          <w:color w:val="auto"/>
          <w:sz w:val="22"/>
          <w:szCs w:val="22"/>
        </w:rPr>
        <w:t xml:space="preserve">platu hrazená zaměstnavatelem. </w:t>
      </w:r>
      <w:r w:rsidR="00BE1058">
        <w:rPr>
          <w:color w:val="auto"/>
          <w:sz w:val="22"/>
          <w:szCs w:val="22"/>
        </w:rPr>
        <w:t xml:space="preserve">Za takové překážky na straně zaměstnance lze považovat např. překážku v práci spočívající ve zdravotní indispozici (tzv. </w:t>
      </w:r>
      <w:proofErr w:type="spellStart"/>
      <w:r w:rsidR="00BE1058">
        <w:rPr>
          <w:color w:val="auto"/>
          <w:sz w:val="22"/>
          <w:szCs w:val="22"/>
        </w:rPr>
        <w:t>indispoziční</w:t>
      </w:r>
      <w:proofErr w:type="spellEnd"/>
      <w:r w:rsidR="00BE1058">
        <w:rPr>
          <w:color w:val="auto"/>
          <w:sz w:val="22"/>
          <w:szCs w:val="22"/>
        </w:rPr>
        <w:t xml:space="preserve"> volno)</w:t>
      </w:r>
      <w:r w:rsidR="00906BE6">
        <w:rPr>
          <w:rStyle w:val="Znakapoznpodarou"/>
          <w:color w:val="auto"/>
          <w:sz w:val="22"/>
          <w:szCs w:val="22"/>
        </w:rPr>
        <w:footnoteReference w:id="4"/>
      </w:r>
      <w:r w:rsidR="00BE1058">
        <w:rPr>
          <w:color w:val="auto"/>
          <w:sz w:val="22"/>
          <w:szCs w:val="22"/>
        </w:rPr>
        <w:t>,</w:t>
      </w:r>
      <w:r w:rsidR="003045CE">
        <w:rPr>
          <w:color w:val="auto"/>
          <w:sz w:val="22"/>
          <w:szCs w:val="22"/>
        </w:rPr>
        <w:t xml:space="preserve"> překážku k zařízení osobních záležitostí, překážky z důvodu obecného zájmu (</w:t>
      </w:r>
      <w:r w:rsidR="00F676F0">
        <w:rPr>
          <w:color w:val="auto"/>
          <w:sz w:val="22"/>
          <w:szCs w:val="22"/>
        </w:rPr>
        <w:t>např.</w:t>
      </w:r>
      <w:r w:rsidR="003045CE">
        <w:rPr>
          <w:color w:val="auto"/>
          <w:sz w:val="22"/>
          <w:szCs w:val="22"/>
        </w:rPr>
        <w:t xml:space="preserve"> darování krve),</w:t>
      </w:r>
      <w:r w:rsidR="00BE1058">
        <w:rPr>
          <w:color w:val="auto"/>
          <w:sz w:val="22"/>
          <w:szCs w:val="22"/>
        </w:rPr>
        <w:t xml:space="preserve"> dále např. vyšetření nebo ošetření u lékaře, svatba, narození dítěte, promoce, účast na pohřbu rodinného příslušníka</w:t>
      </w:r>
      <w:r w:rsidR="003045CE">
        <w:rPr>
          <w:color w:val="auto"/>
          <w:sz w:val="22"/>
          <w:szCs w:val="22"/>
        </w:rPr>
        <w:t xml:space="preserve"> </w:t>
      </w:r>
      <w:r w:rsidR="00BE1058">
        <w:rPr>
          <w:color w:val="auto"/>
          <w:sz w:val="22"/>
          <w:szCs w:val="22"/>
        </w:rPr>
        <w:t>apod.</w:t>
      </w:r>
      <w:r w:rsidR="00952471">
        <w:rPr>
          <w:rStyle w:val="Znakapoznpodarou"/>
          <w:color w:val="auto"/>
          <w:sz w:val="22"/>
          <w:szCs w:val="22"/>
        </w:rPr>
        <w:footnoteReference w:id="5"/>
      </w:r>
      <w:r w:rsidR="00BE1058">
        <w:rPr>
          <w:color w:val="auto"/>
          <w:sz w:val="22"/>
          <w:szCs w:val="22"/>
        </w:rPr>
        <w:t xml:space="preserve"> </w:t>
      </w:r>
    </w:p>
    <w:p w14:paraId="637AE5EA" w14:textId="77777777"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5755D5">
        <w:rPr>
          <w:rStyle w:val="Znakapoznpodarou"/>
          <w:color w:val="auto"/>
          <w:sz w:val="22"/>
          <w:szCs w:val="22"/>
        </w:rPr>
        <w:footnoteReference w:id="6"/>
      </w:r>
      <w:r w:rsidRPr="008C0F7B">
        <w:rPr>
          <w:color w:val="auto"/>
          <w:sz w:val="22"/>
          <w:szCs w:val="22"/>
        </w:rPr>
        <w:t>.</w:t>
      </w:r>
      <w:r w:rsidR="004A48DF" w:rsidRPr="004A48DF">
        <w:rPr>
          <w:color w:val="auto"/>
          <w:sz w:val="22"/>
          <w:szCs w:val="22"/>
        </w:rPr>
        <w:t xml:space="preserve"> </w:t>
      </w:r>
    </w:p>
    <w:p w14:paraId="7CD3244F" w14:textId="77777777" w:rsidR="00BE1058" w:rsidRDefault="004A48DF" w:rsidP="007909EB">
      <w:pPr>
        <w:pStyle w:val="Default"/>
        <w:spacing w:before="120" w:after="120"/>
        <w:jc w:val="both"/>
        <w:rPr>
          <w:color w:val="auto"/>
          <w:sz w:val="22"/>
          <w:szCs w:val="22"/>
        </w:rPr>
      </w:pPr>
      <w:r>
        <w:rPr>
          <w:color w:val="auto"/>
          <w:sz w:val="22"/>
          <w:szCs w:val="22"/>
        </w:rPr>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4B24F6E4"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w:t>
      </w:r>
      <w:r w:rsidRPr="00224D14">
        <w:rPr>
          <w:color w:val="auto"/>
          <w:sz w:val="22"/>
          <w:szCs w:val="22"/>
        </w:rPr>
        <w:lastRenderedPageBreak/>
        <w:t xml:space="preserve">kalendářním roce, ale z důvodu překážek v práci na straně zaměstnance nebo z naléhavých 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64205CF9" w14:textId="77777777"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za podmínky hrazení této nevyčerpané dovolené ze zdrojů v rámci stejného programu. V případě změny služebního zařazení státního zaměstnance a jeho následném zařazení na jiné služební místo v rámci jiného služebního úřadu, zůstává státnímu zaměstnanci dle platné legislativy</w:t>
      </w:r>
      <w:r w:rsidR="002F736F">
        <w:rPr>
          <w:rStyle w:val="Znakapoznpodarou"/>
        </w:rPr>
        <w:footnoteReference w:id="7"/>
      </w:r>
      <w:r w:rsidR="0047137D">
        <w:rPr>
          <w:color w:val="auto"/>
          <w:sz w:val="22"/>
          <w:szCs w:val="22"/>
        </w:rPr>
        <w:t xml:space="preserve"> </w:t>
      </w:r>
      <w:r w:rsidRPr="00224D14">
        <w:rPr>
          <w:color w:val="auto"/>
          <w:sz w:val="22"/>
          <w:szCs w:val="22"/>
        </w:rPr>
        <w:t>a za dodržení výše uvedených podmínek zachován nárok na vyčerpání zbylé dovolené i na novém služebním místě. Při výpočtu výše tohoto výdaje je postupováno dle platných zákonů, předpisů a dle podmínek projektu, v rámci kterého je dovolená čerpána.</w:t>
      </w:r>
    </w:p>
    <w:p w14:paraId="489B959F" w14:textId="77777777"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pracovník 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13C7D473" w14:textId="393C4BCC"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2C04B5A9" w14:textId="0396F86D" w:rsidR="00944085" w:rsidRPr="00E92845" w:rsidRDefault="00944085" w:rsidP="00E92845">
      <w:pPr>
        <w:spacing w:before="240"/>
        <w:rPr>
          <w:rFonts w:cs="Arial"/>
          <w:iCs/>
          <w:szCs w:val="22"/>
        </w:rPr>
      </w:pPr>
      <w:r w:rsidRPr="00E92845">
        <w:rPr>
          <w:rFonts w:cs="Arial"/>
          <w:iCs/>
          <w:szCs w:val="22"/>
        </w:rPr>
        <w:t>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pracovníka do realizace projektu.</w:t>
      </w:r>
      <w:r w:rsidRPr="00E92845">
        <w:rPr>
          <w:rStyle w:val="Znakapoznpodarou"/>
          <w:rFonts w:cs="Arial"/>
          <w:iCs/>
          <w:szCs w:val="22"/>
        </w:rPr>
        <w:footnoteReference w:id="8"/>
      </w:r>
    </w:p>
    <w:p w14:paraId="5AA69084" w14:textId="16505D03" w:rsidR="00E737D9" w:rsidRPr="00E92845" w:rsidRDefault="00E737D9" w:rsidP="00E92845">
      <w:pPr>
        <w:pStyle w:val="Default"/>
        <w:spacing w:before="120" w:after="120"/>
        <w:jc w:val="both"/>
        <w:rPr>
          <w:sz w:val="22"/>
          <w:szCs w:val="22"/>
        </w:rPr>
      </w:pPr>
      <w:r w:rsidRPr="00362D86">
        <w:rPr>
          <w:sz w:val="22"/>
          <w:szCs w:val="22"/>
        </w:rPr>
        <w:t xml:space="preserve">Mezi způsobilé náklady patří i </w:t>
      </w:r>
      <w:r w:rsidRPr="00E92845">
        <w:rPr>
          <w:sz w:val="22"/>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 w:val="22"/>
          <w:szCs w:val="22"/>
        </w:rPr>
        <w:t xml:space="preserve">zákonného limitu </w:t>
      </w:r>
      <w:r w:rsidR="004C6E20">
        <w:rPr>
          <w:sz w:val="22"/>
          <w:szCs w:val="22"/>
        </w:rPr>
        <w:br/>
      </w:r>
      <w:r w:rsidRPr="00E92845">
        <w:rPr>
          <w:sz w:val="22"/>
          <w:szCs w:val="22"/>
        </w:rPr>
        <w:t xml:space="preserve">55 % </w:t>
      </w:r>
      <w:r w:rsidRPr="00362D86">
        <w:rPr>
          <w:sz w:val="22"/>
          <w:szCs w:val="22"/>
        </w:rPr>
        <w:t>nominální hodnoty jedné stravenky</w:t>
      </w:r>
      <w:r w:rsidRPr="00E92845">
        <w:rPr>
          <w:sz w:val="22"/>
          <w:szCs w:val="22"/>
        </w:rPr>
        <w:t xml:space="preserve">. Příspěvek na stravování je způsobilý, pouze pokud přítomnost zaměstnance v práci během této stanovené směny trvá alespoň 3 hodiny. </w:t>
      </w:r>
    </w:p>
    <w:p w14:paraId="13D0D7F3" w14:textId="30839946" w:rsidR="004F0AD9" w:rsidRPr="00E92845" w:rsidRDefault="00FC52E9" w:rsidP="00E92845">
      <w:pPr>
        <w:rPr>
          <w:rFonts w:cs="Arial"/>
          <w:szCs w:val="22"/>
        </w:rPr>
      </w:pPr>
      <w:r w:rsidRPr="00E92845">
        <w:rPr>
          <w:rFonts w:cs="Arial"/>
          <w:szCs w:val="22"/>
        </w:rPr>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Způsobilým výdajem je odstupné pouze do zákonem uvedené 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2197B943" w14:textId="77777777" w:rsidR="003C424B" w:rsidRDefault="00444102" w:rsidP="007909EB">
      <w:pPr>
        <w:pStyle w:val="Default"/>
        <w:spacing w:before="120" w:after="120"/>
        <w:jc w:val="both"/>
        <w:rPr>
          <w:sz w:val="22"/>
          <w:szCs w:val="22"/>
        </w:rPr>
      </w:pPr>
      <w:r w:rsidRPr="003E3A05">
        <w:rPr>
          <w:sz w:val="22"/>
          <w:szCs w:val="22"/>
        </w:rPr>
        <w:t xml:space="preserve">Dojde-li </w:t>
      </w:r>
      <w:r w:rsidRPr="003A6609">
        <w:rPr>
          <w:sz w:val="22"/>
          <w:szCs w:val="22"/>
        </w:rPr>
        <w:t>k překrytí pracovních poměrů dvou zaměstnanců</w:t>
      </w:r>
      <w:r w:rsidRPr="003E3A05">
        <w:rPr>
          <w:sz w:val="22"/>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 w:val="22"/>
          <w:szCs w:val="22"/>
        </w:rPr>
        <w:footnoteReference w:id="9"/>
      </w:r>
      <w:r w:rsidR="002D7496">
        <w:rPr>
          <w:sz w:val="22"/>
          <w:szCs w:val="22"/>
        </w:rPr>
        <w:t>.</w:t>
      </w:r>
    </w:p>
    <w:p w14:paraId="54AB047F" w14:textId="46610778"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3FD86F14" w14:textId="77777777"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zdové náklady zaměstnanců, kteří se na realizaci projektu nepodílí, v případě říd</w:t>
      </w:r>
      <w:r w:rsidR="00322D4D">
        <w:rPr>
          <w:sz w:val="22"/>
          <w:szCs w:val="22"/>
        </w:rPr>
        <w:t>i</w:t>
      </w:r>
      <w:r w:rsidR="00F86467">
        <w:rPr>
          <w:sz w:val="22"/>
          <w:szCs w:val="22"/>
        </w:rPr>
        <w:t xml:space="preserve">cích pracovníků je potřeba posuzovat jejich skutečné zapojení do realizace projektu. Osobní náklady na zaměstnance v pozicích statutárních zástupců (ministra, náměstka, </w:t>
      </w:r>
      <w:r w:rsidR="00F86467">
        <w:rPr>
          <w:sz w:val="22"/>
          <w:szCs w:val="22"/>
        </w:rPr>
        <w:lastRenderedPageBreak/>
        <w:t>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6D2A1E2A"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03D4318A"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7E7D2D68"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2343EA6A" w14:textId="77777777" w:rsidR="00EB7A2A" w:rsidRPr="004A48A4" w:rsidRDefault="00F86467" w:rsidP="007909EB">
      <w:pPr>
        <w:pStyle w:val="Nadpis3"/>
      </w:pPr>
      <w:bookmarkStart w:id="76" w:name="_Toc447531351"/>
      <w:bookmarkStart w:id="77" w:name="_Toc447539186"/>
      <w:bookmarkStart w:id="78" w:name="_Toc447546357"/>
      <w:bookmarkStart w:id="79" w:name="_Toc444778116"/>
      <w:bookmarkStart w:id="80" w:name="_Toc444779744"/>
      <w:bookmarkStart w:id="81" w:name="_Toc444779833"/>
      <w:bookmarkStart w:id="82" w:name="_Toc444778117"/>
      <w:bookmarkStart w:id="83" w:name="_Toc444779745"/>
      <w:bookmarkStart w:id="84" w:name="_Toc444779834"/>
      <w:bookmarkStart w:id="85" w:name="_Toc444778118"/>
      <w:bookmarkStart w:id="86" w:name="_Toc444779746"/>
      <w:bookmarkStart w:id="87" w:name="_Toc444779835"/>
      <w:bookmarkStart w:id="88" w:name="_Toc444778119"/>
      <w:bookmarkStart w:id="89" w:name="_Toc444779747"/>
      <w:bookmarkStart w:id="90" w:name="_Toc444779836"/>
      <w:bookmarkStart w:id="91" w:name="_Toc444778120"/>
      <w:bookmarkStart w:id="92" w:name="_Toc444779748"/>
      <w:bookmarkStart w:id="93" w:name="_Toc444779837"/>
      <w:bookmarkStart w:id="94" w:name="_Toc444778121"/>
      <w:bookmarkStart w:id="95" w:name="_Toc444779749"/>
      <w:bookmarkStart w:id="96" w:name="_Toc444779838"/>
      <w:bookmarkStart w:id="97" w:name="_Toc444778122"/>
      <w:bookmarkStart w:id="98" w:name="_Toc444779750"/>
      <w:bookmarkStart w:id="99" w:name="_Toc444779839"/>
      <w:bookmarkStart w:id="100" w:name="_Toc444778123"/>
      <w:bookmarkStart w:id="101" w:name="_Toc444779751"/>
      <w:bookmarkStart w:id="102" w:name="_Toc444779840"/>
      <w:bookmarkStart w:id="103" w:name="_Toc444778124"/>
      <w:bookmarkStart w:id="104" w:name="_Toc444779752"/>
      <w:bookmarkStart w:id="105" w:name="_Toc444779841"/>
      <w:bookmarkStart w:id="106" w:name="_Toc53583150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4A48A4">
        <w:t>Dokladování osobních nákladů</w:t>
      </w:r>
      <w:bookmarkEnd w:id="106"/>
    </w:p>
    <w:p w14:paraId="7F84B341"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20DDC125"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76477E15"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0"/>
      </w:r>
      <w:r w:rsidR="00A55D95">
        <w:rPr>
          <w:rFonts w:cs="Arial"/>
          <w:szCs w:val="22"/>
        </w:rPr>
        <w:t>.</w:t>
      </w:r>
    </w:p>
    <w:p w14:paraId="2FBCDD12"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7B79D5AD" w14:textId="24B2DAE2" w:rsidR="005E6ED9" w:rsidRDefault="00BB3ADA" w:rsidP="007909EB">
      <w:pPr>
        <w:autoSpaceDE w:val="0"/>
        <w:autoSpaceDN w:val="0"/>
        <w:adjustRightInd w:val="0"/>
        <w:spacing w:before="120" w:after="120"/>
        <w:rPr>
          <w:rFonts w:cs="Arial"/>
          <w:szCs w:val="22"/>
        </w:rPr>
      </w:pPr>
      <w:r w:rsidRPr="007909EB">
        <w:rPr>
          <w:rFonts w:cs="Arial"/>
          <w:szCs w:val="22"/>
        </w:rPr>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0C073B65"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0C7E5AC0" w14:textId="2C258809"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 xml:space="preserve">podílející se na implementaci </w:t>
      </w:r>
      <w:proofErr w:type="spellStart"/>
      <w:r w:rsidR="005B4262" w:rsidRPr="00BB18CB">
        <w:rPr>
          <w:rFonts w:cs="Arial"/>
          <w:szCs w:val="20"/>
        </w:rPr>
        <w:t>DoP</w:t>
      </w:r>
      <w:proofErr w:type="spellEnd"/>
      <w:r w:rsidR="005B4262" w:rsidRPr="00BB18CB">
        <w:rPr>
          <w:rFonts w:cs="Arial"/>
          <w:szCs w:val="20"/>
        </w:rPr>
        <w:t>/NSRR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1"/>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666C2F0C"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5F55BB25"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76F967D5"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3A6DC5C4" w14:textId="2F6CF44D"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lastRenderedPageBreak/>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59115E13" w14:textId="455DCC2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0A52D6F2"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70CC5CD" w14:textId="4DE9838F"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300D12AE"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w:t>
      </w:r>
      <w:proofErr w:type="spellStart"/>
      <w:r w:rsidRPr="00C02413">
        <w:rPr>
          <w:rFonts w:cs="Arial"/>
          <w:szCs w:val="22"/>
        </w:rPr>
        <w:t>ZoR</w:t>
      </w:r>
      <w:proofErr w:type="spellEnd"/>
      <w:r w:rsidRPr="00C02413">
        <w:rPr>
          <w:rFonts w:cs="Arial"/>
          <w:szCs w:val="22"/>
        </w:rPr>
        <w:t xml:space="preserve"> projektu se </w:t>
      </w:r>
      <w:proofErr w:type="spellStart"/>
      <w:r w:rsidRPr="00C02413">
        <w:rPr>
          <w:rFonts w:cs="Arial"/>
          <w:szCs w:val="22"/>
        </w:rPr>
        <w:t>ZŽo</w:t>
      </w:r>
      <w:r w:rsidR="00FF2C00" w:rsidRPr="00C02413">
        <w:rPr>
          <w:rFonts w:cs="Arial"/>
          <w:szCs w:val="22"/>
        </w:rPr>
        <w:t>P</w:t>
      </w:r>
      <w:proofErr w:type="spellEnd"/>
      <w:r w:rsidR="00FF2C00" w:rsidRPr="00C02413">
        <w:rPr>
          <w:rFonts w:cs="Arial"/>
          <w:szCs w:val="22"/>
        </w:rPr>
        <w:t xml:space="preserve">.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2"/>
      </w:r>
      <w:r w:rsidR="00C02413">
        <w:rPr>
          <w:rFonts w:cs="Arial"/>
          <w:szCs w:val="22"/>
        </w:rPr>
        <w:t>.</w:t>
      </w:r>
    </w:p>
    <w:p w14:paraId="00926273"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76C89A97" w14:textId="6E1BCD5F"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08DF9CFD"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2C482C52" w14:textId="3897388E"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počet přepočteného pracovního úvazku pro projekt za dané období, celková částka hrubých mezd za požadované období, počet pracovníků,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 xml:space="preserve">mimořádných odměn, finanční motivace dle UV č. 444/2014 za období, za které je </w:t>
      </w:r>
      <w:proofErr w:type="spellStart"/>
      <w:r w:rsidRPr="007909EB">
        <w:rPr>
          <w:rFonts w:cs="Arial"/>
        </w:rPr>
        <w:t>ZoR</w:t>
      </w:r>
      <w:proofErr w:type="spellEnd"/>
      <w:r w:rsidRPr="007909EB">
        <w:rPr>
          <w:rFonts w:cs="Arial"/>
        </w:rPr>
        <w:t>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05965707" w14:textId="31782195"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73955519" w14:textId="703EFBEE"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42EE8AB5"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544C0783" w14:textId="3B53C37C"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w:t>
      </w:r>
      <w:r w:rsidR="00E50678">
        <w:rPr>
          <w:rFonts w:cs="Arial"/>
          <w:szCs w:val="20"/>
        </w:rPr>
        <w:lastRenderedPageBreak/>
        <w:t xml:space="preserve">odůvodnění není nutné dokládat u zaměstnanců na služebním místě v pracovním poměru. </w:t>
      </w:r>
      <w:r w:rsidR="00E12B1B">
        <w:rPr>
          <w:rFonts w:cs="Arial"/>
          <w:szCs w:val="20"/>
        </w:rPr>
        <w:t xml:space="preserve">  </w:t>
      </w:r>
    </w:p>
    <w:p w14:paraId="5A8873D0" w14:textId="57F14D44"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4013BEF1" w14:textId="5F2E111A"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xml:space="preserve">. 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13168467" w14:textId="76639FE3"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 xml:space="preserve">Čestné prohlášení bude předloženo v nejbližší </w:t>
      </w:r>
      <w:proofErr w:type="spellStart"/>
      <w:r w:rsidRPr="00977914">
        <w:rPr>
          <w:rFonts w:cs="Arial"/>
          <w:szCs w:val="20"/>
        </w:rPr>
        <w:t>ZŽoP</w:t>
      </w:r>
      <w:proofErr w:type="spellEnd"/>
      <w:r w:rsidRPr="00977914">
        <w:rPr>
          <w:rFonts w:cs="Arial"/>
          <w:szCs w:val="20"/>
        </w:rPr>
        <w:t xml:space="preserve"> po ukončení kalendářního roku a bude podepsáno statutárním zástupcem</w:t>
      </w:r>
      <w:r w:rsidR="00012072">
        <w:rPr>
          <w:rFonts w:cs="Arial"/>
          <w:szCs w:val="20"/>
        </w:rPr>
        <w:t>/mzdovou účetní organizace</w:t>
      </w:r>
      <w:r w:rsidRPr="00977914">
        <w:rPr>
          <w:rFonts w:cs="Arial"/>
          <w:szCs w:val="20"/>
        </w:rPr>
        <w:t xml:space="preserve">.  </w:t>
      </w:r>
    </w:p>
    <w:p w14:paraId="5B06944C" w14:textId="525C863E"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FD4312">
        <w:rPr>
          <w:rFonts w:cs="Arial"/>
          <w:szCs w:val="20"/>
        </w:rPr>
        <w:t>.</w:t>
      </w:r>
      <w:r w:rsidR="00FD4312">
        <w:rPr>
          <w:rStyle w:val="Znakapoznpodarou"/>
          <w:rFonts w:cs="Arial"/>
          <w:szCs w:val="20"/>
        </w:rPr>
        <w:footnoteReference w:id="13"/>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6233E6A6" w14:textId="4296C8EC"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5E534128" w14:textId="5B312E0E" w:rsidR="00822A69" w:rsidRPr="007909EB" w:rsidRDefault="00822A69" w:rsidP="007909EB">
      <w:pPr>
        <w:spacing w:before="120" w:after="120"/>
        <w:rPr>
          <w:rFonts w:cs="Arial"/>
          <w:szCs w:val="22"/>
        </w:rPr>
      </w:pPr>
    </w:p>
    <w:p w14:paraId="5A5715CC" w14:textId="77777777" w:rsidR="00511801" w:rsidRDefault="00B3540D" w:rsidP="00DB20E1">
      <w:pPr>
        <w:pStyle w:val="Nadpis2"/>
      </w:pPr>
      <w:bookmarkStart w:id="107" w:name="_Toc444778126"/>
      <w:bookmarkStart w:id="108" w:name="_Toc444779754"/>
      <w:bookmarkStart w:id="109" w:name="_Toc444779843"/>
      <w:bookmarkStart w:id="110" w:name="_Toc535831506"/>
      <w:bookmarkEnd w:id="107"/>
      <w:bookmarkEnd w:id="108"/>
      <w:bookmarkEnd w:id="109"/>
      <w:r w:rsidRPr="00B3540D">
        <w:t>Cestovné</w:t>
      </w:r>
      <w:bookmarkEnd w:id="110"/>
      <w:r w:rsidRPr="00B3540D">
        <w:t xml:space="preserve"> </w:t>
      </w:r>
    </w:p>
    <w:p w14:paraId="59EC10B2"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5049517B" w14:textId="77777777" w:rsidR="00CA4BD9" w:rsidRPr="00CA4BD9" w:rsidRDefault="00CA4BD9" w:rsidP="007909EB">
      <w:pPr>
        <w:pStyle w:val="Nadpis3"/>
      </w:pPr>
      <w:bookmarkStart w:id="111" w:name="_Toc535831507"/>
      <w:r w:rsidRPr="00CA4BD9">
        <w:t>Způsobilost cestovních náhrad</w:t>
      </w:r>
      <w:bookmarkEnd w:id="111"/>
    </w:p>
    <w:p w14:paraId="27C7CD34"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3717FE7C" w14:textId="77777777" w:rsidR="00B129B9" w:rsidRPr="007909EB" w:rsidRDefault="00B129B9"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jízdních výdajů</w:t>
      </w:r>
      <w:r w:rsidR="00736DBE">
        <w:rPr>
          <w:rFonts w:cs="Arial"/>
          <w:b/>
          <w:szCs w:val="20"/>
        </w:rPr>
        <w:t xml:space="preserve"> (cestovné)</w:t>
      </w:r>
      <w:r w:rsidRPr="007909EB">
        <w:rPr>
          <w:rFonts w:cs="Arial"/>
          <w:szCs w:val="20"/>
        </w:rPr>
        <w:t xml:space="preserve"> tj. prokázané jízdní výdaje spojené s dopravou na služební cestu, náhrada </w:t>
      </w:r>
      <w:r w:rsidR="00AC43B1" w:rsidRPr="007909EB">
        <w:rPr>
          <w:rFonts w:cs="Arial"/>
          <w:szCs w:val="20"/>
        </w:rPr>
        <w:t>při</w:t>
      </w:r>
      <w:r w:rsidRPr="007909EB">
        <w:rPr>
          <w:rFonts w:cs="Arial"/>
          <w:szCs w:val="20"/>
        </w:rPr>
        <w:t xml:space="preserve"> použití </w:t>
      </w:r>
      <w:r w:rsidR="00AC43B1" w:rsidRPr="007909EB">
        <w:rPr>
          <w:rFonts w:cs="Arial"/>
          <w:szCs w:val="20"/>
        </w:rPr>
        <w:t>soukromého vozidla</w:t>
      </w:r>
      <w:r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p>
    <w:p w14:paraId="2E8AB689" w14:textId="77777777" w:rsidR="00B129B9" w:rsidRPr="007909EB" w:rsidRDefault="00B129B9"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výdajů za ubytování</w:t>
      </w:r>
      <w:r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A89774B" w14:textId="77777777" w:rsidR="00666547" w:rsidRPr="007909EB" w:rsidRDefault="00666547"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stravovacích výdajů</w:t>
      </w:r>
      <w:r w:rsidRPr="007909EB">
        <w:rPr>
          <w:rFonts w:cs="Arial"/>
          <w:szCs w:val="20"/>
        </w:rPr>
        <w:t xml:space="preserve"> </w:t>
      </w:r>
      <w:r w:rsidR="002879C5">
        <w:rPr>
          <w:rFonts w:cs="Arial"/>
          <w:szCs w:val="20"/>
        </w:rPr>
        <w:t>tj. s</w:t>
      </w:r>
      <w:r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26B243B3" w14:textId="77777777" w:rsidR="00666547" w:rsidRPr="007909EB" w:rsidRDefault="007F1D48"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n</w:t>
      </w:r>
      <w:r w:rsidR="00666547" w:rsidRPr="007909EB">
        <w:rPr>
          <w:rFonts w:cs="Arial"/>
          <w:b/>
          <w:szCs w:val="20"/>
        </w:rPr>
        <w:t>utných vedlejších výdajů</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1FDC007F" w14:textId="77777777" w:rsidR="003148EB" w:rsidRPr="00A55D95" w:rsidRDefault="003148EB" w:rsidP="007909EB">
      <w:pPr>
        <w:pStyle w:val="Default"/>
        <w:keepNext/>
        <w:keepLines/>
        <w:spacing w:before="120" w:after="120"/>
        <w:rPr>
          <w:sz w:val="22"/>
          <w:szCs w:val="22"/>
        </w:rPr>
      </w:pPr>
      <w:r w:rsidRPr="00A55D95">
        <w:rPr>
          <w:sz w:val="22"/>
          <w:szCs w:val="22"/>
        </w:rPr>
        <w:lastRenderedPageBreak/>
        <w:t xml:space="preserve">Při použití soukromého vozidla způsobilé výdaje jsou: </w:t>
      </w:r>
    </w:p>
    <w:p w14:paraId="560BD324" w14:textId="77777777" w:rsidR="003148EB" w:rsidRPr="002F19CD" w:rsidRDefault="003148EB" w:rsidP="00BC20CD">
      <w:pPr>
        <w:pStyle w:val="Odstavecseseznamem"/>
        <w:keepNext/>
        <w:keepLines/>
        <w:numPr>
          <w:ilvl w:val="0"/>
          <w:numId w:val="4"/>
        </w:numPr>
        <w:tabs>
          <w:tab w:val="left" w:pos="284"/>
        </w:tabs>
        <w:spacing w:before="120" w:after="120"/>
        <w:ind w:left="714" w:hanging="357"/>
        <w:contextualSpacing w:val="0"/>
        <w:rPr>
          <w:szCs w:val="20"/>
        </w:rPr>
      </w:pPr>
      <w:r w:rsidRPr="007909EB">
        <w:rPr>
          <w:rFonts w:cs="Arial"/>
          <w:b/>
          <w:szCs w:val="20"/>
        </w:rPr>
        <w:t>základní náhrada</w:t>
      </w:r>
      <w:r w:rsidRPr="007909EB">
        <w:rPr>
          <w:rFonts w:cs="Arial"/>
          <w:szCs w:val="20"/>
        </w:rPr>
        <w:t xml:space="preserve"> vyjadřující odhad míry opotřebení vozidla, jejíž výše vychází z vyhlášky MPSV; </w:t>
      </w:r>
    </w:p>
    <w:p w14:paraId="1EAFDF1A" w14:textId="77777777" w:rsidR="003148EB" w:rsidRPr="002F19CD" w:rsidRDefault="003148EB" w:rsidP="00BC20CD">
      <w:pPr>
        <w:pStyle w:val="Odstavecseseznamem"/>
        <w:numPr>
          <w:ilvl w:val="0"/>
          <w:numId w:val="4"/>
        </w:numPr>
        <w:tabs>
          <w:tab w:val="left" w:pos="284"/>
        </w:tabs>
        <w:spacing w:before="120" w:after="120"/>
        <w:ind w:left="714" w:hanging="357"/>
        <w:contextualSpacing w:val="0"/>
        <w:rPr>
          <w:szCs w:val="20"/>
        </w:rPr>
      </w:pPr>
      <w:r w:rsidRPr="007909EB">
        <w:rPr>
          <w:rFonts w:cs="Arial"/>
          <w:b/>
          <w:szCs w:val="20"/>
        </w:rPr>
        <w:t>náhrada za spotřebované pohonné hmoty</w:t>
      </w:r>
      <w:r w:rsidRPr="007909EB">
        <w:rPr>
          <w:rFonts w:cs="Arial"/>
          <w:szCs w:val="20"/>
        </w:rPr>
        <w:t xml:space="preserve">; výše se vypočítá z ceny pohonných hmot a spotřeby vozidla dle § 158, odst. 3 a 4 zákona č. 262/2006 Sb., zákoník práce. Neprokáže-li zaměstnanec cenu pohonné hmoty dokladem o nákupu, vypočte se výše náhrady z průměrné ceny pohonné hmoty, která je stanovena vyhláškou MPSV. Pro údaj o spotřebě vozidla je relevantní technický průkaz. </w:t>
      </w:r>
    </w:p>
    <w:p w14:paraId="5C0EA5CF"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38FBED56" w14:textId="77777777" w:rsidR="00B016F4" w:rsidRPr="00A55D95" w:rsidRDefault="00B016F4" w:rsidP="007909EB">
      <w:pPr>
        <w:pStyle w:val="Nadpis3"/>
      </w:pPr>
      <w:bookmarkStart w:id="112" w:name="_Toc535831508"/>
      <w:r>
        <w:t>Dokladování cestovních náhrad</w:t>
      </w:r>
      <w:bookmarkEnd w:id="112"/>
    </w:p>
    <w:p w14:paraId="33CCCEBD" w14:textId="77777777"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532401F9"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276C9B14"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0C861E25"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103F16AF" w14:textId="77777777"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Při dokládání cestovního příkazu musí být podepsáno potvrzení převzetí peněz za cestovní náhrady, popř. musí být doložen mzdový list (v případě, že pracovník 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F55F59D" w14:textId="77777777" w:rsidR="00C02413" w:rsidRDefault="00C02413" w:rsidP="00C02413">
      <w:pPr>
        <w:autoSpaceDE w:val="0"/>
        <w:autoSpaceDN w:val="0"/>
        <w:adjustRightInd w:val="0"/>
        <w:spacing w:before="120" w:after="120"/>
        <w:rPr>
          <w:szCs w:val="22"/>
        </w:rPr>
      </w:pPr>
      <w:r w:rsidRPr="005A0365">
        <w:rPr>
          <w:rFonts w:cs="Arial"/>
          <w:szCs w:val="22"/>
        </w:rPr>
        <w:t>Při dokladování cestovních náhrad se příjemci musí zároveň řídit svými aktuálními interními předpisy a v souladu s nimi doložit veškeré podklady.</w:t>
      </w:r>
    </w:p>
    <w:p w14:paraId="7FBC7128" w14:textId="2BEE6384"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7B4E05A9"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7B3C2797"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4DC7CE28" w14:textId="77777777" w:rsidR="00312B3C" w:rsidRPr="00E13992" w:rsidRDefault="00312B3C" w:rsidP="007909EB">
      <w:pPr>
        <w:pStyle w:val="Nadpis3"/>
      </w:pPr>
      <w:bookmarkStart w:id="113" w:name="_Toc444778130"/>
      <w:bookmarkStart w:id="114" w:name="_Toc444779758"/>
      <w:bookmarkStart w:id="115" w:name="_Toc444779847"/>
      <w:bookmarkStart w:id="116" w:name="_Toc535831509"/>
      <w:bookmarkEnd w:id="113"/>
      <w:bookmarkEnd w:id="114"/>
      <w:bookmarkEnd w:id="115"/>
      <w:r w:rsidRPr="00E13992">
        <w:lastRenderedPageBreak/>
        <w:t xml:space="preserve">Cestovní náhrady „per </w:t>
      </w:r>
      <w:proofErr w:type="spellStart"/>
      <w:r w:rsidRPr="00E13992">
        <w:t>diems</w:t>
      </w:r>
      <w:proofErr w:type="spellEnd"/>
      <w:r w:rsidRPr="00E13992">
        <w:t>“ pro zahraniční experty</w:t>
      </w:r>
      <w:bookmarkEnd w:id="116"/>
    </w:p>
    <w:p w14:paraId="053CA994" w14:textId="77777777" w:rsidR="00C8709C" w:rsidRPr="00E13992" w:rsidRDefault="00C8709C" w:rsidP="007909EB">
      <w:pPr>
        <w:pStyle w:val="Default"/>
        <w:keepLines/>
        <w:spacing w:before="120" w:after="120"/>
        <w:jc w:val="both"/>
        <w:rPr>
          <w:sz w:val="22"/>
          <w:szCs w:val="22"/>
        </w:rPr>
      </w:pPr>
      <w:r w:rsidRPr="00E13992">
        <w:rPr>
          <w:sz w:val="22"/>
          <w:szCs w:val="22"/>
        </w:rPr>
        <w:t xml:space="preserve">Cestovní náhrady vyplácené zahraničním expertům pozvaným do ČR, tzv. „per </w:t>
      </w:r>
      <w:proofErr w:type="spellStart"/>
      <w:r w:rsidRPr="00E13992">
        <w:rPr>
          <w:sz w:val="22"/>
          <w:szCs w:val="22"/>
        </w:rPr>
        <w:t>diems</w:t>
      </w:r>
      <w:proofErr w:type="spellEnd"/>
      <w:r w:rsidRPr="00E13992">
        <w:rPr>
          <w:sz w:val="22"/>
          <w:szCs w:val="22"/>
        </w:rPr>
        <w:t xml:space="preserve">,“ kryjí náklady na ubytování, stravné a cestovné v rámci ČR. Dále je možno v rámci způsobilosti výdajů hradit cestu zahraničního experta do ČR a zpět, tyto výdaje jsou mimo „per </w:t>
      </w:r>
      <w:proofErr w:type="spellStart"/>
      <w:r w:rsidRPr="00E13992">
        <w:rPr>
          <w:sz w:val="22"/>
          <w:szCs w:val="22"/>
        </w:rPr>
        <w:t>diems</w:t>
      </w:r>
      <w:proofErr w:type="spellEnd"/>
      <w:r w:rsidRPr="00E13992">
        <w:rPr>
          <w:sz w:val="22"/>
          <w:szCs w:val="22"/>
        </w:rPr>
        <w:t>“.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3424C77" w14:textId="77777777" w:rsidR="00C8709C" w:rsidRPr="00B976B8" w:rsidRDefault="00C8709C" w:rsidP="00436827">
      <w:pPr>
        <w:pStyle w:val="Default"/>
        <w:spacing w:before="240"/>
        <w:jc w:val="both"/>
        <w:rPr>
          <w:b/>
          <w:sz w:val="22"/>
          <w:szCs w:val="22"/>
        </w:rPr>
      </w:pPr>
      <w:r w:rsidRPr="00B976B8">
        <w:rPr>
          <w:b/>
          <w:sz w:val="22"/>
          <w:szCs w:val="22"/>
        </w:rPr>
        <w:t xml:space="preserve">Postup při poskytování „per </w:t>
      </w:r>
      <w:proofErr w:type="spellStart"/>
      <w:r w:rsidRPr="00B976B8">
        <w:rPr>
          <w:b/>
          <w:sz w:val="22"/>
          <w:szCs w:val="22"/>
        </w:rPr>
        <w:t>diems</w:t>
      </w:r>
      <w:proofErr w:type="spellEnd"/>
      <w:r w:rsidRPr="00B976B8">
        <w:rPr>
          <w:b/>
          <w:sz w:val="22"/>
          <w:szCs w:val="22"/>
        </w:rPr>
        <w:t>“:</w:t>
      </w:r>
    </w:p>
    <w:p w14:paraId="217C1F77"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w:t>
      </w:r>
      <w:proofErr w:type="spellStart"/>
      <w:r w:rsidRPr="00E13992">
        <w:rPr>
          <w:sz w:val="22"/>
          <w:szCs w:val="22"/>
        </w:rPr>
        <w:t>diems</w:t>
      </w:r>
      <w:proofErr w:type="spellEnd"/>
      <w:r w:rsidRPr="00E13992">
        <w:rPr>
          <w:sz w:val="22"/>
          <w:szCs w:val="22"/>
        </w:rPr>
        <w:t xml:space="preserve">“, která bude expertovi proplacena (k výpočtu použije i pracovní plán experta). </w:t>
      </w:r>
    </w:p>
    <w:p w14:paraId="31CFCE7B" w14:textId="77777777" w:rsidR="007E1DD2" w:rsidRDefault="00C8709C" w:rsidP="007909EB">
      <w:pPr>
        <w:pStyle w:val="Default"/>
        <w:spacing w:before="120" w:after="120"/>
        <w:jc w:val="both"/>
        <w:rPr>
          <w:sz w:val="22"/>
          <w:szCs w:val="22"/>
        </w:rPr>
      </w:pPr>
      <w:r w:rsidRPr="00E13992">
        <w:rPr>
          <w:sz w:val="22"/>
          <w:szCs w:val="22"/>
        </w:rPr>
        <w:t xml:space="preserve">Ve dnech, které jsou expertovi v rámci „per </w:t>
      </w:r>
      <w:proofErr w:type="spellStart"/>
      <w:r w:rsidRPr="00E13992">
        <w:rPr>
          <w:sz w:val="22"/>
          <w:szCs w:val="22"/>
        </w:rPr>
        <w:t>diems</w:t>
      </w:r>
      <w:proofErr w:type="spellEnd"/>
      <w:r w:rsidRPr="00E13992">
        <w:rPr>
          <w:sz w:val="22"/>
          <w:szCs w:val="22"/>
        </w:rPr>
        <w:t xml:space="preserve">“ propláceny, musí mít jasně prokazatelný program, kvůli kterému byl do ČR pozván. „Per </w:t>
      </w:r>
      <w:proofErr w:type="spellStart"/>
      <w:r w:rsidRPr="00E13992">
        <w:rPr>
          <w:sz w:val="22"/>
          <w:szCs w:val="22"/>
        </w:rPr>
        <w:t>diems</w:t>
      </w:r>
      <w:proofErr w:type="spellEnd"/>
      <w:r w:rsidRPr="00E13992">
        <w:rPr>
          <w:sz w:val="22"/>
          <w:szCs w:val="22"/>
        </w:rPr>
        <w:t>“ se vypočítávají od doby příletu do ČR, popřípadě od překročení hranic do ČR, a to právě za předpokladu, že v den příjezdu/příletu se expert zúčastní alespoň jedné pracovní aktivity.</w:t>
      </w:r>
    </w:p>
    <w:p w14:paraId="0C3122A6" w14:textId="77777777" w:rsidR="007E1DD2" w:rsidRDefault="00C8709C" w:rsidP="007909EB">
      <w:pPr>
        <w:pStyle w:val="Default"/>
        <w:spacing w:before="120" w:after="120"/>
        <w:jc w:val="both"/>
        <w:rPr>
          <w:sz w:val="22"/>
          <w:szCs w:val="22"/>
        </w:rPr>
      </w:pPr>
      <w:r w:rsidRPr="00E13992">
        <w:rPr>
          <w:sz w:val="22"/>
          <w:szCs w:val="22"/>
        </w:rPr>
        <w:t xml:space="preserve">K „per </w:t>
      </w:r>
      <w:proofErr w:type="spellStart"/>
      <w:r w:rsidRPr="00E13992">
        <w:rPr>
          <w:sz w:val="22"/>
          <w:szCs w:val="22"/>
        </w:rPr>
        <w:t>diems</w:t>
      </w:r>
      <w:proofErr w:type="spellEnd"/>
      <w:r w:rsidRPr="00E13992">
        <w:rPr>
          <w:sz w:val="22"/>
          <w:szCs w:val="22"/>
        </w:rPr>
        <w:t xml:space="preserve">“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xml:space="preserve">. Zároveň lze „per </w:t>
      </w:r>
      <w:proofErr w:type="spellStart"/>
      <w:r w:rsidRPr="00E13992">
        <w:rPr>
          <w:sz w:val="22"/>
          <w:szCs w:val="22"/>
        </w:rPr>
        <w:t>diems</w:t>
      </w:r>
      <w:proofErr w:type="spellEnd"/>
      <w:r w:rsidRPr="00E13992">
        <w:rPr>
          <w:sz w:val="22"/>
          <w:szCs w:val="22"/>
        </w:rPr>
        <w:t>“ vyplácet v plné výši dle aktuální sazby pouze v situacích, kdy expert zůstává v ČR přes noc, přičemž způsobilost počtu prokazovaných nocí je posuzována v souvislosti s prokazovanými aktivitami akce a experta.</w:t>
      </w:r>
    </w:p>
    <w:p w14:paraId="540AE53D"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41093212"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w:t>
      </w:r>
      <w:proofErr w:type="spellStart"/>
      <w:r w:rsidRPr="00E8646C">
        <w:rPr>
          <w:sz w:val="22"/>
          <w:szCs w:val="22"/>
        </w:rPr>
        <w:t>diems</w:t>
      </w:r>
      <w:proofErr w:type="spellEnd"/>
      <w:r w:rsidRPr="00E8646C">
        <w:rPr>
          <w:sz w:val="22"/>
          <w:szCs w:val="22"/>
        </w:rPr>
        <w:t xml:space="preserve">“ poskytnuté expertovi musí být maximálně ve výši, aby spolu s náklady na ubytování nepřevýšily limit „per </w:t>
      </w:r>
      <w:proofErr w:type="spellStart"/>
      <w:r w:rsidRPr="00E8646C">
        <w:rPr>
          <w:sz w:val="22"/>
          <w:szCs w:val="22"/>
        </w:rPr>
        <w:t>diems</w:t>
      </w:r>
      <w:proofErr w:type="spellEnd"/>
      <w:r w:rsidRPr="00E8646C">
        <w:rPr>
          <w:sz w:val="22"/>
          <w:szCs w:val="22"/>
        </w:rPr>
        <w:t xml:space="preserve">“. </w:t>
      </w:r>
    </w:p>
    <w:p w14:paraId="18D2BF5F" w14:textId="77777777" w:rsidR="00C8709C" w:rsidRPr="00E8646C" w:rsidRDefault="00C8709C" w:rsidP="007909EB">
      <w:pPr>
        <w:pStyle w:val="Default"/>
        <w:spacing w:before="120" w:after="120"/>
        <w:jc w:val="both"/>
        <w:rPr>
          <w:sz w:val="22"/>
          <w:szCs w:val="22"/>
        </w:rPr>
      </w:pPr>
      <w:r w:rsidRPr="00E8646C">
        <w:rPr>
          <w:sz w:val="22"/>
          <w:szCs w:val="22"/>
        </w:rPr>
        <w:t xml:space="preserve">„Per </w:t>
      </w:r>
      <w:proofErr w:type="spellStart"/>
      <w:r w:rsidRPr="00E8646C">
        <w:rPr>
          <w:sz w:val="22"/>
          <w:szCs w:val="22"/>
        </w:rPr>
        <w:t>diems</w:t>
      </w:r>
      <w:proofErr w:type="spellEnd"/>
      <w:r w:rsidRPr="00E8646C">
        <w:rPr>
          <w:sz w:val="22"/>
          <w:szCs w:val="22"/>
        </w:rPr>
        <w:t xml:space="preserve">“ i denní paušál se proplácejí pouze za dny v rámci pracovního týdne (nikoli za svátky a víkendy), vypláceny jsou zpětně na účet experta. Tento postup vyplácení „per </w:t>
      </w:r>
      <w:proofErr w:type="spellStart"/>
      <w:r w:rsidRPr="00E8646C">
        <w:rPr>
          <w:sz w:val="22"/>
          <w:szCs w:val="22"/>
        </w:rPr>
        <w:t>diems</w:t>
      </w:r>
      <w:proofErr w:type="spellEnd"/>
      <w:r w:rsidRPr="00E8646C">
        <w:rPr>
          <w:sz w:val="22"/>
          <w:szCs w:val="22"/>
        </w:rPr>
        <w:t xml:space="preserve">“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68046964"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0C4BFEEB" w14:textId="77777777"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5A7F2BD3" w14:textId="77777777" w:rsidR="00C8709C" w:rsidRPr="00E8646C" w:rsidRDefault="00E11C26" w:rsidP="00BC20CD">
      <w:pPr>
        <w:pStyle w:val="Default"/>
        <w:numPr>
          <w:ilvl w:val="0"/>
          <w:numId w:val="2"/>
        </w:numPr>
        <w:spacing w:before="120" w:after="120"/>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156D64" w:rsidRPr="00156D64">
        <w:rPr>
          <w:sz w:val="22"/>
          <w:szCs w:val="22"/>
        </w:rPr>
        <w:t xml:space="preserve"> </w:t>
      </w:r>
      <w:r w:rsidR="00156D64">
        <w:rPr>
          <w:sz w:val="22"/>
          <w:szCs w:val="22"/>
        </w:rPr>
        <w:t xml:space="preserve">(formulář viz příloha </w:t>
      </w:r>
      <w:r w:rsidR="004C162A">
        <w:rPr>
          <w:sz w:val="22"/>
          <w:szCs w:val="22"/>
        </w:rPr>
        <w:t xml:space="preserve">PŽP č. </w:t>
      </w:r>
      <w:r w:rsidR="00156D64">
        <w:rPr>
          <w:sz w:val="22"/>
          <w:szCs w:val="22"/>
        </w:rPr>
        <w:t>1</w:t>
      </w:r>
      <w:r w:rsidR="00D2137B">
        <w:rPr>
          <w:sz w:val="22"/>
          <w:szCs w:val="22"/>
        </w:rPr>
        <w:t>1j</w:t>
      </w:r>
      <w:r w:rsidR="00156D64">
        <w:rPr>
          <w:sz w:val="22"/>
          <w:szCs w:val="22"/>
        </w:rPr>
        <w:t>)</w:t>
      </w:r>
      <w:r w:rsidR="00156D64" w:rsidRPr="00E8646C">
        <w:rPr>
          <w:sz w:val="22"/>
          <w:szCs w:val="22"/>
        </w:rPr>
        <w:t xml:space="preserve">. </w:t>
      </w:r>
      <w:r w:rsidR="00C8709C" w:rsidRPr="00E8646C">
        <w:rPr>
          <w:sz w:val="22"/>
          <w:szCs w:val="22"/>
        </w:rPr>
        <w:t xml:space="preserve"> </w:t>
      </w:r>
    </w:p>
    <w:p w14:paraId="5BC12F2B"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xml:space="preserve"> poskytnutí per </w:t>
      </w:r>
      <w:proofErr w:type="spellStart"/>
      <w:r w:rsidR="001444F8">
        <w:rPr>
          <w:b/>
          <w:sz w:val="22"/>
          <w:szCs w:val="22"/>
        </w:rPr>
        <w:lastRenderedPageBreak/>
        <w:t>diems</w:t>
      </w:r>
      <w:proofErr w:type="spellEnd"/>
      <w:r w:rsidR="001444F8">
        <w:rPr>
          <w:b/>
          <w:sz w:val="22"/>
          <w:szCs w:val="22"/>
        </w:rPr>
        <w:t>/odměny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D3B6595" w14:textId="77777777" w:rsidR="00C8709C" w:rsidRPr="00E8646C" w:rsidRDefault="00C8709C" w:rsidP="00436827">
      <w:pPr>
        <w:pStyle w:val="Default"/>
        <w:spacing w:before="120" w:after="120"/>
        <w:jc w:val="both"/>
        <w:rPr>
          <w:sz w:val="22"/>
          <w:szCs w:val="22"/>
        </w:rPr>
      </w:pPr>
      <w:r w:rsidRPr="00E8646C">
        <w:rPr>
          <w:b/>
          <w:sz w:val="22"/>
          <w:szCs w:val="22"/>
        </w:rPr>
        <w:t xml:space="preserve">Výpočet „per </w:t>
      </w:r>
      <w:proofErr w:type="spellStart"/>
      <w:r w:rsidRPr="00E8646C">
        <w:rPr>
          <w:b/>
          <w:sz w:val="22"/>
          <w:szCs w:val="22"/>
        </w:rPr>
        <w:t>diems</w:t>
      </w:r>
      <w:proofErr w:type="spellEnd"/>
      <w:r w:rsidRPr="00E8646C">
        <w:rPr>
          <w:b/>
          <w:sz w:val="22"/>
          <w:szCs w:val="22"/>
        </w:rPr>
        <w:t>“:</w:t>
      </w:r>
    </w:p>
    <w:p w14:paraId="0AB4BA42" w14:textId="77777777" w:rsidR="00C8709C" w:rsidRPr="00E8646C" w:rsidRDefault="00C8709C" w:rsidP="007909EB">
      <w:pPr>
        <w:pStyle w:val="Default"/>
        <w:spacing w:before="120" w:after="120"/>
        <w:rPr>
          <w:i/>
          <w:sz w:val="22"/>
          <w:szCs w:val="22"/>
        </w:rPr>
      </w:pPr>
      <w:r w:rsidRPr="00E8646C">
        <w:rPr>
          <w:i/>
          <w:sz w:val="22"/>
          <w:szCs w:val="22"/>
        </w:rPr>
        <w:t>Příklad 1</w:t>
      </w:r>
    </w:p>
    <w:p w14:paraId="525A2122"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w:t>
      </w:r>
      <w:proofErr w:type="spellStart"/>
      <w:r w:rsidRPr="00B976B8">
        <w:rPr>
          <w:i/>
          <w:sz w:val="22"/>
          <w:szCs w:val="22"/>
        </w:rPr>
        <w:t>diems</w:t>
      </w:r>
      <w:proofErr w:type="spellEnd"/>
      <w:r w:rsidRPr="00B976B8">
        <w:rPr>
          <w:i/>
          <w:sz w:val="22"/>
          <w:szCs w:val="22"/>
        </w:rPr>
        <w:t xml:space="preserve">“ a zároveň přihlédne k pracovnímu plánu experta. </w:t>
      </w:r>
    </w:p>
    <w:p w14:paraId="66B6072A"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w:t>
      </w:r>
      <w:proofErr w:type="spellStart"/>
      <w:r w:rsidRPr="00B976B8">
        <w:rPr>
          <w:i/>
          <w:sz w:val="22"/>
          <w:szCs w:val="22"/>
        </w:rPr>
        <w:t>diems</w:t>
      </w:r>
      <w:proofErr w:type="spellEnd"/>
      <w:r w:rsidRPr="00B976B8">
        <w:rPr>
          <w:i/>
          <w:sz w:val="22"/>
          <w:szCs w:val="22"/>
        </w:rPr>
        <w:t xml:space="preserve">“ až do půlnoci téhož dne, tzn. 9 hod. Víkendy a svátky se v rámci per </w:t>
      </w:r>
      <w:proofErr w:type="spellStart"/>
      <w:r w:rsidRPr="00B976B8">
        <w:rPr>
          <w:i/>
          <w:sz w:val="22"/>
          <w:szCs w:val="22"/>
        </w:rPr>
        <w:t>diems</w:t>
      </w:r>
      <w:proofErr w:type="spellEnd"/>
      <w:r w:rsidRPr="00B976B8">
        <w:rPr>
          <w:i/>
          <w:sz w:val="22"/>
          <w:szCs w:val="22"/>
        </w:rPr>
        <w:t xml:space="preserve"> neproplácí. Náhrady „per </w:t>
      </w:r>
      <w:proofErr w:type="spellStart"/>
      <w:r w:rsidRPr="00B976B8">
        <w:rPr>
          <w:i/>
          <w:sz w:val="22"/>
          <w:szCs w:val="22"/>
        </w:rPr>
        <w:t>diems</w:t>
      </w:r>
      <w:proofErr w:type="spellEnd"/>
      <w:r w:rsidRPr="00B976B8">
        <w:rPr>
          <w:i/>
          <w:sz w:val="22"/>
          <w:szCs w:val="22"/>
        </w:rPr>
        <w:t xml:space="preserve">“ jsou mu znovu počítány od pondělí 00:00 hod až do odletu letadla téhož dne ve 21:00 hod. </w:t>
      </w:r>
    </w:p>
    <w:p w14:paraId="703DD316"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0ED7E45D"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0B607085" w14:textId="77777777" w:rsidR="00C8709C" w:rsidRDefault="00C8709C" w:rsidP="00313D4E">
      <w:pPr>
        <w:pStyle w:val="Default"/>
        <w:keepNext/>
        <w:keepLines/>
        <w:spacing w:before="120" w:after="120"/>
        <w:jc w:val="both"/>
        <w:rPr>
          <w:i/>
          <w:sz w:val="22"/>
          <w:szCs w:val="22"/>
        </w:rPr>
      </w:pPr>
      <w:r w:rsidRPr="00B976B8">
        <w:rPr>
          <w:i/>
          <w:sz w:val="22"/>
          <w:szCs w:val="22"/>
        </w:rPr>
        <w:t xml:space="preserve">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w:t>
      </w:r>
      <w:proofErr w:type="spellStart"/>
      <w:r w:rsidRPr="00B976B8">
        <w:rPr>
          <w:i/>
          <w:sz w:val="22"/>
          <w:szCs w:val="22"/>
        </w:rPr>
        <w:t>diems</w:t>
      </w:r>
      <w:proofErr w:type="spellEnd"/>
      <w:r w:rsidRPr="00B976B8">
        <w:rPr>
          <w:i/>
          <w:sz w:val="22"/>
          <w:szCs w:val="22"/>
        </w:rPr>
        <w:t xml:space="preserve">“ bude 14 + 19 = 33 hod. 33/24 = 1,375. Způsobilá bude denní sazba „per </w:t>
      </w:r>
      <w:proofErr w:type="spellStart"/>
      <w:r w:rsidRPr="00B976B8">
        <w:rPr>
          <w:i/>
          <w:sz w:val="22"/>
          <w:szCs w:val="22"/>
        </w:rPr>
        <w:t>diems</w:t>
      </w:r>
      <w:proofErr w:type="spellEnd"/>
      <w:r w:rsidRPr="00B976B8">
        <w:rPr>
          <w:i/>
          <w:sz w:val="22"/>
          <w:szCs w:val="22"/>
        </w:rPr>
        <w:t>“ násobená tímto koeficientem.</w:t>
      </w:r>
    </w:p>
    <w:p w14:paraId="168DD133" w14:textId="77777777" w:rsidR="00907B94" w:rsidRDefault="00907B94" w:rsidP="00313D4E">
      <w:pPr>
        <w:pStyle w:val="Default"/>
        <w:keepNext/>
        <w:keepLines/>
        <w:spacing w:before="120" w:after="120"/>
        <w:jc w:val="both"/>
        <w:rPr>
          <w:i/>
          <w:sz w:val="22"/>
          <w:szCs w:val="22"/>
        </w:rPr>
      </w:pPr>
    </w:p>
    <w:p w14:paraId="0DC962A8" w14:textId="77777777" w:rsidR="00E607DE" w:rsidRDefault="00E607DE" w:rsidP="00DB20E1">
      <w:pPr>
        <w:pStyle w:val="Nadpis2"/>
      </w:pPr>
      <w:bookmarkStart w:id="117" w:name="_Toc472337961"/>
      <w:bookmarkStart w:id="118" w:name="_Toc447539192"/>
      <w:bookmarkStart w:id="119" w:name="_Toc447546363"/>
      <w:bookmarkStart w:id="120" w:name="_Toc444778132"/>
      <w:bookmarkStart w:id="121" w:name="_Toc444779760"/>
      <w:bookmarkStart w:id="122" w:name="_Toc444779849"/>
      <w:bookmarkStart w:id="123" w:name="_Toc444778133"/>
      <w:bookmarkStart w:id="124" w:name="_Toc444779761"/>
      <w:bookmarkStart w:id="125" w:name="_Toc444779850"/>
      <w:bookmarkStart w:id="126" w:name="_Toc535831510"/>
      <w:bookmarkEnd w:id="117"/>
      <w:bookmarkEnd w:id="118"/>
      <w:bookmarkEnd w:id="119"/>
      <w:bookmarkEnd w:id="120"/>
      <w:bookmarkEnd w:id="121"/>
      <w:bookmarkEnd w:id="122"/>
      <w:bookmarkEnd w:id="123"/>
      <w:bookmarkEnd w:id="124"/>
      <w:bookmarkEnd w:id="125"/>
      <w:r>
        <w:t>Nákup služeb</w:t>
      </w:r>
      <w:bookmarkEnd w:id="126"/>
    </w:p>
    <w:p w14:paraId="01DA6D53" w14:textId="77777777" w:rsidR="00785880" w:rsidRPr="00B46E33"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33A0B5A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za vzdělávání pro žadatele a příjemce (vč. občerstvení), za 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3765EA31" w14:textId="77777777" w:rsidR="00AF391D" w:rsidRPr="00827A6A" w:rsidRDefault="00AF391D" w:rsidP="007909EB">
      <w:pPr>
        <w:pStyle w:val="Defaul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5BD62374" w14:textId="77777777" w:rsidR="00785880" w:rsidRPr="007909EB" w:rsidRDefault="00E67DE8" w:rsidP="007909EB">
      <w:pPr>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411B082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/Soupisky.</w:t>
      </w:r>
      <w:r>
        <w:rPr>
          <w:rFonts w:eastAsiaTheme="minorHAnsi" w:cs="Arial"/>
          <w:color w:val="000000"/>
          <w:szCs w:val="22"/>
          <w:lang w:eastAsia="en-US"/>
        </w:rPr>
        <w:t xml:space="preserve"> </w:t>
      </w:r>
    </w:p>
    <w:p w14:paraId="4515D442"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4"/>
      </w:r>
      <w:r w:rsidR="00C04526">
        <w:rPr>
          <w:rFonts w:eastAsiaTheme="minorHAnsi" w:cs="Arial"/>
          <w:color w:val="000000"/>
          <w:szCs w:val="22"/>
          <w:lang w:eastAsia="en-US"/>
        </w:rPr>
        <w:t xml:space="preserve"> </w:t>
      </w:r>
      <w:r w:rsidR="00BA5666">
        <w:rPr>
          <w:rFonts w:eastAsiaTheme="minorHAnsi" w:cs="Arial"/>
          <w:color w:val="000000"/>
          <w:szCs w:val="22"/>
          <w:lang w:eastAsia="en-US"/>
        </w:rPr>
        <w:t>společně s </w:t>
      </w:r>
      <w:proofErr w:type="spellStart"/>
      <w:r w:rsidR="00BA5666">
        <w:rPr>
          <w:rFonts w:eastAsiaTheme="minorHAnsi" w:cs="Arial"/>
          <w:color w:val="000000"/>
          <w:szCs w:val="22"/>
          <w:lang w:eastAsia="en-US"/>
        </w:rPr>
        <w:t>metadaty</w:t>
      </w:r>
      <w:proofErr w:type="spellEnd"/>
      <w:r w:rsidR="00BA5666">
        <w:rPr>
          <w:rFonts w:eastAsiaTheme="minorHAnsi" w:cs="Arial"/>
          <w:color w:val="000000"/>
          <w:szCs w:val="22"/>
          <w:lang w:eastAsia="en-US"/>
        </w:rPr>
        <w:t xml:space="preserve">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17CB201"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57C5BBE2" w14:textId="19C5C259" w:rsidR="004C251A" w:rsidRDefault="00B8074E" w:rsidP="005535AC">
      <w:pPr>
        <w:spacing w:before="120" w:after="120"/>
        <w:ind w:left="720"/>
        <w:rPr>
          <w:rFonts w:cs="Arial"/>
          <w:szCs w:val="22"/>
        </w:rPr>
      </w:pPr>
      <w:r w:rsidRPr="005535AC">
        <w:rPr>
          <w:rFonts w:cs="Arial"/>
          <w:szCs w:val="22"/>
        </w:rPr>
        <w:lastRenderedPageBreak/>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společně s </w:t>
      </w:r>
      <w:proofErr w:type="spellStart"/>
      <w:r w:rsidR="00BA5666">
        <w:rPr>
          <w:rFonts w:cs="Arial"/>
          <w:szCs w:val="22"/>
        </w:rPr>
        <w:t>metadaty</w:t>
      </w:r>
      <w:proofErr w:type="spellEnd"/>
      <w:r w:rsidR="00BA5666">
        <w:rPr>
          <w:rFonts w:cs="Arial"/>
          <w:szCs w:val="22"/>
        </w:rPr>
        <w:t xml:space="preserve"> </w:t>
      </w:r>
      <w:r w:rsidR="00A67AD5">
        <w:rPr>
          <w:rFonts w:cs="Arial"/>
          <w:szCs w:val="22"/>
        </w:rPr>
        <w:t xml:space="preserve">dle ZRS. </w:t>
      </w:r>
    </w:p>
    <w:p w14:paraId="57C5C01E"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586811C5"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2B7E885C" w14:textId="52BD860E"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30420A70"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70973C6E"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74F64EAE" w14:textId="77777777" w:rsidR="00106E3A" w:rsidRPr="00436827" w:rsidRDefault="00951775" w:rsidP="00436827">
      <w:pPr>
        <w:numPr>
          <w:ilvl w:val="0"/>
          <w:numId w:val="5"/>
        </w:numPr>
        <w:spacing w:before="120"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 xml:space="preserve">vzdělávacích akcí aj., je příjemce povinen doložit relevantní podklady k nárokovaným službám v návaznosti na danou fakturu. Certifikáty a osvědčení je nutné předložit, </w:t>
      </w:r>
      <w:r w:rsidR="00106E3A" w:rsidRPr="00436827">
        <w:rPr>
          <w:rFonts w:cs="Arial"/>
          <w:szCs w:val="22"/>
        </w:rPr>
        <w:t>pokud j</w:t>
      </w:r>
      <w:r w:rsidR="007A3351">
        <w:rPr>
          <w:rFonts w:cs="Arial"/>
          <w:szCs w:val="22"/>
        </w:rPr>
        <w:t>sou podmínkou a</w:t>
      </w:r>
      <w:r w:rsidR="00106E3A" w:rsidRPr="00436827">
        <w:rPr>
          <w:rFonts w:cs="Arial"/>
          <w:szCs w:val="22"/>
        </w:rPr>
        <w:t>bsol</w:t>
      </w:r>
      <w:r w:rsidR="007A3351" w:rsidRPr="007A3351">
        <w:rPr>
          <w:rFonts w:cs="Arial"/>
          <w:szCs w:val="22"/>
        </w:rPr>
        <w:t>vování vzdělávací akce</w:t>
      </w:r>
      <w:r w:rsidR="007A3351">
        <w:rPr>
          <w:rFonts w:cs="Arial"/>
          <w:szCs w:val="22"/>
        </w:rPr>
        <w:t>.</w:t>
      </w:r>
    </w:p>
    <w:p w14:paraId="283559D4" w14:textId="4A23E9C4"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5"/>
      </w:r>
      <w:r w:rsidRPr="00CF2E0E">
        <w:rPr>
          <w:rFonts w:cs="Arial"/>
          <w:szCs w:val="22"/>
        </w:rPr>
        <w:t>.</w:t>
      </w:r>
      <w:r w:rsidRPr="007909EB">
        <w:rPr>
          <w:rFonts w:cs="Arial"/>
          <w:szCs w:val="22"/>
        </w:rPr>
        <w:t xml:space="preserve"> </w:t>
      </w:r>
    </w:p>
    <w:p w14:paraId="21C3F428" w14:textId="1D43E0B2" w:rsidR="00B46E33" w:rsidRPr="007909EB" w:rsidRDefault="00B46E33" w:rsidP="007909EB">
      <w:pPr>
        <w:spacing w:before="120" w:after="120"/>
        <w:rPr>
          <w:rFonts w:cs="Arial"/>
          <w:b/>
          <w:snapToGrid w:val="0"/>
          <w:szCs w:val="22"/>
        </w:rPr>
      </w:pPr>
      <w:r w:rsidRPr="00D03A74">
        <w:rPr>
          <w:rFonts w:cs="Arial"/>
          <w:snapToGrid w:val="0"/>
          <w:szCs w:val="22"/>
        </w:rPr>
        <w:t>V případě, že se k dané faktuře/účetnímu dokladu do 10 000 Kč</w:t>
      </w:r>
      <w:r w:rsidR="00364203">
        <w:rPr>
          <w:rFonts w:cs="Arial"/>
          <w:snapToGrid w:val="0"/>
          <w:szCs w:val="22"/>
        </w:rPr>
        <w:t xml:space="preserve"> včetně DPH</w:t>
      </w:r>
      <w:r w:rsidRPr="00D03A74">
        <w:rPr>
          <w:rFonts w:cs="Arial"/>
          <w:snapToGrid w:val="0"/>
          <w:szCs w:val="22"/>
        </w:rPr>
        <w:t xml:space="preserve"> vztahuje </w:t>
      </w:r>
      <w:r w:rsidR="00581B3C" w:rsidRPr="00D03A74">
        <w:rPr>
          <w:rFonts w:cs="Arial"/>
          <w:snapToGrid w:val="0"/>
          <w:szCs w:val="22"/>
        </w:rPr>
        <w:t>VŘ/</w:t>
      </w:r>
      <w:r w:rsidR="00030B13" w:rsidRPr="00D03A74">
        <w:rPr>
          <w:rFonts w:cs="Arial"/>
          <w:snapToGrid w:val="0"/>
          <w:szCs w:val="22"/>
        </w:rPr>
        <w:t>ZŘ</w:t>
      </w:r>
      <w:r w:rsidR="00BE02AB" w:rsidRPr="00D03A74">
        <w:rPr>
          <w:rFonts w:cs="Arial"/>
          <w:snapToGrid w:val="0"/>
          <w:szCs w:val="22"/>
        </w:rPr>
        <w:t xml:space="preserve">, </w:t>
      </w:r>
      <w:r w:rsidR="00F93640" w:rsidRPr="00D03A74">
        <w:rPr>
          <w:rFonts w:cs="Arial"/>
          <w:snapToGrid w:val="0"/>
          <w:szCs w:val="22"/>
        </w:rPr>
        <w:t>ne</w:t>
      </w:r>
      <w:r w:rsidR="00030B13" w:rsidRPr="00D03A74">
        <w:rPr>
          <w:rFonts w:cs="Arial"/>
          <w:snapToGrid w:val="0"/>
          <w:szCs w:val="22"/>
        </w:rPr>
        <w:t>lze tento výdaj uvádět</w:t>
      </w:r>
      <w:r w:rsidR="00F93640" w:rsidRPr="00D03A74">
        <w:rPr>
          <w:rFonts w:cs="Arial"/>
          <w:snapToGrid w:val="0"/>
          <w:szCs w:val="22"/>
        </w:rPr>
        <w:t xml:space="preserve"> v Seznamu účetních dokladů, 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doložit všechny požadované doklady</w:t>
      </w:r>
      <w:r w:rsidRPr="00D03A74">
        <w:rPr>
          <w:rFonts w:cs="Arial"/>
          <w:snapToGrid w:val="0"/>
          <w:szCs w:val="22"/>
        </w:rPr>
        <w:t>.</w:t>
      </w:r>
    </w:p>
    <w:p w14:paraId="757A69B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74365A62" w14:textId="754942A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6DA4BA89" w14:textId="77777777" w:rsidR="003D4CFE" w:rsidRDefault="003D4CFE" w:rsidP="00DD212A">
      <w:pPr>
        <w:spacing w:before="120" w:after="120"/>
        <w:rPr>
          <w:szCs w:val="22"/>
        </w:rPr>
      </w:pPr>
    </w:p>
    <w:p w14:paraId="643657C3" w14:textId="77777777" w:rsidR="007973B9" w:rsidRPr="000F6C24" w:rsidRDefault="007973B9" w:rsidP="00DB20E1">
      <w:pPr>
        <w:pStyle w:val="Nadpis2"/>
      </w:pPr>
      <w:bookmarkStart w:id="127" w:name="_Toc447539194"/>
      <w:bookmarkStart w:id="128" w:name="_Toc447546365"/>
      <w:bookmarkStart w:id="129" w:name="_Toc535831511"/>
      <w:bookmarkEnd w:id="127"/>
      <w:bookmarkEnd w:id="128"/>
      <w:r w:rsidRPr="000F6C24">
        <w:t>Pořízení majetku</w:t>
      </w:r>
      <w:r w:rsidR="00E32740">
        <w:t xml:space="preserve"> a spotřebního materiálu</w:t>
      </w:r>
      <w:bookmarkEnd w:id="129"/>
      <w:r w:rsidRPr="000F6C24">
        <w:t xml:space="preserve"> </w:t>
      </w:r>
    </w:p>
    <w:p w14:paraId="13D1BEEA" w14:textId="1226F8BF"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6"/>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7095E023" w14:textId="77777777" w:rsidR="001747AC" w:rsidRPr="007909EB" w:rsidRDefault="009F616C" w:rsidP="007909EB">
      <w:pPr>
        <w:pStyle w:val="Default"/>
        <w:spacing w:before="120" w:after="120"/>
        <w:jc w:val="both"/>
        <w:rPr>
          <w:bCs/>
          <w:sz w:val="22"/>
          <w:szCs w:val="22"/>
        </w:rPr>
      </w:pPr>
      <w:r w:rsidRPr="00FA277D">
        <w:rPr>
          <w:sz w:val="22"/>
          <w:szCs w:val="22"/>
        </w:rPr>
        <w:lastRenderedPageBreak/>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40C48358"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4DEF9EB6"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7CA87A7D"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w:t>
      </w:r>
      <w:proofErr w:type="spellStart"/>
      <w:r w:rsidR="00535B76">
        <w:rPr>
          <w:rFonts w:eastAsiaTheme="minorHAnsi" w:cs="Arial"/>
          <w:color w:val="000000"/>
          <w:szCs w:val="22"/>
          <w:lang w:eastAsia="en-US"/>
        </w:rPr>
        <w:t>ZŽoP</w:t>
      </w:r>
      <w:proofErr w:type="spellEnd"/>
      <w:r w:rsidR="00535B76">
        <w:rPr>
          <w:rFonts w:eastAsiaTheme="minorHAnsi" w:cs="Arial"/>
          <w:color w:val="000000"/>
          <w:szCs w:val="22"/>
          <w:lang w:eastAsia="en-US"/>
        </w:rPr>
        <w:t xml:space="preserve">/Soupisky. </w:t>
      </w:r>
    </w:p>
    <w:p w14:paraId="66700D76" w14:textId="3D68ECBA"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7"/>
      </w:r>
      <w:r w:rsidR="00C316E4">
        <w:rPr>
          <w:rFonts w:eastAsiaTheme="minorHAnsi" w:cs="Arial"/>
          <w:color w:val="000000"/>
          <w:szCs w:val="22"/>
          <w:lang w:eastAsia="en-US"/>
        </w:rPr>
        <w:t xml:space="preserve"> společně s </w:t>
      </w:r>
      <w:proofErr w:type="spellStart"/>
      <w:r w:rsidR="00C316E4">
        <w:rPr>
          <w:rFonts w:eastAsiaTheme="minorHAnsi" w:cs="Arial"/>
          <w:color w:val="000000"/>
          <w:szCs w:val="22"/>
          <w:lang w:eastAsia="en-US"/>
        </w:rPr>
        <w:t>metadaty</w:t>
      </w:r>
      <w:proofErr w:type="spellEnd"/>
      <w:r w:rsidR="00C316E4">
        <w:rPr>
          <w:rFonts w:eastAsiaTheme="minorHAnsi" w:cs="Arial"/>
          <w:color w:val="000000"/>
          <w:szCs w:val="22"/>
          <w:lang w:eastAsia="en-US"/>
        </w:rPr>
        <w:t xml:space="preserve">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73C1520A" w14:textId="7D4E70C3"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5A75323B" w14:textId="4548D6D6"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w:t>
      </w:r>
      <w:proofErr w:type="spellStart"/>
      <w:r>
        <w:rPr>
          <w:rFonts w:cs="Arial"/>
          <w:szCs w:val="22"/>
        </w:rPr>
        <w:t>metadaty</w:t>
      </w:r>
      <w:proofErr w:type="spellEnd"/>
      <w:r>
        <w:rPr>
          <w:rFonts w:cs="Arial"/>
          <w:szCs w:val="22"/>
        </w:rPr>
        <w:t xml:space="preserve"> dle ZRS. O tomto vložení informuje příjemce ŘO OPTP při nárokování výdajů z této objednávky a to doložením přesného a funkčního hypertextového odkazu prokazujícího vložení příslušné objednávky 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D14F126"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07743858" w14:textId="16669C19"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10A22CE9"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38A1AF2D"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2DCA2498" w14:textId="500FBD9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18"/>
      </w:r>
      <w:r>
        <w:rPr>
          <w:rFonts w:cs="Arial"/>
          <w:szCs w:val="20"/>
        </w:rPr>
        <w:t>.</w:t>
      </w:r>
      <w:r w:rsidRPr="0011735B">
        <w:rPr>
          <w:rFonts w:cs="Arial"/>
          <w:szCs w:val="20"/>
        </w:rPr>
        <w:t xml:space="preserve"> </w:t>
      </w:r>
    </w:p>
    <w:p w14:paraId="3EEAAD7E" w14:textId="6421784C"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p>
    <w:p w14:paraId="36DAD373" w14:textId="77777777" w:rsidR="00F939EE" w:rsidRPr="007909EB" w:rsidRDefault="00F939EE" w:rsidP="00D03A74">
      <w:pPr>
        <w:spacing w:before="120" w:after="120"/>
        <w:rPr>
          <w:rFonts w:cs="Arial"/>
          <w:b/>
          <w:snapToGrid w:val="0"/>
          <w:szCs w:val="22"/>
        </w:rPr>
      </w:pPr>
    </w:p>
    <w:p w14:paraId="633201B1" w14:textId="77777777" w:rsidR="001747AC" w:rsidRPr="007909EB" w:rsidRDefault="00B15777" w:rsidP="00DB20E1">
      <w:pPr>
        <w:pStyle w:val="Nadpis2"/>
      </w:pPr>
      <w:bookmarkStart w:id="130" w:name="_Toc499277999"/>
      <w:bookmarkStart w:id="131" w:name="_Toc444778136"/>
      <w:bookmarkStart w:id="132" w:name="_Toc444779764"/>
      <w:bookmarkStart w:id="133" w:name="_Toc444779853"/>
      <w:bookmarkStart w:id="134" w:name="_Toc444778137"/>
      <w:bookmarkStart w:id="135" w:name="_Toc444779765"/>
      <w:bookmarkStart w:id="136" w:name="_Toc444779854"/>
      <w:bookmarkStart w:id="137" w:name="_Toc444778138"/>
      <w:bookmarkStart w:id="138" w:name="_Toc444779766"/>
      <w:bookmarkStart w:id="139" w:name="_Toc444779855"/>
      <w:bookmarkStart w:id="140" w:name="_Toc535831512"/>
      <w:bookmarkEnd w:id="130"/>
      <w:bookmarkEnd w:id="131"/>
      <w:bookmarkEnd w:id="132"/>
      <w:bookmarkEnd w:id="133"/>
      <w:bookmarkEnd w:id="134"/>
      <w:bookmarkEnd w:id="135"/>
      <w:bookmarkEnd w:id="136"/>
      <w:bookmarkEnd w:id="137"/>
      <w:bookmarkEnd w:id="138"/>
      <w:bookmarkEnd w:id="139"/>
      <w:r w:rsidRPr="007909EB">
        <w:t>Leasing</w:t>
      </w:r>
      <w:bookmarkEnd w:id="140"/>
    </w:p>
    <w:p w14:paraId="1077D86B"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60B630AC" w14:textId="77777777" w:rsidR="00940B0B" w:rsidRDefault="00940B0B" w:rsidP="00940B0B">
      <w:pPr>
        <w:pStyle w:val="Default"/>
        <w:spacing w:before="120" w:after="120"/>
        <w:jc w:val="both"/>
        <w:rPr>
          <w:sz w:val="22"/>
          <w:szCs w:val="22"/>
        </w:rPr>
      </w:pPr>
      <w:r w:rsidRPr="00224D14">
        <w:rPr>
          <w:b/>
          <w:sz w:val="22"/>
          <w:szCs w:val="22"/>
        </w:rPr>
        <w:lastRenderedPageBreak/>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48763257"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7976171B"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42616F67"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2EFBA15A" w14:textId="77777777" w:rsidR="007E1DD2" w:rsidRPr="00BD1E67" w:rsidRDefault="00CE4FA8" w:rsidP="00235EBC">
      <w:pPr>
        <w:numPr>
          <w:ilvl w:val="0"/>
          <w:numId w:val="7"/>
        </w:numPr>
        <w:spacing w:before="120" w:after="120"/>
        <w:rPr>
          <w:szCs w:val="22"/>
        </w:rPr>
      </w:pPr>
      <w:r>
        <w:rPr>
          <w:rFonts w:cs="Arial"/>
          <w:b/>
          <w:szCs w:val="22"/>
        </w:rPr>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0669D8DC"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25B11743"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15D626AE" w14:textId="0E2C9B65"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60523A12" w14:textId="77777777" w:rsidR="00822A69" w:rsidRDefault="00822A69" w:rsidP="00436827">
      <w:pPr>
        <w:pStyle w:val="Default"/>
        <w:spacing w:before="120" w:after="120"/>
        <w:jc w:val="both"/>
        <w:rPr>
          <w:sz w:val="22"/>
          <w:szCs w:val="22"/>
        </w:rPr>
      </w:pPr>
    </w:p>
    <w:p w14:paraId="5396A3AC" w14:textId="77777777" w:rsidR="00FA217D" w:rsidRDefault="00827C89" w:rsidP="00DB20E1">
      <w:pPr>
        <w:pStyle w:val="Nadpis2"/>
      </w:pPr>
      <w:bookmarkStart w:id="141" w:name="_Toc444779768"/>
      <w:bookmarkStart w:id="142" w:name="_Toc444779857"/>
      <w:bookmarkStart w:id="143" w:name="_Toc447531360"/>
      <w:bookmarkStart w:id="144" w:name="_Toc447539197"/>
      <w:bookmarkStart w:id="145" w:name="_Toc447546368"/>
      <w:bookmarkStart w:id="146" w:name="_Toc447531361"/>
      <w:bookmarkStart w:id="147" w:name="_Toc447539198"/>
      <w:bookmarkStart w:id="148" w:name="_Toc447546369"/>
      <w:bookmarkStart w:id="149" w:name="_Toc447531362"/>
      <w:bookmarkStart w:id="150" w:name="_Toc447539199"/>
      <w:bookmarkStart w:id="151" w:name="_Toc447546370"/>
      <w:bookmarkStart w:id="152" w:name="_Toc447531363"/>
      <w:bookmarkStart w:id="153" w:name="_Toc447539200"/>
      <w:bookmarkStart w:id="154" w:name="_Toc447546371"/>
      <w:bookmarkStart w:id="155" w:name="_Toc444779770"/>
      <w:bookmarkStart w:id="156" w:name="_Toc444779859"/>
      <w:bookmarkStart w:id="157" w:name="_Toc447531364"/>
      <w:bookmarkStart w:id="158" w:name="_Toc447539201"/>
      <w:bookmarkStart w:id="159" w:name="_Toc447546372"/>
      <w:bookmarkStart w:id="160" w:name="_Toc447531365"/>
      <w:bookmarkStart w:id="161" w:name="_Toc447539202"/>
      <w:bookmarkStart w:id="162" w:name="_Toc447546373"/>
      <w:bookmarkStart w:id="163" w:name="_Toc447531366"/>
      <w:bookmarkStart w:id="164" w:name="_Toc447539203"/>
      <w:bookmarkStart w:id="165" w:name="_Toc447546374"/>
      <w:bookmarkStart w:id="166" w:name="_Toc447531367"/>
      <w:bookmarkStart w:id="167" w:name="_Toc447539204"/>
      <w:bookmarkStart w:id="168" w:name="_Toc447546375"/>
      <w:bookmarkStart w:id="169" w:name="_Toc447531368"/>
      <w:bookmarkStart w:id="170" w:name="_Toc447539205"/>
      <w:bookmarkStart w:id="171" w:name="_Toc447546376"/>
      <w:bookmarkStart w:id="172" w:name="_Toc444778140"/>
      <w:bookmarkStart w:id="173" w:name="_Toc444779772"/>
      <w:bookmarkStart w:id="174" w:name="_Toc444779861"/>
      <w:bookmarkStart w:id="175" w:name="_Toc535831513"/>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27C89">
        <w:t xml:space="preserve">Režijní </w:t>
      </w:r>
      <w:r w:rsidR="000C202E">
        <w:t>náklady</w:t>
      </w:r>
      <w:bookmarkEnd w:id="175"/>
    </w:p>
    <w:p w14:paraId="5511DBBE"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2927F532" w14:textId="77777777" w:rsidR="00C0339B" w:rsidRDefault="00C0339B" w:rsidP="007909EB">
      <w:pPr>
        <w:pStyle w:val="Nadpis3"/>
      </w:pPr>
      <w:bookmarkStart w:id="176" w:name="_Toc535831514"/>
      <w:r>
        <w:t>Způsobilost režijních nákladů</w:t>
      </w:r>
      <w:bookmarkEnd w:id="176"/>
    </w:p>
    <w:p w14:paraId="7CF64B96"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0FBEC430"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2479214F" w14:textId="77777777" w:rsidR="000C202E" w:rsidRPr="000C202E" w:rsidRDefault="000C202E" w:rsidP="007909EB">
      <w:pPr>
        <w:pStyle w:val="Default"/>
        <w:spacing w:before="120" w:after="120"/>
        <w:jc w:val="both"/>
        <w:rPr>
          <w:sz w:val="22"/>
          <w:szCs w:val="22"/>
        </w:rPr>
      </w:pPr>
      <w:r w:rsidRPr="000C202E">
        <w:rPr>
          <w:sz w:val="22"/>
          <w:szCs w:val="22"/>
        </w:rPr>
        <w:lastRenderedPageBreak/>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55FF8C32"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47B2325B" w14:textId="77777777" w:rsidR="00C0339B" w:rsidRDefault="00C0339B" w:rsidP="007909EB">
      <w:pPr>
        <w:pStyle w:val="Nadpis3"/>
      </w:pPr>
      <w:bookmarkStart w:id="177" w:name="_Toc535831515"/>
      <w:r>
        <w:t>Dokladování režijních nákladů</w:t>
      </w:r>
      <w:bookmarkEnd w:id="177"/>
    </w:p>
    <w:p w14:paraId="1A429EE2"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08D60511"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158D2329" w14:textId="77777777" w:rsidR="00C0339B" w:rsidRPr="00C0339B" w:rsidRDefault="00827A6A" w:rsidP="007909EB">
      <w:pPr>
        <w:spacing w:before="120" w:after="120"/>
      </w:pPr>
      <w:r>
        <w:rPr>
          <w:rFonts w:cs="Arial"/>
          <w:szCs w:val="20"/>
        </w:rPr>
        <w:t>Při dokladování režijních výdajů jsou předkládány následující doklady:</w:t>
      </w:r>
    </w:p>
    <w:p w14:paraId="628AA865"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7C6B15FC" w14:textId="77777777"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 metoda výpočtu;</w:t>
      </w:r>
    </w:p>
    <w:p w14:paraId="333768F2"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6FC1E440" w14:textId="77777777" w:rsidR="00C0339B" w:rsidRDefault="00C01B9E" w:rsidP="00BC20CD">
      <w:pPr>
        <w:numPr>
          <w:ilvl w:val="0"/>
          <w:numId w:val="7"/>
        </w:numPr>
        <w:spacing w:before="120" w:after="120"/>
        <w:ind w:left="714" w:hanging="357"/>
        <w:rPr>
          <w:rFonts w:cs="Arial"/>
          <w:szCs w:val="22"/>
        </w:rPr>
      </w:pPr>
      <w:r>
        <w:rPr>
          <w:rFonts w:cs="Arial"/>
          <w:b/>
          <w:szCs w:val="22"/>
        </w:rPr>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C5E715E"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4E3028BF"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2897FC22"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společně s </w:t>
      </w:r>
      <w:proofErr w:type="spellStart"/>
      <w:r w:rsidR="00386477" w:rsidRPr="005535AC">
        <w:rPr>
          <w:rFonts w:cs="Arial"/>
          <w:szCs w:val="20"/>
        </w:rPr>
        <w:t>metadaty</w:t>
      </w:r>
      <w:proofErr w:type="spellEnd"/>
      <w:r w:rsidR="00386477" w:rsidRPr="005535AC">
        <w:rPr>
          <w:rFonts w:cs="Arial"/>
          <w:szCs w:val="20"/>
        </w:rPr>
        <w:t xml:space="preserve"> v souladu se ZRS, ale pouze v případě, že plnění dané smlouvy je vyšší než 50 000 Kč bez DPH.  </w:t>
      </w:r>
    </w:p>
    <w:p w14:paraId="69B06889" w14:textId="40934229"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6C5DF2BD" w14:textId="77777777" w:rsidR="00C80EB1" w:rsidRPr="007909EB" w:rsidRDefault="00C80EB1" w:rsidP="005B6725">
      <w:pPr>
        <w:spacing w:before="120" w:after="120"/>
        <w:rPr>
          <w:rFonts w:cs="Arial"/>
          <w:b/>
          <w:snapToGrid w:val="0"/>
          <w:szCs w:val="22"/>
        </w:rPr>
      </w:pPr>
    </w:p>
    <w:p w14:paraId="3CA343F2" w14:textId="77777777" w:rsidR="00827A6A" w:rsidRDefault="00827A6A" w:rsidP="00DB20E1">
      <w:pPr>
        <w:pStyle w:val="Nadpis2"/>
      </w:pPr>
      <w:bookmarkStart w:id="178" w:name="_Toc499278004"/>
      <w:bookmarkStart w:id="179" w:name="_Toc444778144"/>
      <w:bookmarkStart w:id="180" w:name="_Toc444779776"/>
      <w:bookmarkStart w:id="181" w:name="_Toc444779865"/>
      <w:bookmarkStart w:id="182" w:name="_Toc535831516"/>
      <w:bookmarkEnd w:id="178"/>
      <w:bookmarkEnd w:id="179"/>
      <w:bookmarkEnd w:id="180"/>
      <w:bookmarkEnd w:id="181"/>
      <w:r>
        <w:t>Jiné výdaje a jejich způsobilost</w:t>
      </w:r>
      <w:bookmarkEnd w:id="182"/>
    </w:p>
    <w:p w14:paraId="5E726FF5" w14:textId="77777777" w:rsidR="006B7925" w:rsidRPr="007909EB" w:rsidRDefault="006B7925" w:rsidP="00436827">
      <w:pPr>
        <w:pStyle w:val="Nadpis3"/>
        <w:keepNext w:val="0"/>
        <w:keepLines w:val="0"/>
        <w:rPr>
          <w:b w:val="0"/>
          <w:bCs w:val="0"/>
        </w:rPr>
      </w:pPr>
      <w:bookmarkStart w:id="183" w:name="_Toc535831517"/>
      <w:r w:rsidRPr="007909EB">
        <w:t>Finanční výdaje, správní a jiné poplatky</w:t>
      </w:r>
      <w:bookmarkEnd w:id="183"/>
    </w:p>
    <w:p w14:paraId="673DEA0F" w14:textId="77777777" w:rsidR="00A53C19" w:rsidRDefault="00A53C19" w:rsidP="00436827">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p>
    <w:p w14:paraId="4D493C68" w14:textId="7E8F79A2"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0D9F3E65" w14:textId="62298AAF" w:rsidR="001B2694" w:rsidRDefault="001B2694" w:rsidP="00436827">
      <w:pPr>
        <w:pStyle w:val="Default"/>
        <w:spacing w:before="120" w:after="120"/>
        <w:jc w:val="both"/>
        <w:rPr>
          <w:sz w:val="22"/>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xml:space="preserve">, příjemce informuje o tomto dění ŘO OPTP. </w:t>
      </w:r>
      <w:r w:rsidR="00413237">
        <w:rPr>
          <w:sz w:val="22"/>
          <w:szCs w:val="22"/>
        </w:rPr>
        <w:t xml:space="preserve">Příjemce je povinen prostředky vrátit </w:t>
      </w:r>
      <w:r w:rsidR="00053F70">
        <w:rPr>
          <w:sz w:val="22"/>
          <w:szCs w:val="22"/>
        </w:rPr>
        <w:t>rozdělené</w:t>
      </w:r>
      <w:r w:rsidR="00413237">
        <w:rPr>
          <w:sz w:val="22"/>
          <w:szCs w:val="22"/>
        </w:rPr>
        <w:t xml:space="preserve"> na EU podíl (na účet MF) a SR podíl (na účet poskytovatele, tedy MMR). </w:t>
      </w:r>
      <w:r w:rsidR="00243A71">
        <w:rPr>
          <w:sz w:val="22"/>
          <w:szCs w:val="22"/>
        </w:rPr>
        <w:t>Příjemce doloží odův</w:t>
      </w:r>
      <w:r w:rsidR="00EC25D0">
        <w:rPr>
          <w:sz w:val="22"/>
          <w:szCs w:val="22"/>
        </w:rPr>
        <w:t xml:space="preserve">odnění (rozsudek), identifikaci </w:t>
      </w:r>
      <w:r w:rsidR="00EC25D0">
        <w:rPr>
          <w:sz w:val="22"/>
          <w:szCs w:val="22"/>
        </w:rPr>
        <w:lastRenderedPageBreak/>
        <w:t xml:space="preserve">dotčené </w:t>
      </w:r>
      <w:proofErr w:type="spellStart"/>
      <w:r w:rsidR="00413237">
        <w:rPr>
          <w:sz w:val="22"/>
          <w:szCs w:val="22"/>
        </w:rPr>
        <w:t>Z</w:t>
      </w:r>
      <w:r w:rsidR="00EC25D0">
        <w:rPr>
          <w:sz w:val="22"/>
          <w:szCs w:val="22"/>
        </w:rPr>
        <w:t>ŽoP</w:t>
      </w:r>
      <w:proofErr w:type="spellEnd"/>
      <w:r w:rsidR="00EC25D0">
        <w:rPr>
          <w:sz w:val="22"/>
          <w:szCs w:val="22"/>
        </w:rPr>
        <w:t xml:space="preserve">, ve které byly výdaje nárokovány, č. faktury a </w:t>
      </w:r>
      <w:r w:rsidR="00413237">
        <w:rPr>
          <w:sz w:val="22"/>
          <w:szCs w:val="22"/>
        </w:rPr>
        <w:t>částku</w:t>
      </w:r>
      <w:r w:rsidR="00EC25D0">
        <w:rPr>
          <w:sz w:val="22"/>
          <w:szCs w:val="22"/>
        </w:rPr>
        <w:t>. Následně bude příjemce vyzván k navrácení</w:t>
      </w:r>
      <w:r w:rsidR="00243A71">
        <w:rPr>
          <w:sz w:val="22"/>
          <w:szCs w:val="22"/>
        </w:rPr>
        <w:t xml:space="preserve"> těchto výdajů na účet PCO. </w:t>
      </w:r>
      <w:r w:rsidR="00413237">
        <w:rPr>
          <w:sz w:val="22"/>
          <w:szCs w:val="22"/>
        </w:rPr>
        <w:t>V případě prostředků vynaložených na právní služby z</w:t>
      </w:r>
      <w:r w:rsidR="00C5694E">
        <w:rPr>
          <w:sz w:val="22"/>
          <w:szCs w:val="22"/>
        </w:rPr>
        <w:t xml:space="preserve"> </w:t>
      </w:r>
      <w:r w:rsidR="00413237">
        <w:rPr>
          <w:sz w:val="22"/>
          <w:szCs w:val="22"/>
        </w:rPr>
        <w:t>kombinovaných zdrojů (prostředky OPTP 2014-2020 a např. prostředky kraje), vrátí příjemce pouze prostředky poskytnuté z</w:t>
      </w:r>
      <w:r w:rsidR="00C5694E">
        <w:rPr>
          <w:sz w:val="22"/>
          <w:szCs w:val="22"/>
        </w:rPr>
        <w:t> </w:t>
      </w:r>
      <w:r w:rsidR="00413237">
        <w:rPr>
          <w:sz w:val="22"/>
          <w:szCs w:val="22"/>
        </w:rPr>
        <w:t>projektů</w:t>
      </w:r>
      <w:r w:rsidR="00C5694E">
        <w:rPr>
          <w:sz w:val="22"/>
          <w:szCs w:val="22"/>
        </w:rPr>
        <w:t xml:space="preserve"> OPTP.</w:t>
      </w:r>
      <w:r w:rsidR="00413237">
        <w:rPr>
          <w:sz w:val="22"/>
          <w:szCs w:val="22"/>
        </w:rPr>
        <w:t xml:space="preserve"> </w:t>
      </w:r>
    </w:p>
    <w:p w14:paraId="31296FA6" w14:textId="77777777" w:rsidR="00AA4068" w:rsidRPr="007909EB" w:rsidRDefault="00AA4068" w:rsidP="00904DCC">
      <w:pPr>
        <w:pStyle w:val="Nadpis3"/>
        <w:keepNext w:val="0"/>
        <w:keepLines w:val="0"/>
        <w:widowControl w:val="0"/>
        <w:rPr>
          <w:b w:val="0"/>
          <w:bCs w:val="0"/>
        </w:rPr>
      </w:pPr>
      <w:bookmarkStart w:id="184" w:name="_Toc444779779"/>
      <w:bookmarkStart w:id="185" w:name="_Toc444779868"/>
      <w:bookmarkStart w:id="186" w:name="_Toc535831518"/>
      <w:bookmarkEnd w:id="184"/>
      <w:bookmarkEnd w:id="185"/>
      <w:r w:rsidRPr="007909EB">
        <w:t>Odpisy</w:t>
      </w:r>
      <w:bookmarkEnd w:id="186"/>
    </w:p>
    <w:p w14:paraId="1DAD0DAC"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12F23536" w14:textId="77777777" w:rsidR="00AE4ED7" w:rsidRPr="007909EB" w:rsidRDefault="00674B0F" w:rsidP="00904DCC">
      <w:pPr>
        <w:pStyle w:val="Nadpis3"/>
        <w:keepNext w:val="0"/>
        <w:keepLines w:val="0"/>
        <w:widowControl w:val="0"/>
        <w:rPr>
          <w:b w:val="0"/>
          <w:bCs w:val="0"/>
        </w:rPr>
      </w:pPr>
      <w:bookmarkStart w:id="187" w:name="_Toc444779781"/>
      <w:bookmarkStart w:id="188" w:name="_Toc444779870"/>
      <w:bookmarkStart w:id="189" w:name="_Toc535831519"/>
      <w:bookmarkEnd w:id="187"/>
      <w:bookmarkEnd w:id="188"/>
      <w:r w:rsidRPr="007909EB">
        <w:t>Daň z přidané hodnoty</w:t>
      </w:r>
      <w:bookmarkEnd w:id="189"/>
      <w:r w:rsidR="008E1B87" w:rsidRPr="007909EB">
        <w:t xml:space="preserve"> </w:t>
      </w:r>
    </w:p>
    <w:p w14:paraId="70F01528" w14:textId="77777777" w:rsidR="00674B0F" w:rsidRPr="00674B0F" w:rsidRDefault="00674B0F" w:rsidP="00904DCC">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456896BE" w14:textId="77777777" w:rsidR="00AE4ED7" w:rsidRDefault="00674B0F" w:rsidP="00904DCC">
      <w:pPr>
        <w:pStyle w:val="Default"/>
        <w:widowControl w:val="0"/>
        <w:spacing w:before="120" w:after="120"/>
        <w:jc w:val="both"/>
        <w:rPr>
          <w:b/>
          <w:bCs/>
          <w:sz w:val="22"/>
          <w:szCs w:val="22"/>
          <w:u w:val="single"/>
        </w:rPr>
      </w:pPr>
      <w:r w:rsidRPr="00674B0F">
        <w:rPr>
          <w:sz w:val="22"/>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p>
    <w:p w14:paraId="586BD090" w14:textId="77777777" w:rsidR="006B7925" w:rsidRPr="006B7925" w:rsidRDefault="006B7925" w:rsidP="00D03A74">
      <w:pPr>
        <w:pStyle w:val="Default"/>
        <w:keepNext/>
        <w:keepLines/>
        <w:rPr>
          <w:b/>
          <w:bCs/>
          <w:sz w:val="22"/>
          <w:szCs w:val="22"/>
          <w:u w:val="single"/>
        </w:rPr>
      </w:pPr>
    </w:p>
    <w:p w14:paraId="3B2D007A"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48780BD5" w14:textId="77777777" w:rsidR="008C2179" w:rsidRPr="005F1B36" w:rsidRDefault="008C2179" w:rsidP="005F1B36">
      <w:pPr>
        <w:pStyle w:val="Nadpis1"/>
        <w:numPr>
          <w:ilvl w:val="0"/>
          <w:numId w:val="0"/>
        </w:numPr>
        <w:ind w:left="432" w:hanging="432"/>
      </w:pPr>
      <w:bookmarkStart w:id="190" w:name="_Toc535831520"/>
      <w:r w:rsidRPr="005F1B36">
        <w:lastRenderedPageBreak/>
        <w:t>Tabulka č. 1: Přehled dokladování výdajů</w:t>
      </w:r>
      <w:r w:rsidR="001472F2" w:rsidRPr="005F1B36">
        <w:t xml:space="preserve"> v Soupisce</w:t>
      </w:r>
      <w:bookmarkEnd w:id="190"/>
    </w:p>
    <w:tbl>
      <w:tblPr>
        <w:tblStyle w:val="Mkatabulky"/>
        <w:tblW w:w="14657" w:type="dxa"/>
        <w:tblLook w:val="04A0" w:firstRow="1" w:lastRow="0" w:firstColumn="1" w:lastColumn="0" w:noHBand="0" w:noVBand="1"/>
      </w:tblPr>
      <w:tblGrid>
        <w:gridCol w:w="4385"/>
        <w:gridCol w:w="2336"/>
        <w:gridCol w:w="2229"/>
        <w:gridCol w:w="55"/>
        <w:gridCol w:w="1534"/>
        <w:gridCol w:w="16"/>
        <w:gridCol w:w="1289"/>
        <w:gridCol w:w="1174"/>
        <w:gridCol w:w="1639"/>
      </w:tblGrid>
      <w:tr w:rsidR="009347C2" w:rsidRPr="00091571" w14:paraId="59885875" w14:textId="77777777" w:rsidTr="000F5F05">
        <w:trPr>
          <w:trHeight w:val="397"/>
        </w:trPr>
        <w:tc>
          <w:tcPr>
            <w:tcW w:w="4385" w:type="dxa"/>
            <w:shd w:val="clear" w:color="auto" w:fill="FFFFCC"/>
            <w:vAlign w:val="center"/>
          </w:tcPr>
          <w:p w14:paraId="406AB71B"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58FF60A5"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582B91FA"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1A8BFD36"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077DCED9"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0075003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239656B0" w14:textId="1673A60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55CE631A" w14:textId="77777777" w:rsidTr="000F5F05">
        <w:trPr>
          <w:trHeight w:val="340"/>
        </w:trPr>
        <w:tc>
          <w:tcPr>
            <w:tcW w:w="11844" w:type="dxa"/>
            <w:gridSpan w:val="7"/>
            <w:shd w:val="clear" w:color="auto" w:fill="FBD4B4" w:themeFill="accent6" w:themeFillTint="66"/>
            <w:vAlign w:val="center"/>
          </w:tcPr>
          <w:p w14:paraId="5EB66086"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15A1D8F0"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7D0C2402" w14:textId="77777777" w:rsidR="0022467B" w:rsidRPr="002F736F" w:rsidRDefault="0022467B" w:rsidP="0072268A">
            <w:pPr>
              <w:jc w:val="center"/>
              <w:rPr>
                <w:rFonts w:cs="Arial"/>
                <w:b/>
                <w:sz w:val="20"/>
                <w:szCs w:val="20"/>
              </w:rPr>
            </w:pPr>
          </w:p>
        </w:tc>
      </w:tr>
      <w:tr w:rsidR="000F5F05" w:rsidRPr="00091571" w14:paraId="4DE2923E" w14:textId="77777777" w:rsidTr="000F5F05">
        <w:tc>
          <w:tcPr>
            <w:tcW w:w="4385" w:type="dxa"/>
            <w:vMerge w:val="restart"/>
            <w:vAlign w:val="center"/>
          </w:tcPr>
          <w:p w14:paraId="69BCB861"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07FA5C93"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19"/>
            </w:r>
            <w:r w:rsidRPr="00091571">
              <w:rPr>
                <w:rFonts w:cs="Arial"/>
                <w:sz w:val="20"/>
                <w:szCs w:val="20"/>
              </w:rPr>
              <w:t>.</w:t>
            </w:r>
          </w:p>
        </w:tc>
        <w:tc>
          <w:tcPr>
            <w:tcW w:w="2229" w:type="dxa"/>
            <w:shd w:val="clear" w:color="auto" w:fill="auto"/>
            <w:vAlign w:val="center"/>
          </w:tcPr>
          <w:p w14:paraId="2ABE26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5BC998B4"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5FF40DA0"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30BBA3F8"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298E29B3" w14:textId="2570381C"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14E0B813" w14:textId="77777777" w:rsidTr="000F5F05">
        <w:tc>
          <w:tcPr>
            <w:tcW w:w="4385" w:type="dxa"/>
            <w:vMerge/>
            <w:vAlign w:val="center"/>
          </w:tcPr>
          <w:p w14:paraId="081122AD" w14:textId="77777777" w:rsidR="000F5F05" w:rsidRPr="00091571" w:rsidRDefault="000F5F05" w:rsidP="0072268A">
            <w:pPr>
              <w:rPr>
                <w:rFonts w:cs="Arial"/>
                <w:b/>
                <w:sz w:val="20"/>
                <w:szCs w:val="20"/>
              </w:rPr>
            </w:pPr>
          </w:p>
        </w:tc>
        <w:tc>
          <w:tcPr>
            <w:tcW w:w="2336" w:type="dxa"/>
            <w:shd w:val="clear" w:color="auto" w:fill="auto"/>
            <w:vAlign w:val="center"/>
          </w:tcPr>
          <w:p w14:paraId="146C0BA3"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100715F4"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7AE1EBC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81F560F"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753567C5" w14:textId="77777777" w:rsidR="000F5F05" w:rsidRPr="00091571" w:rsidRDefault="000F5F05">
            <w:pPr>
              <w:spacing w:before="120" w:after="120"/>
              <w:jc w:val="center"/>
              <w:rPr>
                <w:rFonts w:cs="Arial"/>
                <w:sz w:val="20"/>
                <w:szCs w:val="20"/>
              </w:rPr>
            </w:pPr>
          </w:p>
        </w:tc>
        <w:tc>
          <w:tcPr>
            <w:tcW w:w="1639" w:type="dxa"/>
            <w:vAlign w:val="center"/>
          </w:tcPr>
          <w:p w14:paraId="1CDAE71B"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2C2C7F02" w14:textId="77777777" w:rsidTr="000F5F05">
        <w:tc>
          <w:tcPr>
            <w:tcW w:w="4385" w:type="dxa"/>
            <w:vMerge/>
            <w:vAlign w:val="center"/>
          </w:tcPr>
          <w:p w14:paraId="0C026C66" w14:textId="77777777" w:rsidR="000F5F05" w:rsidRPr="00091571" w:rsidRDefault="000F5F05" w:rsidP="0072268A">
            <w:pPr>
              <w:rPr>
                <w:rFonts w:cs="Arial"/>
                <w:b/>
                <w:sz w:val="20"/>
                <w:szCs w:val="20"/>
              </w:rPr>
            </w:pPr>
          </w:p>
        </w:tc>
        <w:tc>
          <w:tcPr>
            <w:tcW w:w="2336" w:type="dxa"/>
            <w:shd w:val="clear" w:color="auto" w:fill="auto"/>
            <w:vAlign w:val="center"/>
          </w:tcPr>
          <w:p w14:paraId="54054112"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689E3C55" w14:textId="77777777" w:rsidR="000F5F05" w:rsidRPr="00091571" w:rsidRDefault="000F5F05" w:rsidP="00436827">
            <w:pPr>
              <w:rPr>
                <w:rFonts w:cs="Arial"/>
                <w:sz w:val="20"/>
                <w:szCs w:val="20"/>
              </w:rPr>
            </w:pPr>
            <w:r w:rsidRPr="00091571">
              <w:rPr>
                <w:rFonts w:cs="Arial"/>
                <w:sz w:val="20"/>
                <w:szCs w:val="20"/>
              </w:rPr>
              <w:t>Při prvním nárokování výdaje a při změně (zahrnutí nového pracovníka do projektu či změně jeho zařazení/úvazku atp.)</w:t>
            </w:r>
          </w:p>
        </w:tc>
        <w:tc>
          <w:tcPr>
            <w:tcW w:w="1589" w:type="dxa"/>
            <w:gridSpan w:val="2"/>
            <w:vAlign w:val="center"/>
          </w:tcPr>
          <w:p w14:paraId="197D7F31"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7E854D5E"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5AF615CB" w14:textId="77777777" w:rsidR="000F5F05" w:rsidRPr="00091571" w:rsidRDefault="000F5F05">
            <w:pPr>
              <w:spacing w:before="120" w:after="120"/>
              <w:jc w:val="center"/>
              <w:rPr>
                <w:rFonts w:cs="Arial"/>
                <w:sz w:val="20"/>
                <w:szCs w:val="20"/>
              </w:rPr>
            </w:pPr>
          </w:p>
        </w:tc>
        <w:tc>
          <w:tcPr>
            <w:tcW w:w="1639" w:type="dxa"/>
            <w:vAlign w:val="center"/>
          </w:tcPr>
          <w:p w14:paraId="2DAEF652"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7EADB7D3" w14:textId="77777777" w:rsidTr="000F5F05">
        <w:tc>
          <w:tcPr>
            <w:tcW w:w="4385" w:type="dxa"/>
            <w:vMerge/>
            <w:vAlign w:val="center"/>
          </w:tcPr>
          <w:p w14:paraId="421133B0" w14:textId="77777777" w:rsidR="000F5F05" w:rsidRPr="00091571" w:rsidRDefault="000F5F05" w:rsidP="0072268A">
            <w:pPr>
              <w:rPr>
                <w:rFonts w:cs="Arial"/>
                <w:sz w:val="20"/>
                <w:szCs w:val="20"/>
              </w:rPr>
            </w:pPr>
          </w:p>
        </w:tc>
        <w:tc>
          <w:tcPr>
            <w:tcW w:w="2336" w:type="dxa"/>
            <w:shd w:val="clear" w:color="auto" w:fill="auto"/>
            <w:vAlign w:val="center"/>
          </w:tcPr>
          <w:p w14:paraId="28F8B71D" w14:textId="77777777" w:rsidR="000F5F05" w:rsidRPr="00091571" w:rsidRDefault="000F5F05" w:rsidP="00DB003A">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p>
        </w:tc>
        <w:tc>
          <w:tcPr>
            <w:tcW w:w="2229" w:type="dxa"/>
            <w:shd w:val="clear" w:color="auto" w:fill="auto"/>
            <w:vAlign w:val="center"/>
          </w:tcPr>
          <w:p w14:paraId="689594A5"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4D74783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8350D55"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764D3B8F" w14:textId="77777777" w:rsidR="000F5F05" w:rsidRPr="00091571" w:rsidRDefault="000F5F05">
            <w:pPr>
              <w:jc w:val="center"/>
              <w:rPr>
                <w:rFonts w:cs="Arial"/>
                <w:sz w:val="20"/>
                <w:szCs w:val="20"/>
              </w:rPr>
            </w:pPr>
          </w:p>
        </w:tc>
        <w:tc>
          <w:tcPr>
            <w:tcW w:w="1639" w:type="dxa"/>
            <w:vAlign w:val="center"/>
          </w:tcPr>
          <w:p w14:paraId="0BF2DA4F" w14:textId="67B9D31D"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E7C6F9C" w14:textId="77777777" w:rsidTr="000F5F05">
        <w:tc>
          <w:tcPr>
            <w:tcW w:w="4385" w:type="dxa"/>
            <w:vMerge/>
            <w:vAlign w:val="center"/>
          </w:tcPr>
          <w:p w14:paraId="69722385" w14:textId="77777777" w:rsidR="000F5F05" w:rsidRPr="00091571" w:rsidRDefault="000F5F05" w:rsidP="0072268A">
            <w:pPr>
              <w:rPr>
                <w:rFonts w:cs="Arial"/>
                <w:sz w:val="20"/>
                <w:szCs w:val="20"/>
              </w:rPr>
            </w:pPr>
          </w:p>
        </w:tc>
        <w:tc>
          <w:tcPr>
            <w:tcW w:w="2336" w:type="dxa"/>
            <w:shd w:val="clear" w:color="auto" w:fill="auto"/>
            <w:vAlign w:val="center"/>
          </w:tcPr>
          <w:p w14:paraId="5AC9878C" w14:textId="77777777" w:rsidR="000F5F05" w:rsidRPr="00091571" w:rsidRDefault="000F5F05" w:rsidP="0072268A">
            <w:pPr>
              <w:rPr>
                <w:rFonts w:cs="Arial"/>
                <w:sz w:val="20"/>
                <w:szCs w:val="20"/>
              </w:rPr>
            </w:pPr>
            <w:r w:rsidRPr="00091571">
              <w:rPr>
                <w:rFonts w:cs="Arial"/>
                <w:sz w:val="20"/>
                <w:szCs w:val="20"/>
              </w:rPr>
              <w:t>Platové výměry</w:t>
            </w:r>
          </w:p>
        </w:tc>
        <w:tc>
          <w:tcPr>
            <w:tcW w:w="2229" w:type="dxa"/>
            <w:shd w:val="clear" w:color="auto" w:fill="auto"/>
            <w:vAlign w:val="center"/>
          </w:tcPr>
          <w:p w14:paraId="0061E4B9" w14:textId="1A6DD904"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6903F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6CF0E1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705C7E11" w14:textId="77777777" w:rsidR="000F5F05" w:rsidRPr="00091571" w:rsidRDefault="000F5F05">
            <w:pPr>
              <w:jc w:val="center"/>
              <w:rPr>
                <w:rFonts w:cs="Arial"/>
                <w:sz w:val="20"/>
                <w:szCs w:val="20"/>
              </w:rPr>
            </w:pPr>
          </w:p>
        </w:tc>
        <w:tc>
          <w:tcPr>
            <w:tcW w:w="1639" w:type="dxa"/>
            <w:vAlign w:val="center"/>
          </w:tcPr>
          <w:p w14:paraId="275D39BB"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3350FD02" w14:textId="77777777" w:rsidTr="000F5F05">
        <w:tc>
          <w:tcPr>
            <w:tcW w:w="4385" w:type="dxa"/>
            <w:vMerge/>
            <w:vAlign w:val="center"/>
          </w:tcPr>
          <w:p w14:paraId="46D281BF" w14:textId="77777777" w:rsidR="000F5F05" w:rsidRPr="00091571" w:rsidRDefault="000F5F05" w:rsidP="0072268A">
            <w:pPr>
              <w:rPr>
                <w:rFonts w:cs="Arial"/>
                <w:sz w:val="20"/>
                <w:szCs w:val="20"/>
              </w:rPr>
            </w:pPr>
          </w:p>
        </w:tc>
        <w:tc>
          <w:tcPr>
            <w:tcW w:w="2336" w:type="dxa"/>
            <w:shd w:val="clear" w:color="auto" w:fill="auto"/>
            <w:vAlign w:val="center"/>
          </w:tcPr>
          <w:p w14:paraId="14C86092"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662D6EE5"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78042752"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526576B7"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19882320" w14:textId="77777777" w:rsidR="000F5F05" w:rsidRPr="00091571" w:rsidRDefault="000F5F05">
            <w:pPr>
              <w:jc w:val="center"/>
              <w:rPr>
                <w:rFonts w:cs="Arial"/>
                <w:sz w:val="20"/>
                <w:szCs w:val="20"/>
              </w:rPr>
            </w:pPr>
          </w:p>
        </w:tc>
        <w:tc>
          <w:tcPr>
            <w:tcW w:w="1639" w:type="dxa"/>
            <w:vAlign w:val="center"/>
          </w:tcPr>
          <w:p w14:paraId="16B83188" w14:textId="0D921F24"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 pracovníků v pracovním poměru na služebním místě/</w:t>
            </w:r>
            <w:r w:rsidRPr="00091571">
              <w:rPr>
                <w:rFonts w:cs="Arial"/>
                <w:sz w:val="20"/>
                <w:szCs w:val="20"/>
              </w:rPr>
              <w:t>zákoníku práce.</w:t>
            </w:r>
          </w:p>
        </w:tc>
      </w:tr>
      <w:tr w:rsidR="000F5F05" w:rsidRPr="00091571" w14:paraId="4EBAC693" w14:textId="77777777" w:rsidTr="000F5F05">
        <w:tc>
          <w:tcPr>
            <w:tcW w:w="4385" w:type="dxa"/>
            <w:vMerge/>
            <w:vAlign w:val="center"/>
          </w:tcPr>
          <w:p w14:paraId="4506FDF5" w14:textId="77777777" w:rsidR="000F5F05" w:rsidRPr="00091571" w:rsidRDefault="000F5F05" w:rsidP="0072268A">
            <w:pPr>
              <w:rPr>
                <w:rFonts w:cs="Arial"/>
                <w:sz w:val="20"/>
                <w:szCs w:val="20"/>
              </w:rPr>
            </w:pPr>
          </w:p>
        </w:tc>
        <w:tc>
          <w:tcPr>
            <w:tcW w:w="2336" w:type="dxa"/>
            <w:shd w:val="clear" w:color="auto" w:fill="auto"/>
            <w:vAlign w:val="center"/>
          </w:tcPr>
          <w:p w14:paraId="38497DBD" w14:textId="168F85DF" w:rsidR="000F5F05" w:rsidRPr="00091571" w:rsidRDefault="000F5F05" w:rsidP="00F251BC">
            <w:pPr>
              <w:spacing w:before="120" w:after="120"/>
              <w:rPr>
                <w:rFonts w:cs="Arial"/>
                <w:sz w:val="20"/>
                <w:szCs w:val="20"/>
              </w:rPr>
            </w:pPr>
          </w:p>
        </w:tc>
        <w:tc>
          <w:tcPr>
            <w:tcW w:w="2229" w:type="dxa"/>
            <w:shd w:val="clear" w:color="auto" w:fill="auto"/>
            <w:vAlign w:val="center"/>
          </w:tcPr>
          <w:p w14:paraId="76699E6A" w14:textId="1B0F7748" w:rsidR="000F5F05" w:rsidRPr="00091571" w:rsidRDefault="000F5F05" w:rsidP="0072268A">
            <w:pPr>
              <w:rPr>
                <w:rFonts w:cs="Arial"/>
                <w:sz w:val="20"/>
                <w:szCs w:val="20"/>
              </w:rPr>
            </w:pPr>
          </w:p>
        </w:tc>
        <w:tc>
          <w:tcPr>
            <w:tcW w:w="1589" w:type="dxa"/>
            <w:gridSpan w:val="2"/>
            <w:vAlign w:val="center"/>
          </w:tcPr>
          <w:p w14:paraId="4CEF31C8" w14:textId="3B5FD2A2" w:rsidR="000F5F05" w:rsidRPr="00091571" w:rsidRDefault="000F5F05" w:rsidP="0072268A">
            <w:pPr>
              <w:rPr>
                <w:rFonts w:cs="Arial"/>
                <w:sz w:val="20"/>
                <w:szCs w:val="20"/>
              </w:rPr>
            </w:pPr>
          </w:p>
        </w:tc>
        <w:tc>
          <w:tcPr>
            <w:tcW w:w="1305" w:type="dxa"/>
            <w:gridSpan w:val="2"/>
            <w:vAlign w:val="center"/>
          </w:tcPr>
          <w:p w14:paraId="0F55A771" w14:textId="662063A5" w:rsidR="000F5F05" w:rsidRPr="00091571" w:rsidRDefault="000F5F05" w:rsidP="00436827">
            <w:pPr>
              <w:jc w:val="center"/>
              <w:rPr>
                <w:rFonts w:cs="Arial"/>
                <w:sz w:val="20"/>
                <w:szCs w:val="20"/>
              </w:rPr>
            </w:pPr>
          </w:p>
        </w:tc>
        <w:tc>
          <w:tcPr>
            <w:tcW w:w="1174" w:type="dxa"/>
            <w:vMerge w:val="restart"/>
          </w:tcPr>
          <w:p w14:paraId="64054F19" w14:textId="77777777" w:rsidR="000F5F05" w:rsidRPr="00091571" w:rsidRDefault="000F5F05">
            <w:pPr>
              <w:jc w:val="center"/>
              <w:rPr>
                <w:rFonts w:cs="Arial"/>
                <w:sz w:val="20"/>
                <w:szCs w:val="20"/>
              </w:rPr>
            </w:pPr>
          </w:p>
        </w:tc>
        <w:tc>
          <w:tcPr>
            <w:tcW w:w="1639" w:type="dxa"/>
            <w:vAlign w:val="center"/>
          </w:tcPr>
          <w:p w14:paraId="3AB86300" w14:textId="039BA622" w:rsidR="000F5F05" w:rsidRPr="00091571" w:rsidRDefault="000F5F05" w:rsidP="00630412">
            <w:pPr>
              <w:jc w:val="center"/>
              <w:rPr>
                <w:rFonts w:cs="Arial"/>
                <w:sz w:val="20"/>
                <w:szCs w:val="20"/>
              </w:rPr>
            </w:pPr>
          </w:p>
        </w:tc>
      </w:tr>
      <w:tr w:rsidR="000F5F05" w:rsidRPr="00091571" w14:paraId="2BC58957" w14:textId="77777777" w:rsidTr="000F5F05">
        <w:tc>
          <w:tcPr>
            <w:tcW w:w="4385" w:type="dxa"/>
            <w:vMerge/>
            <w:vAlign w:val="center"/>
          </w:tcPr>
          <w:p w14:paraId="6E60CB7E" w14:textId="77777777" w:rsidR="000F5F05" w:rsidRPr="00091571" w:rsidRDefault="000F5F05" w:rsidP="0072268A">
            <w:pPr>
              <w:rPr>
                <w:rFonts w:cs="Arial"/>
                <w:sz w:val="20"/>
                <w:szCs w:val="20"/>
              </w:rPr>
            </w:pPr>
          </w:p>
        </w:tc>
        <w:tc>
          <w:tcPr>
            <w:tcW w:w="2336" w:type="dxa"/>
            <w:vAlign w:val="center"/>
          </w:tcPr>
          <w:p w14:paraId="126B95AA" w14:textId="2EFFC7A1"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4595C05"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32C0DA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C1561DE"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1B584815" w14:textId="77777777" w:rsidR="000F5F05" w:rsidRPr="00091571" w:rsidRDefault="000F5F05" w:rsidP="00EE0BA7">
            <w:pPr>
              <w:jc w:val="center"/>
              <w:rPr>
                <w:rFonts w:cs="Arial"/>
                <w:sz w:val="20"/>
                <w:szCs w:val="20"/>
              </w:rPr>
            </w:pPr>
          </w:p>
        </w:tc>
        <w:tc>
          <w:tcPr>
            <w:tcW w:w="1639" w:type="dxa"/>
            <w:vAlign w:val="center"/>
          </w:tcPr>
          <w:p w14:paraId="24D21D94" w14:textId="259A2C87" w:rsidR="000F5F05" w:rsidRPr="00091571" w:rsidRDefault="000F5F05" w:rsidP="00630412">
            <w:pPr>
              <w:jc w:val="center"/>
              <w:rPr>
                <w:rFonts w:cs="Arial"/>
                <w:sz w:val="20"/>
                <w:szCs w:val="20"/>
              </w:rPr>
            </w:pPr>
            <w:r w:rsidRPr="00091571">
              <w:rPr>
                <w:rFonts w:cs="Arial"/>
                <w:sz w:val="20"/>
                <w:szCs w:val="20"/>
              </w:rPr>
              <w:t>Dokladování u ZSS</w:t>
            </w:r>
            <w:r>
              <w:rPr>
                <w:rFonts w:cs="Arial"/>
                <w:sz w:val="20"/>
                <w:szCs w:val="20"/>
              </w:rPr>
              <w:t>/ pracovníků v pracovním poměru na služebním místě/</w:t>
            </w:r>
            <w:r w:rsidRPr="00091571">
              <w:rPr>
                <w:rFonts w:cs="Arial"/>
                <w:sz w:val="20"/>
                <w:szCs w:val="20"/>
              </w:rPr>
              <w:t>zákoníku práce.</w:t>
            </w:r>
          </w:p>
        </w:tc>
      </w:tr>
      <w:tr w:rsidR="000F5F05" w:rsidRPr="00091571" w14:paraId="76FD6B96" w14:textId="77777777" w:rsidTr="000F5F05">
        <w:tc>
          <w:tcPr>
            <w:tcW w:w="4385" w:type="dxa"/>
            <w:vMerge/>
            <w:vAlign w:val="center"/>
          </w:tcPr>
          <w:p w14:paraId="54328886" w14:textId="77777777" w:rsidR="000F5F05" w:rsidRPr="00091571" w:rsidRDefault="000F5F05" w:rsidP="0072268A">
            <w:pPr>
              <w:rPr>
                <w:rFonts w:cs="Arial"/>
                <w:sz w:val="20"/>
                <w:szCs w:val="20"/>
              </w:rPr>
            </w:pPr>
          </w:p>
        </w:tc>
        <w:tc>
          <w:tcPr>
            <w:tcW w:w="2336" w:type="dxa"/>
            <w:vAlign w:val="center"/>
          </w:tcPr>
          <w:p w14:paraId="31AC662E"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3DD8C2F6"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FBC1F73"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F0F4E94"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9464866" w14:textId="77777777" w:rsidR="000F5F05" w:rsidRPr="00091571" w:rsidRDefault="000F5F05" w:rsidP="00EE0BA7">
            <w:pPr>
              <w:jc w:val="center"/>
              <w:rPr>
                <w:rFonts w:cs="Arial"/>
                <w:sz w:val="20"/>
                <w:szCs w:val="20"/>
              </w:rPr>
            </w:pPr>
          </w:p>
        </w:tc>
        <w:tc>
          <w:tcPr>
            <w:tcW w:w="1639" w:type="dxa"/>
            <w:vAlign w:val="center"/>
          </w:tcPr>
          <w:p w14:paraId="18545995" w14:textId="26AB03FF" w:rsidR="000F5F05" w:rsidRPr="00091571" w:rsidRDefault="000F5F05" w:rsidP="006917A1">
            <w:pPr>
              <w:jc w:val="center"/>
              <w:rPr>
                <w:rFonts w:cs="Arial"/>
                <w:sz w:val="20"/>
                <w:szCs w:val="20"/>
              </w:rPr>
            </w:pPr>
            <w:r w:rsidRPr="00091571">
              <w:rPr>
                <w:rFonts w:cs="Arial"/>
                <w:sz w:val="20"/>
                <w:szCs w:val="20"/>
              </w:rPr>
              <w:t>Dokladování u ZSS</w:t>
            </w:r>
            <w:r>
              <w:rPr>
                <w:rFonts w:cs="Arial"/>
                <w:sz w:val="20"/>
                <w:szCs w:val="20"/>
              </w:rPr>
              <w:t>/pracovníků v pracovním poměru na služebním místě/</w:t>
            </w:r>
            <w:r w:rsidRPr="00091571">
              <w:rPr>
                <w:rFonts w:cs="Arial"/>
                <w:sz w:val="20"/>
                <w:szCs w:val="20"/>
              </w:rPr>
              <w:t>zákoníku práce.</w:t>
            </w:r>
          </w:p>
        </w:tc>
      </w:tr>
      <w:tr w:rsidR="000F5F05" w:rsidRPr="00091571" w14:paraId="478B14C3" w14:textId="77777777" w:rsidTr="000F5F05">
        <w:tc>
          <w:tcPr>
            <w:tcW w:w="4385" w:type="dxa"/>
            <w:vMerge/>
            <w:vAlign w:val="center"/>
          </w:tcPr>
          <w:p w14:paraId="73155E1D" w14:textId="77777777" w:rsidR="000F5F05" w:rsidRPr="00091571" w:rsidRDefault="000F5F05" w:rsidP="0072268A">
            <w:pPr>
              <w:rPr>
                <w:rFonts w:cs="Arial"/>
                <w:sz w:val="20"/>
                <w:szCs w:val="20"/>
              </w:rPr>
            </w:pPr>
          </w:p>
        </w:tc>
        <w:tc>
          <w:tcPr>
            <w:tcW w:w="2336" w:type="dxa"/>
            <w:vAlign w:val="center"/>
          </w:tcPr>
          <w:p w14:paraId="15C86BDC"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44DE8AFF"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28873BB2"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709D415"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7F1A2136" w14:textId="77777777" w:rsidR="000F5F05" w:rsidRPr="00091571" w:rsidRDefault="000F5F05">
            <w:pPr>
              <w:jc w:val="center"/>
              <w:rPr>
                <w:rFonts w:cs="Arial"/>
                <w:sz w:val="20"/>
                <w:szCs w:val="20"/>
              </w:rPr>
            </w:pPr>
          </w:p>
        </w:tc>
        <w:tc>
          <w:tcPr>
            <w:tcW w:w="1639" w:type="dxa"/>
            <w:vAlign w:val="center"/>
          </w:tcPr>
          <w:p w14:paraId="287910ED" w14:textId="762D33EA" w:rsidR="000F5F05" w:rsidRPr="00091571" w:rsidRDefault="000F5F05" w:rsidP="00630412">
            <w:pPr>
              <w:jc w:val="center"/>
              <w:rPr>
                <w:rFonts w:cs="Arial"/>
                <w:sz w:val="20"/>
                <w:szCs w:val="20"/>
              </w:rPr>
            </w:pPr>
            <w:r w:rsidRPr="00091571">
              <w:rPr>
                <w:rFonts w:cs="Arial"/>
                <w:sz w:val="20"/>
                <w:szCs w:val="20"/>
              </w:rPr>
              <w:t>Dokladování u ZSS</w:t>
            </w:r>
            <w:r>
              <w:rPr>
                <w:rFonts w:cs="Arial"/>
                <w:sz w:val="20"/>
                <w:szCs w:val="20"/>
              </w:rPr>
              <w:t>/pracovníků v pracovním poměru na služebním místě.</w:t>
            </w:r>
          </w:p>
        </w:tc>
      </w:tr>
      <w:tr w:rsidR="000F5F05" w:rsidRPr="00091571" w14:paraId="69DA6C29" w14:textId="77777777" w:rsidTr="000F5F05">
        <w:tc>
          <w:tcPr>
            <w:tcW w:w="4385" w:type="dxa"/>
            <w:vMerge/>
            <w:vAlign w:val="center"/>
          </w:tcPr>
          <w:p w14:paraId="3DA84D50" w14:textId="77777777" w:rsidR="000F5F05" w:rsidRPr="00091571" w:rsidRDefault="000F5F05" w:rsidP="0072268A">
            <w:pPr>
              <w:rPr>
                <w:rFonts w:cs="Arial"/>
                <w:sz w:val="20"/>
                <w:szCs w:val="20"/>
              </w:rPr>
            </w:pPr>
          </w:p>
        </w:tc>
        <w:tc>
          <w:tcPr>
            <w:tcW w:w="2336" w:type="dxa"/>
            <w:vAlign w:val="center"/>
          </w:tcPr>
          <w:p w14:paraId="7CAAD30C"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406F5D29"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0B55B3A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71D9EBA0"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503150C9"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0EF50C02" w14:textId="09C51605" w:rsidR="000F5F05" w:rsidRPr="00091571" w:rsidRDefault="000F5F05" w:rsidP="00630412">
            <w:pPr>
              <w:jc w:val="center"/>
              <w:rPr>
                <w:rFonts w:cs="Arial"/>
                <w:sz w:val="20"/>
                <w:szCs w:val="20"/>
              </w:rPr>
            </w:pPr>
            <w:r w:rsidRPr="00091571">
              <w:rPr>
                <w:rFonts w:cs="Arial"/>
                <w:sz w:val="20"/>
                <w:szCs w:val="20"/>
              </w:rPr>
              <w:t>Dokladování u ZSS</w:t>
            </w:r>
            <w:r>
              <w:rPr>
                <w:rFonts w:cs="Arial"/>
                <w:sz w:val="20"/>
                <w:szCs w:val="20"/>
              </w:rPr>
              <w:t>/ pracovníků v pracovním poměru na služebním místě/</w:t>
            </w:r>
            <w:r w:rsidRPr="00091571">
              <w:rPr>
                <w:rFonts w:cs="Arial"/>
                <w:sz w:val="20"/>
                <w:szCs w:val="20"/>
              </w:rPr>
              <w:t>zákoníku práce.</w:t>
            </w:r>
          </w:p>
        </w:tc>
      </w:tr>
      <w:tr w:rsidR="000F5F05" w:rsidRPr="00091571" w14:paraId="3211B7B0" w14:textId="77777777" w:rsidTr="000F5F05">
        <w:tc>
          <w:tcPr>
            <w:tcW w:w="4385" w:type="dxa"/>
            <w:vMerge/>
            <w:vAlign w:val="center"/>
          </w:tcPr>
          <w:p w14:paraId="7B744D03" w14:textId="77777777" w:rsidR="000F5F05" w:rsidRPr="00091571" w:rsidRDefault="000F5F05" w:rsidP="0072268A">
            <w:pPr>
              <w:rPr>
                <w:rFonts w:cs="Arial"/>
                <w:sz w:val="20"/>
                <w:szCs w:val="20"/>
              </w:rPr>
            </w:pPr>
          </w:p>
        </w:tc>
        <w:tc>
          <w:tcPr>
            <w:tcW w:w="2336" w:type="dxa"/>
            <w:vAlign w:val="center"/>
          </w:tcPr>
          <w:p w14:paraId="37BB706A" w14:textId="77777777" w:rsidR="000F5F05" w:rsidRPr="00091571" w:rsidRDefault="000F5F05" w:rsidP="001F5EE4">
            <w:pPr>
              <w:rPr>
                <w:rFonts w:cs="Arial"/>
                <w:sz w:val="20"/>
                <w:szCs w:val="20"/>
              </w:rPr>
            </w:pPr>
          </w:p>
          <w:p w14:paraId="2CD463F5" w14:textId="77777777" w:rsidR="000F5F05" w:rsidRPr="00091571" w:rsidRDefault="000F5F05" w:rsidP="001F5EE4">
            <w:pPr>
              <w:rPr>
                <w:rFonts w:cs="Arial"/>
                <w:sz w:val="20"/>
                <w:szCs w:val="20"/>
              </w:rPr>
            </w:pPr>
            <w:r w:rsidRPr="00091571">
              <w:rPr>
                <w:rFonts w:cs="Arial"/>
                <w:sz w:val="20"/>
                <w:szCs w:val="20"/>
              </w:rPr>
              <w:t xml:space="preserve">Odůvodnění vyplacených odměn </w:t>
            </w:r>
          </w:p>
          <w:p w14:paraId="6B0B727C" w14:textId="77777777" w:rsidR="000F5F05" w:rsidRPr="00091571" w:rsidRDefault="000F5F05" w:rsidP="001F5EE4">
            <w:pPr>
              <w:rPr>
                <w:rFonts w:cs="Arial"/>
                <w:sz w:val="20"/>
                <w:szCs w:val="20"/>
                <w:highlight w:val="yellow"/>
              </w:rPr>
            </w:pPr>
          </w:p>
        </w:tc>
        <w:tc>
          <w:tcPr>
            <w:tcW w:w="2229" w:type="dxa"/>
            <w:vAlign w:val="center"/>
          </w:tcPr>
          <w:p w14:paraId="31340000"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2F0CAB4"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5A9D38E6"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5C9CC3C4"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050F2BD8"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0A40E9D1" w14:textId="77777777" w:rsidTr="000F5F05">
        <w:tc>
          <w:tcPr>
            <w:tcW w:w="4385" w:type="dxa"/>
            <w:vMerge/>
            <w:vAlign w:val="center"/>
          </w:tcPr>
          <w:p w14:paraId="6CC0B9F2" w14:textId="77777777" w:rsidR="000F5F05" w:rsidRPr="00091571" w:rsidRDefault="000F5F05" w:rsidP="0072268A">
            <w:pPr>
              <w:rPr>
                <w:rFonts w:cs="Arial"/>
                <w:sz w:val="20"/>
                <w:szCs w:val="20"/>
              </w:rPr>
            </w:pPr>
          </w:p>
        </w:tc>
        <w:tc>
          <w:tcPr>
            <w:tcW w:w="2336" w:type="dxa"/>
            <w:vAlign w:val="center"/>
          </w:tcPr>
          <w:p w14:paraId="38AA5F0B" w14:textId="4EF751BD"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7B0CF2A6" w14:textId="77777777"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proofErr w:type="spellStart"/>
            <w:r>
              <w:rPr>
                <w:rFonts w:cs="Arial"/>
                <w:sz w:val="20"/>
                <w:szCs w:val="20"/>
              </w:rPr>
              <w:t>Z</w:t>
            </w:r>
            <w:r w:rsidRPr="002F736F">
              <w:rPr>
                <w:rFonts w:cs="Arial"/>
                <w:sz w:val="20"/>
                <w:szCs w:val="20"/>
              </w:rPr>
              <w:t>ŽoP</w:t>
            </w:r>
            <w:proofErr w:type="spellEnd"/>
            <w:r w:rsidRPr="002F736F">
              <w:rPr>
                <w:rFonts w:cs="Arial"/>
                <w:sz w:val="20"/>
                <w:szCs w:val="20"/>
              </w:rPr>
              <w:t xml:space="preserve"> po ukončení kalendářního roku)</w:t>
            </w:r>
          </w:p>
        </w:tc>
        <w:tc>
          <w:tcPr>
            <w:tcW w:w="1589" w:type="dxa"/>
            <w:gridSpan w:val="2"/>
            <w:vAlign w:val="center"/>
          </w:tcPr>
          <w:p w14:paraId="3AC5B959"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E646CAA"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7DA98DB8"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6CAED57C" w14:textId="1BB833C0"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4FC4CE20" w14:textId="77777777" w:rsidTr="000F5F05">
        <w:tc>
          <w:tcPr>
            <w:tcW w:w="4385" w:type="dxa"/>
            <w:vMerge/>
            <w:vAlign w:val="center"/>
          </w:tcPr>
          <w:p w14:paraId="4DF19612" w14:textId="77777777" w:rsidR="000F5F05" w:rsidRPr="00091571" w:rsidRDefault="000F5F05" w:rsidP="0072268A">
            <w:pPr>
              <w:rPr>
                <w:rFonts w:cs="Arial"/>
                <w:sz w:val="20"/>
                <w:szCs w:val="20"/>
              </w:rPr>
            </w:pPr>
          </w:p>
        </w:tc>
        <w:tc>
          <w:tcPr>
            <w:tcW w:w="2336" w:type="dxa"/>
            <w:vAlign w:val="center"/>
          </w:tcPr>
          <w:p w14:paraId="481703C9" w14:textId="09A01E26" w:rsidR="000F5F05" w:rsidRDefault="000F5F05" w:rsidP="00225CAE">
            <w:pPr>
              <w:spacing w:before="120" w:after="120"/>
              <w:rPr>
                <w:rFonts w:cs="Arial"/>
                <w:sz w:val="20"/>
                <w:szCs w:val="20"/>
              </w:rPr>
            </w:pPr>
            <w:r>
              <w:rPr>
                <w:rFonts w:cs="Arial"/>
                <w:sz w:val="20"/>
                <w:szCs w:val="20"/>
              </w:rPr>
              <w:t>Odstupné/odchodné/ odbytné</w:t>
            </w:r>
          </w:p>
        </w:tc>
        <w:tc>
          <w:tcPr>
            <w:tcW w:w="2229" w:type="dxa"/>
            <w:vAlign w:val="center"/>
          </w:tcPr>
          <w:p w14:paraId="35F9084B" w14:textId="0A61CC5E" w:rsidR="000F5F05" w:rsidRPr="00524F69" w:rsidRDefault="000F5F05" w:rsidP="00225CAE">
            <w:pPr>
              <w:spacing w:before="120" w:after="120"/>
              <w:rPr>
                <w:rFonts w:cs="Arial"/>
                <w:sz w:val="20"/>
                <w:szCs w:val="20"/>
              </w:rPr>
            </w:pPr>
            <w:r>
              <w:rPr>
                <w:rFonts w:cs="Arial"/>
                <w:sz w:val="20"/>
                <w:szCs w:val="20"/>
              </w:rPr>
              <w:t>Ukončení služebního/pracovního poměru</w:t>
            </w:r>
          </w:p>
        </w:tc>
        <w:tc>
          <w:tcPr>
            <w:tcW w:w="1589" w:type="dxa"/>
            <w:gridSpan w:val="2"/>
            <w:vAlign w:val="center"/>
          </w:tcPr>
          <w:p w14:paraId="2DBFE9A8" w14:textId="207BDDE1"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3673A5A7" w14:textId="7F7677AA"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0DA6C66C"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216CD0A" w14:textId="04A61F2D"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/pracovníků v pracovním poměru na služebním místě/</w:t>
            </w:r>
            <w:r w:rsidRPr="00091571">
              <w:rPr>
                <w:rFonts w:cs="Arial"/>
                <w:sz w:val="20"/>
                <w:szCs w:val="20"/>
              </w:rPr>
              <w:t>zákoníku práce.</w:t>
            </w:r>
          </w:p>
        </w:tc>
      </w:tr>
      <w:tr w:rsidR="0022467B" w:rsidRPr="00091571" w14:paraId="4171C1E6" w14:textId="77777777" w:rsidTr="000F5F05">
        <w:trPr>
          <w:trHeight w:val="340"/>
        </w:trPr>
        <w:tc>
          <w:tcPr>
            <w:tcW w:w="11844" w:type="dxa"/>
            <w:gridSpan w:val="7"/>
            <w:shd w:val="clear" w:color="auto" w:fill="FBD4B4" w:themeFill="accent6" w:themeFillTint="66"/>
            <w:vAlign w:val="center"/>
          </w:tcPr>
          <w:p w14:paraId="77569C76"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50BD5B25"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B5E7316" w14:textId="77777777" w:rsidR="0022467B" w:rsidRPr="002F736F" w:rsidRDefault="0022467B" w:rsidP="0072268A">
            <w:pPr>
              <w:jc w:val="center"/>
              <w:rPr>
                <w:rFonts w:cs="Arial"/>
                <w:b/>
                <w:sz w:val="20"/>
                <w:szCs w:val="20"/>
              </w:rPr>
            </w:pPr>
          </w:p>
        </w:tc>
      </w:tr>
      <w:tr w:rsidR="009347C2" w:rsidRPr="00091571" w14:paraId="563BB4A1" w14:textId="77777777" w:rsidTr="000F5F05">
        <w:tc>
          <w:tcPr>
            <w:tcW w:w="4385" w:type="dxa"/>
            <w:vAlign w:val="center"/>
          </w:tcPr>
          <w:p w14:paraId="44286328"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w:t>
            </w:r>
            <w:r w:rsidRPr="00091571">
              <w:rPr>
                <w:rFonts w:cs="Arial"/>
                <w:b/>
                <w:sz w:val="20"/>
                <w:szCs w:val="20"/>
              </w:rPr>
              <w:lastRenderedPageBreak/>
              <w:t xml:space="preserve">cestou hrazené na základě </w:t>
            </w:r>
            <w:r w:rsidRPr="00524F69">
              <w:rPr>
                <w:rFonts w:cs="Arial"/>
                <w:b/>
                <w:sz w:val="20"/>
                <w:szCs w:val="20"/>
                <w:u w:val="single"/>
              </w:rPr>
              <w:t>cestovního příkazu</w:t>
            </w:r>
          </w:p>
        </w:tc>
        <w:tc>
          <w:tcPr>
            <w:tcW w:w="2336" w:type="dxa"/>
            <w:vAlign w:val="center"/>
          </w:tcPr>
          <w:p w14:paraId="5C70BDC3" w14:textId="2B23DD9C" w:rsidR="006729C8" w:rsidRPr="00091571" w:rsidDel="00A87F9D" w:rsidRDefault="006729C8" w:rsidP="00225CAE">
            <w:pPr>
              <w:spacing w:before="120" w:after="120"/>
              <w:rPr>
                <w:rFonts w:cs="Arial"/>
                <w:sz w:val="20"/>
                <w:szCs w:val="20"/>
              </w:rPr>
            </w:pPr>
            <w:r w:rsidRPr="002F736F">
              <w:rPr>
                <w:rFonts w:cs="Arial"/>
                <w:sz w:val="20"/>
                <w:szCs w:val="20"/>
              </w:rPr>
              <w:lastRenderedPageBreak/>
              <w:t xml:space="preserve">Cestovní příkaz </w:t>
            </w:r>
            <w:r w:rsidRPr="001F61A2">
              <w:rPr>
                <w:rFonts w:cs="Arial"/>
                <w:sz w:val="20"/>
                <w:szCs w:val="20"/>
              </w:rPr>
              <w:t xml:space="preserve">a vyúčtování cesty. Doklad o úhradě </w:t>
            </w:r>
            <w:r w:rsidRPr="001F61A2">
              <w:rPr>
                <w:rFonts w:cs="Arial"/>
                <w:sz w:val="20"/>
                <w:szCs w:val="20"/>
              </w:rPr>
              <w:lastRenderedPageBreak/>
              <w:t>(výdajový pokladní doklad/bankovní výpis z účtu) nebo Čestné prohlášení p</w:t>
            </w:r>
            <w:r w:rsidRPr="00091571">
              <w:rPr>
                <w:rFonts w:cs="Arial"/>
                <w:sz w:val="20"/>
                <w:szCs w:val="20"/>
              </w:rPr>
              <w:t>říjemce o úhradě cestovních náhrad (pouze u OSS, ÚSC, ÚRR a PO). Cestovní doklady prokazující zdůvodnění/účel cestovních náhrad (je součástí vyúčtování cesty)</w:t>
            </w:r>
            <w:r w:rsidR="00085DA7">
              <w:rPr>
                <w:rFonts w:cs="Arial"/>
                <w:sz w:val="20"/>
                <w:szCs w:val="20"/>
              </w:rPr>
              <w:t>.</w:t>
            </w:r>
          </w:p>
        </w:tc>
        <w:tc>
          <w:tcPr>
            <w:tcW w:w="2229" w:type="dxa"/>
            <w:vAlign w:val="center"/>
          </w:tcPr>
          <w:p w14:paraId="6C2CBF93"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0BBE4D29"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1EA2E0F5"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699CE048"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42551CB9" w14:textId="77777777" w:rsidR="006729C8" w:rsidRPr="00091571" w:rsidRDefault="006729C8" w:rsidP="00F676F0">
            <w:pPr>
              <w:jc w:val="center"/>
              <w:rPr>
                <w:rFonts w:cs="Arial"/>
                <w:sz w:val="20"/>
                <w:szCs w:val="20"/>
              </w:rPr>
            </w:pPr>
          </w:p>
        </w:tc>
      </w:tr>
      <w:tr w:rsidR="009347C2" w:rsidRPr="00091571" w14:paraId="25D1AEF7" w14:textId="77777777" w:rsidTr="000F5F05">
        <w:tc>
          <w:tcPr>
            <w:tcW w:w="4385" w:type="dxa"/>
            <w:vMerge w:val="restart"/>
            <w:vAlign w:val="center"/>
          </w:tcPr>
          <w:p w14:paraId="4B8D7302" w14:textId="77777777" w:rsidR="00C93F90" w:rsidRPr="00091571" w:rsidRDefault="00C93F90" w:rsidP="008D5056">
            <w:pPr>
              <w:spacing w:before="120"/>
              <w:rPr>
                <w:rFonts w:cs="Arial"/>
                <w:b/>
                <w:sz w:val="20"/>
                <w:szCs w:val="20"/>
              </w:rPr>
            </w:pPr>
          </w:p>
        </w:tc>
        <w:tc>
          <w:tcPr>
            <w:tcW w:w="2336" w:type="dxa"/>
            <w:vAlign w:val="center"/>
          </w:tcPr>
          <w:p w14:paraId="0C81EA7F"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6F0DCAA6" w14:textId="77777777" w:rsidR="00C93F90" w:rsidRPr="00091571" w:rsidRDefault="00C93F90"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7F242B33"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99A4F1F"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FDA1B06"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0D4B88F4" w14:textId="77777777" w:rsidR="00C93F90" w:rsidRPr="00091571" w:rsidRDefault="00C93F90" w:rsidP="00F676F0">
            <w:pPr>
              <w:jc w:val="center"/>
              <w:rPr>
                <w:rFonts w:cs="Arial"/>
                <w:sz w:val="20"/>
                <w:szCs w:val="20"/>
              </w:rPr>
            </w:pPr>
          </w:p>
        </w:tc>
      </w:tr>
      <w:tr w:rsidR="009347C2" w:rsidRPr="00091571" w14:paraId="7EBFB283" w14:textId="77777777" w:rsidTr="000F5F05">
        <w:tc>
          <w:tcPr>
            <w:tcW w:w="4385" w:type="dxa"/>
            <w:vMerge/>
            <w:vAlign w:val="center"/>
          </w:tcPr>
          <w:p w14:paraId="783207A7" w14:textId="77777777" w:rsidR="00C93F90" w:rsidRPr="00091571" w:rsidRDefault="00C93F90" w:rsidP="008D5056">
            <w:pPr>
              <w:spacing w:before="120"/>
              <w:rPr>
                <w:rFonts w:cs="Arial"/>
                <w:b/>
                <w:sz w:val="20"/>
                <w:szCs w:val="20"/>
              </w:rPr>
            </w:pPr>
          </w:p>
        </w:tc>
        <w:tc>
          <w:tcPr>
            <w:tcW w:w="2336" w:type="dxa"/>
            <w:vAlign w:val="center"/>
          </w:tcPr>
          <w:p w14:paraId="325C8E46"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23CAEFF8" w14:textId="77777777" w:rsidR="00C93F90" w:rsidRPr="00091571" w:rsidRDefault="00C93F90"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B64BD15"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B6AD1E"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51C0D3F"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30351051" w14:textId="77777777" w:rsidR="00C93F90" w:rsidRPr="00091571" w:rsidRDefault="00C93F90" w:rsidP="00F676F0">
            <w:pPr>
              <w:jc w:val="center"/>
              <w:rPr>
                <w:rFonts w:cs="Arial"/>
                <w:sz w:val="20"/>
                <w:szCs w:val="20"/>
              </w:rPr>
            </w:pPr>
          </w:p>
        </w:tc>
      </w:tr>
      <w:tr w:rsidR="009347C2" w:rsidRPr="00091571" w14:paraId="1754D6BA" w14:textId="77777777" w:rsidTr="000F5F05">
        <w:tc>
          <w:tcPr>
            <w:tcW w:w="4385" w:type="dxa"/>
            <w:vAlign w:val="center"/>
          </w:tcPr>
          <w:p w14:paraId="1B30498C"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26824060" w14:textId="77777777"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p>
        </w:tc>
        <w:tc>
          <w:tcPr>
            <w:tcW w:w="2229" w:type="dxa"/>
            <w:vAlign w:val="center"/>
          </w:tcPr>
          <w:p w14:paraId="6DEC6569"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20FB526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6493EFA2" w14:textId="77777777" w:rsidR="00582FE9" w:rsidRPr="00091571" w:rsidRDefault="00582FE9" w:rsidP="007C5C4C">
            <w:pPr>
              <w:jc w:val="center"/>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A5D13FD"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FD4873B" w14:textId="77777777" w:rsidR="00582FE9" w:rsidRPr="00091571" w:rsidRDefault="00582FE9" w:rsidP="00906BE6">
            <w:pPr>
              <w:jc w:val="center"/>
              <w:rPr>
                <w:rFonts w:cs="Arial"/>
                <w:sz w:val="20"/>
                <w:szCs w:val="20"/>
              </w:rPr>
            </w:pPr>
          </w:p>
        </w:tc>
      </w:tr>
      <w:tr w:rsidR="00582FE9" w:rsidRPr="00091571" w14:paraId="23CB271B" w14:textId="77777777" w:rsidTr="000F5F05">
        <w:trPr>
          <w:trHeight w:val="340"/>
        </w:trPr>
        <w:tc>
          <w:tcPr>
            <w:tcW w:w="11844" w:type="dxa"/>
            <w:gridSpan w:val="7"/>
            <w:shd w:val="clear" w:color="auto" w:fill="FBD4B4" w:themeFill="accent6" w:themeFillTint="66"/>
            <w:vAlign w:val="center"/>
          </w:tcPr>
          <w:p w14:paraId="2CBE4D73"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1BAE113E"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7FD8308A" w14:textId="77777777" w:rsidR="00582FE9" w:rsidRPr="002F736F" w:rsidRDefault="00582FE9" w:rsidP="0072268A">
            <w:pPr>
              <w:jc w:val="center"/>
              <w:rPr>
                <w:rFonts w:cs="Arial"/>
                <w:b/>
                <w:sz w:val="20"/>
                <w:szCs w:val="20"/>
              </w:rPr>
            </w:pPr>
          </w:p>
        </w:tc>
      </w:tr>
      <w:tr w:rsidR="009347C2" w:rsidRPr="00091571" w14:paraId="6ABC6EDB" w14:textId="77777777" w:rsidTr="000F5F05">
        <w:tc>
          <w:tcPr>
            <w:tcW w:w="4385" w:type="dxa"/>
            <w:vAlign w:val="center"/>
          </w:tcPr>
          <w:p w14:paraId="43A7EBC8"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C0D419B"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 xml:space="preserve">a, dodací list, popř. předávací protokol), </w:t>
            </w:r>
            <w:r w:rsidRPr="002F736F">
              <w:rPr>
                <w:rFonts w:cs="Arial"/>
                <w:sz w:val="20"/>
                <w:szCs w:val="20"/>
              </w:rPr>
              <w:lastRenderedPageBreak/>
              <w:t>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439AAB01" w14:textId="77777777" w:rsidR="00582FE9" w:rsidRPr="00524F69"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1F9F1B15"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35DEC6AD"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3E78B0B7"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7203C77" w14:textId="77777777" w:rsidR="00582FE9" w:rsidRPr="00091571" w:rsidRDefault="00582FE9" w:rsidP="003045CE">
            <w:pPr>
              <w:spacing w:before="120" w:after="120"/>
              <w:jc w:val="center"/>
              <w:rPr>
                <w:rFonts w:cs="Arial"/>
                <w:sz w:val="20"/>
                <w:szCs w:val="20"/>
              </w:rPr>
            </w:pPr>
          </w:p>
        </w:tc>
      </w:tr>
      <w:tr w:rsidR="009347C2" w:rsidRPr="00091571" w14:paraId="78CD7396" w14:textId="77777777" w:rsidTr="000F5F05">
        <w:tc>
          <w:tcPr>
            <w:tcW w:w="4385" w:type="dxa"/>
            <w:vAlign w:val="center"/>
          </w:tcPr>
          <w:p w14:paraId="59F5A84A" w14:textId="77777777" w:rsidR="00582FE9" w:rsidRPr="00524F69" w:rsidRDefault="00582FE9" w:rsidP="00436827">
            <w:pPr>
              <w:spacing w:before="120" w:after="120"/>
              <w:rPr>
                <w:rFonts w:cs="Arial"/>
                <w:b/>
                <w:sz w:val="20"/>
                <w:szCs w:val="20"/>
              </w:rPr>
            </w:pPr>
            <w:r w:rsidRPr="00091571">
              <w:rPr>
                <w:rFonts w:cs="Arial"/>
                <w:b/>
                <w:sz w:val="20"/>
                <w:szCs w:val="20"/>
              </w:rPr>
              <w:t>Nákup služeb – konference/semináře/workshopy/vzdělávací akce aj.</w:t>
            </w:r>
          </w:p>
        </w:tc>
        <w:tc>
          <w:tcPr>
            <w:tcW w:w="2336" w:type="dxa"/>
            <w:vAlign w:val="center"/>
          </w:tcPr>
          <w:p w14:paraId="40460BD4" w14:textId="77777777" w:rsidR="00582FE9" w:rsidRPr="00091571" w:rsidRDefault="00582FE9" w:rsidP="00172692">
            <w:pPr>
              <w:spacing w:before="120" w:after="120"/>
              <w:rPr>
                <w:rFonts w:cs="Arial"/>
                <w:sz w:val="20"/>
                <w:szCs w:val="20"/>
              </w:rPr>
            </w:pPr>
            <w:r w:rsidRPr="002F736F">
              <w:rPr>
                <w:rFonts w:cs="Arial"/>
                <w:sz w:val="20"/>
                <w:szCs w:val="20"/>
              </w:rPr>
              <w:t>Prezenční listiny</w:t>
            </w:r>
            <w:r w:rsidRPr="001F61A2">
              <w:rPr>
                <w:rFonts w:cs="Arial"/>
                <w:sz w:val="20"/>
                <w:szCs w:val="20"/>
              </w:rPr>
              <w:t>,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5A40A1E6"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7C8FE53E"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375A82EB"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265D53E7"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5689949" w14:textId="77777777" w:rsidR="00582FE9" w:rsidRPr="00091571" w:rsidRDefault="00582FE9" w:rsidP="0072268A">
            <w:pPr>
              <w:spacing w:before="120" w:after="120"/>
              <w:jc w:val="center"/>
              <w:rPr>
                <w:rFonts w:cs="Arial"/>
                <w:sz w:val="20"/>
                <w:szCs w:val="20"/>
              </w:rPr>
            </w:pPr>
          </w:p>
        </w:tc>
      </w:tr>
      <w:tr w:rsidR="00582FE9" w:rsidRPr="00091571" w14:paraId="1883324F" w14:textId="77777777" w:rsidTr="000F5F05">
        <w:trPr>
          <w:trHeight w:val="340"/>
        </w:trPr>
        <w:tc>
          <w:tcPr>
            <w:tcW w:w="11844" w:type="dxa"/>
            <w:gridSpan w:val="7"/>
            <w:shd w:val="clear" w:color="auto" w:fill="FBD4B4" w:themeFill="accent6" w:themeFillTint="66"/>
            <w:vAlign w:val="center"/>
          </w:tcPr>
          <w:p w14:paraId="7CD83B2C"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0E630697"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08008F39" w14:textId="77777777" w:rsidR="00582FE9" w:rsidRPr="002F736F" w:rsidRDefault="00582FE9" w:rsidP="0072268A">
            <w:pPr>
              <w:jc w:val="center"/>
              <w:rPr>
                <w:rFonts w:cs="Arial"/>
                <w:b/>
                <w:sz w:val="20"/>
                <w:szCs w:val="20"/>
              </w:rPr>
            </w:pPr>
          </w:p>
        </w:tc>
      </w:tr>
      <w:tr w:rsidR="009347C2" w:rsidRPr="00091571" w14:paraId="301B52D8" w14:textId="77777777" w:rsidTr="000F5F05">
        <w:tc>
          <w:tcPr>
            <w:tcW w:w="4385" w:type="dxa"/>
            <w:vAlign w:val="center"/>
          </w:tcPr>
          <w:p w14:paraId="7C2DC7CE"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03571224"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3E5F9C8F"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7505FD9A"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1DEED1E"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603B483A"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D4EB8FB" w14:textId="77777777" w:rsidR="00582FE9" w:rsidRPr="00091571" w:rsidRDefault="00582FE9" w:rsidP="00436827">
            <w:pPr>
              <w:spacing w:before="120" w:after="120"/>
              <w:ind w:left="231"/>
              <w:jc w:val="center"/>
              <w:rPr>
                <w:rFonts w:cs="Arial"/>
                <w:sz w:val="20"/>
                <w:szCs w:val="20"/>
              </w:rPr>
            </w:pPr>
          </w:p>
        </w:tc>
      </w:tr>
      <w:tr w:rsidR="00582FE9" w:rsidRPr="00091571" w14:paraId="2936246B" w14:textId="77777777" w:rsidTr="000F5F05">
        <w:trPr>
          <w:trHeight w:val="340"/>
        </w:trPr>
        <w:tc>
          <w:tcPr>
            <w:tcW w:w="11844" w:type="dxa"/>
            <w:gridSpan w:val="7"/>
            <w:shd w:val="clear" w:color="auto" w:fill="FBD4B4" w:themeFill="accent6" w:themeFillTint="66"/>
            <w:vAlign w:val="center"/>
          </w:tcPr>
          <w:p w14:paraId="23460442"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01E1F0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E98710F" w14:textId="77777777" w:rsidR="00582FE9" w:rsidRPr="002F736F" w:rsidRDefault="00582FE9" w:rsidP="0072268A">
            <w:pPr>
              <w:jc w:val="center"/>
              <w:rPr>
                <w:rFonts w:cs="Arial"/>
                <w:b/>
                <w:sz w:val="20"/>
                <w:szCs w:val="20"/>
              </w:rPr>
            </w:pPr>
          </w:p>
        </w:tc>
      </w:tr>
      <w:tr w:rsidR="009347C2" w:rsidRPr="00091571" w14:paraId="6E0ED804" w14:textId="77777777" w:rsidTr="000F5F05">
        <w:tc>
          <w:tcPr>
            <w:tcW w:w="4385" w:type="dxa"/>
            <w:vAlign w:val="center"/>
          </w:tcPr>
          <w:p w14:paraId="1D1FD9CA"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69F2E7B5" w14:textId="77777777"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xml:space="preserve">; leasingová smlouva; splátkový kalendář; přijaté faktury vystavené na jednotlivé splátky doklady o úhradě jednotlivých splátek (bankovní výpis z účtu); případně </w:t>
            </w:r>
            <w:r w:rsidRPr="001F61A2">
              <w:rPr>
                <w:sz w:val="20"/>
                <w:szCs w:val="20"/>
              </w:rPr>
              <w:lastRenderedPageBreak/>
              <w:t>metoda výpočtu poměrné části leasingu,</w:t>
            </w:r>
          </w:p>
        </w:tc>
        <w:tc>
          <w:tcPr>
            <w:tcW w:w="2284" w:type="dxa"/>
            <w:gridSpan w:val="2"/>
            <w:vAlign w:val="center"/>
          </w:tcPr>
          <w:p w14:paraId="26AFF5FA" w14:textId="77777777" w:rsidR="00582FE9" w:rsidRPr="00091571" w:rsidRDefault="00582FE9" w:rsidP="0072268A">
            <w:pPr>
              <w:rPr>
                <w:rFonts w:cs="Arial"/>
                <w:sz w:val="20"/>
                <w:szCs w:val="20"/>
              </w:rPr>
            </w:pPr>
            <w:r w:rsidRPr="00091571">
              <w:rPr>
                <w:rFonts w:cs="Arial"/>
                <w:sz w:val="20"/>
                <w:szCs w:val="20"/>
              </w:rPr>
              <w:lastRenderedPageBreak/>
              <w:t>Při každém nárokování výdaje.</w:t>
            </w:r>
          </w:p>
        </w:tc>
        <w:tc>
          <w:tcPr>
            <w:tcW w:w="1550" w:type="dxa"/>
            <w:gridSpan w:val="2"/>
            <w:vAlign w:val="center"/>
          </w:tcPr>
          <w:p w14:paraId="477C4EE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6EB36DB"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08A4219D"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1BAA4467" w14:textId="77777777" w:rsidR="00582FE9" w:rsidRPr="00091571" w:rsidRDefault="00582FE9" w:rsidP="00436827">
            <w:pPr>
              <w:spacing w:before="120" w:after="120"/>
              <w:jc w:val="center"/>
              <w:rPr>
                <w:rFonts w:cs="Arial"/>
                <w:sz w:val="20"/>
                <w:szCs w:val="20"/>
              </w:rPr>
            </w:pPr>
          </w:p>
        </w:tc>
      </w:tr>
      <w:tr w:rsidR="00582FE9" w:rsidRPr="00091571" w14:paraId="0BBAEB15" w14:textId="77777777" w:rsidTr="000F5F05">
        <w:trPr>
          <w:trHeight w:val="340"/>
        </w:trPr>
        <w:tc>
          <w:tcPr>
            <w:tcW w:w="11844" w:type="dxa"/>
            <w:gridSpan w:val="7"/>
            <w:shd w:val="clear" w:color="auto" w:fill="FBD4B4" w:themeFill="accent6" w:themeFillTint="66"/>
            <w:vAlign w:val="center"/>
          </w:tcPr>
          <w:p w14:paraId="4A81FEEC"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781D8C1B"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094E8FD" w14:textId="77777777" w:rsidR="00582FE9" w:rsidRPr="002F736F" w:rsidRDefault="00582FE9" w:rsidP="0072268A">
            <w:pPr>
              <w:jc w:val="center"/>
              <w:rPr>
                <w:rFonts w:cs="Arial"/>
                <w:b/>
                <w:sz w:val="20"/>
                <w:szCs w:val="20"/>
              </w:rPr>
            </w:pPr>
          </w:p>
        </w:tc>
      </w:tr>
      <w:tr w:rsidR="009347C2" w:rsidRPr="00091571" w14:paraId="781FC851" w14:textId="77777777" w:rsidTr="000F5F05">
        <w:tc>
          <w:tcPr>
            <w:tcW w:w="4385" w:type="dxa"/>
            <w:vAlign w:val="center"/>
          </w:tcPr>
          <w:p w14:paraId="1CD94ECF" w14:textId="77777777" w:rsidR="00582FE9" w:rsidRPr="00AC6EEF" w:rsidRDefault="00582FE9" w:rsidP="00436827">
            <w:pPr>
              <w:jc w:val="center"/>
              <w:rPr>
                <w:rFonts w:cs="Arial"/>
                <w:sz w:val="20"/>
                <w:szCs w:val="20"/>
              </w:rPr>
            </w:pPr>
            <w:r w:rsidRPr="00AC6EEF">
              <w:rPr>
                <w:rFonts w:cs="Arial"/>
                <w:b/>
                <w:sz w:val="20"/>
                <w:szCs w:val="20"/>
              </w:rPr>
              <w:t>Služby související s provozem kanceláře (telefony, energie, jiné režie)</w:t>
            </w:r>
          </w:p>
        </w:tc>
        <w:tc>
          <w:tcPr>
            <w:tcW w:w="2336" w:type="dxa"/>
            <w:vAlign w:val="center"/>
          </w:tcPr>
          <w:p w14:paraId="57B12E4B" w14:textId="0434C40A"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4349DDF2"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03D4599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47CE28D"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460BEAA7"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5235E1AF" w14:textId="77777777" w:rsidR="00582FE9" w:rsidRPr="00091571" w:rsidRDefault="00582FE9" w:rsidP="00436827">
            <w:pPr>
              <w:spacing w:before="120" w:after="120"/>
              <w:jc w:val="center"/>
              <w:rPr>
                <w:rFonts w:cs="Arial"/>
                <w:sz w:val="20"/>
                <w:szCs w:val="20"/>
              </w:rPr>
            </w:pPr>
          </w:p>
        </w:tc>
      </w:tr>
    </w:tbl>
    <w:p w14:paraId="6CC7EF34" w14:textId="77777777" w:rsidR="00684038" w:rsidRDefault="00684038" w:rsidP="003D4CFE">
      <w:pPr>
        <w:rPr>
          <w:rFonts w:cs="Arial"/>
          <w:b/>
          <w:sz w:val="32"/>
          <w:szCs w:val="32"/>
        </w:rPr>
      </w:pPr>
    </w:p>
    <w:p w14:paraId="7095659A" w14:textId="77777777" w:rsidR="00684038" w:rsidRDefault="00684038" w:rsidP="003D4CFE">
      <w:pPr>
        <w:rPr>
          <w:rFonts w:cs="Arial"/>
          <w:b/>
          <w:sz w:val="32"/>
          <w:szCs w:val="32"/>
        </w:rPr>
      </w:pPr>
    </w:p>
    <w:p w14:paraId="4435FCE3" w14:textId="77777777" w:rsidR="00684038" w:rsidRDefault="00684038" w:rsidP="003D4CFE">
      <w:pPr>
        <w:rPr>
          <w:rFonts w:cs="Arial"/>
          <w:b/>
          <w:sz w:val="32"/>
          <w:szCs w:val="32"/>
        </w:rPr>
      </w:pPr>
    </w:p>
    <w:p w14:paraId="56AD2021" w14:textId="77777777" w:rsidR="00684038" w:rsidRDefault="00684038" w:rsidP="003D4CFE">
      <w:pPr>
        <w:rPr>
          <w:rFonts w:cs="Arial"/>
          <w:b/>
          <w:sz w:val="32"/>
          <w:szCs w:val="32"/>
        </w:rPr>
      </w:pPr>
    </w:p>
    <w:p w14:paraId="6351FCAD" w14:textId="7E54A0BE" w:rsidR="00684038" w:rsidRDefault="00684038" w:rsidP="003D4CFE">
      <w:pPr>
        <w:rPr>
          <w:rFonts w:cs="Arial"/>
          <w:b/>
          <w:sz w:val="32"/>
          <w:szCs w:val="32"/>
        </w:rPr>
      </w:pPr>
    </w:p>
    <w:p w14:paraId="0FA785AC" w14:textId="77777777" w:rsidR="00822A69" w:rsidRDefault="00822A69" w:rsidP="003D4CFE">
      <w:pPr>
        <w:rPr>
          <w:rFonts w:cs="Arial"/>
          <w:b/>
          <w:sz w:val="32"/>
          <w:szCs w:val="32"/>
        </w:rPr>
      </w:pPr>
    </w:p>
    <w:p w14:paraId="4BC0BBA2" w14:textId="77777777" w:rsidR="00684038" w:rsidRDefault="00684038" w:rsidP="003D4CFE">
      <w:pPr>
        <w:rPr>
          <w:rFonts w:cs="Arial"/>
          <w:b/>
          <w:sz w:val="32"/>
          <w:szCs w:val="32"/>
        </w:rPr>
      </w:pPr>
    </w:p>
    <w:p w14:paraId="7654D225" w14:textId="5BAB0A8D" w:rsidR="00C84061" w:rsidRPr="005F1B36" w:rsidRDefault="006D0C5E" w:rsidP="005F1B36">
      <w:pPr>
        <w:pStyle w:val="Nadpis1"/>
        <w:numPr>
          <w:ilvl w:val="0"/>
          <w:numId w:val="0"/>
        </w:numPr>
        <w:ind w:left="432" w:hanging="432"/>
      </w:pPr>
      <w:bookmarkStart w:id="191" w:name="_Toc535831521"/>
      <w:r w:rsidRPr="005F1B36">
        <w:lastRenderedPageBreak/>
        <w:t>Ta</w:t>
      </w:r>
      <w:r w:rsidR="00C84061" w:rsidRPr="005F1B36">
        <w:t xml:space="preserve">bulka č. 2: Přehled příloh k </w:t>
      </w:r>
      <w:proofErr w:type="spellStart"/>
      <w:r w:rsidR="00C84061" w:rsidRPr="005F1B36">
        <w:t>ZŽoP</w:t>
      </w:r>
      <w:bookmarkEnd w:id="191"/>
      <w:proofErr w:type="spellEnd"/>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232370DC" w14:textId="77777777" w:rsidTr="00EE0BA7">
        <w:tc>
          <w:tcPr>
            <w:tcW w:w="3868" w:type="dxa"/>
            <w:shd w:val="clear" w:color="auto" w:fill="EAF1DD" w:themeFill="accent3" w:themeFillTint="33"/>
          </w:tcPr>
          <w:p w14:paraId="2F0EC60F"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64D10796"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421CF30A"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6BA48F8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13D46128" w14:textId="77777777" w:rsidTr="00C84061">
        <w:tc>
          <w:tcPr>
            <w:tcW w:w="3868" w:type="dxa"/>
          </w:tcPr>
          <w:p w14:paraId="21AD6597"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141F1824" w14:textId="77777777" w:rsidR="00C84061" w:rsidRPr="00AC6EEF" w:rsidRDefault="00C84061" w:rsidP="00C84061">
            <w:pPr>
              <w:tabs>
                <w:tab w:val="left" w:pos="284"/>
              </w:tabs>
              <w:spacing w:before="120" w:after="120"/>
              <w:rPr>
                <w:rFonts w:cs="Arial"/>
                <w:sz w:val="20"/>
                <w:szCs w:val="20"/>
              </w:rPr>
            </w:pPr>
          </w:p>
        </w:tc>
        <w:tc>
          <w:tcPr>
            <w:tcW w:w="3808" w:type="dxa"/>
          </w:tcPr>
          <w:p w14:paraId="07EDDF18" w14:textId="77777777" w:rsidR="00C84061" w:rsidRPr="00AC6EEF" w:rsidRDefault="00EE0BA7" w:rsidP="00507931">
            <w:pPr>
              <w:spacing w:before="120" w:after="120"/>
              <w:rPr>
                <w:rFonts w:cs="Arial"/>
                <w:sz w:val="20"/>
                <w:szCs w:val="20"/>
              </w:rPr>
            </w:pPr>
            <w:r w:rsidRPr="00AC6EEF">
              <w:rPr>
                <w:rFonts w:cs="Arial"/>
                <w:sz w:val="20"/>
                <w:szCs w:val="20"/>
              </w:rPr>
              <w:t xml:space="preserve">Při předložení 1. </w:t>
            </w:r>
            <w:proofErr w:type="spellStart"/>
            <w:r w:rsidRPr="00AC6EEF">
              <w:rPr>
                <w:rFonts w:cs="Arial"/>
                <w:sz w:val="20"/>
                <w:szCs w:val="20"/>
              </w:rPr>
              <w:t>ZŽoP</w:t>
            </w:r>
            <w:proofErr w:type="spellEnd"/>
            <w:r w:rsidRPr="00AC6EEF">
              <w:rPr>
                <w:rFonts w:cs="Arial"/>
                <w:sz w:val="20"/>
                <w:szCs w:val="20"/>
              </w:rPr>
              <w:t xml:space="preserve"> a při změně</w:t>
            </w:r>
          </w:p>
        </w:tc>
        <w:tc>
          <w:tcPr>
            <w:tcW w:w="3521" w:type="dxa"/>
          </w:tcPr>
          <w:p w14:paraId="4B94502B" w14:textId="77777777" w:rsidR="00C84061" w:rsidRPr="00112373" w:rsidRDefault="00EE0BA7"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C84061" w:rsidRPr="00091571" w14:paraId="6A20CB4F" w14:textId="77777777" w:rsidTr="00C84061">
        <w:tc>
          <w:tcPr>
            <w:tcW w:w="3868" w:type="dxa"/>
          </w:tcPr>
          <w:p w14:paraId="55A005B6" w14:textId="6F3BECAE"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7707EA36" w14:textId="77777777" w:rsidR="00EE0BA7" w:rsidRPr="00AC6EEF" w:rsidRDefault="00EE0BA7" w:rsidP="00507931">
            <w:pPr>
              <w:spacing w:before="120" w:after="120"/>
              <w:rPr>
                <w:rFonts w:cs="Arial"/>
                <w:sz w:val="20"/>
                <w:szCs w:val="20"/>
              </w:rPr>
            </w:pPr>
          </w:p>
          <w:p w14:paraId="05B10452" w14:textId="77777777" w:rsidR="00EE0BA7" w:rsidRPr="00AC6EEF" w:rsidRDefault="00EE0BA7" w:rsidP="00507931">
            <w:pPr>
              <w:spacing w:before="120" w:after="120"/>
              <w:rPr>
                <w:rFonts w:cs="Arial"/>
                <w:sz w:val="20"/>
                <w:szCs w:val="20"/>
              </w:rPr>
            </w:pPr>
          </w:p>
          <w:p w14:paraId="72FF6413" w14:textId="77777777" w:rsidR="00EE0BA7" w:rsidRPr="00AC6EEF" w:rsidRDefault="00EE0BA7" w:rsidP="00507931">
            <w:pPr>
              <w:spacing w:before="120" w:after="120"/>
              <w:rPr>
                <w:sz w:val="20"/>
                <w:szCs w:val="20"/>
              </w:rPr>
            </w:pPr>
          </w:p>
        </w:tc>
        <w:tc>
          <w:tcPr>
            <w:tcW w:w="3521" w:type="dxa"/>
          </w:tcPr>
          <w:p w14:paraId="4AAF2623" w14:textId="6901EE5D"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w:t>
            </w:r>
            <w:proofErr w:type="spellStart"/>
            <w:r w:rsidRPr="00AC6EEF">
              <w:rPr>
                <w:rFonts w:cs="Arial"/>
                <w:sz w:val="20"/>
                <w:szCs w:val="20"/>
              </w:rPr>
              <w:t>ých</w:t>
            </w:r>
            <w:proofErr w:type="spellEnd"/>
            <w:r w:rsidRPr="00AC6EEF">
              <w:rPr>
                <w:rFonts w:cs="Arial"/>
                <w:sz w:val="20"/>
                <w:szCs w:val="20"/>
              </w:rPr>
              <w:t xml:space="preserve"> za zaúčtování účetních případů.</w:t>
            </w:r>
          </w:p>
          <w:p w14:paraId="226358EF" w14:textId="7406B8D4"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3C56E2A8" w14:textId="348D0E1E"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6C422DFB"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1EAE60D" w14:textId="77777777" w:rsidR="00C84061" w:rsidRPr="00AC6EEF" w:rsidRDefault="00C84061" w:rsidP="00507931">
            <w:pPr>
              <w:spacing w:before="120" w:after="120"/>
              <w:rPr>
                <w:sz w:val="20"/>
                <w:szCs w:val="20"/>
              </w:rPr>
            </w:pPr>
            <w:r w:rsidRPr="00AC6EEF">
              <w:rPr>
                <w:rFonts w:cs="Arial"/>
                <w:sz w:val="20"/>
                <w:szCs w:val="20"/>
              </w:rPr>
              <w:t>Při každém nárokování výdaje</w:t>
            </w:r>
          </w:p>
        </w:tc>
        <w:tc>
          <w:tcPr>
            <w:tcW w:w="3521" w:type="dxa"/>
          </w:tcPr>
          <w:p w14:paraId="6B8861E7" w14:textId="77777777" w:rsidR="00C84061" w:rsidRPr="00112373" w:rsidRDefault="00C84061"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607A6F71" w14:textId="77777777" w:rsidTr="00C84061">
        <w:tc>
          <w:tcPr>
            <w:tcW w:w="3868" w:type="dxa"/>
          </w:tcPr>
          <w:p w14:paraId="0724813A"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1E7E3449"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6AA8A06B" w14:textId="77777777" w:rsidR="00401446" w:rsidRPr="00AC6EEF" w:rsidRDefault="00401446" w:rsidP="00507931">
            <w:pPr>
              <w:spacing w:before="120" w:after="120"/>
              <w:rPr>
                <w:rFonts w:cs="Arial"/>
                <w:sz w:val="20"/>
                <w:szCs w:val="20"/>
              </w:rPr>
            </w:pPr>
            <w:r w:rsidRPr="00AC6EEF">
              <w:rPr>
                <w:rFonts w:cs="Arial"/>
                <w:sz w:val="20"/>
                <w:szCs w:val="20"/>
              </w:rPr>
              <w:t>Při každém nárokování výdaje</w:t>
            </w:r>
          </w:p>
        </w:tc>
        <w:tc>
          <w:tcPr>
            <w:tcW w:w="3521" w:type="dxa"/>
          </w:tcPr>
          <w:p w14:paraId="621F2926" w14:textId="77777777" w:rsidR="00401446" w:rsidRPr="00112373" w:rsidRDefault="00401446" w:rsidP="00C84061">
            <w:pPr>
              <w:spacing w:before="120" w:after="120"/>
              <w:rPr>
                <w:rFonts w:cs="Arial"/>
                <w:sz w:val="20"/>
                <w:szCs w:val="20"/>
              </w:rPr>
            </w:pPr>
            <w:r w:rsidRPr="00091571">
              <w:rPr>
                <w:rFonts w:cs="Arial"/>
                <w:sz w:val="20"/>
                <w:szCs w:val="20"/>
              </w:rPr>
              <w:t xml:space="preserve">Elektronicky v IS KP14+ - </w:t>
            </w:r>
            <w:proofErr w:type="spellStart"/>
            <w:r w:rsidRPr="00091571">
              <w:rPr>
                <w:rFonts w:cs="Arial"/>
                <w:sz w:val="20"/>
                <w:szCs w:val="20"/>
              </w:rPr>
              <w:t>ŽoP</w:t>
            </w:r>
            <w:proofErr w:type="spellEnd"/>
            <w:r w:rsidRPr="00091571">
              <w:rPr>
                <w:rFonts w:cs="Arial"/>
                <w:sz w:val="20"/>
                <w:szCs w:val="20"/>
              </w:rPr>
              <w:t xml:space="preserve"> - DOKUMENTY</w:t>
            </w:r>
          </w:p>
        </w:tc>
      </w:tr>
      <w:tr w:rsidR="00401446" w:rsidRPr="00091571" w14:paraId="08313B42" w14:textId="77777777" w:rsidTr="00436827">
        <w:tc>
          <w:tcPr>
            <w:tcW w:w="3868" w:type="dxa"/>
            <w:vAlign w:val="center"/>
          </w:tcPr>
          <w:p w14:paraId="54123DAE" w14:textId="62062B3B" w:rsidR="00401446" w:rsidRPr="00AC6EEF" w:rsidRDefault="00401446" w:rsidP="00DD3A55">
            <w:pPr>
              <w:spacing w:before="120" w:after="120"/>
              <w:rPr>
                <w:rFonts w:cs="Arial"/>
                <w:b/>
                <w:sz w:val="20"/>
                <w:szCs w:val="20"/>
              </w:rPr>
            </w:pPr>
          </w:p>
        </w:tc>
        <w:tc>
          <w:tcPr>
            <w:tcW w:w="3521" w:type="dxa"/>
            <w:vAlign w:val="center"/>
          </w:tcPr>
          <w:p w14:paraId="5AD5312C"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3FCC5394" w14:textId="21B5616F" w:rsidR="00401446" w:rsidRPr="00AC6EEF" w:rsidRDefault="00401446" w:rsidP="004F3074">
            <w:pPr>
              <w:spacing w:before="120" w:after="120"/>
              <w:rPr>
                <w:rFonts w:cs="Arial"/>
                <w:sz w:val="20"/>
                <w:szCs w:val="20"/>
              </w:rPr>
            </w:pPr>
          </w:p>
        </w:tc>
        <w:tc>
          <w:tcPr>
            <w:tcW w:w="3521" w:type="dxa"/>
            <w:vAlign w:val="center"/>
          </w:tcPr>
          <w:p w14:paraId="1CAF3281" w14:textId="4667A17C" w:rsidR="00401446" w:rsidRPr="00112373" w:rsidRDefault="00401446" w:rsidP="00C84061">
            <w:pPr>
              <w:spacing w:before="120" w:after="120"/>
              <w:rPr>
                <w:rFonts w:cs="Arial"/>
                <w:sz w:val="20"/>
                <w:szCs w:val="20"/>
              </w:rPr>
            </w:pPr>
          </w:p>
        </w:tc>
      </w:tr>
    </w:tbl>
    <w:p w14:paraId="63BB15E3" w14:textId="77777777" w:rsidR="000254DB" w:rsidRDefault="000254DB">
      <w:pPr>
        <w:spacing w:after="200" w:line="276" w:lineRule="auto"/>
        <w:rPr>
          <w:szCs w:val="22"/>
        </w:rPr>
      </w:pPr>
      <w:r>
        <w:rPr>
          <w:szCs w:val="22"/>
        </w:rPr>
        <w:br w:type="page"/>
      </w:r>
    </w:p>
    <w:p w14:paraId="1B43872D"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08A5776F" w14:textId="79ED20CC" w:rsidR="000254DB" w:rsidRPr="005F1B36" w:rsidRDefault="000254DB" w:rsidP="005F1B36">
      <w:pPr>
        <w:pStyle w:val="Nadpis1"/>
        <w:numPr>
          <w:ilvl w:val="0"/>
          <w:numId w:val="0"/>
        </w:numPr>
        <w:ind w:left="432" w:hanging="432"/>
      </w:pPr>
      <w:bookmarkStart w:id="192" w:name="_Toc535831522"/>
      <w:r w:rsidRPr="005F1B36">
        <w:lastRenderedPageBreak/>
        <w:t>Přílohy</w:t>
      </w:r>
      <w:bookmarkEnd w:id="192"/>
    </w:p>
    <w:p w14:paraId="4EE385A3"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235FF520"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334B8965" w14:textId="77777777" w:rsidR="000254DB" w:rsidRPr="00436827" w:rsidRDefault="000254DB" w:rsidP="000254DB">
      <w:pPr>
        <w:spacing w:before="120" w:after="120"/>
        <w:rPr>
          <w:rFonts w:cs="Arial"/>
          <w:szCs w:val="22"/>
        </w:rPr>
      </w:pPr>
      <w:r w:rsidRPr="00436827">
        <w:rPr>
          <w:rFonts w:cs="Arial"/>
          <w:szCs w:val="22"/>
        </w:rPr>
        <w:t>Příloha č. 11g Rekapitulace mzdových výdajů (za pracovníky za jednotlivé měsíce)</w:t>
      </w:r>
    </w:p>
    <w:p w14:paraId="73E2A714"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59309DB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391FE554" w14:textId="77777777" w:rsidR="000254DB" w:rsidRPr="00436827" w:rsidRDefault="000254DB" w:rsidP="000254DB">
      <w:pPr>
        <w:spacing w:before="120" w:after="120"/>
        <w:rPr>
          <w:rFonts w:cs="Arial"/>
          <w:szCs w:val="22"/>
        </w:rPr>
      </w:pPr>
      <w:r w:rsidRPr="00436827">
        <w:rPr>
          <w:rFonts w:cs="Arial"/>
          <w:szCs w:val="22"/>
        </w:rPr>
        <w:t xml:space="preserve">Příloha č. 11j Vzory formulářů k per </w:t>
      </w:r>
      <w:proofErr w:type="spellStart"/>
      <w:r w:rsidRPr="00436827">
        <w:rPr>
          <w:rFonts w:cs="Arial"/>
          <w:szCs w:val="22"/>
        </w:rPr>
        <w:t>diems</w:t>
      </w:r>
      <w:proofErr w:type="spellEnd"/>
    </w:p>
    <w:p w14:paraId="17AD8B8E"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77CF775C"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6D230E23"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4E24F85" w14:textId="77777777" w:rsidR="000254DB" w:rsidRDefault="000254DB" w:rsidP="000254DB">
      <w:pPr>
        <w:spacing w:before="120" w:after="120"/>
        <w:rPr>
          <w:rFonts w:cs="Arial"/>
          <w:szCs w:val="22"/>
        </w:rPr>
      </w:pPr>
      <w:r w:rsidRPr="00436827">
        <w:rPr>
          <w:rFonts w:cs="Arial"/>
          <w:szCs w:val="22"/>
        </w:rPr>
        <w:t>Příloha č. 12 Čestné prohlášení</w:t>
      </w:r>
    </w:p>
    <w:p w14:paraId="2911966E" w14:textId="35F0CE81"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7BC09DA4" w14:textId="38D358F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1F08C264" w14:textId="1A21D02C" w:rsidR="0090749C" w:rsidRDefault="0090749C" w:rsidP="00AC6EEF">
      <w:pPr>
        <w:spacing w:before="120" w:after="120"/>
        <w:rPr>
          <w:rFonts w:cs="Arial"/>
          <w:szCs w:val="22"/>
        </w:rPr>
      </w:pPr>
    </w:p>
    <w:p w14:paraId="01ABC3F3" w14:textId="77777777" w:rsidR="0090749C" w:rsidRDefault="0090749C" w:rsidP="00AC6EEF">
      <w:pPr>
        <w:spacing w:before="120" w:after="120"/>
        <w:rPr>
          <w:rFonts w:cs="Arial"/>
          <w:szCs w:val="22"/>
        </w:rPr>
      </w:pPr>
    </w:p>
    <w:p w14:paraId="3DF2AB7A" w14:textId="77777777" w:rsidR="0090749C" w:rsidRDefault="0090749C" w:rsidP="00AC6EEF">
      <w:pPr>
        <w:spacing w:before="120" w:after="120"/>
        <w:rPr>
          <w:rFonts w:cs="Arial"/>
          <w:szCs w:val="22"/>
        </w:rPr>
      </w:pPr>
    </w:p>
    <w:p w14:paraId="12E014D5" w14:textId="77777777" w:rsidR="0090749C" w:rsidRDefault="0090749C" w:rsidP="00AC6EEF">
      <w:pPr>
        <w:spacing w:before="120" w:after="120"/>
        <w:rPr>
          <w:rFonts w:cs="Arial"/>
          <w:szCs w:val="22"/>
        </w:rPr>
      </w:pPr>
    </w:p>
    <w:p w14:paraId="4A6A709D" w14:textId="77777777" w:rsidR="0090749C" w:rsidRDefault="0090749C" w:rsidP="00AC6EEF">
      <w:pPr>
        <w:spacing w:before="120" w:after="120"/>
        <w:rPr>
          <w:rFonts w:cs="Arial"/>
          <w:szCs w:val="22"/>
        </w:rPr>
      </w:pPr>
    </w:p>
    <w:p w14:paraId="6F7CD7D4" w14:textId="77777777" w:rsidR="0090749C" w:rsidRDefault="0090749C" w:rsidP="00AC6EEF">
      <w:pPr>
        <w:spacing w:before="120" w:after="120"/>
        <w:rPr>
          <w:rFonts w:cs="Arial"/>
          <w:szCs w:val="22"/>
        </w:rPr>
      </w:pPr>
    </w:p>
    <w:p w14:paraId="3C22D86B" w14:textId="77777777" w:rsidR="0090749C" w:rsidRDefault="0090749C" w:rsidP="00AC6EEF">
      <w:pPr>
        <w:spacing w:before="120" w:after="120"/>
        <w:rPr>
          <w:rFonts w:cs="Arial"/>
          <w:szCs w:val="22"/>
        </w:rPr>
      </w:pPr>
    </w:p>
    <w:p w14:paraId="579E22EF" w14:textId="77777777" w:rsidR="0090749C" w:rsidRDefault="0090749C" w:rsidP="00AC6EEF">
      <w:pPr>
        <w:spacing w:before="120" w:after="120"/>
        <w:rPr>
          <w:rFonts w:cs="Arial"/>
          <w:szCs w:val="22"/>
        </w:rPr>
      </w:pPr>
    </w:p>
    <w:p w14:paraId="1F04CBE7" w14:textId="77777777" w:rsidR="0090749C" w:rsidRDefault="0090749C" w:rsidP="00AC6EEF">
      <w:pPr>
        <w:spacing w:before="120" w:after="120"/>
        <w:rPr>
          <w:rFonts w:cs="Arial"/>
          <w:szCs w:val="22"/>
        </w:rPr>
      </w:pPr>
    </w:p>
    <w:p w14:paraId="5F5E7189" w14:textId="77777777" w:rsidR="0090749C" w:rsidRDefault="0090749C" w:rsidP="00AC6EEF">
      <w:pPr>
        <w:spacing w:before="120" w:after="120"/>
        <w:rPr>
          <w:rFonts w:cs="Arial"/>
          <w:szCs w:val="22"/>
        </w:rPr>
      </w:pPr>
    </w:p>
    <w:p w14:paraId="58AD9542" w14:textId="77777777" w:rsidR="0090749C" w:rsidRDefault="0090749C" w:rsidP="00AC6EEF">
      <w:pPr>
        <w:spacing w:before="120" w:after="120"/>
        <w:rPr>
          <w:rFonts w:cs="Arial"/>
          <w:szCs w:val="22"/>
        </w:rPr>
      </w:pPr>
    </w:p>
    <w:p w14:paraId="47FB04BD" w14:textId="77777777" w:rsidR="0090749C" w:rsidRDefault="0090749C" w:rsidP="00AC6EEF">
      <w:pPr>
        <w:spacing w:before="120" w:after="120"/>
        <w:rPr>
          <w:rFonts w:cs="Arial"/>
          <w:szCs w:val="22"/>
        </w:rPr>
      </w:pPr>
    </w:p>
    <w:p w14:paraId="69CC2778" w14:textId="77777777" w:rsidR="0090749C" w:rsidRDefault="0090749C" w:rsidP="00AC6EEF">
      <w:pPr>
        <w:spacing w:before="120" w:after="120"/>
        <w:rPr>
          <w:rFonts w:cs="Arial"/>
          <w:szCs w:val="22"/>
        </w:rPr>
      </w:pPr>
    </w:p>
    <w:p w14:paraId="6EB934D3" w14:textId="77777777" w:rsidR="0090749C" w:rsidRDefault="0090749C" w:rsidP="00AC6EEF">
      <w:pPr>
        <w:spacing w:before="120" w:after="120"/>
        <w:rPr>
          <w:rFonts w:cs="Arial"/>
          <w:szCs w:val="22"/>
        </w:rPr>
      </w:pPr>
    </w:p>
    <w:p w14:paraId="113776CA" w14:textId="77777777" w:rsidR="0090749C" w:rsidRDefault="0090749C" w:rsidP="00AC6EEF">
      <w:pPr>
        <w:spacing w:before="120" w:after="120"/>
        <w:rPr>
          <w:rFonts w:cs="Arial"/>
          <w:szCs w:val="22"/>
        </w:rPr>
      </w:pPr>
    </w:p>
    <w:p w14:paraId="5A88B000" w14:textId="77777777" w:rsidR="0090749C" w:rsidRDefault="0090749C" w:rsidP="00AC6EEF">
      <w:pPr>
        <w:spacing w:before="120" w:after="120"/>
        <w:rPr>
          <w:rFonts w:cs="Arial"/>
          <w:szCs w:val="22"/>
        </w:rPr>
      </w:pPr>
    </w:p>
    <w:p w14:paraId="2624F0B8" w14:textId="77777777" w:rsidR="0090749C" w:rsidRDefault="0090749C" w:rsidP="00AC6EEF">
      <w:pPr>
        <w:spacing w:before="120" w:after="120"/>
        <w:rPr>
          <w:rFonts w:cs="Arial"/>
          <w:szCs w:val="22"/>
        </w:rPr>
      </w:pPr>
    </w:p>
    <w:p w14:paraId="761425FF" w14:textId="77777777" w:rsidR="0090749C" w:rsidRDefault="0090749C" w:rsidP="00AC6EEF">
      <w:pPr>
        <w:spacing w:before="120" w:after="120"/>
        <w:rPr>
          <w:rFonts w:cs="Arial"/>
          <w:szCs w:val="22"/>
        </w:rPr>
      </w:pPr>
    </w:p>
    <w:p w14:paraId="4494EFF5" w14:textId="77777777" w:rsidR="0090749C" w:rsidRDefault="0090749C" w:rsidP="00AC6EEF">
      <w:pPr>
        <w:spacing w:before="120" w:after="120"/>
        <w:rPr>
          <w:rFonts w:cs="Arial"/>
          <w:szCs w:val="22"/>
        </w:rPr>
      </w:pPr>
    </w:p>
    <w:p w14:paraId="74D1B412" w14:textId="77777777" w:rsidR="0090749C" w:rsidRDefault="0090749C" w:rsidP="00AC6EEF">
      <w:pPr>
        <w:spacing w:before="120" w:after="120"/>
        <w:rPr>
          <w:rFonts w:cs="Arial"/>
          <w:szCs w:val="22"/>
        </w:rPr>
      </w:pPr>
    </w:p>
    <w:p w14:paraId="19469A9F" w14:textId="77777777" w:rsidR="0090749C" w:rsidRDefault="0090749C" w:rsidP="00AC6EEF">
      <w:pPr>
        <w:spacing w:before="120" w:after="120"/>
        <w:rPr>
          <w:rFonts w:cs="Arial"/>
          <w:szCs w:val="22"/>
        </w:rPr>
      </w:pPr>
    </w:p>
    <w:p w14:paraId="417D4B38" w14:textId="77777777" w:rsidR="0090749C" w:rsidRDefault="0090749C" w:rsidP="00AC6EEF">
      <w:pPr>
        <w:spacing w:before="120" w:after="120"/>
        <w:rPr>
          <w:rFonts w:cs="Arial"/>
          <w:szCs w:val="22"/>
        </w:rPr>
      </w:pPr>
    </w:p>
    <w:p w14:paraId="7B87512E" w14:textId="77777777" w:rsidR="0090749C" w:rsidRDefault="0090749C" w:rsidP="00AC6EEF">
      <w:pPr>
        <w:spacing w:before="120" w:after="120"/>
        <w:rPr>
          <w:rFonts w:cs="Arial"/>
          <w:szCs w:val="22"/>
        </w:rPr>
      </w:pPr>
    </w:p>
    <w:p w14:paraId="27367450" w14:textId="77777777" w:rsidR="0090749C" w:rsidRDefault="0090749C" w:rsidP="00AC6EEF">
      <w:pPr>
        <w:spacing w:before="120" w:after="120"/>
        <w:rPr>
          <w:rFonts w:cs="Arial"/>
          <w:szCs w:val="22"/>
        </w:rPr>
      </w:pPr>
    </w:p>
    <w:p w14:paraId="706FB486" w14:textId="77777777" w:rsidR="0090749C" w:rsidRDefault="0090749C" w:rsidP="00AC6EEF">
      <w:pPr>
        <w:spacing w:before="120" w:after="120"/>
        <w:rPr>
          <w:rFonts w:cs="Arial"/>
          <w:szCs w:val="22"/>
        </w:rPr>
      </w:pPr>
    </w:p>
    <w:p w14:paraId="1E3BDEE9" w14:textId="54703A0C" w:rsidR="0090749C" w:rsidRPr="008600C2" w:rsidRDefault="0090749C" w:rsidP="005F1B36">
      <w:pPr>
        <w:pStyle w:val="Nadpis1"/>
        <w:numPr>
          <w:ilvl w:val="0"/>
          <w:numId w:val="0"/>
        </w:numPr>
        <w:ind w:left="432" w:hanging="432"/>
      </w:pPr>
      <w:bookmarkStart w:id="193" w:name="_Toc535831523"/>
      <w:bookmarkStart w:id="194" w:name="_GoBack"/>
      <w:bookmarkEnd w:id="194"/>
      <w:r w:rsidRPr="008600C2">
        <w:lastRenderedPageBreak/>
        <w:t>Přehled změn v Příloze č. 11 PŽP</w:t>
      </w:r>
      <w:bookmarkEnd w:id="193"/>
    </w:p>
    <w:p w14:paraId="280B0E0D" w14:textId="4F992C00"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4239D431" w14:textId="5C49111B"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80E87BB" w14:textId="77777777" w:rsidTr="0041561A">
        <w:trPr>
          <w:trHeight w:val="484"/>
        </w:trPr>
        <w:tc>
          <w:tcPr>
            <w:tcW w:w="1902" w:type="dxa"/>
            <w:shd w:val="clear" w:color="auto" w:fill="99CCFF"/>
            <w:vAlign w:val="center"/>
          </w:tcPr>
          <w:p w14:paraId="48D92B22" w14:textId="640729D4" w:rsidR="0090749C" w:rsidRPr="00C34B6C" w:rsidRDefault="0090749C" w:rsidP="00C34B6C">
            <w:pPr>
              <w:spacing w:before="120" w:after="120"/>
              <w:jc w:val="center"/>
              <w:rPr>
                <w:rFonts w:cs="Arial"/>
                <w:b/>
                <w:szCs w:val="22"/>
              </w:rPr>
            </w:pPr>
            <w:r w:rsidRPr="00C34B6C">
              <w:rPr>
                <w:rFonts w:cs="Arial"/>
                <w:b/>
                <w:szCs w:val="22"/>
              </w:rPr>
              <w:t>Verze</w:t>
            </w:r>
          </w:p>
        </w:tc>
        <w:tc>
          <w:tcPr>
            <w:tcW w:w="7591" w:type="dxa"/>
            <w:shd w:val="clear" w:color="auto" w:fill="99CCFF"/>
          </w:tcPr>
          <w:p w14:paraId="4E5899BB" w14:textId="2334FF82" w:rsidR="0090749C" w:rsidRPr="00C34B6C" w:rsidRDefault="0090749C" w:rsidP="00C34B6C">
            <w:pPr>
              <w:spacing w:before="120" w:after="120"/>
              <w:jc w:val="center"/>
              <w:rPr>
                <w:rFonts w:cs="Arial"/>
                <w:b/>
                <w:szCs w:val="22"/>
              </w:rPr>
            </w:pPr>
            <w:r w:rsidRPr="00C34B6C">
              <w:rPr>
                <w:rFonts w:cs="Arial"/>
                <w:b/>
                <w:szCs w:val="22"/>
              </w:rPr>
              <w:t>Popis změn</w:t>
            </w:r>
          </w:p>
        </w:tc>
      </w:tr>
      <w:tr w:rsidR="0090749C" w14:paraId="034D76C5" w14:textId="77777777" w:rsidTr="0041561A">
        <w:trPr>
          <w:trHeight w:val="484"/>
        </w:trPr>
        <w:tc>
          <w:tcPr>
            <w:tcW w:w="1902" w:type="dxa"/>
            <w:vMerge w:val="restart"/>
            <w:shd w:val="clear" w:color="auto" w:fill="99CCFF"/>
            <w:vAlign w:val="center"/>
          </w:tcPr>
          <w:p w14:paraId="2079E0E2" w14:textId="612EF3C0" w:rsidR="0090749C" w:rsidRDefault="0090749C" w:rsidP="00C34B6C">
            <w:pPr>
              <w:spacing w:before="120" w:after="120"/>
              <w:jc w:val="center"/>
              <w:rPr>
                <w:rFonts w:cs="Arial"/>
                <w:szCs w:val="22"/>
              </w:rPr>
            </w:pPr>
            <w:r w:rsidRPr="0090749C">
              <w:rPr>
                <w:rFonts w:cs="Arial"/>
                <w:szCs w:val="22"/>
              </w:rPr>
              <w:t>vydání 1/8</w:t>
            </w:r>
          </w:p>
        </w:tc>
        <w:tc>
          <w:tcPr>
            <w:tcW w:w="7591" w:type="dxa"/>
            <w:shd w:val="clear" w:color="auto" w:fill="99CCFF"/>
          </w:tcPr>
          <w:p w14:paraId="7EB510AB" w14:textId="0AD557F6" w:rsidR="0090749C" w:rsidRDefault="0090749C" w:rsidP="00AC6EEF">
            <w:pPr>
              <w:spacing w:before="120" w:after="120"/>
              <w:rPr>
                <w:rFonts w:cs="Arial"/>
                <w:szCs w:val="22"/>
              </w:rPr>
            </w:pPr>
            <w:r w:rsidRPr="0090749C">
              <w:rPr>
                <w:rFonts w:cs="Arial"/>
                <w:szCs w:val="22"/>
              </w:rPr>
              <w:t>Formální úpravy textu.</w:t>
            </w:r>
          </w:p>
        </w:tc>
      </w:tr>
      <w:tr w:rsidR="0090749C" w14:paraId="68C3B78D" w14:textId="77777777" w:rsidTr="0041561A">
        <w:trPr>
          <w:trHeight w:val="484"/>
        </w:trPr>
        <w:tc>
          <w:tcPr>
            <w:tcW w:w="1902" w:type="dxa"/>
            <w:vMerge/>
            <w:shd w:val="clear" w:color="auto" w:fill="99CCFF"/>
            <w:vAlign w:val="center"/>
          </w:tcPr>
          <w:p w14:paraId="4DD226C7" w14:textId="77777777" w:rsidR="0090749C" w:rsidRDefault="0090749C" w:rsidP="00C34B6C">
            <w:pPr>
              <w:spacing w:before="120" w:after="120"/>
              <w:jc w:val="center"/>
              <w:rPr>
                <w:rFonts w:cs="Arial"/>
                <w:szCs w:val="22"/>
              </w:rPr>
            </w:pPr>
          </w:p>
        </w:tc>
        <w:tc>
          <w:tcPr>
            <w:tcW w:w="7591" w:type="dxa"/>
            <w:shd w:val="clear" w:color="auto" w:fill="99CCFF"/>
          </w:tcPr>
          <w:p w14:paraId="12267784" w14:textId="30E70A95" w:rsidR="0090749C" w:rsidRDefault="0090749C" w:rsidP="0090749C">
            <w:pPr>
              <w:spacing w:before="120" w:after="120"/>
              <w:rPr>
                <w:rFonts w:cs="Arial"/>
                <w:szCs w:val="22"/>
              </w:rPr>
            </w:pPr>
            <w:r w:rsidRPr="005E5990">
              <w:t>Upřesněn způsob dokladování – nahrávání příloh do MS2014+ v kapitole 2.</w:t>
            </w:r>
          </w:p>
        </w:tc>
      </w:tr>
      <w:tr w:rsidR="0090749C" w14:paraId="7EA86EC9" w14:textId="77777777" w:rsidTr="0041561A">
        <w:trPr>
          <w:trHeight w:val="484"/>
        </w:trPr>
        <w:tc>
          <w:tcPr>
            <w:tcW w:w="1902" w:type="dxa"/>
            <w:vMerge/>
            <w:shd w:val="clear" w:color="auto" w:fill="99CCFF"/>
            <w:vAlign w:val="center"/>
          </w:tcPr>
          <w:p w14:paraId="376589B2" w14:textId="77777777" w:rsidR="0090749C" w:rsidRDefault="0090749C" w:rsidP="00C34B6C">
            <w:pPr>
              <w:spacing w:before="120" w:after="120"/>
              <w:jc w:val="center"/>
              <w:rPr>
                <w:rFonts w:cs="Arial"/>
                <w:szCs w:val="22"/>
              </w:rPr>
            </w:pPr>
          </w:p>
        </w:tc>
        <w:tc>
          <w:tcPr>
            <w:tcW w:w="7591" w:type="dxa"/>
            <w:shd w:val="clear" w:color="auto" w:fill="99CCFF"/>
          </w:tcPr>
          <w:p w14:paraId="4D60339A" w14:textId="2A8DB79E" w:rsidR="0090749C" w:rsidRDefault="0090749C" w:rsidP="0090749C">
            <w:pPr>
              <w:spacing w:before="120" w:after="120"/>
              <w:rPr>
                <w:rFonts w:cs="Arial"/>
                <w:szCs w:val="22"/>
              </w:rPr>
            </w:pPr>
            <w:r w:rsidRPr="005E5990">
              <w:t>V části 2.1.2 odstraněna poznámka pod čarou č. 5 a upřesněn způsob vytváření Rekapitulace mzdových výdajů, doplněno dokladování úhrady FKSP či jiného zákonného pojištění</w:t>
            </w:r>
          </w:p>
        </w:tc>
      </w:tr>
      <w:tr w:rsidR="0090749C" w14:paraId="108C3B0D" w14:textId="77777777" w:rsidTr="0041561A">
        <w:trPr>
          <w:trHeight w:val="484"/>
        </w:trPr>
        <w:tc>
          <w:tcPr>
            <w:tcW w:w="1902" w:type="dxa"/>
            <w:vMerge/>
            <w:shd w:val="clear" w:color="auto" w:fill="99CCFF"/>
            <w:vAlign w:val="center"/>
          </w:tcPr>
          <w:p w14:paraId="1EAF1F0A" w14:textId="77777777" w:rsidR="0090749C" w:rsidRDefault="0090749C" w:rsidP="00C34B6C">
            <w:pPr>
              <w:spacing w:before="120" w:after="120"/>
              <w:jc w:val="center"/>
              <w:rPr>
                <w:rFonts w:cs="Arial"/>
                <w:szCs w:val="22"/>
              </w:rPr>
            </w:pPr>
          </w:p>
        </w:tc>
        <w:tc>
          <w:tcPr>
            <w:tcW w:w="7591" w:type="dxa"/>
            <w:shd w:val="clear" w:color="auto" w:fill="99CCFF"/>
          </w:tcPr>
          <w:p w14:paraId="3F468C96" w14:textId="19C9F8CD" w:rsidR="0090749C" w:rsidRDefault="0090749C" w:rsidP="0090749C">
            <w:pPr>
              <w:spacing w:before="120" w:after="120"/>
              <w:rPr>
                <w:rFonts w:cs="Arial"/>
                <w:szCs w:val="22"/>
              </w:rPr>
            </w:pPr>
            <w:r w:rsidRPr="005E5990">
              <w:t>V části 2.6.1 upravena způsobilost režijních nákladů a doplněno v části 2.6.2 dokladování Čestného prohlášení o vynaložení telefonních hovorů.</w:t>
            </w:r>
          </w:p>
        </w:tc>
      </w:tr>
      <w:tr w:rsidR="0090749C" w14:paraId="585C6241" w14:textId="77777777" w:rsidTr="0041561A">
        <w:trPr>
          <w:trHeight w:val="484"/>
        </w:trPr>
        <w:tc>
          <w:tcPr>
            <w:tcW w:w="1902" w:type="dxa"/>
            <w:vMerge/>
            <w:shd w:val="clear" w:color="auto" w:fill="99CCFF"/>
            <w:vAlign w:val="center"/>
          </w:tcPr>
          <w:p w14:paraId="6EC20C0E" w14:textId="77777777" w:rsidR="0090749C" w:rsidRDefault="0090749C" w:rsidP="00C34B6C">
            <w:pPr>
              <w:spacing w:before="120" w:after="120"/>
              <w:jc w:val="center"/>
              <w:rPr>
                <w:rFonts w:cs="Arial"/>
                <w:szCs w:val="22"/>
              </w:rPr>
            </w:pPr>
          </w:p>
        </w:tc>
        <w:tc>
          <w:tcPr>
            <w:tcW w:w="7591" w:type="dxa"/>
            <w:shd w:val="clear" w:color="auto" w:fill="99CCFF"/>
          </w:tcPr>
          <w:p w14:paraId="255566FB" w14:textId="745A8020" w:rsidR="0090749C" w:rsidRDefault="0090749C" w:rsidP="0090749C">
            <w:pPr>
              <w:spacing w:before="120" w:after="120"/>
              <w:rPr>
                <w:rFonts w:cs="Arial"/>
                <w:szCs w:val="22"/>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498926B5" w14:textId="77777777" w:rsidTr="0041561A">
        <w:trPr>
          <w:trHeight w:val="484"/>
        </w:trPr>
        <w:tc>
          <w:tcPr>
            <w:tcW w:w="1902" w:type="dxa"/>
            <w:vMerge/>
            <w:shd w:val="clear" w:color="auto" w:fill="99CCFF"/>
            <w:vAlign w:val="center"/>
          </w:tcPr>
          <w:p w14:paraId="6B3244DB" w14:textId="77777777" w:rsidR="0090749C" w:rsidRDefault="0090749C" w:rsidP="00C34B6C">
            <w:pPr>
              <w:spacing w:before="120" w:after="120"/>
              <w:jc w:val="center"/>
              <w:rPr>
                <w:rFonts w:cs="Arial"/>
                <w:szCs w:val="22"/>
              </w:rPr>
            </w:pPr>
          </w:p>
        </w:tc>
        <w:tc>
          <w:tcPr>
            <w:tcW w:w="7591" w:type="dxa"/>
            <w:shd w:val="clear" w:color="auto" w:fill="99CCFF"/>
          </w:tcPr>
          <w:p w14:paraId="02887F52" w14:textId="4EF2398B" w:rsidR="0090749C" w:rsidRDefault="0090749C" w:rsidP="0090749C">
            <w:pPr>
              <w:spacing w:before="120" w:after="120"/>
              <w:rPr>
                <w:rFonts w:cs="Arial"/>
                <w:szCs w:val="22"/>
              </w:rPr>
            </w:pPr>
            <w:r w:rsidRPr="005E5990">
              <w:t>Upravena tabulka č. 2 u Výpisu z bankovních účtů a upřesněno dokladování hodnocení zaměstnanců spadajících pod zákoník práce.</w:t>
            </w:r>
          </w:p>
        </w:tc>
      </w:tr>
      <w:tr w:rsidR="0090749C" w14:paraId="4E3166AA" w14:textId="77777777" w:rsidTr="0041561A">
        <w:trPr>
          <w:trHeight w:val="484"/>
        </w:trPr>
        <w:tc>
          <w:tcPr>
            <w:tcW w:w="1902" w:type="dxa"/>
            <w:vMerge/>
            <w:shd w:val="clear" w:color="auto" w:fill="99CCFF"/>
            <w:vAlign w:val="center"/>
          </w:tcPr>
          <w:p w14:paraId="2D9ED742" w14:textId="77777777" w:rsidR="0090749C" w:rsidRDefault="0090749C" w:rsidP="00C34B6C">
            <w:pPr>
              <w:spacing w:before="120" w:after="120"/>
              <w:jc w:val="center"/>
              <w:rPr>
                <w:rFonts w:cs="Arial"/>
                <w:szCs w:val="22"/>
              </w:rPr>
            </w:pPr>
          </w:p>
        </w:tc>
        <w:tc>
          <w:tcPr>
            <w:tcW w:w="7591" w:type="dxa"/>
            <w:shd w:val="clear" w:color="auto" w:fill="99CCFF"/>
          </w:tcPr>
          <w:p w14:paraId="41B4BFDD" w14:textId="3D967552" w:rsidR="0090749C" w:rsidRDefault="0090749C" w:rsidP="0090749C">
            <w:pPr>
              <w:spacing w:before="120" w:after="120"/>
              <w:rPr>
                <w:rFonts w:cs="Arial"/>
                <w:szCs w:val="22"/>
              </w:rPr>
            </w:pPr>
            <w:r w:rsidRPr="005E5990">
              <w:t>Upravena příloha 11k Rekapitulace zaměstnanců spadajících pod ZSS – doplněny nové sloupce a upřesněno jejich vyplňování.</w:t>
            </w:r>
          </w:p>
        </w:tc>
      </w:tr>
      <w:tr w:rsidR="00152729" w14:paraId="039D4275" w14:textId="77777777" w:rsidTr="0041561A">
        <w:trPr>
          <w:trHeight w:val="484"/>
        </w:trPr>
        <w:tc>
          <w:tcPr>
            <w:tcW w:w="1902" w:type="dxa"/>
            <w:vMerge w:val="restart"/>
            <w:shd w:val="clear" w:color="auto" w:fill="99CCFF"/>
            <w:vAlign w:val="center"/>
          </w:tcPr>
          <w:p w14:paraId="583C5861" w14:textId="1EB383A2" w:rsidR="00152729" w:rsidRDefault="00152729" w:rsidP="00C34B6C">
            <w:pPr>
              <w:spacing w:before="120" w:after="120"/>
              <w:jc w:val="center"/>
              <w:rPr>
                <w:rFonts w:cs="Arial"/>
                <w:szCs w:val="22"/>
              </w:rPr>
            </w:pPr>
            <w:r w:rsidRPr="0090749C">
              <w:rPr>
                <w:rFonts w:cs="Arial"/>
                <w:szCs w:val="22"/>
              </w:rPr>
              <w:t>vydání 1/9</w:t>
            </w:r>
          </w:p>
        </w:tc>
        <w:tc>
          <w:tcPr>
            <w:tcW w:w="7591" w:type="dxa"/>
            <w:shd w:val="clear" w:color="auto" w:fill="99CCFF"/>
          </w:tcPr>
          <w:p w14:paraId="1E176C2A" w14:textId="75BA0959" w:rsidR="00152729" w:rsidRDefault="00152729" w:rsidP="00152729">
            <w:pPr>
              <w:spacing w:before="120" w:after="120"/>
              <w:rPr>
                <w:rFonts w:cs="Arial"/>
                <w:szCs w:val="22"/>
              </w:rPr>
            </w:pPr>
            <w:r w:rsidRPr="00344C37">
              <w:t>Formální úpravy textu, úprava zkratky MP lidské zdroje v celém textu.</w:t>
            </w:r>
          </w:p>
        </w:tc>
      </w:tr>
      <w:tr w:rsidR="00152729" w14:paraId="4ACA8628" w14:textId="77777777" w:rsidTr="0041561A">
        <w:trPr>
          <w:trHeight w:val="484"/>
        </w:trPr>
        <w:tc>
          <w:tcPr>
            <w:tcW w:w="1902" w:type="dxa"/>
            <w:vMerge/>
            <w:shd w:val="clear" w:color="auto" w:fill="99CCFF"/>
            <w:vAlign w:val="center"/>
          </w:tcPr>
          <w:p w14:paraId="430B22A6" w14:textId="77777777" w:rsidR="00152729" w:rsidRDefault="00152729" w:rsidP="00C34B6C">
            <w:pPr>
              <w:spacing w:before="120" w:after="120"/>
              <w:jc w:val="center"/>
              <w:rPr>
                <w:rFonts w:cs="Arial"/>
                <w:szCs w:val="22"/>
              </w:rPr>
            </w:pPr>
          </w:p>
        </w:tc>
        <w:tc>
          <w:tcPr>
            <w:tcW w:w="7591" w:type="dxa"/>
            <w:shd w:val="clear" w:color="auto" w:fill="99CCFF"/>
          </w:tcPr>
          <w:p w14:paraId="1D3D1139" w14:textId="7D059264" w:rsidR="00152729" w:rsidRDefault="00152729" w:rsidP="00152729">
            <w:pPr>
              <w:spacing w:before="120" w:after="120"/>
              <w:rPr>
                <w:rFonts w:cs="Arial"/>
                <w:szCs w:val="22"/>
              </w:rPr>
            </w:pPr>
            <w:r w:rsidRPr="00344C37">
              <w:t>V části 1.1 doplněno právo ŘO OPTP určovat způsobilost výdajů.</w:t>
            </w:r>
          </w:p>
        </w:tc>
      </w:tr>
      <w:tr w:rsidR="00152729" w14:paraId="1EEBD484" w14:textId="77777777" w:rsidTr="0041561A">
        <w:trPr>
          <w:trHeight w:val="484"/>
        </w:trPr>
        <w:tc>
          <w:tcPr>
            <w:tcW w:w="1902" w:type="dxa"/>
            <w:vMerge/>
            <w:shd w:val="clear" w:color="auto" w:fill="99CCFF"/>
            <w:vAlign w:val="center"/>
          </w:tcPr>
          <w:p w14:paraId="56898D30" w14:textId="77777777" w:rsidR="00152729" w:rsidRDefault="00152729" w:rsidP="00C34B6C">
            <w:pPr>
              <w:spacing w:before="120" w:after="120"/>
              <w:jc w:val="center"/>
              <w:rPr>
                <w:rFonts w:cs="Arial"/>
                <w:szCs w:val="22"/>
              </w:rPr>
            </w:pPr>
          </w:p>
        </w:tc>
        <w:tc>
          <w:tcPr>
            <w:tcW w:w="7591" w:type="dxa"/>
            <w:shd w:val="clear" w:color="auto" w:fill="99CCFF"/>
          </w:tcPr>
          <w:p w14:paraId="75FA5069" w14:textId="59CDF84B" w:rsidR="00152729" w:rsidRDefault="00152729" w:rsidP="00152729">
            <w:pPr>
              <w:spacing w:before="120" w:after="120"/>
              <w:rPr>
                <w:rFonts w:cs="Arial"/>
                <w:szCs w:val="22"/>
              </w:rPr>
            </w:pPr>
            <w:r w:rsidRPr="00344C37">
              <w:t>V části 2.1.1 upřesněno dokladování v případě nárokování odstupného. Dále doplněn výčet nezpůsobilých výdajů o výdaje, kdy se pracovník aktivně nepodílí na projektu.</w:t>
            </w:r>
          </w:p>
        </w:tc>
      </w:tr>
      <w:tr w:rsidR="00152729" w14:paraId="2946E771" w14:textId="77777777" w:rsidTr="0041561A">
        <w:trPr>
          <w:trHeight w:val="484"/>
        </w:trPr>
        <w:tc>
          <w:tcPr>
            <w:tcW w:w="1902" w:type="dxa"/>
            <w:vMerge/>
            <w:shd w:val="clear" w:color="auto" w:fill="99CCFF"/>
            <w:vAlign w:val="center"/>
          </w:tcPr>
          <w:p w14:paraId="584495E8" w14:textId="77777777" w:rsidR="00152729" w:rsidRDefault="00152729" w:rsidP="00C34B6C">
            <w:pPr>
              <w:spacing w:before="120" w:after="120"/>
              <w:jc w:val="center"/>
              <w:rPr>
                <w:rFonts w:cs="Arial"/>
                <w:szCs w:val="22"/>
              </w:rPr>
            </w:pPr>
          </w:p>
        </w:tc>
        <w:tc>
          <w:tcPr>
            <w:tcW w:w="7591" w:type="dxa"/>
            <w:shd w:val="clear" w:color="auto" w:fill="99CCFF"/>
          </w:tcPr>
          <w:p w14:paraId="5A37C9D5" w14:textId="4DBB39B9" w:rsidR="00152729" w:rsidRDefault="00152729" w:rsidP="00152729">
            <w:pPr>
              <w:spacing w:before="120" w:after="120"/>
              <w:rPr>
                <w:rFonts w:cs="Arial"/>
                <w:szCs w:val="22"/>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44F51DC6" w14:textId="77777777" w:rsidTr="0041561A">
        <w:trPr>
          <w:trHeight w:val="484"/>
        </w:trPr>
        <w:tc>
          <w:tcPr>
            <w:tcW w:w="1902" w:type="dxa"/>
            <w:vMerge/>
            <w:shd w:val="clear" w:color="auto" w:fill="99CCFF"/>
            <w:vAlign w:val="center"/>
          </w:tcPr>
          <w:p w14:paraId="2029A595" w14:textId="77777777" w:rsidR="00152729" w:rsidRDefault="00152729" w:rsidP="00C34B6C">
            <w:pPr>
              <w:spacing w:before="120" w:after="120"/>
              <w:jc w:val="center"/>
              <w:rPr>
                <w:rFonts w:cs="Arial"/>
                <w:szCs w:val="22"/>
              </w:rPr>
            </w:pPr>
          </w:p>
        </w:tc>
        <w:tc>
          <w:tcPr>
            <w:tcW w:w="7591" w:type="dxa"/>
            <w:shd w:val="clear" w:color="auto" w:fill="99CCFF"/>
          </w:tcPr>
          <w:p w14:paraId="78C1FC33" w14:textId="22A25E4D" w:rsidR="00152729" w:rsidRDefault="00152729" w:rsidP="00152729">
            <w:pPr>
              <w:spacing w:before="120" w:after="120"/>
              <w:rPr>
                <w:rFonts w:cs="Arial"/>
                <w:szCs w:val="22"/>
              </w:rPr>
            </w:pPr>
            <w:r w:rsidRPr="00344C37">
              <w:t>V části 2.1.2 přidáno do Dokladů předkládaných k osobním nákladům příloha „Roční přehled vyplácených mimořádných odměn“ a upřesněn způsob jejího předkládání.</w:t>
            </w:r>
          </w:p>
        </w:tc>
      </w:tr>
      <w:tr w:rsidR="00152729" w14:paraId="454BD7BC" w14:textId="77777777" w:rsidTr="0041561A">
        <w:trPr>
          <w:trHeight w:val="484"/>
        </w:trPr>
        <w:tc>
          <w:tcPr>
            <w:tcW w:w="1902" w:type="dxa"/>
            <w:vMerge/>
            <w:shd w:val="clear" w:color="auto" w:fill="99CCFF"/>
            <w:vAlign w:val="center"/>
          </w:tcPr>
          <w:p w14:paraId="0A84087A" w14:textId="77777777" w:rsidR="00152729" w:rsidRDefault="00152729" w:rsidP="00C34B6C">
            <w:pPr>
              <w:spacing w:before="120" w:after="120"/>
              <w:jc w:val="center"/>
              <w:rPr>
                <w:rFonts w:cs="Arial"/>
                <w:szCs w:val="22"/>
              </w:rPr>
            </w:pPr>
          </w:p>
        </w:tc>
        <w:tc>
          <w:tcPr>
            <w:tcW w:w="7591" w:type="dxa"/>
            <w:shd w:val="clear" w:color="auto" w:fill="99CCFF"/>
          </w:tcPr>
          <w:p w14:paraId="0645F81B" w14:textId="4A087F9F" w:rsidR="00152729" w:rsidRDefault="00152729" w:rsidP="00152729">
            <w:pPr>
              <w:spacing w:before="120" w:after="120"/>
              <w:rPr>
                <w:rFonts w:cs="Arial"/>
                <w:szCs w:val="22"/>
              </w:rPr>
            </w:pPr>
            <w:r w:rsidRPr="00344C37">
              <w:t>V kapitole 2.2.2 upraven jiný způsob dokladování cestovních náhrad v SD3.</w:t>
            </w:r>
          </w:p>
        </w:tc>
      </w:tr>
      <w:tr w:rsidR="00152729" w14:paraId="61CE593E" w14:textId="77777777" w:rsidTr="0041561A">
        <w:trPr>
          <w:trHeight w:val="484"/>
        </w:trPr>
        <w:tc>
          <w:tcPr>
            <w:tcW w:w="1902" w:type="dxa"/>
            <w:vMerge/>
            <w:shd w:val="clear" w:color="auto" w:fill="99CCFF"/>
            <w:vAlign w:val="center"/>
          </w:tcPr>
          <w:p w14:paraId="09A01C6B" w14:textId="77777777" w:rsidR="00152729" w:rsidRDefault="00152729" w:rsidP="00C34B6C">
            <w:pPr>
              <w:spacing w:before="120" w:after="120"/>
              <w:jc w:val="center"/>
              <w:rPr>
                <w:rFonts w:cs="Arial"/>
                <w:szCs w:val="22"/>
              </w:rPr>
            </w:pPr>
          </w:p>
        </w:tc>
        <w:tc>
          <w:tcPr>
            <w:tcW w:w="7591" w:type="dxa"/>
            <w:shd w:val="clear" w:color="auto" w:fill="99CCFF"/>
          </w:tcPr>
          <w:p w14:paraId="5E6EF588" w14:textId="4314D3D3" w:rsidR="00152729" w:rsidRDefault="00152729" w:rsidP="00152729">
            <w:pPr>
              <w:spacing w:before="120" w:after="120"/>
              <w:rPr>
                <w:rFonts w:cs="Arial"/>
                <w:szCs w:val="22"/>
              </w:rPr>
            </w:pPr>
            <w:r w:rsidRPr="00344C37">
              <w:t>Doplnění dokladu „Roční přehled vyplácených mimořádných odměn“/čestné prohlášení“ u Osobních výdajů v Tabulce č. 1.</w:t>
            </w:r>
          </w:p>
        </w:tc>
      </w:tr>
      <w:tr w:rsidR="00152729" w14:paraId="768FDF4C" w14:textId="77777777" w:rsidTr="0041561A">
        <w:trPr>
          <w:trHeight w:val="484"/>
        </w:trPr>
        <w:tc>
          <w:tcPr>
            <w:tcW w:w="1902" w:type="dxa"/>
            <w:vMerge/>
            <w:shd w:val="clear" w:color="auto" w:fill="99CCFF"/>
            <w:vAlign w:val="center"/>
          </w:tcPr>
          <w:p w14:paraId="44427C82" w14:textId="77777777" w:rsidR="00152729" w:rsidRDefault="00152729" w:rsidP="00C34B6C">
            <w:pPr>
              <w:spacing w:before="120" w:after="120"/>
              <w:jc w:val="center"/>
              <w:rPr>
                <w:rFonts w:cs="Arial"/>
                <w:szCs w:val="22"/>
              </w:rPr>
            </w:pPr>
          </w:p>
        </w:tc>
        <w:tc>
          <w:tcPr>
            <w:tcW w:w="7591" w:type="dxa"/>
            <w:shd w:val="clear" w:color="auto" w:fill="99CCFF"/>
          </w:tcPr>
          <w:p w14:paraId="45AF7106" w14:textId="110F100F" w:rsidR="00152729" w:rsidRDefault="00152729" w:rsidP="00152729">
            <w:pPr>
              <w:spacing w:before="120" w:after="120"/>
              <w:rPr>
                <w:rFonts w:cs="Arial"/>
                <w:szCs w:val="22"/>
              </w:rPr>
            </w:pPr>
            <w:r w:rsidRPr="00344C37">
              <w:t>Doplnění dokladu „Tabulka s údaji z SD3“ u Cestovních náhrad v Tabulce č. 1.</w:t>
            </w:r>
          </w:p>
        </w:tc>
      </w:tr>
      <w:tr w:rsidR="00152729" w14:paraId="5B0955EA" w14:textId="77777777" w:rsidTr="0041561A">
        <w:trPr>
          <w:trHeight w:val="484"/>
        </w:trPr>
        <w:tc>
          <w:tcPr>
            <w:tcW w:w="1902" w:type="dxa"/>
            <w:vMerge/>
            <w:shd w:val="clear" w:color="auto" w:fill="99CCFF"/>
            <w:vAlign w:val="center"/>
          </w:tcPr>
          <w:p w14:paraId="08766AF0" w14:textId="77777777" w:rsidR="00152729" w:rsidRDefault="00152729" w:rsidP="00C34B6C">
            <w:pPr>
              <w:spacing w:before="120" w:after="120"/>
              <w:jc w:val="center"/>
              <w:rPr>
                <w:rFonts w:cs="Arial"/>
                <w:szCs w:val="22"/>
              </w:rPr>
            </w:pPr>
          </w:p>
        </w:tc>
        <w:tc>
          <w:tcPr>
            <w:tcW w:w="7591" w:type="dxa"/>
            <w:shd w:val="clear" w:color="auto" w:fill="99CCFF"/>
          </w:tcPr>
          <w:p w14:paraId="41F12445" w14:textId="09E7D117" w:rsidR="00152729" w:rsidRDefault="00152729" w:rsidP="00152729">
            <w:pPr>
              <w:spacing w:before="120" w:after="120"/>
              <w:rPr>
                <w:rFonts w:cs="Arial"/>
                <w:szCs w:val="22"/>
              </w:rPr>
            </w:pPr>
            <w:r w:rsidRPr="00344C37">
              <w:t>Úprava příloh 11f, 11g, 11h a 11k – odstranění „schvalovacího řádku“. Doplnění sloupce G a H v příloze 11f a 11g.</w:t>
            </w:r>
          </w:p>
        </w:tc>
      </w:tr>
      <w:tr w:rsidR="00152729" w14:paraId="7313F228" w14:textId="77777777" w:rsidTr="0041561A">
        <w:trPr>
          <w:trHeight w:val="983"/>
        </w:trPr>
        <w:tc>
          <w:tcPr>
            <w:tcW w:w="1902" w:type="dxa"/>
            <w:vMerge w:val="restart"/>
            <w:shd w:val="clear" w:color="auto" w:fill="99CCFF"/>
            <w:vAlign w:val="center"/>
          </w:tcPr>
          <w:p w14:paraId="1031CC99" w14:textId="7E2DC335" w:rsidR="00152729" w:rsidRDefault="00152729" w:rsidP="00C34B6C">
            <w:pPr>
              <w:spacing w:before="120" w:after="120"/>
              <w:jc w:val="center"/>
              <w:rPr>
                <w:rFonts w:cs="Arial"/>
                <w:szCs w:val="22"/>
              </w:rPr>
            </w:pPr>
            <w:r w:rsidRPr="00F72E3B">
              <w:rPr>
                <w:rFonts w:cs="Arial"/>
              </w:rPr>
              <w:t>vydání 2/0</w:t>
            </w:r>
          </w:p>
        </w:tc>
        <w:tc>
          <w:tcPr>
            <w:tcW w:w="7591" w:type="dxa"/>
            <w:shd w:val="clear" w:color="auto" w:fill="99CCFF"/>
          </w:tcPr>
          <w:p w14:paraId="6182D435" w14:textId="38AB3C29" w:rsidR="00152729" w:rsidRDefault="00152729" w:rsidP="00152729">
            <w:pPr>
              <w:spacing w:before="120" w:after="120"/>
              <w:rPr>
                <w:rFonts w:cs="Arial"/>
                <w:szCs w:val="22"/>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67AB65B4" w14:textId="77777777" w:rsidTr="0041561A">
        <w:trPr>
          <w:trHeight w:val="983"/>
        </w:trPr>
        <w:tc>
          <w:tcPr>
            <w:tcW w:w="1902" w:type="dxa"/>
            <w:vMerge/>
            <w:shd w:val="clear" w:color="auto" w:fill="99CCFF"/>
            <w:vAlign w:val="center"/>
          </w:tcPr>
          <w:p w14:paraId="5F3DE0DD" w14:textId="77777777" w:rsidR="00152729" w:rsidRDefault="00152729" w:rsidP="00C34B6C">
            <w:pPr>
              <w:spacing w:before="120" w:after="120"/>
              <w:jc w:val="center"/>
              <w:rPr>
                <w:rFonts w:cs="Arial"/>
                <w:szCs w:val="22"/>
              </w:rPr>
            </w:pPr>
          </w:p>
        </w:tc>
        <w:tc>
          <w:tcPr>
            <w:tcW w:w="7591" w:type="dxa"/>
            <w:shd w:val="clear" w:color="auto" w:fill="99CCFF"/>
          </w:tcPr>
          <w:p w14:paraId="63E873B2" w14:textId="1C2FBA1A" w:rsidR="00152729" w:rsidRDefault="00152729" w:rsidP="00152729">
            <w:pPr>
              <w:spacing w:before="120" w:after="120"/>
              <w:rPr>
                <w:rFonts w:cs="Arial"/>
                <w:szCs w:val="22"/>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47AEB89D" w14:textId="77777777" w:rsidTr="0041561A">
        <w:trPr>
          <w:trHeight w:val="983"/>
        </w:trPr>
        <w:tc>
          <w:tcPr>
            <w:tcW w:w="1902" w:type="dxa"/>
            <w:vMerge/>
            <w:shd w:val="clear" w:color="auto" w:fill="99CCFF"/>
            <w:vAlign w:val="center"/>
          </w:tcPr>
          <w:p w14:paraId="356995C4" w14:textId="77777777" w:rsidR="00152729" w:rsidRDefault="00152729" w:rsidP="00C34B6C">
            <w:pPr>
              <w:spacing w:before="120" w:after="120"/>
              <w:jc w:val="center"/>
              <w:rPr>
                <w:rFonts w:cs="Arial"/>
                <w:szCs w:val="22"/>
              </w:rPr>
            </w:pPr>
          </w:p>
        </w:tc>
        <w:tc>
          <w:tcPr>
            <w:tcW w:w="7591" w:type="dxa"/>
            <w:shd w:val="clear" w:color="auto" w:fill="99CCFF"/>
          </w:tcPr>
          <w:p w14:paraId="2EA33ED8" w14:textId="6E033CAD" w:rsidR="00152729" w:rsidRDefault="00152729" w:rsidP="00152729">
            <w:pPr>
              <w:spacing w:before="120" w:after="120"/>
              <w:rPr>
                <w:rFonts w:cs="Arial"/>
                <w:szCs w:val="22"/>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55B9DBBB" w14:textId="77777777" w:rsidTr="0041561A">
        <w:trPr>
          <w:trHeight w:val="983"/>
        </w:trPr>
        <w:tc>
          <w:tcPr>
            <w:tcW w:w="1902" w:type="dxa"/>
            <w:vMerge/>
            <w:shd w:val="clear" w:color="auto" w:fill="99CCFF"/>
            <w:vAlign w:val="center"/>
          </w:tcPr>
          <w:p w14:paraId="14ED3834" w14:textId="77777777" w:rsidR="00152729" w:rsidRDefault="00152729" w:rsidP="00C34B6C">
            <w:pPr>
              <w:spacing w:before="120" w:after="120"/>
              <w:jc w:val="center"/>
              <w:rPr>
                <w:rFonts w:cs="Arial"/>
                <w:szCs w:val="22"/>
              </w:rPr>
            </w:pPr>
          </w:p>
        </w:tc>
        <w:tc>
          <w:tcPr>
            <w:tcW w:w="7591" w:type="dxa"/>
            <w:shd w:val="clear" w:color="auto" w:fill="99CCFF"/>
          </w:tcPr>
          <w:p w14:paraId="6B91DC35" w14:textId="0D3BB2C2" w:rsidR="00152729" w:rsidRDefault="00152729" w:rsidP="00152729">
            <w:pPr>
              <w:spacing w:before="120" w:after="120"/>
              <w:rPr>
                <w:rFonts w:cs="Arial"/>
                <w:szCs w:val="22"/>
              </w:rPr>
            </w:pPr>
            <w:r w:rsidRPr="0094388C">
              <w:t xml:space="preserve">V části 2.2.2 upraven způsob dokladování cestovních náhrad do dílčí soupisky SD1 a vznik nových příloh č. 11l a 11m. Zrušena dílčí soupiska SD3. </w:t>
            </w:r>
          </w:p>
        </w:tc>
      </w:tr>
      <w:tr w:rsidR="00152729" w14:paraId="6F65C238" w14:textId="77777777" w:rsidTr="0041561A">
        <w:trPr>
          <w:trHeight w:val="983"/>
        </w:trPr>
        <w:tc>
          <w:tcPr>
            <w:tcW w:w="1902" w:type="dxa"/>
            <w:vMerge/>
            <w:shd w:val="clear" w:color="auto" w:fill="99CCFF"/>
            <w:vAlign w:val="center"/>
          </w:tcPr>
          <w:p w14:paraId="562F8626" w14:textId="77777777" w:rsidR="00152729" w:rsidRDefault="00152729" w:rsidP="00C34B6C">
            <w:pPr>
              <w:spacing w:before="120" w:after="120"/>
              <w:jc w:val="center"/>
              <w:rPr>
                <w:rFonts w:cs="Arial"/>
                <w:szCs w:val="22"/>
              </w:rPr>
            </w:pPr>
          </w:p>
        </w:tc>
        <w:tc>
          <w:tcPr>
            <w:tcW w:w="7591" w:type="dxa"/>
            <w:shd w:val="clear" w:color="auto" w:fill="99CCFF"/>
          </w:tcPr>
          <w:p w14:paraId="783A4B40" w14:textId="46458455" w:rsidR="00152729" w:rsidRDefault="00152729" w:rsidP="00152729">
            <w:pPr>
              <w:spacing w:before="120" w:after="120"/>
              <w:rPr>
                <w:rFonts w:cs="Arial"/>
                <w:szCs w:val="22"/>
              </w:rPr>
            </w:pPr>
            <w:r w:rsidRPr="0094388C">
              <w:t>Upřesnění části „Nákup externích služeb (outsourcing)“ v kap. 2.3.</w:t>
            </w:r>
          </w:p>
        </w:tc>
      </w:tr>
      <w:tr w:rsidR="00152729" w14:paraId="381DBEE2" w14:textId="77777777" w:rsidTr="0041561A">
        <w:trPr>
          <w:trHeight w:val="983"/>
        </w:trPr>
        <w:tc>
          <w:tcPr>
            <w:tcW w:w="1902" w:type="dxa"/>
            <w:vMerge/>
            <w:shd w:val="clear" w:color="auto" w:fill="99CCFF"/>
            <w:vAlign w:val="center"/>
          </w:tcPr>
          <w:p w14:paraId="2DD8D4CF" w14:textId="77777777" w:rsidR="00152729" w:rsidRDefault="00152729" w:rsidP="00C34B6C">
            <w:pPr>
              <w:spacing w:before="120" w:after="120"/>
              <w:jc w:val="center"/>
              <w:rPr>
                <w:rFonts w:cs="Arial"/>
                <w:szCs w:val="22"/>
              </w:rPr>
            </w:pPr>
          </w:p>
        </w:tc>
        <w:tc>
          <w:tcPr>
            <w:tcW w:w="7591" w:type="dxa"/>
            <w:shd w:val="clear" w:color="auto" w:fill="99CCFF"/>
          </w:tcPr>
          <w:p w14:paraId="7268C36A" w14:textId="73F29222" w:rsidR="00152729" w:rsidRDefault="00152729" w:rsidP="00152729">
            <w:pPr>
              <w:spacing w:before="120" w:after="120"/>
              <w:rPr>
                <w:rFonts w:cs="Arial"/>
                <w:szCs w:val="22"/>
              </w:rPr>
            </w:pPr>
            <w:r w:rsidRPr="0094388C">
              <w:t>Doplnění dokladu „Čestné prohlášení příjemce k ročnímu přehledu vyplacených odměn (příloha PŽP č. 12a)/Roční přehled vyplacených odměn“ v Tabulce č. 1.</w:t>
            </w:r>
          </w:p>
        </w:tc>
      </w:tr>
      <w:tr w:rsidR="00152729" w14:paraId="246BAA26" w14:textId="77777777" w:rsidTr="0041561A">
        <w:trPr>
          <w:trHeight w:val="983"/>
        </w:trPr>
        <w:tc>
          <w:tcPr>
            <w:tcW w:w="1902" w:type="dxa"/>
            <w:vMerge/>
            <w:shd w:val="clear" w:color="auto" w:fill="99CCFF"/>
            <w:vAlign w:val="center"/>
          </w:tcPr>
          <w:p w14:paraId="6830A3DD" w14:textId="77777777" w:rsidR="00152729" w:rsidRDefault="00152729" w:rsidP="00C34B6C">
            <w:pPr>
              <w:spacing w:before="120" w:after="120"/>
              <w:jc w:val="center"/>
              <w:rPr>
                <w:rFonts w:cs="Arial"/>
                <w:szCs w:val="22"/>
              </w:rPr>
            </w:pPr>
          </w:p>
        </w:tc>
        <w:tc>
          <w:tcPr>
            <w:tcW w:w="7591" w:type="dxa"/>
            <w:shd w:val="clear" w:color="auto" w:fill="99CCFF"/>
          </w:tcPr>
          <w:p w14:paraId="2D0B453B" w14:textId="3BDD19B7" w:rsidR="00152729" w:rsidRDefault="00152729" w:rsidP="00152729">
            <w:pPr>
              <w:spacing w:before="120" w:after="120"/>
              <w:rPr>
                <w:rFonts w:cs="Arial"/>
                <w:szCs w:val="22"/>
              </w:rPr>
            </w:pPr>
            <w:r w:rsidRPr="0094388C">
              <w:t>Doplnění dokladu „Souhrnný seznam tuzemských cestovních náhrad “ a „Souhrnný seznam zahraničních cestovních náhrad“ v Tabulce č. 1.</w:t>
            </w:r>
          </w:p>
        </w:tc>
      </w:tr>
      <w:tr w:rsidR="00152729" w14:paraId="7DC3D5AC" w14:textId="77777777" w:rsidTr="0041561A">
        <w:trPr>
          <w:trHeight w:val="983"/>
        </w:trPr>
        <w:tc>
          <w:tcPr>
            <w:tcW w:w="1902" w:type="dxa"/>
            <w:vMerge/>
            <w:shd w:val="clear" w:color="auto" w:fill="99CCFF"/>
            <w:vAlign w:val="center"/>
          </w:tcPr>
          <w:p w14:paraId="516B32BE" w14:textId="77777777" w:rsidR="00152729" w:rsidRDefault="00152729" w:rsidP="00C34B6C">
            <w:pPr>
              <w:spacing w:before="120" w:after="120"/>
              <w:jc w:val="center"/>
              <w:rPr>
                <w:rFonts w:cs="Arial"/>
                <w:szCs w:val="22"/>
              </w:rPr>
            </w:pPr>
          </w:p>
        </w:tc>
        <w:tc>
          <w:tcPr>
            <w:tcW w:w="7591" w:type="dxa"/>
            <w:shd w:val="clear" w:color="auto" w:fill="99CCFF"/>
          </w:tcPr>
          <w:p w14:paraId="1886930B" w14:textId="2C304298" w:rsidR="00152729" w:rsidRDefault="00152729" w:rsidP="00152729">
            <w:pPr>
              <w:spacing w:before="120" w:after="120"/>
              <w:rPr>
                <w:rFonts w:cs="Arial"/>
                <w:szCs w:val="22"/>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2E790F38" w14:textId="77777777" w:rsidTr="0041561A">
        <w:trPr>
          <w:trHeight w:val="726"/>
        </w:trPr>
        <w:tc>
          <w:tcPr>
            <w:tcW w:w="1902" w:type="dxa"/>
            <w:vMerge w:val="restart"/>
            <w:shd w:val="clear" w:color="auto" w:fill="99CCFF"/>
            <w:vAlign w:val="center"/>
          </w:tcPr>
          <w:p w14:paraId="5CE92F07" w14:textId="5C34C3C2" w:rsidR="00152729" w:rsidRDefault="00152729" w:rsidP="00C34B6C">
            <w:pPr>
              <w:spacing w:before="120" w:after="120"/>
              <w:jc w:val="center"/>
              <w:rPr>
                <w:rFonts w:cs="Arial"/>
                <w:szCs w:val="22"/>
              </w:rPr>
            </w:pPr>
            <w:r w:rsidRPr="00152729">
              <w:rPr>
                <w:rFonts w:cs="Arial"/>
                <w:szCs w:val="22"/>
              </w:rPr>
              <w:t>vydání 2/2</w:t>
            </w:r>
          </w:p>
        </w:tc>
        <w:tc>
          <w:tcPr>
            <w:tcW w:w="7591" w:type="dxa"/>
            <w:shd w:val="clear" w:color="auto" w:fill="99CCFF"/>
          </w:tcPr>
          <w:p w14:paraId="78BE1002" w14:textId="44F7E9BE" w:rsidR="00152729" w:rsidRDefault="00152729" w:rsidP="00AC6EEF">
            <w:pPr>
              <w:spacing w:before="120" w:after="120"/>
              <w:rPr>
                <w:rFonts w:cs="Arial"/>
                <w:szCs w:val="22"/>
              </w:rPr>
            </w:pPr>
            <w:r w:rsidRPr="00152729">
              <w:rPr>
                <w:rFonts w:cs="Arial"/>
                <w:szCs w:val="22"/>
              </w:rPr>
              <w:t>V části 1.1 doplněn text týkající se způsobilosti výdajů v případě neuveřejnění smlouvy/objednávky včetně akceptace dle ZRS.</w:t>
            </w:r>
          </w:p>
        </w:tc>
      </w:tr>
      <w:tr w:rsidR="00152729" w14:paraId="01C1674C" w14:textId="77777777" w:rsidTr="0041561A">
        <w:trPr>
          <w:trHeight w:val="726"/>
        </w:trPr>
        <w:tc>
          <w:tcPr>
            <w:tcW w:w="1902" w:type="dxa"/>
            <w:vMerge/>
            <w:shd w:val="clear" w:color="auto" w:fill="99CCFF"/>
            <w:vAlign w:val="center"/>
          </w:tcPr>
          <w:p w14:paraId="75499FCC" w14:textId="77777777" w:rsidR="00152729" w:rsidRDefault="00152729" w:rsidP="00C34B6C">
            <w:pPr>
              <w:spacing w:before="120" w:after="120"/>
              <w:jc w:val="center"/>
              <w:rPr>
                <w:rFonts w:cs="Arial"/>
                <w:szCs w:val="22"/>
              </w:rPr>
            </w:pPr>
          </w:p>
        </w:tc>
        <w:tc>
          <w:tcPr>
            <w:tcW w:w="7591" w:type="dxa"/>
            <w:shd w:val="clear" w:color="auto" w:fill="99CCFF"/>
          </w:tcPr>
          <w:p w14:paraId="248447C0" w14:textId="59763F07" w:rsidR="00152729" w:rsidRDefault="00152729" w:rsidP="00AC6EEF">
            <w:pPr>
              <w:spacing w:before="120" w:after="120"/>
              <w:rPr>
                <w:rFonts w:cs="Arial"/>
                <w:szCs w:val="22"/>
              </w:rPr>
            </w:pPr>
            <w:r w:rsidRPr="00152729">
              <w:rPr>
                <w:rFonts w:cs="Arial"/>
                <w:szCs w:val="22"/>
              </w:rPr>
              <w:t>V části 2.1 upřesněn odkaz na MP lidské zdroje včetně příslušných metodických stanovisek a na ZSS.</w:t>
            </w:r>
          </w:p>
        </w:tc>
      </w:tr>
      <w:tr w:rsidR="00152729" w14:paraId="579196A1" w14:textId="77777777" w:rsidTr="0041561A">
        <w:trPr>
          <w:trHeight w:val="726"/>
        </w:trPr>
        <w:tc>
          <w:tcPr>
            <w:tcW w:w="1902" w:type="dxa"/>
            <w:vMerge/>
            <w:shd w:val="clear" w:color="auto" w:fill="99CCFF"/>
            <w:vAlign w:val="center"/>
          </w:tcPr>
          <w:p w14:paraId="73A47A37" w14:textId="77777777" w:rsidR="00152729" w:rsidRDefault="00152729" w:rsidP="00C34B6C">
            <w:pPr>
              <w:spacing w:before="120" w:after="120"/>
              <w:jc w:val="center"/>
              <w:rPr>
                <w:rFonts w:cs="Arial"/>
                <w:szCs w:val="22"/>
              </w:rPr>
            </w:pPr>
          </w:p>
        </w:tc>
        <w:tc>
          <w:tcPr>
            <w:tcW w:w="7591" w:type="dxa"/>
            <w:shd w:val="clear" w:color="auto" w:fill="99CCFF"/>
          </w:tcPr>
          <w:p w14:paraId="07F18540" w14:textId="6DD7D4CB" w:rsidR="00152729" w:rsidRDefault="00152729" w:rsidP="00AC6EEF">
            <w:pPr>
              <w:spacing w:before="120" w:after="120"/>
              <w:rPr>
                <w:rFonts w:cs="Arial"/>
                <w:szCs w:val="22"/>
              </w:rPr>
            </w:pPr>
            <w:r w:rsidRPr="00152729">
              <w:rPr>
                <w:rFonts w:cs="Arial"/>
                <w:szCs w:val="22"/>
              </w:rPr>
              <w:t xml:space="preserve">V části 2.2.3 „Cestovní náhrady „per </w:t>
            </w:r>
            <w:proofErr w:type="spellStart"/>
            <w:r w:rsidRPr="00152729">
              <w:rPr>
                <w:rFonts w:cs="Arial"/>
                <w:szCs w:val="22"/>
              </w:rPr>
              <w:t>diems</w:t>
            </w:r>
            <w:proofErr w:type="spellEnd"/>
            <w:r w:rsidRPr="00152729">
              <w:rPr>
                <w:rFonts w:cs="Arial"/>
                <w:szCs w:val="22"/>
              </w:rPr>
              <w:t>“ pro zahraniční experty“ upraven výčet dokladů prokazujících způsobilost výdaje, kdy došlo k odstranění Čestného prohlášení a byl upraven Podklad v příloze č. 11j.</w:t>
            </w:r>
          </w:p>
        </w:tc>
      </w:tr>
      <w:tr w:rsidR="00152729" w14:paraId="7FB74871" w14:textId="77777777" w:rsidTr="0041561A">
        <w:trPr>
          <w:trHeight w:val="726"/>
        </w:trPr>
        <w:tc>
          <w:tcPr>
            <w:tcW w:w="1902" w:type="dxa"/>
            <w:vMerge/>
            <w:shd w:val="clear" w:color="auto" w:fill="99CCFF"/>
            <w:vAlign w:val="center"/>
          </w:tcPr>
          <w:p w14:paraId="074C890A" w14:textId="77777777" w:rsidR="00152729" w:rsidRDefault="00152729" w:rsidP="00C34B6C">
            <w:pPr>
              <w:spacing w:before="120" w:after="120"/>
              <w:jc w:val="center"/>
              <w:rPr>
                <w:rFonts w:cs="Arial"/>
                <w:szCs w:val="22"/>
              </w:rPr>
            </w:pPr>
          </w:p>
        </w:tc>
        <w:tc>
          <w:tcPr>
            <w:tcW w:w="7591" w:type="dxa"/>
            <w:shd w:val="clear" w:color="auto" w:fill="99CCFF"/>
          </w:tcPr>
          <w:p w14:paraId="1E32035A" w14:textId="72B5948E" w:rsidR="00152729" w:rsidRDefault="00152729" w:rsidP="00AC6EEF">
            <w:pPr>
              <w:spacing w:before="120" w:after="120"/>
              <w:rPr>
                <w:rFonts w:cs="Arial"/>
                <w:szCs w:val="22"/>
              </w:rPr>
            </w:pPr>
            <w:r w:rsidRPr="00152729">
              <w:rPr>
                <w:rFonts w:cs="Arial"/>
                <w:szCs w:val="22"/>
              </w:rPr>
              <w:t>V části 2.3 „Nákup služeb“ doplněna povinnost uveřejnění v Registru smluv dle ZRS u dokladování smlouvy a objednávky včetně akceptace.</w:t>
            </w:r>
          </w:p>
        </w:tc>
      </w:tr>
      <w:tr w:rsidR="00152729" w14:paraId="75B432C6" w14:textId="77777777" w:rsidTr="0041561A">
        <w:trPr>
          <w:trHeight w:val="726"/>
        </w:trPr>
        <w:tc>
          <w:tcPr>
            <w:tcW w:w="1902" w:type="dxa"/>
            <w:vMerge/>
            <w:shd w:val="clear" w:color="auto" w:fill="99CCFF"/>
            <w:vAlign w:val="center"/>
          </w:tcPr>
          <w:p w14:paraId="35631275" w14:textId="77777777" w:rsidR="00152729" w:rsidRDefault="00152729" w:rsidP="00C34B6C">
            <w:pPr>
              <w:spacing w:before="120" w:after="120"/>
              <w:jc w:val="center"/>
              <w:rPr>
                <w:rFonts w:cs="Arial"/>
                <w:szCs w:val="22"/>
              </w:rPr>
            </w:pPr>
          </w:p>
        </w:tc>
        <w:tc>
          <w:tcPr>
            <w:tcW w:w="7591" w:type="dxa"/>
            <w:shd w:val="clear" w:color="auto" w:fill="99CCFF"/>
          </w:tcPr>
          <w:p w14:paraId="34C7F2A3" w14:textId="0E2AA085" w:rsidR="00152729" w:rsidRDefault="00152729" w:rsidP="00AC6EEF">
            <w:pPr>
              <w:spacing w:before="120" w:after="120"/>
              <w:rPr>
                <w:rFonts w:cs="Arial"/>
                <w:szCs w:val="22"/>
              </w:rPr>
            </w:pPr>
            <w:r w:rsidRPr="00152729">
              <w:rPr>
                <w:rFonts w:cs="Arial"/>
                <w:szCs w:val="22"/>
              </w:rPr>
              <w:t>V části 2.4 „Pořízení majetku a spotřebního materiálu“ doplněna povinnost uveřejnění v Registru smluv dle ZRS u dokladování smlouvy a objednávky včetně akceptace.</w:t>
            </w:r>
          </w:p>
        </w:tc>
      </w:tr>
      <w:tr w:rsidR="00152729" w14:paraId="4B6D3568" w14:textId="77777777" w:rsidTr="0041561A">
        <w:trPr>
          <w:trHeight w:val="726"/>
        </w:trPr>
        <w:tc>
          <w:tcPr>
            <w:tcW w:w="1902" w:type="dxa"/>
            <w:vMerge/>
            <w:shd w:val="clear" w:color="auto" w:fill="99CCFF"/>
            <w:vAlign w:val="center"/>
          </w:tcPr>
          <w:p w14:paraId="1D0CD4C9" w14:textId="77777777" w:rsidR="00152729" w:rsidRDefault="00152729" w:rsidP="00C34B6C">
            <w:pPr>
              <w:spacing w:before="120" w:after="120"/>
              <w:jc w:val="center"/>
              <w:rPr>
                <w:rFonts w:cs="Arial"/>
                <w:szCs w:val="22"/>
              </w:rPr>
            </w:pPr>
          </w:p>
        </w:tc>
        <w:tc>
          <w:tcPr>
            <w:tcW w:w="7591" w:type="dxa"/>
            <w:shd w:val="clear" w:color="auto" w:fill="99CCFF"/>
          </w:tcPr>
          <w:p w14:paraId="104BEA6E" w14:textId="228F7B9B" w:rsidR="00152729" w:rsidRDefault="00152729" w:rsidP="00AC6EEF">
            <w:pPr>
              <w:spacing w:before="120" w:after="120"/>
              <w:rPr>
                <w:rFonts w:cs="Arial"/>
                <w:szCs w:val="22"/>
              </w:rPr>
            </w:pPr>
            <w:r w:rsidRPr="00152729">
              <w:rPr>
                <w:rFonts w:cs="Arial"/>
                <w:szCs w:val="22"/>
              </w:rPr>
              <w:t>V části 2.5 „Dokladování režijních nákladů“ doplněna povinnost uveřejnění smlouvy dle ZRS.</w:t>
            </w:r>
          </w:p>
        </w:tc>
      </w:tr>
      <w:tr w:rsidR="00152729" w14:paraId="4C0B4D89" w14:textId="77777777" w:rsidTr="0041561A">
        <w:trPr>
          <w:trHeight w:val="726"/>
        </w:trPr>
        <w:tc>
          <w:tcPr>
            <w:tcW w:w="1902" w:type="dxa"/>
            <w:vMerge/>
            <w:shd w:val="clear" w:color="auto" w:fill="99CCFF"/>
            <w:vAlign w:val="center"/>
          </w:tcPr>
          <w:p w14:paraId="37A6C082" w14:textId="77777777" w:rsidR="00152729" w:rsidRDefault="00152729" w:rsidP="00C34B6C">
            <w:pPr>
              <w:spacing w:before="120" w:after="120"/>
              <w:jc w:val="center"/>
              <w:rPr>
                <w:rFonts w:cs="Arial"/>
                <w:szCs w:val="22"/>
              </w:rPr>
            </w:pPr>
          </w:p>
        </w:tc>
        <w:tc>
          <w:tcPr>
            <w:tcW w:w="7591" w:type="dxa"/>
            <w:shd w:val="clear" w:color="auto" w:fill="99CCFF"/>
          </w:tcPr>
          <w:p w14:paraId="1333FA05" w14:textId="38BC080D" w:rsidR="00152729" w:rsidRDefault="00152729" w:rsidP="00152729">
            <w:pPr>
              <w:spacing w:before="120" w:after="120"/>
              <w:rPr>
                <w:rFonts w:cs="Arial"/>
                <w:szCs w:val="22"/>
              </w:rPr>
            </w:pPr>
            <w:r w:rsidRPr="00152729">
              <w:rPr>
                <w:rFonts w:cs="Arial"/>
                <w:szCs w:val="22"/>
              </w:rPr>
              <w:t>V části 2.6.1 „Způsobilost režijních nákladů“ odstraněny zálohové platby.</w:t>
            </w:r>
          </w:p>
        </w:tc>
      </w:tr>
      <w:tr w:rsidR="00152729" w14:paraId="2C23A45F" w14:textId="77777777" w:rsidTr="0041561A">
        <w:trPr>
          <w:trHeight w:val="726"/>
        </w:trPr>
        <w:tc>
          <w:tcPr>
            <w:tcW w:w="1902" w:type="dxa"/>
            <w:vMerge/>
            <w:shd w:val="clear" w:color="auto" w:fill="99CCFF"/>
            <w:vAlign w:val="center"/>
          </w:tcPr>
          <w:p w14:paraId="68AA51B1" w14:textId="77777777" w:rsidR="00152729" w:rsidRDefault="00152729" w:rsidP="00C34B6C">
            <w:pPr>
              <w:spacing w:before="120" w:after="120"/>
              <w:jc w:val="center"/>
              <w:rPr>
                <w:rFonts w:cs="Arial"/>
                <w:szCs w:val="22"/>
              </w:rPr>
            </w:pPr>
          </w:p>
        </w:tc>
        <w:tc>
          <w:tcPr>
            <w:tcW w:w="7591" w:type="dxa"/>
            <w:shd w:val="clear" w:color="auto" w:fill="99CCFF"/>
          </w:tcPr>
          <w:p w14:paraId="690CD3BB" w14:textId="41711EB9" w:rsidR="00152729" w:rsidRDefault="00152729" w:rsidP="00AC6EEF">
            <w:pPr>
              <w:spacing w:before="120" w:after="120"/>
              <w:rPr>
                <w:rFonts w:cs="Arial"/>
                <w:szCs w:val="22"/>
              </w:rPr>
            </w:pPr>
            <w:r w:rsidRPr="00152729">
              <w:rPr>
                <w:rFonts w:cs="Arial"/>
                <w:szCs w:val="22"/>
              </w:rPr>
              <w:t>V části 2.6.2 „Dokladování režijních nákladů“ doplněna povinnost uveřejnění smluv do Registru smluv dle ZRS.</w:t>
            </w:r>
          </w:p>
        </w:tc>
      </w:tr>
      <w:tr w:rsidR="00152729" w14:paraId="681B4D8F" w14:textId="77777777" w:rsidTr="0041561A">
        <w:trPr>
          <w:trHeight w:val="726"/>
        </w:trPr>
        <w:tc>
          <w:tcPr>
            <w:tcW w:w="1902" w:type="dxa"/>
            <w:vMerge/>
            <w:shd w:val="clear" w:color="auto" w:fill="99CCFF"/>
            <w:vAlign w:val="center"/>
          </w:tcPr>
          <w:p w14:paraId="6E659884" w14:textId="77777777" w:rsidR="00152729" w:rsidRDefault="00152729" w:rsidP="00C34B6C">
            <w:pPr>
              <w:spacing w:before="120" w:after="120"/>
              <w:jc w:val="center"/>
              <w:rPr>
                <w:rFonts w:cs="Arial"/>
                <w:szCs w:val="22"/>
              </w:rPr>
            </w:pPr>
          </w:p>
        </w:tc>
        <w:tc>
          <w:tcPr>
            <w:tcW w:w="7591" w:type="dxa"/>
            <w:shd w:val="clear" w:color="auto" w:fill="99CCFF"/>
          </w:tcPr>
          <w:p w14:paraId="4A98EF25" w14:textId="10ACEF3D" w:rsidR="00152729" w:rsidRDefault="00152729" w:rsidP="00AC6EEF">
            <w:pPr>
              <w:spacing w:before="120" w:after="120"/>
              <w:rPr>
                <w:rFonts w:cs="Arial"/>
                <w:szCs w:val="22"/>
              </w:rPr>
            </w:pPr>
            <w:r w:rsidRPr="00152729">
              <w:rPr>
                <w:rFonts w:cs="Arial"/>
                <w:szCs w:val="22"/>
              </w:rPr>
              <w:t>V tabulce č. 2 upřesněna informace o dokladování Výpisu z účetní evidence pro příjemce MMR</w:t>
            </w:r>
            <w:r>
              <w:rPr>
                <w:rFonts w:cs="Arial"/>
                <w:szCs w:val="22"/>
              </w:rPr>
              <w:t>.</w:t>
            </w:r>
          </w:p>
        </w:tc>
      </w:tr>
      <w:tr w:rsidR="00152729" w14:paraId="0EAE8EAC" w14:textId="77777777" w:rsidTr="0041561A">
        <w:trPr>
          <w:trHeight w:val="726"/>
        </w:trPr>
        <w:tc>
          <w:tcPr>
            <w:tcW w:w="1902" w:type="dxa"/>
            <w:vMerge/>
            <w:shd w:val="clear" w:color="auto" w:fill="99CCFF"/>
            <w:vAlign w:val="center"/>
          </w:tcPr>
          <w:p w14:paraId="7A7B4F19" w14:textId="77777777" w:rsidR="00152729" w:rsidRDefault="00152729" w:rsidP="00C34B6C">
            <w:pPr>
              <w:spacing w:before="120" w:after="120"/>
              <w:jc w:val="center"/>
              <w:rPr>
                <w:rFonts w:cs="Arial"/>
                <w:szCs w:val="22"/>
              </w:rPr>
            </w:pPr>
          </w:p>
        </w:tc>
        <w:tc>
          <w:tcPr>
            <w:tcW w:w="7591" w:type="dxa"/>
            <w:shd w:val="clear" w:color="auto" w:fill="99CCFF"/>
          </w:tcPr>
          <w:p w14:paraId="67965E5A" w14:textId="7B796C8B" w:rsidR="00152729" w:rsidRDefault="00152729" w:rsidP="00AC6EEF">
            <w:pPr>
              <w:spacing w:before="120" w:after="120"/>
              <w:rPr>
                <w:rFonts w:cs="Arial"/>
                <w:szCs w:val="22"/>
              </w:rPr>
            </w:pPr>
            <w:r w:rsidRPr="00152729">
              <w:rPr>
                <w:rFonts w:cs="Arial"/>
                <w:szCs w:val="22"/>
              </w:rPr>
              <w:t xml:space="preserve">Aktualizována Příloha č. 11j – odstraněno čestné prohlášení, upraven podklad k poskytnutí per </w:t>
            </w:r>
            <w:proofErr w:type="spellStart"/>
            <w:r w:rsidRPr="00152729">
              <w:rPr>
                <w:rFonts w:cs="Arial"/>
                <w:szCs w:val="22"/>
              </w:rPr>
              <w:t>diems</w:t>
            </w:r>
            <w:proofErr w:type="spellEnd"/>
            <w:r w:rsidRPr="00152729">
              <w:rPr>
                <w:rFonts w:cs="Arial"/>
                <w:szCs w:val="22"/>
              </w:rPr>
              <w:t>/odměny.</w:t>
            </w:r>
          </w:p>
        </w:tc>
      </w:tr>
      <w:tr w:rsidR="00681BAE" w14:paraId="1FEF8359" w14:textId="77777777" w:rsidTr="0041561A">
        <w:trPr>
          <w:trHeight w:val="484"/>
        </w:trPr>
        <w:tc>
          <w:tcPr>
            <w:tcW w:w="1902" w:type="dxa"/>
            <w:vMerge w:val="restart"/>
            <w:shd w:val="clear" w:color="auto" w:fill="99CCFF"/>
            <w:vAlign w:val="center"/>
          </w:tcPr>
          <w:p w14:paraId="59A40625" w14:textId="2EF27F85" w:rsidR="00681BAE" w:rsidRDefault="00681BAE" w:rsidP="00C34B6C">
            <w:pPr>
              <w:spacing w:before="120" w:after="120"/>
              <w:jc w:val="center"/>
              <w:rPr>
                <w:rFonts w:cs="Arial"/>
                <w:szCs w:val="22"/>
              </w:rPr>
            </w:pPr>
            <w:r w:rsidRPr="00F53CE0">
              <w:rPr>
                <w:rFonts w:cs="Arial"/>
                <w:szCs w:val="22"/>
              </w:rPr>
              <w:t>vydání 2/3</w:t>
            </w:r>
          </w:p>
        </w:tc>
        <w:tc>
          <w:tcPr>
            <w:tcW w:w="7591" w:type="dxa"/>
            <w:shd w:val="clear" w:color="auto" w:fill="99CCFF"/>
          </w:tcPr>
          <w:p w14:paraId="048C92FC" w14:textId="578E7269" w:rsidR="00681BAE" w:rsidRDefault="00681BAE" w:rsidP="00F53CE0">
            <w:pPr>
              <w:spacing w:before="120" w:after="120"/>
              <w:rPr>
                <w:rFonts w:cs="Arial"/>
                <w:szCs w:val="22"/>
              </w:rPr>
            </w:pPr>
            <w:r w:rsidRPr="00A57D19">
              <w:t>Formální úpravy textu.</w:t>
            </w:r>
          </w:p>
        </w:tc>
      </w:tr>
      <w:tr w:rsidR="00681BAE" w14:paraId="18D72701" w14:textId="77777777" w:rsidTr="0041561A">
        <w:trPr>
          <w:trHeight w:val="739"/>
        </w:trPr>
        <w:tc>
          <w:tcPr>
            <w:tcW w:w="1902" w:type="dxa"/>
            <w:vMerge/>
            <w:shd w:val="clear" w:color="auto" w:fill="99CCFF"/>
            <w:vAlign w:val="center"/>
          </w:tcPr>
          <w:p w14:paraId="428EB0D8" w14:textId="77777777" w:rsidR="00681BAE" w:rsidRDefault="00681BAE" w:rsidP="00C34B6C">
            <w:pPr>
              <w:spacing w:before="120" w:after="120"/>
              <w:jc w:val="center"/>
              <w:rPr>
                <w:rFonts w:cs="Arial"/>
                <w:szCs w:val="22"/>
              </w:rPr>
            </w:pPr>
          </w:p>
        </w:tc>
        <w:tc>
          <w:tcPr>
            <w:tcW w:w="7591" w:type="dxa"/>
            <w:shd w:val="clear" w:color="auto" w:fill="99CCFF"/>
          </w:tcPr>
          <w:p w14:paraId="77231B31" w14:textId="0EC7FC77" w:rsidR="00681BAE" w:rsidRDefault="00681BAE" w:rsidP="00F53CE0">
            <w:pPr>
              <w:spacing w:before="120" w:after="120"/>
              <w:rPr>
                <w:rFonts w:cs="Arial"/>
                <w:szCs w:val="22"/>
              </w:rPr>
            </w:pPr>
            <w:r w:rsidRPr="00A57D19">
              <w:t>V části 2.1.1 „Způsobilost osobních nákladů“ doplněna způsobilost osobního příplatku dle novelizace ZSS. Doplněna poznámka pod čarou č. 2.</w:t>
            </w:r>
          </w:p>
        </w:tc>
      </w:tr>
      <w:tr w:rsidR="00681BAE" w14:paraId="08F33084" w14:textId="77777777" w:rsidTr="0041561A">
        <w:trPr>
          <w:trHeight w:val="1010"/>
        </w:trPr>
        <w:tc>
          <w:tcPr>
            <w:tcW w:w="1902" w:type="dxa"/>
            <w:vMerge/>
            <w:shd w:val="clear" w:color="auto" w:fill="99CCFF"/>
            <w:vAlign w:val="center"/>
          </w:tcPr>
          <w:p w14:paraId="1100231D" w14:textId="77777777" w:rsidR="00681BAE" w:rsidRDefault="00681BAE" w:rsidP="00C34B6C">
            <w:pPr>
              <w:spacing w:before="120" w:after="120"/>
              <w:jc w:val="center"/>
              <w:rPr>
                <w:rFonts w:cs="Arial"/>
                <w:szCs w:val="22"/>
              </w:rPr>
            </w:pPr>
          </w:p>
        </w:tc>
        <w:tc>
          <w:tcPr>
            <w:tcW w:w="7591" w:type="dxa"/>
            <w:shd w:val="clear" w:color="auto" w:fill="99CCFF"/>
          </w:tcPr>
          <w:p w14:paraId="4D4FC987" w14:textId="292D1E4C" w:rsidR="00681BAE" w:rsidRDefault="00681BAE" w:rsidP="00F53CE0">
            <w:pPr>
              <w:spacing w:before="120" w:after="120"/>
              <w:rPr>
                <w:rFonts w:cs="Arial"/>
                <w:szCs w:val="22"/>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4071EA53" w14:textId="77777777" w:rsidTr="0041561A">
        <w:trPr>
          <w:trHeight w:val="498"/>
        </w:trPr>
        <w:tc>
          <w:tcPr>
            <w:tcW w:w="1902" w:type="dxa"/>
            <w:vMerge/>
            <w:shd w:val="clear" w:color="auto" w:fill="99CCFF"/>
            <w:vAlign w:val="center"/>
          </w:tcPr>
          <w:p w14:paraId="7498DDB7" w14:textId="77777777" w:rsidR="00681BAE" w:rsidRDefault="00681BAE" w:rsidP="00C34B6C">
            <w:pPr>
              <w:spacing w:before="120" w:after="120"/>
              <w:jc w:val="center"/>
              <w:rPr>
                <w:rFonts w:cs="Arial"/>
                <w:szCs w:val="22"/>
              </w:rPr>
            </w:pPr>
          </w:p>
        </w:tc>
        <w:tc>
          <w:tcPr>
            <w:tcW w:w="7591" w:type="dxa"/>
            <w:shd w:val="clear" w:color="auto" w:fill="99CCFF"/>
          </w:tcPr>
          <w:p w14:paraId="277EA44D" w14:textId="6FE81E0F" w:rsidR="00681BAE" w:rsidRDefault="00681BAE" w:rsidP="00F53CE0">
            <w:pPr>
              <w:spacing w:before="120" w:after="120"/>
              <w:rPr>
                <w:rFonts w:cs="Arial"/>
                <w:szCs w:val="22"/>
              </w:rPr>
            </w:pPr>
            <w:r w:rsidRPr="00A57D19">
              <w:t>V tabulce č. 1 dány doklady</w:t>
            </w:r>
            <w:r>
              <w:t xml:space="preserve"> u osobních výdajů do souladu s</w:t>
            </w:r>
            <w:r w:rsidRPr="00A57D19">
              <w:t xml:space="preserve"> textem v části 2.1.2.</w:t>
            </w:r>
          </w:p>
        </w:tc>
      </w:tr>
      <w:tr w:rsidR="00681BAE" w14:paraId="50C92E3D" w14:textId="77777777" w:rsidTr="0041561A">
        <w:trPr>
          <w:trHeight w:val="484"/>
        </w:trPr>
        <w:tc>
          <w:tcPr>
            <w:tcW w:w="1902" w:type="dxa"/>
            <w:vMerge w:val="restart"/>
            <w:shd w:val="clear" w:color="auto" w:fill="99CCFF"/>
            <w:vAlign w:val="center"/>
          </w:tcPr>
          <w:p w14:paraId="6D374F83" w14:textId="08A84A6D" w:rsidR="00681BAE" w:rsidRDefault="00681BAE" w:rsidP="00C34B6C">
            <w:pPr>
              <w:spacing w:before="120" w:after="120"/>
              <w:jc w:val="center"/>
              <w:rPr>
                <w:rFonts w:cs="Arial"/>
                <w:szCs w:val="22"/>
              </w:rPr>
            </w:pPr>
            <w:r w:rsidRPr="00681BAE">
              <w:rPr>
                <w:rFonts w:cs="Arial"/>
                <w:szCs w:val="22"/>
              </w:rPr>
              <w:t>vydání 2/4</w:t>
            </w:r>
          </w:p>
        </w:tc>
        <w:tc>
          <w:tcPr>
            <w:tcW w:w="7591" w:type="dxa"/>
            <w:shd w:val="clear" w:color="auto" w:fill="99CCFF"/>
          </w:tcPr>
          <w:p w14:paraId="7DF23ADD" w14:textId="12CEBD92" w:rsidR="00681BAE" w:rsidRDefault="00681BAE" w:rsidP="00681BAE">
            <w:pPr>
              <w:spacing w:before="120" w:after="120"/>
              <w:rPr>
                <w:rFonts w:cs="Arial"/>
                <w:szCs w:val="22"/>
              </w:rPr>
            </w:pPr>
            <w:r w:rsidRPr="000C0D18">
              <w:t>Formální úpravy textu.</w:t>
            </w:r>
          </w:p>
        </w:tc>
      </w:tr>
      <w:tr w:rsidR="00681BAE" w14:paraId="7658D9D9" w14:textId="77777777" w:rsidTr="0041561A">
        <w:trPr>
          <w:trHeight w:val="739"/>
        </w:trPr>
        <w:tc>
          <w:tcPr>
            <w:tcW w:w="1902" w:type="dxa"/>
            <w:vMerge/>
            <w:shd w:val="clear" w:color="auto" w:fill="99CCFF"/>
            <w:vAlign w:val="center"/>
          </w:tcPr>
          <w:p w14:paraId="50FFC109" w14:textId="77777777" w:rsidR="00681BAE" w:rsidRDefault="00681BAE" w:rsidP="00C34B6C">
            <w:pPr>
              <w:spacing w:before="120" w:after="120"/>
              <w:jc w:val="center"/>
              <w:rPr>
                <w:rFonts w:cs="Arial"/>
                <w:szCs w:val="22"/>
              </w:rPr>
            </w:pPr>
          </w:p>
        </w:tc>
        <w:tc>
          <w:tcPr>
            <w:tcW w:w="7591" w:type="dxa"/>
            <w:shd w:val="clear" w:color="auto" w:fill="99CCFF"/>
          </w:tcPr>
          <w:p w14:paraId="7E9D5F2A" w14:textId="204B43D0" w:rsidR="00681BAE" w:rsidRDefault="00681BAE" w:rsidP="00681BAE">
            <w:pPr>
              <w:spacing w:before="120" w:after="120"/>
              <w:rPr>
                <w:rFonts w:cs="Arial"/>
                <w:szCs w:val="22"/>
              </w:rPr>
            </w:pPr>
            <w:r w:rsidRPr="000C0D18">
              <w:t>V celém textu odstraněna akceptace objednávky a upřesněna informace o dokladování do 10 000 Kč včetně DPH.</w:t>
            </w:r>
          </w:p>
        </w:tc>
      </w:tr>
      <w:tr w:rsidR="00681BAE" w14:paraId="1E105C7D" w14:textId="77777777" w:rsidTr="0041561A">
        <w:trPr>
          <w:trHeight w:val="498"/>
        </w:trPr>
        <w:tc>
          <w:tcPr>
            <w:tcW w:w="1902" w:type="dxa"/>
            <w:vMerge/>
            <w:shd w:val="clear" w:color="auto" w:fill="99CCFF"/>
            <w:vAlign w:val="center"/>
          </w:tcPr>
          <w:p w14:paraId="49AA42F5" w14:textId="77777777" w:rsidR="00681BAE" w:rsidRDefault="00681BAE" w:rsidP="00C34B6C">
            <w:pPr>
              <w:spacing w:before="120" w:after="120"/>
              <w:jc w:val="center"/>
              <w:rPr>
                <w:rFonts w:cs="Arial"/>
                <w:szCs w:val="22"/>
              </w:rPr>
            </w:pPr>
          </w:p>
        </w:tc>
        <w:tc>
          <w:tcPr>
            <w:tcW w:w="7591" w:type="dxa"/>
            <w:shd w:val="clear" w:color="auto" w:fill="99CCFF"/>
          </w:tcPr>
          <w:p w14:paraId="23D784DA" w14:textId="027537C4" w:rsidR="00681BAE" w:rsidRDefault="00681BAE" w:rsidP="00681BAE">
            <w:pPr>
              <w:spacing w:before="120" w:after="120"/>
              <w:rPr>
                <w:rFonts w:cs="Arial"/>
                <w:szCs w:val="22"/>
              </w:rPr>
            </w:pPr>
            <w:r w:rsidRPr="000C0D18">
              <w:t>Vložena nová kapitola 1.3 Doložení ceny obvyklé.</w:t>
            </w:r>
          </w:p>
        </w:tc>
      </w:tr>
      <w:tr w:rsidR="00681BAE" w14:paraId="10E64386" w14:textId="77777777" w:rsidTr="0041561A">
        <w:trPr>
          <w:trHeight w:val="498"/>
        </w:trPr>
        <w:tc>
          <w:tcPr>
            <w:tcW w:w="1902" w:type="dxa"/>
            <w:vMerge/>
            <w:shd w:val="clear" w:color="auto" w:fill="99CCFF"/>
            <w:vAlign w:val="center"/>
          </w:tcPr>
          <w:p w14:paraId="74B8F136" w14:textId="77777777" w:rsidR="00681BAE" w:rsidRDefault="00681BAE" w:rsidP="00C34B6C">
            <w:pPr>
              <w:spacing w:before="120" w:after="120"/>
              <w:jc w:val="center"/>
              <w:rPr>
                <w:rFonts w:cs="Arial"/>
                <w:szCs w:val="22"/>
              </w:rPr>
            </w:pPr>
          </w:p>
        </w:tc>
        <w:tc>
          <w:tcPr>
            <w:tcW w:w="7591" w:type="dxa"/>
            <w:shd w:val="clear" w:color="auto" w:fill="99CCFF"/>
          </w:tcPr>
          <w:p w14:paraId="760AA198" w14:textId="65E90C54" w:rsidR="00681BAE" w:rsidRDefault="00681BAE" w:rsidP="00681BAE">
            <w:pPr>
              <w:spacing w:before="120" w:after="120"/>
              <w:rPr>
                <w:rFonts w:cs="Arial"/>
                <w:szCs w:val="22"/>
              </w:rPr>
            </w:pPr>
            <w:r w:rsidRPr="000C0D18">
              <w:t>Vložena nová poznámka pod čarou č. 5 pod část 2.1.1 „Způsobilost osobních nákladů“.</w:t>
            </w:r>
          </w:p>
        </w:tc>
      </w:tr>
      <w:tr w:rsidR="00681BAE" w14:paraId="4BD79951" w14:textId="77777777" w:rsidTr="0041561A">
        <w:trPr>
          <w:trHeight w:val="753"/>
        </w:trPr>
        <w:tc>
          <w:tcPr>
            <w:tcW w:w="1902" w:type="dxa"/>
            <w:vMerge/>
            <w:shd w:val="clear" w:color="auto" w:fill="99CCFF"/>
            <w:vAlign w:val="center"/>
          </w:tcPr>
          <w:p w14:paraId="6CB93688" w14:textId="77777777" w:rsidR="00681BAE" w:rsidRDefault="00681BAE" w:rsidP="00C34B6C">
            <w:pPr>
              <w:spacing w:before="120" w:after="120"/>
              <w:jc w:val="center"/>
              <w:rPr>
                <w:rFonts w:cs="Arial"/>
                <w:szCs w:val="22"/>
              </w:rPr>
            </w:pPr>
          </w:p>
        </w:tc>
        <w:tc>
          <w:tcPr>
            <w:tcW w:w="7591" w:type="dxa"/>
            <w:shd w:val="clear" w:color="auto" w:fill="99CCFF"/>
          </w:tcPr>
          <w:p w14:paraId="186DEADB" w14:textId="388AE037" w:rsidR="00681BAE" w:rsidRDefault="00681BAE" w:rsidP="00681BAE">
            <w:pPr>
              <w:spacing w:before="120" w:after="120"/>
              <w:rPr>
                <w:rFonts w:cs="Arial"/>
                <w:szCs w:val="22"/>
              </w:rPr>
            </w:pPr>
            <w:r w:rsidRPr="000C0D18">
              <w:t>Upřesněn text týkající se příjemce AO v části Rekapitulace mzdových výdajů v kap. 2.1.2.</w:t>
            </w:r>
          </w:p>
        </w:tc>
      </w:tr>
      <w:tr w:rsidR="00681BAE" w14:paraId="10095841" w14:textId="77777777" w:rsidTr="0041561A">
        <w:trPr>
          <w:trHeight w:val="753"/>
        </w:trPr>
        <w:tc>
          <w:tcPr>
            <w:tcW w:w="1902" w:type="dxa"/>
            <w:vMerge/>
            <w:shd w:val="clear" w:color="auto" w:fill="99CCFF"/>
            <w:vAlign w:val="center"/>
          </w:tcPr>
          <w:p w14:paraId="29219663" w14:textId="77777777" w:rsidR="00681BAE" w:rsidRDefault="00681BAE" w:rsidP="00C34B6C">
            <w:pPr>
              <w:spacing w:before="120" w:after="120"/>
              <w:jc w:val="center"/>
              <w:rPr>
                <w:rFonts w:cs="Arial"/>
                <w:szCs w:val="22"/>
              </w:rPr>
            </w:pPr>
          </w:p>
        </w:tc>
        <w:tc>
          <w:tcPr>
            <w:tcW w:w="7591" w:type="dxa"/>
            <w:shd w:val="clear" w:color="auto" w:fill="99CCFF"/>
          </w:tcPr>
          <w:p w14:paraId="08932544" w14:textId="42C86576" w:rsidR="00681BAE" w:rsidRDefault="00681BAE" w:rsidP="00681BAE">
            <w:pPr>
              <w:spacing w:before="120" w:after="120"/>
              <w:rPr>
                <w:rFonts w:cs="Arial"/>
                <w:szCs w:val="22"/>
              </w:rPr>
            </w:pPr>
            <w:r w:rsidRPr="000C0D18">
              <w:t xml:space="preserve">Vložení odkazu na kapitolu 1. 3 k dokladu „Objednávka a popis způsobu výběru ceny“ v kapitole 2.4 a 2.5.   </w:t>
            </w:r>
          </w:p>
        </w:tc>
      </w:tr>
      <w:tr w:rsidR="00681BAE" w14:paraId="550AADD0" w14:textId="77777777" w:rsidTr="0041561A">
        <w:trPr>
          <w:trHeight w:val="739"/>
        </w:trPr>
        <w:tc>
          <w:tcPr>
            <w:tcW w:w="1902" w:type="dxa"/>
            <w:vMerge/>
            <w:shd w:val="clear" w:color="auto" w:fill="99CCFF"/>
            <w:vAlign w:val="center"/>
          </w:tcPr>
          <w:p w14:paraId="518B7214" w14:textId="77777777" w:rsidR="00681BAE" w:rsidRDefault="00681BAE" w:rsidP="00C34B6C">
            <w:pPr>
              <w:spacing w:before="120" w:after="120"/>
              <w:jc w:val="center"/>
              <w:rPr>
                <w:rFonts w:cs="Arial"/>
                <w:szCs w:val="22"/>
              </w:rPr>
            </w:pPr>
          </w:p>
        </w:tc>
        <w:tc>
          <w:tcPr>
            <w:tcW w:w="7591" w:type="dxa"/>
            <w:shd w:val="clear" w:color="auto" w:fill="99CCFF"/>
          </w:tcPr>
          <w:p w14:paraId="6DA45981" w14:textId="1CE944A6" w:rsidR="00681BAE" w:rsidRDefault="00681BAE" w:rsidP="00681BAE">
            <w:pPr>
              <w:spacing w:before="120" w:after="120"/>
              <w:rPr>
                <w:rFonts w:cs="Arial"/>
                <w:szCs w:val="22"/>
              </w:rPr>
            </w:pPr>
            <w:r w:rsidRPr="000C0D18">
              <w:t>Upřesnění textace k dokladování do 10 000 Kč včetně DPH a doplněn text pro příjemce MMR v části Účetní/daňové doklady v kapitole 2.4 a v 2.6.</w:t>
            </w:r>
          </w:p>
        </w:tc>
      </w:tr>
      <w:tr w:rsidR="00681BAE" w14:paraId="5F70E9F6" w14:textId="77777777" w:rsidTr="0041561A">
        <w:trPr>
          <w:trHeight w:val="498"/>
        </w:trPr>
        <w:tc>
          <w:tcPr>
            <w:tcW w:w="1902" w:type="dxa"/>
            <w:vMerge/>
            <w:shd w:val="clear" w:color="auto" w:fill="99CCFF"/>
            <w:vAlign w:val="center"/>
          </w:tcPr>
          <w:p w14:paraId="15BAD976" w14:textId="77777777" w:rsidR="00681BAE" w:rsidRDefault="00681BAE" w:rsidP="00C34B6C">
            <w:pPr>
              <w:spacing w:before="120" w:after="120"/>
              <w:jc w:val="center"/>
              <w:rPr>
                <w:rFonts w:cs="Arial"/>
                <w:szCs w:val="22"/>
              </w:rPr>
            </w:pPr>
          </w:p>
        </w:tc>
        <w:tc>
          <w:tcPr>
            <w:tcW w:w="7591" w:type="dxa"/>
            <w:shd w:val="clear" w:color="auto" w:fill="99CCFF"/>
          </w:tcPr>
          <w:p w14:paraId="3C352FA0" w14:textId="3BFB538B" w:rsidR="00681BAE" w:rsidRDefault="00681BAE" w:rsidP="00681BAE">
            <w:pPr>
              <w:spacing w:before="120" w:after="120"/>
              <w:rPr>
                <w:rFonts w:cs="Arial"/>
                <w:szCs w:val="22"/>
              </w:rPr>
            </w:pPr>
            <w:r w:rsidRPr="000C0D18">
              <w:t>Upřesnění textace k dokladování do 10 000 Kč v kapitole 2.6.2.</w:t>
            </w:r>
          </w:p>
        </w:tc>
      </w:tr>
      <w:tr w:rsidR="00C34B6C" w14:paraId="5D543E89" w14:textId="77777777" w:rsidTr="0041561A">
        <w:trPr>
          <w:trHeight w:val="484"/>
        </w:trPr>
        <w:tc>
          <w:tcPr>
            <w:tcW w:w="1902" w:type="dxa"/>
            <w:vMerge w:val="restart"/>
            <w:shd w:val="clear" w:color="auto" w:fill="99CCFF"/>
            <w:vAlign w:val="center"/>
          </w:tcPr>
          <w:p w14:paraId="09CC5E3C" w14:textId="37315B2C" w:rsidR="00C34B6C" w:rsidRDefault="00C34B6C" w:rsidP="00C34B6C">
            <w:pPr>
              <w:spacing w:before="120" w:after="120"/>
              <w:jc w:val="center"/>
              <w:rPr>
                <w:rFonts w:cs="Arial"/>
                <w:szCs w:val="22"/>
              </w:rPr>
            </w:pPr>
            <w:r w:rsidRPr="00681BAE">
              <w:rPr>
                <w:rFonts w:cs="Arial"/>
                <w:szCs w:val="22"/>
              </w:rPr>
              <w:t>vydání 2/5</w:t>
            </w:r>
          </w:p>
        </w:tc>
        <w:tc>
          <w:tcPr>
            <w:tcW w:w="7591" w:type="dxa"/>
            <w:shd w:val="clear" w:color="auto" w:fill="99CCFF"/>
          </w:tcPr>
          <w:p w14:paraId="0047CB70" w14:textId="4582DECC" w:rsidR="00C34B6C" w:rsidRDefault="00C34B6C" w:rsidP="00C34B6C">
            <w:pPr>
              <w:spacing w:before="120" w:after="120"/>
              <w:rPr>
                <w:rFonts w:cs="Arial"/>
                <w:szCs w:val="22"/>
              </w:rPr>
            </w:pPr>
            <w:r w:rsidRPr="007E20F1">
              <w:t xml:space="preserve">V kap. 1.1 byla upřesněna část týkající se registru smluv. </w:t>
            </w:r>
          </w:p>
        </w:tc>
      </w:tr>
      <w:tr w:rsidR="00C34B6C" w14:paraId="493B33B7" w14:textId="77777777" w:rsidTr="0041561A">
        <w:trPr>
          <w:trHeight w:val="484"/>
        </w:trPr>
        <w:tc>
          <w:tcPr>
            <w:tcW w:w="1902" w:type="dxa"/>
            <w:vMerge/>
            <w:shd w:val="clear" w:color="auto" w:fill="99CCFF"/>
            <w:vAlign w:val="center"/>
          </w:tcPr>
          <w:p w14:paraId="03EFE61E" w14:textId="77777777" w:rsidR="00C34B6C" w:rsidRDefault="00C34B6C" w:rsidP="00C34B6C">
            <w:pPr>
              <w:spacing w:before="120" w:after="120"/>
              <w:jc w:val="center"/>
              <w:rPr>
                <w:rFonts w:cs="Arial"/>
                <w:szCs w:val="22"/>
              </w:rPr>
            </w:pPr>
          </w:p>
        </w:tc>
        <w:tc>
          <w:tcPr>
            <w:tcW w:w="7591" w:type="dxa"/>
            <w:shd w:val="clear" w:color="auto" w:fill="99CCFF"/>
          </w:tcPr>
          <w:p w14:paraId="255BAE52" w14:textId="48AA1219" w:rsidR="00C34B6C" w:rsidRDefault="00C34B6C" w:rsidP="00C34B6C">
            <w:pPr>
              <w:spacing w:before="120" w:after="120"/>
              <w:rPr>
                <w:rFonts w:cs="Arial"/>
                <w:szCs w:val="22"/>
              </w:rPr>
            </w:pPr>
            <w:r w:rsidRPr="007E20F1">
              <w:t>V kap. 2.1 doplněn příjemce TA ČR, upřesněn text týkající se činnosti v oblasti ESI fondů.</w:t>
            </w:r>
          </w:p>
        </w:tc>
      </w:tr>
      <w:tr w:rsidR="00C34B6C" w14:paraId="09383D39" w14:textId="77777777" w:rsidTr="0041561A">
        <w:trPr>
          <w:trHeight w:val="484"/>
        </w:trPr>
        <w:tc>
          <w:tcPr>
            <w:tcW w:w="1902" w:type="dxa"/>
            <w:vMerge/>
            <w:shd w:val="clear" w:color="auto" w:fill="99CCFF"/>
            <w:vAlign w:val="center"/>
          </w:tcPr>
          <w:p w14:paraId="7F3BC898" w14:textId="77777777" w:rsidR="00C34B6C" w:rsidRDefault="00C34B6C" w:rsidP="00C34B6C">
            <w:pPr>
              <w:spacing w:before="120" w:after="120"/>
              <w:jc w:val="center"/>
              <w:rPr>
                <w:rFonts w:cs="Arial"/>
                <w:szCs w:val="22"/>
              </w:rPr>
            </w:pPr>
          </w:p>
        </w:tc>
        <w:tc>
          <w:tcPr>
            <w:tcW w:w="7591" w:type="dxa"/>
            <w:shd w:val="clear" w:color="auto" w:fill="99CCFF"/>
          </w:tcPr>
          <w:p w14:paraId="338B7C9C" w14:textId="3F8528B1" w:rsidR="00C34B6C" w:rsidRDefault="00C34B6C" w:rsidP="00C34B6C">
            <w:pPr>
              <w:spacing w:before="120" w:after="120"/>
              <w:rPr>
                <w:rFonts w:cs="Arial"/>
                <w:szCs w:val="22"/>
              </w:rPr>
            </w:pPr>
            <w:r w:rsidRPr="007E20F1">
              <w:t>V části 2.1.1 doplněna poznámka pod čarou č. 3.</w:t>
            </w:r>
          </w:p>
        </w:tc>
      </w:tr>
      <w:tr w:rsidR="00C34B6C" w14:paraId="245F1B05" w14:textId="77777777" w:rsidTr="0041561A">
        <w:trPr>
          <w:trHeight w:val="484"/>
        </w:trPr>
        <w:tc>
          <w:tcPr>
            <w:tcW w:w="1902" w:type="dxa"/>
            <w:vMerge w:val="restart"/>
            <w:shd w:val="clear" w:color="auto" w:fill="99CCFF"/>
            <w:vAlign w:val="center"/>
          </w:tcPr>
          <w:p w14:paraId="4D91714C" w14:textId="214F19CA" w:rsidR="00C34B6C" w:rsidRDefault="00C34B6C" w:rsidP="00C34B6C">
            <w:pPr>
              <w:spacing w:before="120" w:after="120"/>
              <w:jc w:val="center"/>
              <w:rPr>
                <w:rFonts w:cs="Arial"/>
                <w:szCs w:val="22"/>
              </w:rPr>
            </w:pPr>
            <w:r w:rsidRPr="00C34B6C">
              <w:rPr>
                <w:rFonts w:cs="Arial"/>
                <w:szCs w:val="22"/>
              </w:rPr>
              <w:lastRenderedPageBreak/>
              <w:t>vydání 2/7</w:t>
            </w:r>
          </w:p>
        </w:tc>
        <w:tc>
          <w:tcPr>
            <w:tcW w:w="7591" w:type="dxa"/>
            <w:shd w:val="clear" w:color="auto" w:fill="99CCFF"/>
          </w:tcPr>
          <w:p w14:paraId="5FB45649" w14:textId="4D7718A5" w:rsidR="00C34B6C" w:rsidRDefault="00C34B6C" w:rsidP="00C34B6C">
            <w:pPr>
              <w:spacing w:before="120" w:after="120"/>
              <w:rPr>
                <w:rFonts w:cs="Arial"/>
                <w:szCs w:val="22"/>
              </w:rPr>
            </w:pPr>
            <w:r w:rsidRPr="009B5DC8">
              <w:t xml:space="preserve">V kap. 1. 1 Způsobilost výdajů doplněn postup týkající se nápravy při porušení některých povinností spojených se vkládáním smluv do registru smluv. </w:t>
            </w:r>
          </w:p>
        </w:tc>
      </w:tr>
      <w:tr w:rsidR="00C34B6C" w14:paraId="339E4809" w14:textId="77777777" w:rsidTr="0041561A">
        <w:trPr>
          <w:trHeight w:val="484"/>
        </w:trPr>
        <w:tc>
          <w:tcPr>
            <w:tcW w:w="1902" w:type="dxa"/>
            <w:vMerge/>
            <w:shd w:val="clear" w:color="auto" w:fill="99CCFF"/>
            <w:vAlign w:val="center"/>
          </w:tcPr>
          <w:p w14:paraId="6F9C42E4" w14:textId="77777777" w:rsidR="00C34B6C" w:rsidRDefault="00C34B6C" w:rsidP="00C34B6C">
            <w:pPr>
              <w:spacing w:before="120" w:after="120"/>
              <w:jc w:val="center"/>
              <w:rPr>
                <w:rFonts w:cs="Arial"/>
                <w:szCs w:val="22"/>
              </w:rPr>
            </w:pPr>
          </w:p>
        </w:tc>
        <w:tc>
          <w:tcPr>
            <w:tcW w:w="7591" w:type="dxa"/>
            <w:shd w:val="clear" w:color="auto" w:fill="99CCFF"/>
          </w:tcPr>
          <w:p w14:paraId="58BF07E2" w14:textId="6CF947CF" w:rsidR="00C34B6C" w:rsidRDefault="00C34B6C" w:rsidP="00C34B6C">
            <w:pPr>
              <w:spacing w:before="120" w:after="120"/>
              <w:rPr>
                <w:rFonts w:cs="Arial"/>
                <w:szCs w:val="22"/>
              </w:rPr>
            </w:pPr>
            <w:r w:rsidRPr="009B5DC8">
              <w:t>V kap. 1.3 Doložení ceny obvyklé doplněna povinnost doložení způsob stanovení ceny u výdajů nad 10 000 Kč</w:t>
            </w:r>
          </w:p>
        </w:tc>
      </w:tr>
      <w:tr w:rsidR="00C34B6C" w14:paraId="55792018" w14:textId="77777777" w:rsidTr="0041561A">
        <w:trPr>
          <w:trHeight w:val="484"/>
        </w:trPr>
        <w:tc>
          <w:tcPr>
            <w:tcW w:w="1902" w:type="dxa"/>
            <w:vMerge/>
            <w:shd w:val="clear" w:color="auto" w:fill="99CCFF"/>
            <w:vAlign w:val="center"/>
          </w:tcPr>
          <w:p w14:paraId="5A3E606D" w14:textId="77777777" w:rsidR="00C34B6C" w:rsidRDefault="00C34B6C" w:rsidP="00C34B6C">
            <w:pPr>
              <w:spacing w:before="120" w:after="120"/>
              <w:jc w:val="center"/>
              <w:rPr>
                <w:rFonts w:cs="Arial"/>
                <w:szCs w:val="22"/>
              </w:rPr>
            </w:pPr>
          </w:p>
        </w:tc>
        <w:tc>
          <w:tcPr>
            <w:tcW w:w="7591" w:type="dxa"/>
            <w:shd w:val="clear" w:color="auto" w:fill="99CCFF"/>
          </w:tcPr>
          <w:p w14:paraId="260629AA" w14:textId="3244B02F" w:rsidR="00C34B6C" w:rsidRDefault="00C34B6C" w:rsidP="00C34B6C">
            <w:pPr>
              <w:spacing w:before="120" w:after="120"/>
              <w:rPr>
                <w:rFonts w:cs="Arial"/>
                <w:szCs w:val="22"/>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51636C48" w14:textId="77777777" w:rsidTr="0041561A">
        <w:trPr>
          <w:trHeight w:val="484"/>
        </w:trPr>
        <w:tc>
          <w:tcPr>
            <w:tcW w:w="1902" w:type="dxa"/>
            <w:vMerge/>
            <w:shd w:val="clear" w:color="auto" w:fill="99CCFF"/>
            <w:vAlign w:val="center"/>
          </w:tcPr>
          <w:p w14:paraId="22D1218C" w14:textId="77777777" w:rsidR="00C34B6C" w:rsidRDefault="00C34B6C" w:rsidP="00C34B6C">
            <w:pPr>
              <w:spacing w:before="120" w:after="120"/>
              <w:jc w:val="center"/>
              <w:rPr>
                <w:rFonts w:cs="Arial"/>
                <w:szCs w:val="22"/>
              </w:rPr>
            </w:pPr>
          </w:p>
        </w:tc>
        <w:tc>
          <w:tcPr>
            <w:tcW w:w="7591" w:type="dxa"/>
            <w:shd w:val="clear" w:color="auto" w:fill="99CCFF"/>
          </w:tcPr>
          <w:p w14:paraId="4C00AFC1" w14:textId="1027C8C7" w:rsidR="00C34B6C" w:rsidRDefault="00C34B6C" w:rsidP="00C34B6C">
            <w:pPr>
              <w:spacing w:before="120" w:after="120"/>
              <w:rPr>
                <w:rFonts w:cs="Arial"/>
                <w:szCs w:val="22"/>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1EA16CC2" w14:textId="77777777" w:rsidTr="0041561A">
        <w:trPr>
          <w:trHeight w:val="484"/>
        </w:trPr>
        <w:tc>
          <w:tcPr>
            <w:tcW w:w="1902" w:type="dxa"/>
            <w:vMerge/>
            <w:shd w:val="clear" w:color="auto" w:fill="99CCFF"/>
            <w:vAlign w:val="center"/>
          </w:tcPr>
          <w:p w14:paraId="6E3DF8F2" w14:textId="77777777" w:rsidR="00C34B6C" w:rsidRDefault="00C34B6C" w:rsidP="00C34B6C">
            <w:pPr>
              <w:spacing w:before="120" w:after="120"/>
              <w:jc w:val="center"/>
              <w:rPr>
                <w:rFonts w:cs="Arial"/>
                <w:szCs w:val="22"/>
              </w:rPr>
            </w:pPr>
          </w:p>
        </w:tc>
        <w:tc>
          <w:tcPr>
            <w:tcW w:w="7591" w:type="dxa"/>
            <w:shd w:val="clear" w:color="auto" w:fill="99CCFF"/>
          </w:tcPr>
          <w:p w14:paraId="5A84403E" w14:textId="614E3BA1" w:rsidR="00C34B6C" w:rsidRDefault="00C34B6C" w:rsidP="00C34B6C">
            <w:pPr>
              <w:spacing w:before="120" w:after="120"/>
              <w:rPr>
                <w:rFonts w:cs="Arial"/>
                <w:szCs w:val="22"/>
              </w:rPr>
            </w:pPr>
            <w:r w:rsidRPr="009B5DC8">
              <w:t xml:space="preserve">V části 2.4 Pořízení majetku a spotřebního materiálu doplněna poznámka pod čarou č. 13, týkající se nehmotného majetku. </w:t>
            </w:r>
          </w:p>
        </w:tc>
      </w:tr>
      <w:tr w:rsidR="00C34B6C" w14:paraId="14DA4790" w14:textId="77777777" w:rsidTr="0041561A">
        <w:trPr>
          <w:trHeight w:val="484"/>
        </w:trPr>
        <w:tc>
          <w:tcPr>
            <w:tcW w:w="1902" w:type="dxa"/>
            <w:vMerge/>
            <w:shd w:val="clear" w:color="auto" w:fill="99CCFF"/>
            <w:vAlign w:val="center"/>
          </w:tcPr>
          <w:p w14:paraId="62A1BBAC" w14:textId="77777777" w:rsidR="00C34B6C" w:rsidRDefault="00C34B6C" w:rsidP="00C34B6C">
            <w:pPr>
              <w:spacing w:before="120" w:after="120"/>
              <w:jc w:val="center"/>
              <w:rPr>
                <w:rFonts w:cs="Arial"/>
                <w:szCs w:val="22"/>
              </w:rPr>
            </w:pPr>
          </w:p>
        </w:tc>
        <w:tc>
          <w:tcPr>
            <w:tcW w:w="7591" w:type="dxa"/>
            <w:shd w:val="clear" w:color="auto" w:fill="99CCFF"/>
          </w:tcPr>
          <w:p w14:paraId="71A9A98C" w14:textId="11527851" w:rsidR="00C34B6C" w:rsidRDefault="00C34B6C" w:rsidP="00C34B6C">
            <w:pPr>
              <w:spacing w:before="120" w:after="120"/>
              <w:rPr>
                <w:rFonts w:cs="Arial"/>
                <w:szCs w:val="22"/>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5BF26F14" w14:textId="77777777" w:rsidTr="0041561A">
        <w:trPr>
          <w:trHeight w:val="484"/>
        </w:trPr>
        <w:tc>
          <w:tcPr>
            <w:tcW w:w="1902" w:type="dxa"/>
            <w:vMerge/>
            <w:shd w:val="clear" w:color="auto" w:fill="99CCFF"/>
            <w:vAlign w:val="center"/>
          </w:tcPr>
          <w:p w14:paraId="4233362A" w14:textId="77777777" w:rsidR="00C34B6C" w:rsidRDefault="00C34B6C" w:rsidP="00C34B6C">
            <w:pPr>
              <w:spacing w:before="120" w:after="120"/>
              <w:jc w:val="center"/>
              <w:rPr>
                <w:rFonts w:cs="Arial"/>
                <w:szCs w:val="22"/>
              </w:rPr>
            </w:pPr>
          </w:p>
        </w:tc>
        <w:tc>
          <w:tcPr>
            <w:tcW w:w="7591" w:type="dxa"/>
            <w:shd w:val="clear" w:color="auto" w:fill="99CCFF"/>
          </w:tcPr>
          <w:p w14:paraId="41B1C57F" w14:textId="23DE7353" w:rsidR="00C34B6C" w:rsidRDefault="00C34B6C" w:rsidP="00C34B6C">
            <w:pPr>
              <w:spacing w:before="120" w:after="120"/>
              <w:rPr>
                <w:rFonts w:cs="Arial"/>
                <w:szCs w:val="22"/>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74E50EC0" w14:textId="77777777" w:rsidTr="0041561A">
        <w:trPr>
          <w:trHeight w:val="484"/>
        </w:trPr>
        <w:tc>
          <w:tcPr>
            <w:tcW w:w="1902" w:type="dxa"/>
            <w:vMerge/>
            <w:shd w:val="clear" w:color="auto" w:fill="99CCFF"/>
            <w:vAlign w:val="center"/>
          </w:tcPr>
          <w:p w14:paraId="3B4663A7" w14:textId="77777777" w:rsidR="00C34B6C" w:rsidRDefault="00C34B6C" w:rsidP="00C34B6C">
            <w:pPr>
              <w:spacing w:before="120" w:after="120"/>
              <w:jc w:val="center"/>
              <w:rPr>
                <w:rFonts w:cs="Arial"/>
                <w:szCs w:val="22"/>
              </w:rPr>
            </w:pPr>
          </w:p>
        </w:tc>
        <w:tc>
          <w:tcPr>
            <w:tcW w:w="7591" w:type="dxa"/>
            <w:shd w:val="clear" w:color="auto" w:fill="99CCFF"/>
          </w:tcPr>
          <w:p w14:paraId="1669D38A" w14:textId="27FAFDF6" w:rsidR="00C34B6C" w:rsidRDefault="00C34B6C" w:rsidP="00C34B6C">
            <w:pPr>
              <w:spacing w:before="120" w:after="120"/>
              <w:rPr>
                <w:rFonts w:cs="Arial"/>
                <w:szCs w:val="22"/>
              </w:rPr>
            </w:pPr>
            <w:r w:rsidRPr="009B5DC8">
              <w:t xml:space="preserve">V tabulce č. 2 doplněny informace k dokladování Evidence příjmů a výdajů projektu z účetnictví.  </w:t>
            </w:r>
          </w:p>
        </w:tc>
      </w:tr>
      <w:tr w:rsidR="00C34B6C" w14:paraId="57C611A9" w14:textId="77777777" w:rsidTr="0041561A">
        <w:trPr>
          <w:trHeight w:val="484"/>
        </w:trPr>
        <w:tc>
          <w:tcPr>
            <w:tcW w:w="1902" w:type="dxa"/>
            <w:shd w:val="clear" w:color="auto" w:fill="99CCFF"/>
            <w:vAlign w:val="center"/>
          </w:tcPr>
          <w:p w14:paraId="106CB019" w14:textId="14906F85" w:rsidR="00C34B6C" w:rsidRDefault="00C34B6C" w:rsidP="00C34B6C">
            <w:pPr>
              <w:spacing w:before="120" w:after="120"/>
              <w:jc w:val="center"/>
              <w:rPr>
                <w:rFonts w:cs="Arial"/>
                <w:szCs w:val="22"/>
              </w:rPr>
            </w:pPr>
            <w:r w:rsidRPr="00C34B6C">
              <w:rPr>
                <w:rFonts w:cs="Arial"/>
                <w:szCs w:val="22"/>
              </w:rPr>
              <w:t>vydání 2/8</w:t>
            </w:r>
          </w:p>
        </w:tc>
        <w:tc>
          <w:tcPr>
            <w:tcW w:w="7591" w:type="dxa"/>
            <w:shd w:val="clear" w:color="auto" w:fill="99CCFF"/>
          </w:tcPr>
          <w:p w14:paraId="13DDCD4E" w14:textId="77777777" w:rsidR="00C34B6C" w:rsidRPr="00C34B6C" w:rsidRDefault="00C34B6C" w:rsidP="00C34B6C">
            <w:pPr>
              <w:spacing w:before="120" w:after="120"/>
              <w:rPr>
                <w:rFonts w:cs="Arial"/>
                <w:szCs w:val="22"/>
              </w:rPr>
            </w:pPr>
            <w:r w:rsidRPr="00C34B6C">
              <w:rPr>
                <w:rFonts w:cs="Arial"/>
                <w:szCs w:val="22"/>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34AC79B6" w14:textId="3F19ED85" w:rsidR="00C34B6C" w:rsidRDefault="00C34B6C" w:rsidP="00C34B6C">
            <w:pPr>
              <w:spacing w:before="120" w:after="120"/>
              <w:rPr>
                <w:rFonts w:cs="Arial"/>
                <w:szCs w:val="22"/>
              </w:rPr>
            </w:pPr>
            <w:r w:rsidRPr="00C34B6C">
              <w:rPr>
                <w:rFonts w:cs="Arial"/>
                <w:szCs w:val="22"/>
              </w:rPr>
              <w:t xml:space="preserve">o vyhlášení VŘ (např. </w:t>
            </w:r>
            <w:proofErr w:type="spellStart"/>
            <w:r w:rsidRPr="00C34B6C">
              <w:rPr>
                <w:rFonts w:cs="Arial"/>
                <w:szCs w:val="22"/>
              </w:rPr>
              <w:t>printscreeny</w:t>
            </w:r>
            <w:proofErr w:type="spellEnd"/>
            <w:r w:rsidRPr="00C34B6C">
              <w:rPr>
                <w:rFonts w:cs="Arial"/>
                <w:szCs w:val="22"/>
              </w:rPr>
              <w:t xml:space="preserve"> zveřejněného inzerátu), zrušena příloha PŽP č. 11c Prohlášení k vyplácení osobních nákladů zaměstnance implementujícího </w:t>
            </w:r>
            <w:proofErr w:type="spellStart"/>
            <w:r w:rsidRPr="00C34B6C">
              <w:rPr>
                <w:rFonts w:cs="Arial"/>
                <w:szCs w:val="22"/>
              </w:rPr>
              <w:t>DoP</w:t>
            </w:r>
            <w:proofErr w:type="spellEnd"/>
            <w:r w:rsidRPr="00C34B6C">
              <w:rPr>
                <w:rFonts w:cs="Arial"/>
                <w:szCs w:val="22"/>
              </w:rPr>
              <w:t xml:space="preserve">/NSRR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szCs w:val="22"/>
              </w:rPr>
              <w:lastRenderedPageBreak/>
              <w:t xml:space="preserve">nákladů zaměstnance implementujícího </w:t>
            </w:r>
            <w:proofErr w:type="spellStart"/>
            <w:r w:rsidRPr="00C34B6C">
              <w:rPr>
                <w:rFonts w:cs="Arial"/>
                <w:szCs w:val="22"/>
              </w:rPr>
              <w:t>DoP</w:t>
            </w:r>
            <w:proofErr w:type="spellEnd"/>
            <w:r w:rsidRPr="00C34B6C">
              <w:rPr>
                <w:rFonts w:cs="Arial"/>
                <w:szCs w:val="22"/>
              </w:rPr>
              <w:t xml:space="preserve">/NSRR u subjektů implementace </w:t>
            </w:r>
            <w:proofErr w:type="spellStart"/>
            <w:r w:rsidRPr="00C34B6C">
              <w:rPr>
                <w:rFonts w:cs="Arial"/>
                <w:szCs w:val="22"/>
              </w:rPr>
              <w:t>DoP</w:t>
            </w:r>
            <w:proofErr w:type="spellEnd"/>
            <w:r w:rsidRPr="00C34B6C">
              <w:rPr>
                <w:rFonts w:cs="Arial"/>
                <w:szCs w:val="22"/>
              </w:rPr>
              <w:t>/NSRR, která byla odstraněna i v kap. 5 z přehledu příloh. V tabulce č. 2 odstraněna příloha Hodnocení zaměstnanců dle MP lidské zdroje a upraven název Evidence nákladů a výnosů projektů z účetnictví.</w:t>
            </w:r>
          </w:p>
        </w:tc>
      </w:tr>
    </w:tbl>
    <w:p w14:paraId="7A2216D7" w14:textId="77777777" w:rsidR="0090749C" w:rsidRDefault="0090749C" w:rsidP="00AC6EEF">
      <w:pPr>
        <w:spacing w:before="120" w:after="120"/>
        <w:rPr>
          <w:rFonts w:cs="Arial"/>
          <w:szCs w:val="22"/>
        </w:rPr>
      </w:pPr>
    </w:p>
    <w:p w14:paraId="7AFBA926"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63CE" w14:textId="77777777" w:rsidR="0090749C" w:rsidRPr="00550B41" w:rsidRDefault="0090749C" w:rsidP="00550B41">
      <w:pPr>
        <w:pStyle w:val="Default"/>
        <w:rPr>
          <w:rFonts w:ascii="Times New Roman" w:eastAsia="Times New Roman" w:hAnsi="Times New Roman" w:cs="Times New Roman"/>
          <w:color w:val="auto"/>
          <w:lang w:eastAsia="cs-CZ"/>
        </w:rPr>
      </w:pPr>
      <w:r>
        <w:separator/>
      </w:r>
    </w:p>
  </w:endnote>
  <w:endnote w:type="continuationSeparator" w:id="0">
    <w:p w14:paraId="3990290F" w14:textId="77777777" w:rsidR="0090749C" w:rsidRPr="00550B41" w:rsidRDefault="0090749C" w:rsidP="00550B41">
      <w:pPr>
        <w:pStyle w:val="Default"/>
        <w:rPr>
          <w:rFonts w:ascii="Times New Roman" w:eastAsia="Times New Roman" w:hAnsi="Times New Roman" w:cs="Times New Roman"/>
          <w:color w:val="auto"/>
          <w:lang w:eastAsia="cs-CZ"/>
        </w:rPr>
      </w:pPr>
      <w:r>
        <w:continuationSeparator/>
      </w:r>
    </w:p>
  </w:endnote>
  <w:endnote w:type="continuationNotice" w:id="1">
    <w:p w14:paraId="6218CD13" w14:textId="77777777" w:rsidR="0090749C" w:rsidRDefault="00907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36846"/>
      <w:docPartObj>
        <w:docPartGallery w:val="Page Numbers (Bottom of Page)"/>
        <w:docPartUnique/>
      </w:docPartObj>
    </w:sdtPr>
    <w:sdtContent>
      <w:p w14:paraId="0E3F1C9C" w14:textId="29E114DA" w:rsidR="0090749C" w:rsidRDefault="0090749C">
        <w:pPr>
          <w:pStyle w:val="Zpat"/>
          <w:jc w:val="center"/>
        </w:pPr>
        <w:r>
          <w:fldChar w:fldCharType="begin"/>
        </w:r>
        <w:r>
          <w:instrText>PAGE   \* MERGEFORMAT</w:instrText>
        </w:r>
        <w:r>
          <w:fldChar w:fldCharType="separate"/>
        </w:r>
        <w:r w:rsidR="00E57E31">
          <w:rPr>
            <w:noProof/>
          </w:rPr>
          <w:t>31</w:t>
        </w:r>
        <w:r>
          <w:fldChar w:fldCharType="end"/>
        </w:r>
      </w:p>
    </w:sdtContent>
  </w:sdt>
  <w:p w14:paraId="26394EC3" w14:textId="77777777" w:rsidR="0090749C" w:rsidRDefault="0090749C" w:rsidP="00B071B4">
    <w:pPr>
      <w:pStyle w:val="Zpat"/>
    </w:pPr>
  </w:p>
  <w:p w14:paraId="7F8F4A41" w14:textId="77777777" w:rsidR="0090749C" w:rsidRDefault="009074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19184" w14:textId="77777777" w:rsidR="0090749C" w:rsidRPr="00550B41" w:rsidRDefault="0090749C" w:rsidP="00550B41">
      <w:pPr>
        <w:pStyle w:val="Default"/>
        <w:rPr>
          <w:rFonts w:ascii="Times New Roman" w:eastAsia="Times New Roman" w:hAnsi="Times New Roman" w:cs="Times New Roman"/>
          <w:color w:val="auto"/>
          <w:lang w:eastAsia="cs-CZ"/>
        </w:rPr>
      </w:pPr>
      <w:r>
        <w:separator/>
      </w:r>
    </w:p>
  </w:footnote>
  <w:footnote w:type="continuationSeparator" w:id="0">
    <w:p w14:paraId="12FE1A25" w14:textId="77777777" w:rsidR="0090749C" w:rsidRPr="00550B41" w:rsidRDefault="0090749C"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2061306" w14:textId="77777777" w:rsidR="0090749C" w:rsidRDefault="0090749C"/>
  </w:footnote>
  <w:footnote w:id="2">
    <w:p w14:paraId="42BDD74E" w14:textId="77777777" w:rsidR="0090749C" w:rsidRPr="009617DE" w:rsidRDefault="0090749C"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6A3E52AD" w14:textId="35434349" w:rsidR="0090749C" w:rsidRPr="00362584" w:rsidRDefault="0090749C"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w:t>
      </w:r>
      <w:proofErr w:type="spellStart"/>
      <w:r w:rsidRPr="00362584">
        <w:rPr>
          <w:sz w:val="18"/>
          <w:szCs w:val="18"/>
        </w:rPr>
        <w:t>DoP</w:t>
      </w:r>
      <w:proofErr w:type="spellEnd"/>
      <w:r w:rsidRPr="00362584">
        <w:rPr>
          <w:sz w:val="18"/>
          <w:szCs w:val="18"/>
        </w:rPr>
        <w:t>), je celkové procento zapojení dáno jejich součtem.</w:t>
      </w:r>
    </w:p>
  </w:footnote>
  <w:footnote w:id="4">
    <w:p w14:paraId="07F9A6AD" w14:textId="77777777" w:rsidR="0090749C" w:rsidRPr="009617DE" w:rsidRDefault="0090749C" w:rsidP="00224D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Za způsobilý výdaj lze považovat i </w:t>
      </w:r>
      <w:proofErr w:type="spellStart"/>
      <w:r w:rsidRPr="009617DE">
        <w:rPr>
          <w:rFonts w:cs="Arial"/>
          <w:sz w:val="18"/>
          <w:szCs w:val="18"/>
        </w:rPr>
        <w:t>indispoziční</w:t>
      </w:r>
      <w:proofErr w:type="spellEnd"/>
      <w:r w:rsidRPr="009617DE">
        <w:rPr>
          <w:rFonts w:cs="Arial"/>
          <w:sz w:val="18"/>
          <w:szCs w:val="18"/>
        </w:rPr>
        <w:t xml:space="preserve"> volno, pokud je upraveno ve vnitřním předpisu zaměstnavatele.</w:t>
      </w:r>
    </w:p>
  </w:footnote>
  <w:footnote w:id="5">
    <w:p w14:paraId="0F508F58" w14:textId="0EE9EB6C" w:rsidR="0090749C" w:rsidRPr="00362584" w:rsidRDefault="0090749C"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 Ustanovení se vztahuje i na náhrady mzdy či platu i před vydáním této verze přílohy č. 11 PŽP.</w:t>
      </w:r>
    </w:p>
  </w:footnote>
  <w:footnote w:id="6">
    <w:p w14:paraId="0F7BFE70" w14:textId="30EE445D" w:rsidR="0090749C" w:rsidRPr="00E92845" w:rsidRDefault="0090749C" w:rsidP="00051D98">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Za způsobilé výdaje lze považovat i náhrady mzdy nebo platu za první tři dny pracovní neschopnosti, pokud je tak upraveno v kolektivní smlouvě či vnitřním předpisu zaměstnavatele.</w:t>
      </w:r>
    </w:p>
  </w:footnote>
  <w:footnote w:id="7">
    <w:p w14:paraId="22DCBC05" w14:textId="3EF94C0D" w:rsidR="0090749C" w:rsidRPr="009617DE" w:rsidRDefault="0090749C"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8">
    <w:p w14:paraId="4BB9D236" w14:textId="77777777" w:rsidR="0090749C" w:rsidRPr="00E92845" w:rsidRDefault="0090749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9">
    <w:p w14:paraId="0925E18A" w14:textId="4642DA44" w:rsidR="0090749C" w:rsidRPr="009617DE" w:rsidRDefault="0090749C"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0">
    <w:p w14:paraId="0D4A16D2" w14:textId="77777777" w:rsidR="0090749C" w:rsidRPr="009617DE" w:rsidRDefault="0090749C">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1">
    <w:p w14:paraId="6E5A25CB" w14:textId="77777777" w:rsidR="0090749C" w:rsidRPr="007909EB" w:rsidRDefault="0090749C">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2">
    <w:p w14:paraId="1368BCBB" w14:textId="77777777" w:rsidR="0090749C" w:rsidRPr="007D698B" w:rsidRDefault="0090749C"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3">
    <w:p w14:paraId="03DECA69" w14:textId="07BA2714" w:rsidR="0090749C" w:rsidRPr="00DD212A" w:rsidRDefault="0090749C"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4">
    <w:p w14:paraId="341D1FA3" w14:textId="77777777" w:rsidR="0090749C" w:rsidRPr="009617DE" w:rsidRDefault="0090749C">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5">
    <w:p w14:paraId="5C53718D" w14:textId="736C8682" w:rsidR="0090749C" w:rsidRPr="007909EB" w:rsidRDefault="0090749C"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6">
    <w:p w14:paraId="7C217353" w14:textId="660EBE68" w:rsidR="0090749C" w:rsidRPr="009617DE" w:rsidRDefault="0090749C"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7">
    <w:p w14:paraId="0838170D" w14:textId="77777777" w:rsidR="0090749C" w:rsidRPr="00452F8E" w:rsidRDefault="0090749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8">
    <w:p w14:paraId="6AD9059E" w14:textId="68A20D8A" w:rsidR="0090749C" w:rsidRPr="007909EB" w:rsidRDefault="0090749C"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9">
    <w:p w14:paraId="22B96B92" w14:textId="77777777" w:rsidR="0090749C" w:rsidRPr="007909EB" w:rsidRDefault="0090749C"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1332" w14:textId="77777777" w:rsidR="0090749C" w:rsidRDefault="0090749C">
    <w:pPr>
      <w:pStyle w:val="Zhlav"/>
    </w:pPr>
  </w:p>
  <w:p w14:paraId="73602407" w14:textId="77777777" w:rsidR="0090749C" w:rsidRDefault="0090749C">
    <w:pPr>
      <w:pStyle w:val="Zhlav"/>
    </w:pPr>
  </w:p>
  <w:p w14:paraId="4A530998" w14:textId="77777777" w:rsidR="0090749C" w:rsidRDefault="0090749C">
    <w:pPr>
      <w:pStyle w:val="Zhlav"/>
    </w:pPr>
  </w:p>
  <w:p w14:paraId="6EA3D92B" w14:textId="77777777" w:rsidR="0090749C" w:rsidRDefault="009074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43E1" w14:textId="77777777" w:rsidR="0090749C" w:rsidRDefault="0090749C" w:rsidP="00B52FA0">
    <w:pPr>
      <w:pStyle w:val="Zhlav"/>
      <w:jc w:val="center"/>
    </w:pPr>
    <w:r>
      <w:rPr>
        <w:noProof/>
      </w:rPr>
      <w:drawing>
        <wp:anchor distT="0" distB="0" distL="114300" distR="114300" simplePos="0" relativeHeight="251658240" behindDoc="0" locked="0" layoutInCell="1" allowOverlap="1" wp14:anchorId="481B49D1" wp14:editId="59EBB64F">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3"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11"/>
  </w:num>
  <w:num w:numId="3">
    <w:abstractNumId w:val="18"/>
  </w:num>
  <w:num w:numId="4">
    <w:abstractNumId w:val="21"/>
  </w:num>
  <w:num w:numId="5">
    <w:abstractNumId w:val="3"/>
  </w:num>
  <w:num w:numId="6">
    <w:abstractNumId w:val="15"/>
  </w:num>
  <w:num w:numId="7">
    <w:abstractNumId w:val="25"/>
  </w:num>
  <w:num w:numId="8">
    <w:abstractNumId w:val="6"/>
  </w:num>
  <w:num w:numId="9">
    <w:abstractNumId w:val="5"/>
  </w:num>
  <w:num w:numId="10">
    <w:abstractNumId w:val="10"/>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27"/>
  </w:num>
  <w:num w:numId="14">
    <w:abstractNumId w:val="22"/>
  </w:num>
  <w:num w:numId="15">
    <w:abstractNumId w:val="2"/>
  </w:num>
  <w:num w:numId="16">
    <w:abstractNumId w:val="19"/>
  </w:num>
  <w:num w:numId="17">
    <w:abstractNumId w:val="5"/>
  </w:num>
  <w:num w:numId="18">
    <w:abstractNumId w:val="26"/>
  </w:num>
  <w:num w:numId="19">
    <w:abstractNumId w:val="23"/>
  </w:num>
  <w:num w:numId="20">
    <w:abstractNumId w:val="13"/>
  </w:num>
  <w:num w:numId="21">
    <w:abstractNumId w:val="12"/>
  </w:num>
  <w:num w:numId="22">
    <w:abstractNumId w:val="7"/>
  </w:num>
  <w:num w:numId="23">
    <w:abstractNumId w:val="7"/>
  </w:num>
  <w:num w:numId="24">
    <w:abstractNumId w:val="28"/>
  </w:num>
  <w:num w:numId="25">
    <w:abstractNumId w:val="8"/>
  </w:num>
  <w:num w:numId="26">
    <w:abstractNumId w:val="29"/>
  </w:num>
  <w:num w:numId="27">
    <w:abstractNumId w:val="29"/>
  </w:num>
  <w:num w:numId="28">
    <w:abstractNumId w:val="29"/>
  </w:num>
  <w:num w:numId="29">
    <w:abstractNumId w:val="9"/>
  </w:num>
  <w:num w:numId="30">
    <w:abstractNumId w:val="0"/>
  </w:num>
  <w:num w:numId="31">
    <w:abstractNumId w:val="20"/>
  </w:num>
  <w:num w:numId="32">
    <w:abstractNumId w:val="16"/>
  </w:num>
  <w:num w:numId="33">
    <w:abstractNumId w:val="17"/>
  </w:num>
  <w:num w:numId="34">
    <w:abstractNumId w:val="14"/>
  </w:num>
  <w:num w:numId="35">
    <w:abstractNumId w:val="14"/>
  </w:num>
  <w:num w:numId="36">
    <w:abstractNumId w:val="14"/>
  </w:num>
  <w:num w:numId="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5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AC"/>
    <w:rsid w:val="000000C2"/>
    <w:rsid w:val="00000D44"/>
    <w:rsid w:val="00000DC1"/>
    <w:rsid w:val="0000177E"/>
    <w:rsid w:val="0000336F"/>
    <w:rsid w:val="000034C8"/>
    <w:rsid w:val="000036D8"/>
    <w:rsid w:val="00003EDA"/>
    <w:rsid w:val="00004659"/>
    <w:rsid w:val="00005477"/>
    <w:rsid w:val="000054F2"/>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889"/>
    <w:rsid w:val="00022BC5"/>
    <w:rsid w:val="00023DEE"/>
    <w:rsid w:val="000245AD"/>
    <w:rsid w:val="000254DB"/>
    <w:rsid w:val="0002553E"/>
    <w:rsid w:val="0003042D"/>
    <w:rsid w:val="00030B13"/>
    <w:rsid w:val="00033D8B"/>
    <w:rsid w:val="000352E1"/>
    <w:rsid w:val="00035B41"/>
    <w:rsid w:val="00035E10"/>
    <w:rsid w:val="000408A1"/>
    <w:rsid w:val="000434D4"/>
    <w:rsid w:val="000449B1"/>
    <w:rsid w:val="00046E53"/>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9F3"/>
    <w:rsid w:val="00071706"/>
    <w:rsid w:val="00082DCE"/>
    <w:rsid w:val="000837A4"/>
    <w:rsid w:val="00085DA7"/>
    <w:rsid w:val="00085DEA"/>
    <w:rsid w:val="00086052"/>
    <w:rsid w:val="00086A18"/>
    <w:rsid w:val="00086B53"/>
    <w:rsid w:val="00086C8F"/>
    <w:rsid w:val="00091571"/>
    <w:rsid w:val="0009189F"/>
    <w:rsid w:val="00091932"/>
    <w:rsid w:val="00096153"/>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28DF"/>
    <w:rsid w:val="000F3235"/>
    <w:rsid w:val="000F5F05"/>
    <w:rsid w:val="000F6A9C"/>
    <w:rsid w:val="000F6C24"/>
    <w:rsid w:val="0010121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5D4F"/>
    <w:rsid w:val="00126C54"/>
    <w:rsid w:val="00127D70"/>
    <w:rsid w:val="00127DA5"/>
    <w:rsid w:val="0013066C"/>
    <w:rsid w:val="00131426"/>
    <w:rsid w:val="00133FCD"/>
    <w:rsid w:val="00136A0C"/>
    <w:rsid w:val="00137016"/>
    <w:rsid w:val="00140742"/>
    <w:rsid w:val="001412BD"/>
    <w:rsid w:val="001440DB"/>
    <w:rsid w:val="001444F8"/>
    <w:rsid w:val="00144C60"/>
    <w:rsid w:val="00145C48"/>
    <w:rsid w:val="0014619F"/>
    <w:rsid w:val="00146D8F"/>
    <w:rsid w:val="001472F2"/>
    <w:rsid w:val="001477AA"/>
    <w:rsid w:val="00151D93"/>
    <w:rsid w:val="00151DA4"/>
    <w:rsid w:val="00152729"/>
    <w:rsid w:val="0015326B"/>
    <w:rsid w:val="001568B1"/>
    <w:rsid w:val="00156D64"/>
    <w:rsid w:val="001601DB"/>
    <w:rsid w:val="001612BF"/>
    <w:rsid w:val="0016343A"/>
    <w:rsid w:val="00164819"/>
    <w:rsid w:val="00164A53"/>
    <w:rsid w:val="00165252"/>
    <w:rsid w:val="00165723"/>
    <w:rsid w:val="00167196"/>
    <w:rsid w:val="0017092B"/>
    <w:rsid w:val="00171D79"/>
    <w:rsid w:val="00172390"/>
    <w:rsid w:val="00172692"/>
    <w:rsid w:val="001727BE"/>
    <w:rsid w:val="001730DC"/>
    <w:rsid w:val="0017319C"/>
    <w:rsid w:val="001747AC"/>
    <w:rsid w:val="001759E2"/>
    <w:rsid w:val="00176EBA"/>
    <w:rsid w:val="001778EF"/>
    <w:rsid w:val="00180420"/>
    <w:rsid w:val="00191146"/>
    <w:rsid w:val="00191B06"/>
    <w:rsid w:val="00195DEE"/>
    <w:rsid w:val="00197381"/>
    <w:rsid w:val="001A056A"/>
    <w:rsid w:val="001A09B9"/>
    <w:rsid w:val="001A1C44"/>
    <w:rsid w:val="001A1CCE"/>
    <w:rsid w:val="001A1DC4"/>
    <w:rsid w:val="001A5A5B"/>
    <w:rsid w:val="001A76AE"/>
    <w:rsid w:val="001B0398"/>
    <w:rsid w:val="001B03DA"/>
    <w:rsid w:val="001B15E5"/>
    <w:rsid w:val="001B1689"/>
    <w:rsid w:val="001B1E29"/>
    <w:rsid w:val="001B1EF1"/>
    <w:rsid w:val="001B2694"/>
    <w:rsid w:val="001B31A7"/>
    <w:rsid w:val="001B65FA"/>
    <w:rsid w:val="001B7406"/>
    <w:rsid w:val="001B7411"/>
    <w:rsid w:val="001C0326"/>
    <w:rsid w:val="001C08EE"/>
    <w:rsid w:val="001C593F"/>
    <w:rsid w:val="001C7773"/>
    <w:rsid w:val="001D13B5"/>
    <w:rsid w:val="001D32AD"/>
    <w:rsid w:val="001D55C7"/>
    <w:rsid w:val="001D639A"/>
    <w:rsid w:val="001D641B"/>
    <w:rsid w:val="001E1BC0"/>
    <w:rsid w:val="001E3117"/>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129E"/>
    <w:rsid w:val="00231D27"/>
    <w:rsid w:val="002325C4"/>
    <w:rsid w:val="00232D7E"/>
    <w:rsid w:val="0023440C"/>
    <w:rsid w:val="00235000"/>
    <w:rsid w:val="00235142"/>
    <w:rsid w:val="00235EBC"/>
    <w:rsid w:val="002420DA"/>
    <w:rsid w:val="00243A71"/>
    <w:rsid w:val="00245882"/>
    <w:rsid w:val="00245B14"/>
    <w:rsid w:val="0024610B"/>
    <w:rsid w:val="00250C48"/>
    <w:rsid w:val="0025393B"/>
    <w:rsid w:val="00256947"/>
    <w:rsid w:val="00256B95"/>
    <w:rsid w:val="00257046"/>
    <w:rsid w:val="0025741B"/>
    <w:rsid w:val="00257903"/>
    <w:rsid w:val="00260540"/>
    <w:rsid w:val="002605B0"/>
    <w:rsid w:val="00262062"/>
    <w:rsid w:val="00266B3E"/>
    <w:rsid w:val="00270F99"/>
    <w:rsid w:val="00271AB8"/>
    <w:rsid w:val="002771AE"/>
    <w:rsid w:val="00280278"/>
    <w:rsid w:val="002803ED"/>
    <w:rsid w:val="0028195B"/>
    <w:rsid w:val="00282239"/>
    <w:rsid w:val="00284DC8"/>
    <w:rsid w:val="00286E52"/>
    <w:rsid w:val="002879C5"/>
    <w:rsid w:val="00290886"/>
    <w:rsid w:val="0029089A"/>
    <w:rsid w:val="00291F37"/>
    <w:rsid w:val="002925CC"/>
    <w:rsid w:val="002937F9"/>
    <w:rsid w:val="002938AC"/>
    <w:rsid w:val="002975A8"/>
    <w:rsid w:val="00297D39"/>
    <w:rsid w:val="002A07A1"/>
    <w:rsid w:val="002A0E04"/>
    <w:rsid w:val="002A27A6"/>
    <w:rsid w:val="002A494F"/>
    <w:rsid w:val="002A5762"/>
    <w:rsid w:val="002B07F2"/>
    <w:rsid w:val="002B10CE"/>
    <w:rsid w:val="002B3965"/>
    <w:rsid w:val="002B5DC4"/>
    <w:rsid w:val="002C1E13"/>
    <w:rsid w:val="002C29E7"/>
    <w:rsid w:val="002C3265"/>
    <w:rsid w:val="002C3402"/>
    <w:rsid w:val="002C35C2"/>
    <w:rsid w:val="002C3D49"/>
    <w:rsid w:val="002C46C8"/>
    <w:rsid w:val="002C5DB3"/>
    <w:rsid w:val="002C6505"/>
    <w:rsid w:val="002C6F28"/>
    <w:rsid w:val="002D309A"/>
    <w:rsid w:val="002D3384"/>
    <w:rsid w:val="002D4612"/>
    <w:rsid w:val="002D7496"/>
    <w:rsid w:val="002E06B9"/>
    <w:rsid w:val="002E52CA"/>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B3C"/>
    <w:rsid w:val="003132E6"/>
    <w:rsid w:val="00313900"/>
    <w:rsid w:val="00313D4E"/>
    <w:rsid w:val="00314130"/>
    <w:rsid w:val="003148EB"/>
    <w:rsid w:val="0031610D"/>
    <w:rsid w:val="00316391"/>
    <w:rsid w:val="003201D4"/>
    <w:rsid w:val="003208C9"/>
    <w:rsid w:val="00321DFF"/>
    <w:rsid w:val="00322012"/>
    <w:rsid w:val="00322D4D"/>
    <w:rsid w:val="00324262"/>
    <w:rsid w:val="00331242"/>
    <w:rsid w:val="00332AFE"/>
    <w:rsid w:val="00335962"/>
    <w:rsid w:val="00336FAC"/>
    <w:rsid w:val="003427EC"/>
    <w:rsid w:val="00342EDB"/>
    <w:rsid w:val="00343DE3"/>
    <w:rsid w:val="00345254"/>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E9F"/>
    <w:rsid w:val="00383850"/>
    <w:rsid w:val="0038408D"/>
    <w:rsid w:val="00386477"/>
    <w:rsid w:val="00386DB4"/>
    <w:rsid w:val="00386DBE"/>
    <w:rsid w:val="00386EE4"/>
    <w:rsid w:val="00387377"/>
    <w:rsid w:val="0039170D"/>
    <w:rsid w:val="003928CD"/>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CFE"/>
    <w:rsid w:val="003D5AC2"/>
    <w:rsid w:val="003D7E7C"/>
    <w:rsid w:val="003E2198"/>
    <w:rsid w:val="003E23E1"/>
    <w:rsid w:val="003E3A05"/>
    <w:rsid w:val="003E4415"/>
    <w:rsid w:val="003E4C5B"/>
    <w:rsid w:val="003E58D1"/>
    <w:rsid w:val="003F10BF"/>
    <w:rsid w:val="003F5212"/>
    <w:rsid w:val="004005EA"/>
    <w:rsid w:val="0040093F"/>
    <w:rsid w:val="00401446"/>
    <w:rsid w:val="004046DA"/>
    <w:rsid w:val="004055B8"/>
    <w:rsid w:val="00406726"/>
    <w:rsid w:val="00410FCC"/>
    <w:rsid w:val="00413237"/>
    <w:rsid w:val="0041451A"/>
    <w:rsid w:val="0041561A"/>
    <w:rsid w:val="00415F76"/>
    <w:rsid w:val="004169FF"/>
    <w:rsid w:val="00417133"/>
    <w:rsid w:val="004202C4"/>
    <w:rsid w:val="0042090D"/>
    <w:rsid w:val="00420BBE"/>
    <w:rsid w:val="00420DEB"/>
    <w:rsid w:val="004216FA"/>
    <w:rsid w:val="0042178E"/>
    <w:rsid w:val="00425603"/>
    <w:rsid w:val="0042731E"/>
    <w:rsid w:val="00427ABE"/>
    <w:rsid w:val="0043207E"/>
    <w:rsid w:val="0043669F"/>
    <w:rsid w:val="00436827"/>
    <w:rsid w:val="00440D8F"/>
    <w:rsid w:val="0044221B"/>
    <w:rsid w:val="0044288E"/>
    <w:rsid w:val="00443B14"/>
    <w:rsid w:val="00443D71"/>
    <w:rsid w:val="00444102"/>
    <w:rsid w:val="00444241"/>
    <w:rsid w:val="00447A0E"/>
    <w:rsid w:val="00451294"/>
    <w:rsid w:val="00452951"/>
    <w:rsid w:val="0045756D"/>
    <w:rsid w:val="004605CF"/>
    <w:rsid w:val="0046253E"/>
    <w:rsid w:val="00462BF2"/>
    <w:rsid w:val="004632B5"/>
    <w:rsid w:val="00467410"/>
    <w:rsid w:val="0047137D"/>
    <w:rsid w:val="00471C68"/>
    <w:rsid w:val="00473DF0"/>
    <w:rsid w:val="00474D36"/>
    <w:rsid w:val="00475FF4"/>
    <w:rsid w:val="00480620"/>
    <w:rsid w:val="00480DBC"/>
    <w:rsid w:val="004816FD"/>
    <w:rsid w:val="00481CB0"/>
    <w:rsid w:val="004824ED"/>
    <w:rsid w:val="0048290C"/>
    <w:rsid w:val="00483BAD"/>
    <w:rsid w:val="004870DA"/>
    <w:rsid w:val="00487572"/>
    <w:rsid w:val="004928AE"/>
    <w:rsid w:val="00493CE3"/>
    <w:rsid w:val="0049432A"/>
    <w:rsid w:val="004A1D27"/>
    <w:rsid w:val="004A422A"/>
    <w:rsid w:val="004A48A4"/>
    <w:rsid w:val="004A48DF"/>
    <w:rsid w:val="004A4B43"/>
    <w:rsid w:val="004B019D"/>
    <w:rsid w:val="004B2CE7"/>
    <w:rsid w:val="004B437D"/>
    <w:rsid w:val="004B4565"/>
    <w:rsid w:val="004B4C76"/>
    <w:rsid w:val="004B6A59"/>
    <w:rsid w:val="004B6BF8"/>
    <w:rsid w:val="004B7646"/>
    <w:rsid w:val="004C01BF"/>
    <w:rsid w:val="004C162A"/>
    <w:rsid w:val="004C251A"/>
    <w:rsid w:val="004C4021"/>
    <w:rsid w:val="004C4585"/>
    <w:rsid w:val="004C5D2F"/>
    <w:rsid w:val="004C61A7"/>
    <w:rsid w:val="004C65DC"/>
    <w:rsid w:val="004C678C"/>
    <w:rsid w:val="004C6E20"/>
    <w:rsid w:val="004C7386"/>
    <w:rsid w:val="004D2E0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5E9C"/>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1FF1"/>
    <w:rsid w:val="005353AF"/>
    <w:rsid w:val="005358B4"/>
    <w:rsid w:val="00535B76"/>
    <w:rsid w:val="005371BB"/>
    <w:rsid w:val="00537CFE"/>
    <w:rsid w:val="00541193"/>
    <w:rsid w:val="00543288"/>
    <w:rsid w:val="005446F3"/>
    <w:rsid w:val="0054483C"/>
    <w:rsid w:val="00546A3A"/>
    <w:rsid w:val="00550B41"/>
    <w:rsid w:val="005535AC"/>
    <w:rsid w:val="0055458B"/>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6ACB"/>
    <w:rsid w:val="00587F65"/>
    <w:rsid w:val="00590508"/>
    <w:rsid w:val="00590C60"/>
    <w:rsid w:val="00591630"/>
    <w:rsid w:val="0059466A"/>
    <w:rsid w:val="0059586B"/>
    <w:rsid w:val="00596E03"/>
    <w:rsid w:val="00597541"/>
    <w:rsid w:val="005A1E6D"/>
    <w:rsid w:val="005A60AC"/>
    <w:rsid w:val="005A79C7"/>
    <w:rsid w:val="005A7A62"/>
    <w:rsid w:val="005A7FE8"/>
    <w:rsid w:val="005B0806"/>
    <w:rsid w:val="005B0866"/>
    <w:rsid w:val="005B34E5"/>
    <w:rsid w:val="005B4262"/>
    <w:rsid w:val="005B6725"/>
    <w:rsid w:val="005B695B"/>
    <w:rsid w:val="005B6BCE"/>
    <w:rsid w:val="005C0B34"/>
    <w:rsid w:val="005C3226"/>
    <w:rsid w:val="005C676B"/>
    <w:rsid w:val="005C6F50"/>
    <w:rsid w:val="005C77D9"/>
    <w:rsid w:val="005D074B"/>
    <w:rsid w:val="005D76CD"/>
    <w:rsid w:val="005D7EBE"/>
    <w:rsid w:val="005E21C5"/>
    <w:rsid w:val="005E2FBA"/>
    <w:rsid w:val="005E34F1"/>
    <w:rsid w:val="005E5014"/>
    <w:rsid w:val="005E574C"/>
    <w:rsid w:val="005E6ED9"/>
    <w:rsid w:val="005F0D84"/>
    <w:rsid w:val="005F19BA"/>
    <w:rsid w:val="005F1B36"/>
    <w:rsid w:val="005F3F56"/>
    <w:rsid w:val="005F3F96"/>
    <w:rsid w:val="005F46F1"/>
    <w:rsid w:val="005F5B27"/>
    <w:rsid w:val="005F5DBF"/>
    <w:rsid w:val="006008B7"/>
    <w:rsid w:val="0060107A"/>
    <w:rsid w:val="006014B1"/>
    <w:rsid w:val="00601A48"/>
    <w:rsid w:val="00602293"/>
    <w:rsid w:val="006046CA"/>
    <w:rsid w:val="00605145"/>
    <w:rsid w:val="00605B52"/>
    <w:rsid w:val="00605D61"/>
    <w:rsid w:val="00607835"/>
    <w:rsid w:val="006126F3"/>
    <w:rsid w:val="00613235"/>
    <w:rsid w:val="0061420A"/>
    <w:rsid w:val="00615B17"/>
    <w:rsid w:val="00622724"/>
    <w:rsid w:val="00622FDD"/>
    <w:rsid w:val="006235ED"/>
    <w:rsid w:val="00623D3E"/>
    <w:rsid w:val="00624E87"/>
    <w:rsid w:val="0062579E"/>
    <w:rsid w:val="00626351"/>
    <w:rsid w:val="00630412"/>
    <w:rsid w:val="00633581"/>
    <w:rsid w:val="00634592"/>
    <w:rsid w:val="00634CE2"/>
    <w:rsid w:val="00636E3F"/>
    <w:rsid w:val="006421C9"/>
    <w:rsid w:val="006443E9"/>
    <w:rsid w:val="00645321"/>
    <w:rsid w:val="00646358"/>
    <w:rsid w:val="00646370"/>
    <w:rsid w:val="0065055C"/>
    <w:rsid w:val="0065072E"/>
    <w:rsid w:val="00651F9C"/>
    <w:rsid w:val="00654281"/>
    <w:rsid w:val="00654E93"/>
    <w:rsid w:val="00656F68"/>
    <w:rsid w:val="00660790"/>
    <w:rsid w:val="00662753"/>
    <w:rsid w:val="006640A4"/>
    <w:rsid w:val="00665231"/>
    <w:rsid w:val="00666547"/>
    <w:rsid w:val="006665A7"/>
    <w:rsid w:val="0067156E"/>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91314"/>
    <w:rsid w:val="00691731"/>
    <w:rsid w:val="006917A1"/>
    <w:rsid w:val="00691ECE"/>
    <w:rsid w:val="00693F60"/>
    <w:rsid w:val="006954EB"/>
    <w:rsid w:val="00695D9E"/>
    <w:rsid w:val="006968E6"/>
    <w:rsid w:val="006970DA"/>
    <w:rsid w:val="00697EDA"/>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7940"/>
    <w:rsid w:val="007007B7"/>
    <w:rsid w:val="00701773"/>
    <w:rsid w:val="00707E3D"/>
    <w:rsid w:val="00707F4E"/>
    <w:rsid w:val="00710DD3"/>
    <w:rsid w:val="00711861"/>
    <w:rsid w:val="0071441A"/>
    <w:rsid w:val="00714D9F"/>
    <w:rsid w:val="00716BD2"/>
    <w:rsid w:val="00717A1E"/>
    <w:rsid w:val="00717C27"/>
    <w:rsid w:val="00721416"/>
    <w:rsid w:val="00722259"/>
    <w:rsid w:val="0072268A"/>
    <w:rsid w:val="0072308B"/>
    <w:rsid w:val="00724D2F"/>
    <w:rsid w:val="00724EFE"/>
    <w:rsid w:val="00727205"/>
    <w:rsid w:val="00727DB0"/>
    <w:rsid w:val="00730118"/>
    <w:rsid w:val="00731D78"/>
    <w:rsid w:val="007323A3"/>
    <w:rsid w:val="00736DBE"/>
    <w:rsid w:val="007417C1"/>
    <w:rsid w:val="00741AE1"/>
    <w:rsid w:val="0074440C"/>
    <w:rsid w:val="0075029D"/>
    <w:rsid w:val="00750D83"/>
    <w:rsid w:val="00750F17"/>
    <w:rsid w:val="00754237"/>
    <w:rsid w:val="007635F9"/>
    <w:rsid w:val="00765BF2"/>
    <w:rsid w:val="00770A56"/>
    <w:rsid w:val="0077106B"/>
    <w:rsid w:val="00771877"/>
    <w:rsid w:val="00773C43"/>
    <w:rsid w:val="00773E74"/>
    <w:rsid w:val="00774C11"/>
    <w:rsid w:val="00780E93"/>
    <w:rsid w:val="0078348B"/>
    <w:rsid w:val="0078390C"/>
    <w:rsid w:val="007849D0"/>
    <w:rsid w:val="00785880"/>
    <w:rsid w:val="007909EB"/>
    <w:rsid w:val="00790CE2"/>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3734"/>
    <w:rsid w:val="007E4C15"/>
    <w:rsid w:val="007F04F1"/>
    <w:rsid w:val="007F0E00"/>
    <w:rsid w:val="007F1D48"/>
    <w:rsid w:val="007F1DE2"/>
    <w:rsid w:val="007F3718"/>
    <w:rsid w:val="007F3A59"/>
    <w:rsid w:val="007F4369"/>
    <w:rsid w:val="007F4540"/>
    <w:rsid w:val="007F60E2"/>
    <w:rsid w:val="007F7276"/>
    <w:rsid w:val="00800E5E"/>
    <w:rsid w:val="00802ADF"/>
    <w:rsid w:val="0080302A"/>
    <w:rsid w:val="00803A41"/>
    <w:rsid w:val="00811012"/>
    <w:rsid w:val="008114F2"/>
    <w:rsid w:val="00814204"/>
    <w:rsid w:val="00816AA1"/>
    <w:rsid w:val="00821D63"/>
    <w:rsid w:val="00822A69"/>
    <w:rsid w:val="0082734C"/>
    <w:rsid w:val="00827A6A"/>
    <w:rsid w:val="00827B98"/>
    <w:rsid w:val="00827C89"/>
    <w:rsid w:val="00831380"/>
    <w:rsid w:val="00831BCD"/>
    <w:rsid w:val="00831BEC"/>
    <w:rsid w:val="008334CC"/>
    <w:rsid w:val="008339A3"/>
    <w:rsid w:val="00834251"/>
    <w:rsid w:val="008343D0"/>
    <w:rsid w:val="00840E04"/>
    <w:rsid w:val="0084179F"/>
    <w:rsid w:val="008426D6"/>
    <w:rsid w:val="00845691"/>
    <w:rsid w:val="0084571A"/>
    <w:rsid w:val="00845DF6"/>
    <w:rsid w:val="00846CBE"/>
    <w:rsid w:val="0084724C"/>
    <w:rsid w:val="008506A5"/>
    <w:rsid w:val="008529AE"/>
    <w:rsid w:val="00852E52"/>
    <w:rsid w:val="00854528"/>
    <w:rsid w:val="008548E3"/>
    <w:rsid w:val="008600C2"/>
    <w:rsid w:val="0086066B"/>
    <w:rsid w:val="00862601"/>
    <w:rsid w:val="008629D0"/>
    <w:rsid w:val="00865E3B"/>
    <w:rsid w:val="00867C9F"/>
    <w:rsid w:val="008734B7"/>
    <w:rsid w:val="008734D1"/>
    <w:rsid w:val="008736C3"/>
    <w:rsid w:val="00873A71"/>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5D36"/>
    <w:rsid w:val="008A6736"/>
    <w:rsid w:val="008A72B3"/>
    <w:rsid w:val="008A7C61"/>
    <w:rsid w:val="008B0A83"/>
    <w:rsid w:val="008B1AE8"/>
    <w:rsid w:val="008B2B29"/>
    <w:rsid w:val="008B4043"/>
    <w:rsid w:val="008B57A0"/>
    <w:rsid w:val="008B5A1E"/>
    <w:rsid w:val="008B67D6"/>
    <w:rsid w:val="008C092B"/>
    <w:rsid w:val="008C0F7B"/>
    <w:rsid w:val="008C2179"/>
    <w:rsid w:val="008C25E2"/>
    <w:rsid w:val="008C3B52"/>
    <w:rsid w:val="008C404C"/>
    <w:rsid w:val="008C598B"/>
    <w:rsid w:val="008C6847"/>
    <w:rsid w:val="008D000E"/>
    <w:rsid w:val="008D06D7"/>
    <w:rsid w:val="008D0ACB"/>
    <w:rsid w:val="008D41D8"/>
    <w:rsid w:val="008D5056"/>
    <w:rsid w:val="008E1B87"/>
    <w:rsid w:val="008E3705"/>
    <w:rsid w:val="008E5A7D"/>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5715"/>
    <w:rsid w:val="00967CD9"/>
    <w:rsid w:val="00970908"/>
    <w:rsid w:val="00972CFC"/>
    <w:rsid w:val="00973FCE"/>
    <w:rsid w:val="00974AD1"/>
    <w:rsid w:val="00976AC0"/>
    <w:rsid w:val="00977DB9"/>
    <w:rsid w:val="009861E6"/>
    <w:rsid w:val="009914AF"/>
    <w:rsid w:val="00991B1A"/>
    <w:rsid w:val="00991C7A"/>
    <w:rsid w:val="009958A7"/>
    <w:rsid w:val="0099706E"/>
    <w:rsid w:val="009973E3"/>
    <w:rsid w:val="009A0F52"/>
    <w:rsid w:val="009A2B23"/>
    <w:rsid w:val="009A408A"/>
    <w:rsid w:val="009A5B32"/>
    <w:rsid w:val="009A68C3"/>
    <w:rsid w:val="009B05AA"/>
    <w:rsid w:val="009B09B7"/>
    <w:rsid w:val="009B10DF"/>
    <w:rsid w:val="009B1485"/>
    <w:rsid w:val="009B1722"/>
    <w:rsid w:val="009B1ED6"/>
    <w:rsid w:val="009B2D2D"/>
    <w:rsid w:val="009B377D"/>
    <w:rsid w:val="009B3922"/>
    <w:rsid w:val="009B6A9D"/>
    <w:rsid w:val="009B6E6B"/>
    <w:rsid w:val="009B6F2E"/>
    <w:rsid w:val="009C13F5"/>
    <w:rsid w:val="009C3AAF"/>
    <w:rsid w:val="009C41A1"/>
    <w:rsid w:val="009C448D"/>
    <w:rsid w:val="009C4E0C"/>
    <w:rsid w:val="009C5036"/>
    <w:rsid w:val="009C5318"/>
    <w:rsid w:val="009C5889"/>
    <w:rsid w:val="009C5CE3"/>
    <w:rsid w:val="009D29E0"/>
    <w:rsid w:val="009D59A0"/>
    <w:rsid w:val="009D7A86"/>
    <w:rsid w:val="009E3FCF"/>
    <w:rsid w:val="009E4F35"/>
    <w:rsid w:val="009E528F"/>
    <w:rsid w:val="009E5589"/>
    <w:rsid w:val="009E5747"/>
    <w:rsid w:val="009E6265"/>
    <w:rsid w:val="009E78B8"/>
    <w:rsid w:val="009F01C0"/>
    <w:rsid w:val="009F0314"/>
    <w:rsid w:val="009F1DC8"/>
    <w:rsid w:val="009F21A6"/>
    <w:rsid w:val="009F2215"/>
    <w:rsid w:val="009F2A1B"/>
    <w:rsid w:val="009F2ED7"/>
    <w:rsid w:val="009F380C"/>
    <w:rsid w:val="009F3DE7"/>
    <w:rsid w:val="009F616C"/>
    <w:rsid w:val="009F7914"/>
    <w:rsid w:val="00A001AF"/>
    <w:rsid w:val="00A01E31"/>
    <w:rsid w:val="00A02355"/>
    <w:rsid w:val="00A02DFA"/>
    <w:rsid w:val="00A06ED6"/>
    <w:rsid w:val="00A11F01"/>
    <w:rsid w:val="00A149C1"/>
    <w:rsid w:val="00A15BC6"/>
    <w:rsid w:val="00A20C7C"/>
    <w:rsid w:val="00A22C46"/>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4470"/>
    <w:rsid w:val="00A747CC"/>
    <w:rsid w:val="00A75656"/>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E0C"/>
    <w:rsid w:val="00AB41F1"/>
    <w:rsid w:val="00AB451D"/>
    <w:rsid w:val="00AC43B1"/>
    <w:rsid w:val="00AC6EEF"/>
    <w:rsid w:val="00AD4622"/>
    <w:rsid w:val="00AD5883"/>
    <w:rsid w:val="00AD73AE"/>
    <w:rsid w:val="00AE4ED7"/>
    <w:rsid w:val="00AE7A59"/>
    <w:rsid w:val="00AF0E53"/>
    <w:rsid w:val="00AF2C17"/>
    <w:rsid w:val="00AF2C5F"/>
    <w:rsid w:val="00AF391D"/>
    <w:rsid w:val="00AF6E3D"/>
    <w:rsid w:val="00AF75B4"/>
    <w:rsid w:val="00B016F4"/>
    <w:rsid w:val="00B024E8"/>
    <w:rsid w:val="00B028DA"/>
    <w:rsid w:val="00B05855"/>
    <w:rsid w:val="00B071B4"/>
    <w:rsid w:val="00B101B6"/>
    <w:rsid w:val="00B104B3"/>
    <w:rsid w:val="00B1120C"/>
    <w:rsid w:val="00B1136B"/>
    <w:rsid w:val="00B129B9"/>
    <w:rsid w:val="00B12EFE"/>
    <w:rsid w:val="00B15777"/>
    <w:rsid w:val="00B164FE"/>
    <w:rsid w:val="00B16FBB"/>
    <w:rsid w:val="00B17E04"/>
    <w:rsid w:val="00B20390"/>
    <w:rsid w:val="00B222F4"/>
    <w:rsid w:val="00B224D7"/>
    <w:rsid w:val="00B23185"/>
    <w:rsid w:val="00B24A28"/>
    <w:rsid w:val="00B259D6"/>
    <w:rsid w:val="00B25C4D"/>
    <w:rsid w:val="00B25DA0"/>
    <w:rsid w:val="00B2617F"/>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515DE"/>
    <w:rsid w:val="00B5208D"/>
    <w:rsid w:val="00B523C6"/>
    <w:rsid w:val="00B52FA0"/>
    <w:rsid w:val="00B541E9"/>
    <w:rsid w:val="00B547D1"/>
    <w:rsid w:val="00B54B2B"/>
    <w:rsid w:val="00B55BF2"/>
    <w:rsid w:val="00B56246"/>
    <w:rsid w:val="00B65BCA"/>
    <w:rsid w:val="00B669B9"/>
    <w:rsid w:val="00B66C01"/>
    <w:rsid w:val="00B67949"/>
    <w:rsid w:val="00B7041A"/>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5666"/>
    <w:rsid w:val="00BA6517"/>
    <w:rsid w:val="00BA6D4B"/>
    <w:rsid w:val="00BB13C3"/>
    <w:rsid w:val="00BB18CB"/>
    <w:rsid w:val="00BB21FA"/>
    <w:rsid w:val="00BB2D9B"/>
    <w:rsid w:val="00BB30B0"/>
    <w:rsid w:val="00BB36C1"/>
    <w:rsid w:val="00BB3ADA"/>
    <w:rsid w:val="00BB3EA8"/>
    <w:rsid w:val="00BB6FA9"/>
    <w:rsid w:val="00BC20CD"/>
    <w:rsid w:val="00BC33DC"/>
    <w:rsid w:val="00BC4C0B"/>
    <w:rsid w:val="00BC4EBA"/>
    <w:rsid w:val="00BC5BB6"/>
    <w:rsid w:val="00BC7623"/>
    <w:rsid w:val="00BC7EB6"/>
    <w:rsid w:val="00BD0596"/>
    <w:rsid w:val="00BD1E67"/>
    <w:rsid w:val="00BD4565"/>
    <w:rsid w:val="00BD666E"/>
    <w:rsid w:val="00BD68A1"/>
    <w:rsid w:val="00BD7472"/>
    <w:rsid w:val="00BE02AB"/>
    <w:rsid w:val="00BE1058"/>
    <w:rsid w:val="00BE1B00"/>
    <w:rsid w:val="00BE2263"/>
    <w:rsid w:val="00BE39A1"/>
    <w:rsid w:val="00BE499B"/>
    <w:rsid w:val="00BE4EDD"/>
    <w:rsid w:val="00BE6274"/>
    <w:rsid w:val="00BE71E5"/>
    <w:rsid w:val="00BF35D1"/>
    <w:rsid w:val="00BF41C3"/>
    <w:rsid w:val="00BF48F5"/>
    <w:rsid w:val="00BF5987"/>
    <w:rsid w:val="00C009DF"/>
    <w:rsid w:val="00C01B9E"/>
    <w:rsid w:val="00C02413"/>
    <w:rsid w:val="00C0339B"/>
    <w:rsid w:val="00C04526"/>
    <w:rsid w:val="00C0638C"/>
    <w:rsid w:val="00C13753"/>
    <w:rsid w:val="00C14B94"/>
    <w:rsid w:val="00C22AD8"/>
    <w:rsid w:val="00C23405"/>
    <w:rsid w:val="00C24F1C"/>
    <w:rsid w:val="00C26A67"/>
    <w:rsid w:val="00C30AD3"/>
    <w:rsid w:val="00C316E4"/>
    <w:rsid w:val="00C330F8"/>
    <w:rsid w:val="00C334B6"/>
    <w:rsid w:val="00C33933"/>
    <w:rsid w:val="00C34508"/>
    <w:rsid w:val="00C34B6C"/>
    <w:rsid w:val="00C36DEE"/>
    <w:rsid w:val="00C40483"/>
    <w:rsid w:val="00C42567"/>
    <w:rsid w:val="00C4367C"/>
    <w:rsid w:val="00C43CD1"/>
    <w:rsid w:val="00C44E7E"/>
    <w:rsid w:val="00C46225"/>
    <w:rsid w:val="00C47964"/>
    <w:rsid w:val="00C55AA5"/>
    <w:rsid w:val="00C5694E"/>
    <w:rsid w:val="00C56CCB"/>
    <w:rsid w:val="00C57095"/>
    <w:rsid w:val="00C579E7"/>
    <w:rsid w:val="00C61927"/>
    <w:rsid w:val="00C662B5"/>
    <w:rsid w:val="00C672FF"/>
    <w:rsid w:val="00C73059"/>
    <w:rsid w:val="00C739D9"/>
    <w:rsid w:val="00C74983"/>
    <w:rsid w:val="00C74DB6"/>
    <w:rsid w:val="00C750CB"/>
    <w:rsid w:val="00C760F2"/>
    <w:rsid w:val="00C80188"/>
    <w:rsid w:val="00C80EB1"/>
    <w:rsid w:val="00C84061"/>
    <w:rsid w:val="00C841A3"/>
    <w:rsid w:val="00C86004"/>
    <w:rsid w:val="00C8709C"/>
    <w:rsid w:val="00C93108"/>
    <w:rsid w:val="00C93351"/>
    <w:rsid w:val="00C93AF2"/>
    <w:rsid w:val="00C93DAF"/>
    <w:rsid w:val="00C93F90"/>
    <w:rsid w:val="00C95502"/>
    <w:rsid w:val="00C956FA"/>
    <w:rsid w:val="00C963C2"/>
    <w:rsid w:val="00C9744A"/>
    <w:rsid w:val="00CA0562"/>
    <w:rsid w:val="00CA0D2E"/>
    <w:rsid w:val="00CA1224"/>
    <w:rsid w:val="00CA30AC"/>
    <w:rsid w:val="00CA4BD9"/>
    <w:rsid w:val="00CB193E"/>
    <w:rsid w:val="00CB43FB"/>
    <w:rsid w:val="00CC17AD"/>
    <w:rsid w:val="00CC4E8E"/>
    <w:rsid w:val="00CC722B"/>
    <w:rsid w:val="00CD34FF"/>
    <w:rsid w:val="00CE0FBA"/>
    <w:rsid w:val="00CE1E5C"/>
    <w:rsid w:val="00CE23B7"/>
    <w:rsid w:val="00CE488C"/>
    <w:rsid w:val="00CE4FA8"/>
    <w:rsid w:val="00CE5184"/>
    <w:rsid w:val="00CE5C00"/>
    <w:rsid w:val="00CF2E0E"/>
    <w:rsid w:val="00CF33CE"/>
    <w:rsid w:val="00D0167A"/>
    <w:rsid w:val="00D02334"/>
    <w:rsid w:val="00D028C1"/>
    <w:rsid w:val="00D031FB"/>
    <w:rsid w:val="00D03A74"/>
    <w:rsid w:val="00D03E41"/>
    <w:rsid w:val="00D04213"/>
    <w:rsid w:val="00D04380"/>
    <w:rsid w:val="00D057A7"/>
    <w:rsid w:val="00D0648F"/>
    <w:rsid w:val="00D11490"/>
    <w:rsid w:val="00D12803"/>
    <w:rsid w:val="00D1365B"/>
    <w:rsid w:val="00D20A92"/>
    <w:rsid w:val="00D2137B"/>
    <w:rsid w:val="00D21515"/>
    <w:rsid w:val="00D2196D"/>
    <w:rsid w:val="00D220DD"/>
    <w:rsid w:val="00D243D4"/>
    <w:rsid w:val="00D24683"/>
    <w:rsid w:val="00D24922"/>
    <w:rsid w:val="00D309CD"/>
    <w:rsid w:val="00D3382D"/>
    <w:rsid w:val="00D338BA"/>
    <w:rsid w:val="00D3395F"/>
    <w:rsid w:val="00D4056B"/>
    <w:rsid w:val="00D42F94"/>
    <w:rsid w:val="00D4366F"/>
    <w:rsid w:val="00D43D20"/>
    <w:rsid w:val="00D44177"/>
    <w:rsid w:val="00D4641B"/>
    <w:rsid w:val="00D4679C"/>
    <w:rsid w:val="00D4717E"/>
    <w:rsid w:val="00D47A32"/>
    <w:rsid w:val="00D50627"/>
    <w:rsid w:val="00D51A71"/>
    <w:rsid w:val="00D51C9D"/>
    <w:rsid w:val="00D5226E"/>
    <w:rsid w:val="00D52A37"/>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20F6"/>
    <w:rsid w:val="00D83615"/>
    <w:rsid w:val="00D83963"/>
    <w:rsid w:val="00D85C82"/>
    <w:rsid w:val="00D915E9"/>
    <w:rsid w:val="00D91826"/>
    <w:rsid w:val="00D92CBD"/>
    <w:rsid w:val="00D93AA5"/>
    <w:rsid w:val="00D93BE3"/>
    <w:rsid w:val="00D941D6"/>
    <w:rsid w:val="00D959F7"/>
    <w:rsid w:val="00D95DA8"/>
    <w:rsid w:val="00D96224"/>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E01DE"/>
    <w:rsid w:val="00DE0709"/>
    <w:rsid w:val="00DE2D53"/>
    <w:rsid w:val="00DE3A9F"/>
    <w:rsid w:val="00DE4043"/>
    <w:rsid w:val="00DE6CAD"/>
    <w:rsid w:val="00DE6E91"/>
    <w:rsid w:val="00DE7D1C"/>
    <w:rsid w:val="00DF0BDC"/>
    <w:rsid w:val="00DF1086"/>
    <w:rsid w:val="00DF1667"/>
    <w:rsid w:val="00DF45D9"/>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2740"/>
    <w:rsid w:val="00E35AC5"/>
    <w:rsid w:val="00E366E5"/>
    <w:rsid w:val="00E37E40"/>
    <w:rsid w:val="00E41AD0"/>
    <w:rsid w:val="00E45C44"/>
    <w:rsid w:val="00E50678"/>
    <w:rsid w:val="00E506A5"/>
    <w:rsid w:val="00E51629"/>
    <w:rsid w:val="00E5206E"/>
    <w:rsid w:val="00E53411"/>
    <w:rsid w:val="00E5581B"/>
    <w:rsid w:val="00E57E31"/>
    <w:rsid w:val="00E607DE"/>
    <w:rsid w:val="00E613CD"/>
    <w:rsid w:val="00E6317B"/>
    <w:rsid w:val="00E66041"/>
    <w:rsid w:val="00E6663A"/>
    <w:rsid w:val="00E67DE8"/>
    <w:rsid w:val="00E7109E"/>
    <w:rsid w:val="00E72149"/>
    <w:rsid w:val="00E72E75"/>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18E6"/>
    <w:rsid w:val="00E925CC"/>
    <w:rsid w:val="00E92845"/>
    <w:rsid w:val="00E939C4"/>
    <w:rsid w:val="00E93ED9"/>
    <w:rsid w:val="00E97BAE"/>
    <w:rsid w:val="00EA2314"/>
    <w:rsid w:val="00EA438C"/>
    <w:rsid w:val="00EA555D"/>
    <w:rsid w:val="00EB1CFD"/>
    <w:rsid w:val="00EB2845"/>
    <w:rsid w:val="00EB2C9E"/>
    <w:rsid w:val="00EB3519"/>
    <w:rsid w:val="00EB712D"/>
    <w:rsid w:val="00EB7A2A"/>
    <w:rsid w:val="00EC0657"/>
    <w:rsid w:val="00EC25D0"/>
    <w:rsid w:val="00EC2D35"/>
    <w:rsid w:val="00EC5F85"/>
    <w:rsid w:val="00EC7B4D"/>
    <w:rsid w:val="00ED07DB"/>
    <w:rsid w:val="00ED0CE7"/>
    <w:rsid w:val="00ED34FB"/>
    <w:rsid w:val="00ED605F"/>
    <w:rsid w:val="00EE0003"/>
    <w:rsid w:val="00EE0BA7"/>
    <w:rsid w:val="00EE3B26"/>
    <w:rsid w:val="00EE4956"/>
    <w:rsid w:val="00EE5FAD"/>
    <w:rsid w:val="00EE68AF"/>
    <w:rsid w:val="00EF0716"/>
    <w:rsid w:val="00EF4732"/>
    <w:rsid w:val="00EF6CD1"/>
    <w:rsid w:val="00F0287C"/>
    <w:rsid w:val="00F03409"/>
    <w:rsid w:val="00F04BC2"/>
    <w:rsid w:val="00F05EF8"/>
    <w:rsid w:val="00F10F36"/>
    <w:rsid w:val="00F11896"/>
    <w:rsid w:val="00F12ADD"/>
    <w:rsid w:val="00F135C7"/>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401D"/>
    <w:rsid w:val="00F34169"/>
    <w:rsid w:val="00F34E3F"/>
    <w:rsid w:val="00F352E0"/>
    <w:rsid w:val="00F35A48"/>
    <w:rsid w:val="00F370B1"/>
    <w:rsid w:val="00F416AF"/>
    <w:rsid w:val="00F41F58"/>
    <w:rsid w:val="00F421EF"/>
    <w:rsid w:val="00F44BEA"/>
    <w:rsid w:val="00F44D16"/>
    <w:rsid w:val="00F45203"/>
    <w:rsid w:val="00F50B92"/>
    <w:rsid w:val="00F52643"/>
    <w:rsid w:val="00F53CE0"/>
    <w:rsid w:val="00F5594F"/>
    <w:rsid w:val="00F5726A"/>
    <w:rsid w:val="00F62CAA"/>
    <w:rsid w:val="00F63A1F"/>
    <w:rsid w:val="00F63CF0"/>
    <w:rsid w:val="00F6522B"/>
    <w:rsid w:val="00F65C56"/>
    <w:rsid w:val="00F65FE9"/>
    <w:rsid w:val="00F66609"/>
    <w:rsid w:val="00F666C5"/>
    <w:rsid w:val="00F676F0"/>
    <w:rsid w:val="00F73332"/>
    <w:rsid w:val="00F75C6F"/>
    <w:rsid w:val="00F8502F"/>
    <w:rsid w:val="00F86467"/>
    <w:rsid w:val="00F910CC"/>
    <w:rsid w:val="00F915A4"/>
    <w:rsid w:val="00F91DD7"/>
    <w:rsid w:val="00F920F4"/>
    <w:rsid w:val="00F92E9B"/>
    <w:rsid w:val="00F93640"/>
    <w:rsid w:val="00F936D6"/>
    <w:rsid w:val="00F9377E"/>
    <w:rsid w:val="00F939EE"/>
    <w:rsid w:val="00F93EAB"/>
    <w:rsid w:val="00F9498B"/>
    <w:rsid w:val="00F97640"/>
    <w:rsid w:val="00FA0411"/>
    <w:rsid w:val="00FA217D"/>
    <w:rsid w:val="00FA277D"/>
    <w:rsid w:val="00FA3189"/>
    <w:rsid w:val="00FA33D3"/>
    <w:rsid w:val="00FA450D"/>
    <w:rsid w:val="00FA45F6"/>
    <w:rsid w:val="00FA5F51"/>
    <w:rsid w:val="00FA6D41"/>
    <w:rsid w:val="00FA701B"/>
    <w:rsid w:val="00FA7BF4"/>
    <w:rsid w:val="00FA7F41"/>
    <w:rsid w:val="00FB162A"/>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6E53"/>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7409"/>
    <o:shapelayout v:ext="edit">
      <o:idmap v:ext="edit" data="1"/>
    </o:shapelayout>
  </w:shapeDefaults>
  <w:decimalSymbol w:val=","/>
  <w:listSeparator w:val=";"/>
  <w14:docId w14:val="2831DAFF"/>
  <w15:docId w15:val="{1C04E1A2-D850-4C9F-B721-79B9897D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iPriority w:val="99"/>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7EAC4-A3C6-4583-BA98-31109376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32</Pages>
  <Words>10348</Words>
  <Characters>61055</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Mikanová Helena</cp:lastModifiedBy>
  <cp:revision>95</cp:revision>
  <cp:lastPrinted>2016-02-26T08:40:00Z</cp:lastPrinted>
  <dcterms:created xsi:type="dcterms:W3CDTF">2019-01-08T10:00:00Z</dcterms:created>
  <dcterms:modified xsi:type="dcterms:W3CDTF">2019-01-21T09:56:00Z</dcterms:modified>
</cp:coreProperties>
</file>