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7B38B526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B4D3B">
        <w:rPr>
          <w:b/>
          <w:sz w:val="28"/>
          <w:szCs w:val="28"/>
        </w:rPr>
        <w:t>3</w:t>
      </w:r>
      <w:r w:rsidRPr="0035255D">
        <w:rPr>
          <w:b/>
          <w:sz w:val="28"/>
          <w:szCs w:val="28"/>
        </w:rPr>
        <w:t>/</w:t>
      </w:r>
      <w:r w:rsidR="009C2C96">
        <w:rPr>
          <w:b/>
          <w:sz w:val="28"/>
          <w:szCs w:val="28"/>
        </w:rPr>
        <w:t>5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1E11E3">
        <w:rPr>
          <w:b/>
          <w:sz w:val="28"/>
          <w:szCs w:val="28"/>
        </w:rPr>
        <w:t xml:space="preserve">od </w:t>
      </w:r>
      <w:r w:rsidR="009C2C96">
        <w:rPr>
          <w:b/>
          <w:sz w:val="28"/>
          <w:szCs w:val="28"/>
        </w:rPr>
        <w:t>23.</w:t>
      </w:r>
      <w:r w:rsidR="00094FC3">
        <w:rPr>
          <w:b/>
          <w:sz w:val="28"/>
          <w:szCs w:val="28"/>
        </w:rPr>
        <w:t xml:space="preserve"> </w:t>
      </w:r>
      <w:r w:rsidR="009C2C96">
        <w:rPr>
          <w:b/>
          <w:sz w:val="28"/>
          <w:szCs w:val="28"/>
        </w:rPr>
        <w:t>09.</w:t>
      </w:r>
      <w:r w:rsidR="00094FC3">
        <w:rPr>
          <w:b/>
          <w:sz w:val="28"/>
          <w:szCs w:val="28"/>
        </w:rPr>
        <w:t xml:space="preserve"> </w:t>
      </w:r>
      <w:r w:rsidR="009C2C96">
        <w:rPr>
          <w:b/>
          <w:sz w:val="28"/>
          <w:szCs w:val="28"/>
        </w:rPr>
        <w:t>2022</w:t>
      </w:r>
      <w:r w:rsidR="009804B1" w:rsidRPr="006678BC">
        <w:rPr>
          <w:b/>
          <w:sz w:val="28"/>
          <w:szCs w:val="28"/>
        </w:rPr>
        <w:t xml:space="preserve">, účinnost od </w:t>
      </w:r>
      <w:r w:rsidR="00F77116">
        <w:rPr>
          <w:b/>
          <w:sz w:val="28"/>
          <w:szCs w:val="28"/>
        </w:rPr>
        <w:t xml:space="preserve">01. </w:t>
      </w:r>
      <w:r w:rsidR="009C2C96">
        <w:rPr>
          <w:b/>
          <w:sz w:val="28"/>
          <w:szCs w:val="28"/>
        </w:rPr>
        <w:t>10</w:t>
      </w:r>
      <w:r w:rsidR="009804B1" w:rsidRPr="001E11E3">
        <w:rPr>
          <w:b/>
          <w:sz w:val="28"/>
          <w:szCs w:val="28"/>
        </w:rPr>
        <w:t>. 20</w:t>
      </w:r>
      <w:r w:rsidR="003B4D3B" w:rsidRPr="00977159">
        <w:rPr>
          <w:b/>
          <w:sz w:val="28"/>
          <w:szCs w:val="28"/>
        </w:rPr>
        <w:t>2</w:t>
      </w:r>
      <w:r w:rsidR="00AF701E">
        <w:rPr>
          <w:b/>
          <w:sz w:val="28"/>
          <w:szCs w:val="28"/>
        </w:rPr>
        <w:t>2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</w:t>
      </w:r>
      <w:proofErr w:type="gramStart"/>
      <w:r>
        <w:rPr>
          <w:bCs/>
        </w:rPr>
        <w:t>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</w:t>
      </w:r>
      <w:proofErr w:type="gramEnd"/>
      <w:r>
        <w:rPr>
          <w:bCs/>
        </w:rPr>
        <w:t xml:space="preserve"> ……………..</w:t>
      </w:r>
      <w:r w:rsidR="00F41015">
        <w:rPr>
          <w:bCs/>
        </w:rPr>
        <w:t xml:space="preserve"> </w:t>
      </w:r>
      <w:r>
        <w:rPr>
          <w:bCs/>
        </w:rPr>
        <w:t>ze dne 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</w:t>
      </w:r>
      <w:proofErr w:type="spellStart"/>
      <w:r w:rsidR="00AC33DC">
        <w:rPr>
          <w:snapToGrid w:val="0"/>
          <w:sz w:val="24"/>
        </w:rPr>
        <w:t>ZoR</w:t>
      </w:r>
      <w:proofErr w:type="spellEnd"/>
      <w:r w:rsidR="00AC33DC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AC33DC">
        <w:rPr>
          <w:snapToGrid w:val="0"/>
          <w:sz w:val="24"/>
        </w:rPr>
        <w:t>ZŽoP</w:t>
      </w:r>
      <w:proofErr w:type="spellEnd"/>
      <w:r w:rsidR="00AC33DC">
        <w:rPr>
          <w:snapToGrid w:val="0"/>
          <w:sz w:val="24"/>
        </w:rPr>
        <w:t>“) a informací o pokroku (dále „</w:t>
      </w:r>
      <w:proofErr w:type="spellStart"/>
      <w:r w:rsidR="00AC33DC">
        <w:rPr>
          <w:snapToGrid w:val="0"/>
          <w:sz w:val="24"/>
        </w:rPr>
        <w:t>IoP</w:t>
      </w:r>
      <w:proofErr w:type="spellEnd"/>
      <w:r w:rsidR="00AC33DC">
        <w:rPr>
          <w:snapToGrid w:val="0"/>
          <w:sz w:val="24"/>
        </w:rPr>
        <w:t>“)</w:t>
      </w:r>
      <w:r w:rsidR="00CC6013">
        <w:rPr>
          <w:snapToGrid w:val="0"/>
          <w:sz w:val="24"/>
        </w:rPr>
        <w:t xml:space="preserve"> bez </w:t>
      </w:r>
      <w:proofErr w:type="spellStart"/>
      <w:r w:rsidR="00A16DEE">
        <w:rPr>
          <w:snapToGrid w:val="0"/>
          <w:sz w:val="24"/>
        </w:rPr>
        <w:lastRenderedPageBreak/>
        <w:t>ZŽoP</w:t>
      </w:r>
      <w:proofErr w:type="spellEnd"/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</w:t>
      </w:r>
      <w:proofErr w:type="spellStart"/>
      <w:r w:rsidRPr="006C5C08">
        <w:rPr>
          <w:snapToGrid w:val="0"/>
          <w:sz w:val="24"/>
        </w:rPr>
        <w:t>jednoetapový</w:t>
      </w:r>
      <w:proofErr w:type="spellEnd"/>
      <w:r w:rsidRPr="006C5C08">
        <w:rPr>
          <w:snapToGrid w:val="0"/>
          <w:sz w:val="24"/>
        </w:rPr>
        <w:t xml:space="preserve">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proofErr w:type="spellStart"/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proofErr w:type="spellStart"/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proofErr w:type="spellStart"/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Pr="00CD07FB"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="000D194D"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 xml:space="preserve">se </w:t>
      </w:r>
      <w:proofErr w:type="spellStart"/>
      <w:r w:rsidR="00771090">
        <w:rPr>
          <w:snapToGrid w:val="0"/>
          <w:sz w:val="24"/>
        </w:rPr>
        <w:t>ZŽoP</w:t>
      </w:r>
      <w:proofErr w:type="spellEnd"/>
      <w:r w:rsidR="00671C4E">
        <w:rPr>
          <w:snapToGrid w:val="0"/>
          <w:sz w:val="24"/>
        </w:rPr>
        <w:t xml:space="preserve"> a </w:t>
      </w:r>
      <w:proofErr w:type="spellStart"/>
      <w:r w:rsidR="00671C4E">
        <w:rPr>
          <w:snapToGrid w:val="0"/>
          <w:sz w:val="24"/>
        </w:rPr>
        <w:t>IoP</w:t>
      </w:r>
      <w:proofErr w:type="spellEnd"/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proofErr w:type="spellStart"/>
      <w:r w:rsidR="001146E6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1146E6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projektu/zprávu o udržitelnosti projektu (dále „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projektu“) musí příjemce podat žádost o změnu před podáním této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projektu, a to nejpozději s datem ukončení etapy/projektu. V návaznosti na funkčnost systému je třeba, aby byla nejdříve schválena žádost o změnu a následně podána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proofErr w:type="spellStart"/>
      <w:r w:rsidR="00F33163" w:rsidRPr="007E6168">
        <w:rPr>
          <w:snapToGrid w:val="0"/>
          <w:sz w:val="24"/>
        </w:rPr>
        <w:t>ZŽoP</w:t>
      </w:r>
      <w:proofErr w:type="spellEnd"/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4B28373E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byť i částečně z</w:t>
      </w:r>
      <w:r w:rsidR="00F10E69">
        <w:rPr>
          <w:snapToGrid w:val="0"/>
          <w:sz w:val="24"/>
        </w:rPr>
        <w:t> </w:t>
      </w:r>
      <w:r>
        <w:rPr>
          <w:snapToGrid w:val="0"/>
          <w:sz w:val="24"/>
        </w:rPr>
        <w:t>dotace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>ů a zařazení</w:t>
      </w:r>
      <w:r w:rsidR="00E317D6" w:rsidRPr="007F1822">
        <w:rPr>
          <w:snapToGrid w:val="0"/>
          <w:sz w:val="24"/>
        </w:rPr>
        <w:t xml:space="preserve"> do evidence </w:t>
      </w:r>
      <w:r w:rsidR="00E317D6" w:rsidRPr="007F1822">
        <w:rPr>
          <w:snapToGrid w:val="0"/>
          <w:sz w:val="24"/>
        </w:rPr>
        <w:lastRenderedPageBreak/>
        <w:t>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21C1C750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7F3A5C">
        <w:rPr>
          <w:snapToGrid w:val="0"/>
          <w:sz w:val="24"/>
        </w:rPr>
        <w:t>,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60DC2462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0785917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CD3ADE">
        <w:rPr>
          <w:snapToGrid w:val="0"/>
          <w:sz w:val="24"/>
        </w:rPr>
        <w:t>h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lastRenderedPageBreak/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 xml:space="preserve">předkládané </w:t>
      </w:r>
      <w:proofErr w:type="spellStart"/>
      <w:r w:rsidR="003F2E40" w:rsidRPr="007A7C68">
        <w:rPr>
          <w:snapToGrid w:val="0"/>
          <w:sz w:val="24"/>
        </w:rPr>
        <w:t>ZŽoP</w:t>
      </w:r>
      <w:proofErr w:type="spellEnd"/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</w:t>
      </w:r>
      <w:proofErr w:type="spellStart"/>
      <w:r w:rsidR="001155A7" w:rsidRPr="007A7C68">
        <w:rPr>
          <w:snapToGrid w:val="0"/>
          <w:sz w:val="24"/>
        </w:rPr>
        <w:t>IoP</w:t>
      </w:r>
      <w:proofErr w:type="spellEnd"/>
      <w:r w:rsidR="001155A7" w:rsidRPr="007A7C68">
        <w:rPr>
          <w:snapToGrid w:val="0"/>
          <w:sz w:val="24"/>
        </w:rPr>
        <w:t xml:space="preserve">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</w:t>
      </w:r>
      <w:proofErr w:type="spellStart"/>
      <w:r w:rsidR="001155A7" w:rsidRPr="007A7C68">
        <w:rPr>
          <w:snapToGrid w:val="0"/>
          <w:sz w:val="24"/>
        </w:rPr>
        <w:t>ZŽoP</w:t>
      </w:r>
      <w:proofErr w:type="spellEnd"/>
      <w:r w:rsidR="001155A7" w:rsidRPr="007A7C68">
        <w:rPr>
          <w:snapToGrid w:val="0"/>
          <w:sz w:val="24"/>
        </w:rPr>
        <w:t xml:space="preserve">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</w:t>
      </w:r>
      <w:proofErr w:type="spellStart"/>
      <w:r w:rsidR="003F2E40" w:rsidRPr="00D17746">
        <w:rPr>
          <w:snapToGrid w:val="0"/>
          <w:sz w:val="24"/>
        </w:rPr>
        <w:t>ZŽoP</w:t>
      </w:r>
      <w:proofErr w:type="spellEnd"/>
      <w:r w:rsidR="003F2E40" w:rsidRPr="00D17746">
        <w:rPr>
          <w:snapToGrid w:val="0"/>
          <w:sz w:val="24"/>
        </w:rPr>
        <w:t xml:space="preserve">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6388C36B" w14:textId="5350C1C8" w:rsidR="00CD3ADE" w:rsidRPr="00831FE6" w:rsidRDefault="001E14C0" w:rsidP="00831FE6">
      <w:pPr>
        <w:pStyle w:val="Odstavecseseznamem"/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831FE6">
        <w:rPr>
          <w:snapToGrid w:val="0"/>
          <w:sz w:val="24"/>
        </w:rPr>
        <w:t xml:space="preserve"> </w:t>
      </w:r>
      <w:bookmarkStart w:id="0" w:name="_Hlk90458541"/>
      <w:r w:rsidRPr="00831FE6">
        <w:rPr>
          <w:snapToGrid w:val="0"/>
          <w:sz w:val="24"/>
        </w:rPr>
        <w:t>v části III, na které je poskytnutí dotace vázáno pod bodem 4.</w:t>
      </w:r>
      <w:r w:rsidR="00CD3ADE" w:rsidRPr="00831FE6">
        <w:rPr>
          <w:snapToGrid w:val="0"/>
          <w:sz w:val="24"/>
        </w:rPr>
        <w:t>, bude za každé opožděné nebo nenahlášené oznámení změny stanovena sankce ve výši 10.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000</w:t>
      </w:r>
      <w:r w:rsidR="00831FE6">
        <w:rPr>
          <w:snapToGrid w:val="0"/>
          <w:sz w:val="24"/>
        </w:rPr>
        <w:t>,</w:t>
      </w:r>
      <w:r w:rsidR="00CD3ADE" w:rsidRPr="00831FE6">
        <w:rPr>
          <w:snapToGrid w:val="0"/>
          <w:sz w:val="24"/>
        </w:rPr>
        <w:t>-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Kč. Pozdní oznámení změny statutárního zástupce a jeho kontaktních údajů není považováno za porušení Podmínek.</w:t>
      </w:r>
    </w:p>
    <w:bookmarkEnd w:id="0"/>
    <w:p w14:paraId="23B098CE" w14:textId="5D493FB5" w:rsidR="00831FE6" w:rsidRPr="00831FE6" w:rsidRDefault="00831FE6" w:rsidP="006702FB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32"/>
          <w:szCs w:val="24"/>
        </w:rPr>
      </w:pPr>
      <w:r w:rsidRPr="00831FE6">
        <w:rPr>
          <w:snapToGrid w:val="0"/>
          <w:sz w:val="24"/>
        </w:rPr>
        <w:t>v části III, na které je poskytnutí peněžních prostředků vázáno pod body</w:t>
      </w:r>
      <w:r w:rsidR="001E14C0" w:rsidRPr="00831FE6">
        <w:rPr>
          <w:snapToGrid w:val="0"/>
          <w:sz w:val="24"/>
        </w:rPr>
        <w:t xml:space="preserve"> </w:t>
      </w:r>
      <w:r w:rsidR="008841D0" w:rsidRPr="00831FE6">
        <w:rPr>
          <w:snapToGrid w:val="0"/>
          <w:sz w:val="24"/>
        </w:rPr>
        <w:t>6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7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8</w:t>
      </w:r>
      <w:r w:rsidR="001E14C0" w:rsidRPr="00831FE6">
        <w:rPr>
          <w:snapToGrid w:val="0"/>
          <w:sz w:val="24"/>
        </w:rPr>
        <w:t xml:space="preserve">. </w:t>
      </w:r>
      <w:r w:rsidR="00A440D6" w:rsidRPr="00831FE6">
        <w:rPr>
          <w:snapToGrid w:val="0"/>
          <w:sz w:val="24"/>
        </w:rPr>
        <w:t>ne</w:t>
      </w:r>
      <w:r w:rsidR="001E14C0" w:rsidRPr="00831FE6">
        <w:rPr>
          <w:snapToGrid w:val="0"/>
          <w:sz w:val="24"/>
        </w:rPr>
        <w:t xml:space="preserve">bude </w:t>
      </w:r>
      <w:r w:rsidR="00D735DA" w:rsidRPr="00831FE6">
        <w:rPr>
          <w:snapToGrid w:val="0"/>
          <w:sz w:val="24"/>
        </w:rPr>
        <w:t>vyplaceno</w:t>
      </w:r>
      <w:r w:rsidR="002B0E50" w:rsidRPr="00831FE6">
        <w:rPr>
          <w:snapToGrid w:val="0"/>
          <w:sz w:val="24"/>
        </w:rPr>
        <w:t xml:space="preserve"> </w:t>
      </w:r>
      <w:r w:rsidR="00D735DA" w:rsidRPr="00831FE6">
        <w:rPr>
          <w:snapToGrid w:val="0"/>
          <w:sz w:val="24"/>
        </w:rPr>
        <w:t>10 %</w:t>
      </w:r>
      <w:r w:rsidR="001E14C0" w:rsidRPr="00831FE6">
        <w:rPr>
          <w:snapToGrid w:val="0"/>
          <w:sz w:val="24"/>
        </w:rPr>
        <w:t xml:space="preserve"> z celkové částky</w:t>
      </w:r>
      <w:r w:rsidR="003F2E40" w:rsidRPr="00831FE6">
        <w:rPr>
          <w:snapToGrid w:val="0"/>
          <w:sz w:val="24"/>
        </w:rPr>
        <w:t xml:space="preserve"> vyplacené dotace</w:t>
      </w:r>
      <w:r w:rsidR="001E14C0" w:rsidRPr="00831FE6">
        <w:rPr>
          <w:snapToGrid w:val="0"/>
          <w:sz w:val="24"/>
        </w:rPr>
        <w:t xml:space="preserve">. </w:t>
      </w:r>
      <w:r w:rsidR="00D92507" w:rsidRPr="00831FE6">
        <w:rPr>
          <w:snapToGrid w:val="0"/>
          <w:sz w:val="24"/>
        </w:rPr>
        <w:t>Neinformování</w:t>
      </w:r>
      <w:r w:rsidR="00482785" w:rsidRPr="00831FE6">
        <w:rPr>
          <w:snapToGrid w:val="0"/>
          <w:sz w:val="24"/>
        </w:rPr>
        <w:t xml:space="preserve"> poskytovatele dotace</w:t>
      </w:r>
      <w:r w:rsidR="001D6528" w:rsidRPr="00831FE6">
        <w:rPr>
          <w:snapToGrid w:val="0"/>
          <w:sz w:val="24"/>
        </w:rPr>
        <w:t xml:space="preserve"> ŘO OPTP</w:t>
      </w:r>
      <w:r w:rsidR="00D92507" w:rsidRPr="00831FE6">
        <w:rPr>
          <w:snapToGrid w:val="0"/>
          <w:sz w:val="24"/>
        </w:rPr>
        <w:t xml:space="preserve"> o provedených kontrolách a auditech v souvislosti s projektem není považován</w:t>
      </w:r>
      <w:r w:rsidR="00871051" w:rsidRPr="00831FE6">
        <w:rPr>
          <w:snapToGrid w:val="0"/>
          <w:sz w:val="24"/>
        </w:rPr>
        <w:t>o</w:t>
      </w:r>
      <w:r w:rsidR="00D92507" w:rsidRPr="00831FE6">
        <w:rPr>
          <w:snapToGrid w:val="0"/>
          <w:sz w:val="24"/>
        </w:rPr>
        <w:t xml:space="preserve"> za porušení Podmínek. </w:t>
      </w:r>
    </w:p>
    <w:p w14:paraId="2F373A52" w14:textId="3E008B8E" w:rsidR="000A1463" w:rsidRPr="00831FE6" w:rsidRDefault="000A1463" w:rsidP="00831FE6">
      <w:pPr>
        <w:widowControl w:val="0"/>
        <w:spacing w:after="120"/>
        <w:ind w:left="720"/>
        <w:jc w:val="both"/>
        <w:rPr>
          <w:snapToGrid w:val="0"/>
          <w:sz w:val="32"/>
          <w:szCs w:val="24"/>
        </w:rPr>
      </w:pPr>
      <w:r w:rsidRPr="00831FE6">
        <w:rPr>
          <w:sz w:val="24"/>
          <w:szCs w:val="24"/>
        </w:rPr>
        <w:t xml:space="preserve">Na způsob zaúčtování výdaje jako investiční/neinvestiční se ustanovení odstavce 13 </w:t>
      </w:r>
      <w:r w:rsidR="00831FE6">
        <w:rPr>
          <w:sz w:val="24"/>
          <w:szCs w:val="24"/>
        </w:rPr>
        <w:t>e</w:t>
      </w:r>
      <w:r w:rsidRPr="00831FE6">
        <w:rPr>
          <w:sz w:val="24"/>
          <w:szCs w:val="24"/>
        </w:rPr>
        <w:t>) nevztahuje.</w:t>
      </w:r>
    </w:p>
    <w:p w14:paraId="5EF19DA0" w14:textId="5E1DF970" w:rsidR="001E14C0" w:rsidRPr="00895ED5" w:rsidRDefault="001E14C0" w:rsidP="000A1463">
      <w:pPr>
        <w:widowControl w:val="0"/>
        <w:spacing w:after="120"/>
        <w:ind w:left="720"/>
        <w:jc w:val="both"/>
        <w:rPr>
          <w:snapToGrid w:val="0"/>
          <w:sz w:val="24"/>
        </w:rPr>
      </w:pP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</w:t>
      </w:r>
      <w:r>
        <w:rPr>
          <w:snapToGrid w:val="0"/>
          <w:sz w:val="24"/>
        </w:rPr>
        <w:lastRenderedPageBreak/>
        <w:t xml:space="preserve">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 xml:space="preserve">předkládané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3DAA7CE1" w14:textId="6BF07CE4" w:rsidR="00894ECB" w:rsidRPr="00894ECB" w:rsidRDefault="00C965B9" w:rsidP="00894ECB">
      <w:pPr>
        <w:pStyle w:val="Odstavecseseznamem"/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894ECB">
        <w:rPr>
          <w:snapToGrid w:val="0"/>
          <w:sz w:val="24"/>
        </w:rPr>
        <w:t>při nesplnění podmínek uvedených v části III, na které je poskytnutí dotace vázáno pod bodem 4.</w:t>
      </w:r>
      <w:r w:rsidR="00894ECB" w:rsidRPr="00894ECB">
        <w:rPr>
          <w:snapToGrid w:val="0"/>
          <w:sz w:val="24"/>
        </w:rPr>
        <w:t xml:space="preserve">  bude za každé opožděné nebo nenahlášené oznámení změny stanovena sankce ve výši 10. 000,- Kč. Pozdní oznámení změny statutárního zástupce a jeho kontaktních údajů není považováno za porušení Podmínek.</w:t>
      </w:r>
    </w:p>
    <w:p w14:paraId="321753D4" w14:textId="115A73DC" w:rsidR="000A1463" w:rsidRDefault="00894ECB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při nesplnění podmínek uvedených v části III, na které je poskytnutí dotace vázáno pod bodem</w:t>
      </w:r>
      <w:r w:rsidR="00C965B9" w:rsidRPr="00FE2EF1">
        <w:rPr>
          <w:snapToGrid w:val="0"/>
          <w:sz w:val="24"/>
        </w:rPr>
        <w:t xml:space="preserve"> </w:t>
      </w:r>
      <w:r w:rsidR="00D74B0A">
        <w:rPr>
          <w:snapToGrid w:val="0"/>
          <w:sz w:val="24"/>
        </w:rPr>
        <w:t>6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="00C965B9" w:rsidRPr="00FE2EF1">
        <w:rPr>
          <w:snapToGrid w:val="0"/>
          <w:sz w:val="24"/>
        </w:rPr>
        <w:t>. bude stanoven odvod za porušení rozpočtové kázně ve výši 10</w:t>
      </w:r>
      <w:r w:rsidR="00C965B9">
        <w:rPr>
          <w:snapToGrid w:val="0"/>
          <w:sz w:val="24"/>
        </w:rPr>
        <w:t xml:space="preserve"> </w:t>
      </w:r>
      <w:r w:rsidR="00C965B9"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="00C965B9" w:rsidRPr="00FE2EF1">
        <w:rPr>
          <w:snapToGrid w:val="0"/>
          <w:sz w:val="24"/>
        </w:rPr>
        <w:t>celkové částky vyplacené dotace</w:t>
      </w:r>
      <w:r w:rsidR="00C965B9"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</w:p>
    <w:p w14:paraId="1A7E48C4" w14:textId="7A0FBB96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BF591E">
        <w:rPr>
          <w:snapToGrid w:val="0"/>
          <w:sz w:val="24"/>
        </w:rPr>
        <w:t>5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se souhlasem správce kapitoly může rozhodnout o vyjmutí projektu ze </w:t>
      </w:r>
      <w:r w:rsidRPr="00FE2EF1">
        <w:rPr>
          <w:snapToGrid w:val="0"/>
          <w:sz w:val="24"/>
        </w:rPr>
        <w:lastRenderedPageBreak/>
        <w:t>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 xml:space="preserve">, ve znění vyhlášky č. 11/2010 </w:t>
      </w:r>
      <w:proofErr w:type="spellStart"/>
      <w:r w:rsidR="00661B2F">
        <w:rPr>
          <w:snapToGrid w:val="0"/>
          <w:sz w:val="24"/>
          <w:szCs w:val="24"/>
        </w:rPr>
        <w:t>Sb</w:t>
      </w:r>
      <w:proofErr w:type="spellEnd"/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86C9BCA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1BF" w14:textId="774E148B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7A36">
      <w:rPr>
        <w:rStyle w:val="slostrnky"/>
        <w:noProof/>
      </w:rPr>
      <w:t>6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05893165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</w:t>
      </w:r>
      <w:r w:rsidR="006B117E">
        <w:t>j</w:t>
      </w:r>
      <w:r>
        <w:t xml:space="preserve">) nebo </w:t>
      </w:r>
      <w:r w:rsidR="006B117E">
        <w:t>k</w:t>
      </w:r>
      <w:r>
        <w:t xml:space="preserve">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4"/>
  </w:num>
  <w:num w:numId="5">
    <w:abstractNumId w:val="26"/>
  </w:num>
  <w:num w:numId="6">
    <w:abstractNumId w:val="13"/>
  </w:num>
  <w:num w:numId="7">
    <w:abstractNumId w:val="36"/>
  </w:num>
  <w:num w:numId="8">
    <w:abstractNumId w:val="10"/>
  </w:num>
  <w:num w:numId="9">
    <w:abstractNumId w:val="5"/>
  </w:num>
  <w:num w:numId="10">
    <w:abstractNumId w:val="23"/>
  </w:num>
  <w:num w:numId="11">
    <w:abstractNumId w:val="2"/>
  </w:num>
  <w:num w:numId="12">
    <w:abstractNumId w:val="21"/>
  </w:num>
  <w:num w:numId="13">
    <w:abstractNumId w:val="39"/>
  </w:num>
  <w:num w:numId="14">
    <w:abstractNumId w:val="7"/>
  </w:num>
  <w:num w:numId="15">
    <w:abstractNumId w:val="1"/>
  </w:num>
  <w:num w:numId="16">
    <w:abstractNumId w:val="4"/>
  </w:num>
  <w:num w:numId="17">
    <w:abstractNumId w:val="41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7"/>
  </w:num>
  <w:num w:numId="31">
    <w:abstractNumId w:val="40"/>
  </w:num>
  <w:num w:numId="32">
    <w:abstractNumId w:val="31"/>
  </w:num>
  <w:num w:numId="33">
    <w:abstractNumId w:val="35"/>
  </w:num>
  <w:num w:numId="34">
    <w:abstractNumId w:val="8"/>
  </w:num>
  <w:num w:numId="35">
    <w:abstractNumId w:val="3"/>
  </w:num>
  <w:num w:numId="36">
    <w:abstractNumId w:val="29"/>
  </w:num>
  <w:num w:numId="37">
    <w:abstractNumId w:val="24"/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0"/>
    <w:lvlOverride w:ilvl="0">
      <w:startOverride w:val="1"/>
    </w:lvlOverride>
  </w:num>
  <w:num w:numId="41">
    <w:abstractNumId w:val="15"/>
  </w:num>
  <w:num w:numId="42">
    <w:abstractNumId w:val="30"/>
  </w:num>
  <w:num w:numId="43">
    <w:abstractNumId w:val="20"/>
  </w:num>
  <w:num w:numId="44">
    <w:abstractNumId w:val="28"/>
  </w:num>
  <w:num w:numId="45">
    <w:abstractNumId w:val="33"/>
  </w:num>
  <w:num w:numId="46">
    <w:abstractNumId w:val="12"/>
  </w:num>
  <w:num w:numId="47">
    <w:abstractNumId w:val="38"/>
  </w:num>
  <w:num w:numId="48">
    <w:abstractNumId w:val="16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5703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4FC3"/>
    <w:rsid w:val="0009571B"/>
    <w:rsid w:val="00097945"/>
    <w:rsid w:val="000A0556"/>
    <w:rsid w:val="000A0B6B"/>
    <w:rsid w:val="000A1463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38EB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1E3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4D3B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D84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66C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967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8BC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17E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A5C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39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1FE6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4ECB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159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B7A36"/>
    <w:rsid w:val="009C032A"/>
    <w:rsid w:val="009C1331"/>
    <w:rsid w:val="009C17FE"/>
    <w:rsid w:val="009C2A5C"/>
    <w:rsid w:val="009C2C96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AF701E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9D1"/>
    <w:rsid w:val="00BF53C6"/>
    <w:rsid w:val="00BF591E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ADE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0BD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0E69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77116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C282-5403-4EE9-A43C-33C9073E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2869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6</cp:revision>
  <cp:lastPrinted>2012-08-28T07:34:00Z</cp:lastPrinted>
  <dcterms:created xsi:type="dcterms:W3CDTF">2021-12-15T10:39:00Z</dcterms:created>
  <dcterms:modified xsi:type="dcterms:W3CDTF">2022-09-23T12:19:00Z</dcterms:modified>
</cp:coreProperties>
</file>