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1B21CC01" w:rsidR="002C22C3" w:rsidRPr="00B11E81" w:rsidRDefault="002C22C3" w:rsidP="002C22C3">
      <w:pPr>
        <w:rPr>
          <w:sz w:val="28"/>
          <w:szCs w:val="28"/>
        </w:rPr>
      </w:pPr>
      <w:r w:rsidRPr="00ED269E">
        <w:rPr>
          <w:b/>
          <w:sz w:val="28"/>
          <w:szCs w:val="28"/>
        </w:rPr>
        <w:t xml:space="preserve">Vydání </w:t>
      </w:r>
      <w:r w:rsidR="00FB710B">
        <w:rPr>
          <w:b/>
          <w:sz w:val="28"/>
          <w:szCs w:val="28"/>
        </w:rPr>
        <w:t>3</w:t>
      </w:r>
      <w:r w:rsidRPr="00D8431A">
        <w:rPr>
          <w:b/>
          <w:sz w:val="28"/>
          <w:szCs w:val="28"/>
        </w:rPr>
        <w:t>/</w:t>
      </w:r>
      <w:r w:rsidR="00FB710B">
        <w:rPr>
          <w:b/>
          <w:sz w:val="28"/>
          <w:szCs w:val="28"/>
        </w:rPr>
        <w:t>0</w:t>
      </w:r>
      <w:r w:rsidRPr="00ED269E">
        <w:rPr>
          <w:b/>
          <w:sz w:val="28"/>
          <w:szCs w:val="28"/>
        </w:rPr>
        <w:t>, platnost</w:t>
      </w:r>
      <w:r w:rsidR="00703A01" w:rsidRPr="00ED269E">
        <w:rPr>
          <w:b/>
          <w:sz w:val="28"/>
          <w:szCs w:val="28"/>
        </w:rPr>
        <w:t xml:space="preserve"> </w:t>
      </w:r>
      <w:r w:rsidR="005F4629">
        <w:rPr>
          <w:b/>
          <w:sz w:val="28"/>
          <w:szCs w:val="28"/>
        </w:rPr>
        <w:t xml:space="preserve">a účinnost </w:t>
      </w:r>
      <w:r w:rsidR="00703A01" w:rsidRPr="00ED269E">
        <w:rPr>
          <w:b/>
          <w:sz w:val="28"/>
          <w:szCs w:val="28"/>
        </w:rPr>
        <w:t xml:space="preserve">od </w:t>
      </w:r>
      <w:r w:rsidR="00C66142" w:rsidRPr="00D8431A">
        <w:rPr>
          <w:b/>
          <w:sz w:val="28"/>
          <w:szCs w:val="28"/>
        </w:rPr>
        <w:t>2</w:t>
      </w:r>
      <w:r w:rsidR="00FB710B">
        <w:rPr>
          <w:b/>
          <w:sz w:val="28"/>
          <w:szCs w:val="28"/>
        </w:rPr>
        <w:t>6</w:t>
      </w:r>
      <w:r w:rsidR="00DB0014" w:rsidRPr="00D8431A">
        <w:rPr>
          <w:b/>
          <w:sz w:val="28"/>
          <w:szCs w:val="28"/>
        </w:rPr>
        <w:t xml:space="preserve">. </w:t>
      </w:r>
      <w:r w:rsidR="00C66142" w:rsidRPr="00D8431A">
        <w:rPr>
          <w:b/>
          <w:sz w:val="28"/>
          <w:szCs w:val="28"/>
        </w:rPr>
        <w:t>0</w:t>
      </w:r>
      <w:r w:rsidR="00D8431A">
        <w:rPr>
          <w:b/>
          <w:sz w:val="28"/>
          <w:szCs w:val="28"/>
        </w:rPr>
        <w:t>9</w:t>
      </w:r>
      <w:r w:rsidR="00DB0014" w:rsidRPr="00D8431A">
        <w:rPr>
          <w:b/>
          <w:sz w:val="28"/>
          <w:szCs w:val="28"/>
        </w:rPr>
        <w:t>. 201</w:t>
      </w:r>
      <w:r w:rsidR="00D36148" w:rsidRPr="00D8431A">
        <w:rPr>
          <w:b/>
          <w:sz w:val="28"/>
          <w:szCs w:val="28"/>
        </w:rPr>
        <w:t>9</w:t>
      </w:r>
      <w:bookmarkStart w:id="0" w:name="_GoBack"/>
      <w:bookmarkEnd w:id="0"/>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pžp</w:t>
      </w:r>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3"/>
    <w:bookmarkEnd w:id="4"/>
    <w:bookmarkEnd w:id="5"/>
    <w:bookmarkEnd w:id="6"/>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w:t>
      </w:r>
      <w:r w:rsidR="00295A96">
        <w:rPr>
          <w:rFonts w:ascii="Arial" w:hAnsi="Arial" w:cs="Arial"/>
          <w:sz w:val="22"/>
          <w:szCs w:val="22"/>
        </w:rPr>
        <w:lastRenderedPageBreak/>
        <w:t>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w:t>
      </w:r>
      <w:r w:rsidRPr="004F4E1F">
        <w:rPr>
          <w:rFonts w:ascii="Arial" w:hAnsi="Arial" w:cs="Arial"/>
          <w:sz w:val="22"/>
          <w:szCs w:val="22"/>
        </w:rPr>
        <w:lastRenderedPageBreak/>
        <w:t>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minitendr)</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I.-III.fázi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 xml:space="preserve">V případě, že příjemce předpokládá stejnou strukturu výzev, smluv z minitendrů,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lastRenderedPageBreak/>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77777777"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w:t>
      </w:r>
      <w:r w:rsidR="0028752E" w:rsidRPr="0028752E">
        <w:rPr>
          <w:rFonts w:ascii="Arial" w:hAnsi="Arial" w:cs="Arial"/>
          <w:sz w:val="22"/>
          <w:szCs w:val="22"/>
        </w:rPr>
        <w:t>.</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rámci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C2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1C3F7390"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 xml:space="preserve">nižší než </w:t>
      </w:r>
      <w:r w:rsidR="00C61581">
        <w:t>5</w:t>
      </w:r>
      <w:r w:rsidRPr="005A2458">
        <w:t xml:space="preserve">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77777777"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7777777"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77777777" w:rsidR="00A15644" w:rsidRPr="002C3481" w:rsidRDefault="00A15644" w:rsidP="00B36345">
      <w:pPr>
        <w:pStyle w:val="Mjstyl3"/>
        <w:numPr>
          <w:ilvl w:val="3"/>
          <w:numId w:val="40"/>
        </w:numPr>
        <w:spacing w:before="240" w:after="240"/>
      </w:pPr>
      <w:r w:rsidRPr="00A301F6">
        <w:lastRenderedPageBreak/>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ravidla pro hodnocení nabídek, která zahrnují i) kritéria hodnocení, ii) metodu vyhodnocení n</w:t>
      </w:r>
      <w:r w:rsidR="00A15644" w:rsidRPr="00922356">
        <w:rPr>
          <w:rFonts w:ascii="Arial" w:hAnsi="Arial" w:cs="Arial"/>
          <w:sz w:val="22"/>
          <w:szCs w:val="22"/>
        </w:rPr>
        <w:t>abídek v jednotlivých kritériích a iii)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Pr="000258AE">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ust.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726C503F" w14:textId="77777777" w:rsidR="00A15644" w:rsidRPr="00EC1C3A" w:rsidRDefault="00A15644" w:rsidP="00B36345">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lastRenderedPageBreak/>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účastníky bude jednáno v další fázi (dále jen "protokol o konečném výsledku 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lastRenderedPageBreak/>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lastRenderedPageBreak/>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 xml:space="preserve">Pro hodnocení ekonomické výhodnosti nabídky podle kvality je zadavatel povinen stanovit kritéria, která vyjadřují kvalitativní, environmentální nebo sociální hlediska </w:t>
      </w:r>
      <w:r w:rsidRPr="003F1DF3">
        <w:lastRenderedPageBreak/>
        <w:t>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14:paraId="4B5F2605" w14:textId="77777777"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lastRenderedPageBreak/>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2010CA" w:rsidRDefault="00A15644" w:rsidP="005A2458">
      <w:pPr>
        <w:pStyle w:val="Zkladntext"/>
        <w:spacing w:after="240" w:line="276" w:lineRule="auto"/>
        <w:ind w:left="851"/>
        <w:rPr>
          <w:rStyle w:val="StyleArial11pt"/>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2F5FC3A5" w14:textId="77777777" w:rsidR="00A15644" w:rsidRPr="003F1DF3" w:rsidRDefault="00A15644" w:rsidP="00B36345">
      <w:pPr>
        <w:pStyle w:val="Mjstyl3"/>
        <w:numPr>
          <w:ilvl w:val="3"/>
          <w:numId w:val="40"/>
        </w:numPr>
        <w:spacing w:before="240" w:after="240"/>
      </w:pPr>
      <w:r w:rsidRPr="003F1DF3">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stavebních prací,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2010CA" w:rsidRDefault="00A15644" w:rsidP="00A15644">
      <w:pPr>
        <w:pStyle w:val="Mjstyl4"/>
        <w:numPr>
          <w:ilvl w:val="0"/>
          <w:numId w:val="0"/>
        </w:numPr>
        <w:rPr>
          <w:rStyle w:val="StyleArial11pt"/>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KP14+. V průběhu ověřování předložené dokumentace (zasílání připomínek ze strany ŘO a jejich následné vypořádání ze strany příjemce) </w:t>
      </w:r>
      <w:r w:rsidRPr="00BF7298">
        <w:rPr>
          <w:rFonts w:ascii="Arial" w:hAnsi="Arial" w:cs="Arial"/>
          <w:sz w:val="22"/>
          <w:szCs w:val="22"/>
        </w:rPr>
        <w:lastRenderedPageBreak/>
        <w:t>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3F7A8739"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5AA26FD8" w14:textId="1E1F663B"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lastRenderedPageBreak/>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 xml:space="preserve">O ukončení III. fáze administrativního ověření (tj. o schválení/neschválení/schválení s výhradami finální verze dokumentace před uzavřením smlouvy) je příjemce </w:t>
      </w:r>
      <w:r w:rsidRPr="003E7C6A">
        <w:rPr>
          <w:rFonts w:ascii="Arial" w:hAnsi="Arial" w:cs="Arial"/>
          <w:sz w:val="22"/>
          <w:szCs w:val="22"/>
        </w:rPr>
        <w:lastRenderedPageBreak/>
        <w:t>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lastRenderedPageBreak/>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minitendr)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I.-III.fázi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posouzení..</w:t>
      </w:r>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lastRenderedPageBreak/>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ů a název a číslo zakázek, v rámci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C2 </w:t>
      </w:r>
      <w:r w:rsidR="00EA01DA">
        <w:t>a to s ohledem na jejich účinnost</w:t>
      </w:r>
      <w:r w:rsidR="00795B7A">
        <w:t xml:space="preserve"> v době zahájení výběrového/zadávacího řízení.</w:t>
      </w:r>
      <w:r w:rsidR="00B80B93">
        <w:t xml:space="preserve"> </w:t>
      </w:r>
    </w:p>
    <w:p w14:paraId="179403B8" w14:textId="49411C33"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 xml:space="preserve">malého rozsahu, jejichž předpokládaná hodnota je nižší než </w:t>
      </w:r>
      <w:r w:rsidR="00C61581">
        <w:rPr>
          <w:b/>
        </w:rPr>
        <w:t>5</w:t>
      </w:r>
      <w:r w:rsidR="005939B9" w:rsidRPr="005939B9">
        <w:rPr>
          <w:b/>
        </w:rPr>
        <w:t>00 000,-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C. 1 Stanovení finančních oprav dle Rozhodnutí komise C(</w:t>
      </w:r>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939"/>
        <w:gridCol w:w="2796"/>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pokud je délka lhůty kratší alespoň o 50 % </w:t>
            </w:r>
            <w:r w:rsidRPr="00420B94">
              <w:rPr>
                <w:rFonts w:ascii="Arial" w:hAnsi="Arial" w:cs="Arial"/>
                <w:color w:val="222222"/>
              </w:rPr>
              <w:lastRenderedPageBreak/>
              <w:t>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884"/>
        <w:gridCol w:w="2835"/>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w:t>
            </w:r>
            <w:r w:rsidRPr="00420B94">
              <w:rPr>
                <w:rFonts w:ascii="Arial" w:hAnsi="Arial" w:cs="Arial"/>
                <w:color w:val="222222"/>
              </w:rPr>
              <w:lastRenderedPageBreak/>
              <w:t>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Zadání zakázky je v rozporu se zásadou, že zadavatel nesmí uzavřít smlouvu s  uchazečem:</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884"/>
        <w:gridCol w:w="2835"/>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7" w:name="_Toc323899562"/>
            <w:bookmarkStart w:id="8" w:name="_Toc323819405"/>
            <w:bookmarkStart w:id="9" w:name="_Toc320285902"/>
            <w:bookmarkStart w:id="10" w:name="_Toc320281397"/>
            <w:bookmarkStart w:id="11" w:name="_Toc320280108"/>
            <w:bookmarkStart w:id="12" w:name="_Toc320258833"/>
            <w:r w:rsidRPr="000531BC">
              <w:rPr>
                <w:sz w:val="20"/>
                <w:szCs w:val="20"/>
              </w:rPr>
              <w:t xml:space="preserve">       V případě dodatečných zakázek na služby či stavební práce, jejichž potřeba vznikla v důsledku objektivně nepředvídaných okolností a které jsou nezbytné pro </w:t>
            </w:r>
            <w:r w:rsidRPr="000531BC">
              <w:rPr>
                <w:sz w:val="20"/>
                <w:szCs w:val="20"/>
              </w:rPr>
              <w:lastRenderedPageBreak/>
              <w:t>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7"/>
            <w:bookmarkEnd w:id="8"/>
            <w:bookmarkEnd w:id="9"/>
            <w:bookmarkEnd w:id="10"/>
            <w:bookmarkEnd w:id="11"/>
            <w:bookmarkEnd w:id="12"/>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lastRenderedPageBreak/>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 xml:space="preserve">v případě, kdy dodatečné zakázky nepřekročí 50 % hodnoty </w:t>
            </w:r>
            <w:r w:rsidRPr="000531BC">
              <w:rPr>
                <w:rFonts w:ascii="Arial" w:hAnsi="Arial" w:cs="Arial"/>
                <w:color w:val="222222"/>
              </w:rPr>
              <w:lastRenderedPageBreak/>
              <w:t>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C(</w:t>
      </w:r>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 v ostatních aspektech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r w:rsidRPr="00420B94">
              <w:rPr>
                <w:rFonts w:ascii="Arial" w:hAnsi="Arial" w:cs="Arial"/>
              </w:rPr>
              <w:t>Bid-rigging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10 %, pokud účastníci, kteří se na bid-riggingu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bid-riggingu nepodíleli jiní dodavatelé než ti, kteří se bid-riggingu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100 %, pokud se na bid-riggingu podílela osoba v rámci řídícího či kontrolního systému nebo zadavatel ve spolupráci s dodavateli podílejícími se na bid-riggingu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p>
    <w:p w14:paraId="6A9368F8" w14:textId="680CDFE9" w:rsidR="00694FF9" w:rsidRDefault="00FA5E07" w:rsidP="00687B62">
      <w:pPr>
        <w:tabs>
          <w:tab w:val="left" w:pos="5387"/>
        </w:tabs>
        <w:rPr>
          <w:rFonts w:ascii="Arial" w:hAnsi="Arial" w:cs="Arial"/>
          <w:b/>
          <w:sz w:val="24"/>
          <w:szCs w:val="22"/>
        </w:rPr>
      </w:pPr>
      <w:r w:rsidRPr="008D7E78">
        <w:rPr>
          <w:rFonts w:ascii="Arial" w:hAnsi="Arial" w:cs="Arial"/>
          <w:b/>
          <w:sz w:val="24"/>
          <w:szCs w:val="22"/>
        </w:rPr>
        <w:lastRenderedPageBreak/>
        <w:t>Přehled změn</w:t>
      </w:r>
    </w:p>
    <w:p w14:paraId="342EF37F" w14:textId="77777777" w:rsidR="00A920C8" w:rsidRDefault="00A920C8" w:rsidP="00687B62">
      <w:pPr>
        <w:tabs>
          <w:tab w:val="left" w:pos="5387"/>
        </w:tabs>
        <w:rPr>
          <w:rFonts w:ascii="Arial" w:hAnsi="Arial" w:cs="Arial"/>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A920C8" w:rsidRPr="00FE76D8" w14:paraId="01CC5A55" w14:textId="77777777" w:rsidTr="00D9770D">
        <w:trPr>
          <w:tblHeader/>
        </w:trPr>
        <w:tc>
          <w:tcPr>
            <w:tcW w:w="2660" w:type="dxa"/>
            <w:shd w:val="clear" w:color="auto" w:fill="99CCFF"/>
          </w:tcPr>
          <w:p w14:paraId="08401D37" w14:textId="77777777" w:rsidR="00A920C8" w:rsidRPr="00FA5E07" w:rsidRDefault="00A920C8" w:rsidP="00177437">
            <w:pPr>
              <w:spacing w:before="120" w:after="120"/>
              <w:jc w:val="center"/>
              <w:rPr>
                <w:rFonts w:ascii="Arial" w:hAnsi="Arial" w:cs="Arial"/>
                <w:b/>
                <w:sz w:val="22"/>
                <w:szCs w:val="22"/>
              </w:rPr>
            </w:pPr>
            <w:r>
              <w:rPr>
                <w:rFonts w:ascii="Arial" w:hAnsi="Arial" w:cs="Arial"/>
                <w:b/>
                <w:sz w:val="22"/>
                <w:szCs w:val="22"/>
              </w:rPr>
              <w:t>Verze</w:t>
            </w:r>
          </w:p>
        </w:tc>
        <w:tc>
          <w:tcPr>
            <w:tcW w:w="6520" w:type="dxa"/>
            <w:shd w:val="clear" w:color="auto" w:fill="99CCFF"/>
            <w:vAlign w:val="center"/>
          </w:tcPr>
          <w:p w14:paraId="1EAD84CC" w14:textId="77777777" w:rsidR="00A920C8" w:rsidRPr="004E4F94" w:rsidRDefault="00A920C8" w:rsidP="00177437">
            <w:pPr>
              <w:jc w:val="center"/>
              <w:rPr>
                <w:rFonts w:ascii="Arial" w:hAnsi="Arial" w:cs="Arial"/>
                <w:b/>
                <w:sz w:val="22"/>
                <w:szCs w:val="22"/>
              </w:rPr>
            </w:pPr>
            <w:r w:rsidRPr="004E4F94">
              <w:rPr>
                <w:rFonts w:ascii="Arial" w:hAnsi="Arial" w:cs="Arial"/>
                <w:b/>
                <w:sz w:val="22"/>
                <w:szCs w:val="22"/>
              </w:rPr>
              <w:t>Popis změn</w:t>
            </w:r>
          </w:p>
        </w:tc>
      </w:tr>
      <w:tr w:rsidR="00A920C8" w:rsidRPr="00FE76D8" w14:paraId="0C0E8B25" w14:textId="77777777" w:rsidTr="00D9770D">
        <w:trPr>
          <w:tblHeader/>
        </w:trPr>
        <w:tc>
          <w:tcPr>
            <w:tcW w:w="2660" w:type="dxa"/>
            <w:vMerge w:val="restart"/>
            <w:shd w:val="clear" w:color="auto" w:fill="99CCFF"/>
            <w:vAlign w:val="center"/>
          </w:tcPr>
          <w:p w14:paraId="17B228A7" w14:textId="77777777" w:rsidR="00A920C8" w:rsidRPr="00FA5E07" w:rsidRDefault="00A920C8" w:rsidP="00177437">
            <w:pPr>
              <w:jc w:val="center"/>
              <w:rPr>
                <w:rFonts w:ascii="Arial" w:hAnsi="Arial" w:cs="Arial"/>
              </w:rPr>
            </w:pPr>
            <w:r w:rsidRPr="00FA5E07">
              <w:rPr>
                <w:rFonts w:ascii="Arial" w:hAnsi="Arial" w:cs="Arial"/>
              </w:rPr>
              <w:t>vydání 2/0</w:t>
            </w:r>
          </w:p>
        </w:tc>
        <w:tc>
          <w:tcPr>
            <w:tcW w:w="6520" w:type="dxa"/>
            <w:shd w:val="clear" w:color="auto" w:fill="99CCFF"/>
            <w:vAlign w:val="center"/>
          </w:tcPr>
          <w:p w14:paraId="28CE43DF" w14:textId="77777777" w:rsidR="00A920C8" w:rsidRPr="00FA5E07" w:rsidRDefault="00A920C8" w:rsidP="00177437">
            <w:pPr>
              <w:spacing w:before="120" w:after="120"/>
              <w:jc w:val="both"/>
              <w:rPr>
                <w:rFonts w:ascii="Arial" w:hAnsi="Arial" w:cs="Arial"/>
              </w:rPr>
            </w:pPr>
            <w:r w:rsidRPr="00FA5E07">
              <w:rPr>
                <w:rFonts w:ascii="Arial" w:hAnsi="Arial" w:cs="Arial"/>
              </w:rPr>
              <w:t>Úprava definic:  Profil zadavatele, Výběrové řízení, Zadávací řízení v části Definice požadovaných pojmů nad rámec pojmů uvedených v PŽP.</w:t>
            </w:r>
          </w:p>
        </w:tc>
      </w:tr>
      <w:tr w:rsidR="00A920C8" w:rsidRPr="00FE76D8" w14:paraId="496CB9A4" w14:textId="77777777" w:rsidTr="00D9770D">
        <w:trPr>
          <w:tblHeader/>
        </w:trPr>
        <w:tc>
          <w:tcPr>
            <w:tcW w:w="2660" w:type="dxa"/>
            <w:vMerge/>
            <w:shd w:val="clear" w:color="auto" w:fill="99CCFF"/>
          </w:tcPr>
          <w:p w14:paraId="24FCC8B5" w14:textId="77777777" w:rsidR="00A920C8" w:rsidRPr="00FA5E07" w:rsidRDefault="00A920C8" w:rsidP="00177437">
            <w:pPr>
              <w:jc w:val="both"/>
              <w:rPr>
                <w:rFonts w:ascii="Arial" w:hAnsi="Arial" w:cs="Arial"/>
              </w:rPr>
            </w:pPr>
          </w:p>
        </w:tc>
        <w:tc>
          <w:tcPr>
            <w:tcW w:w="6520" w:type="dxa"/>
            <w:shd w:val="clear" w:color="auto" w:fill="99CCFF"/>
            <w:vAlign w:val="center"/>
          </w:tcPr>
          <w:p w14:paraId="10AC9F6C" w14:textId="77777777" w:rsidR="00A920C8" w:rsidRPr="00FA5E07" w:rsidRDefault="00A920C8" w:rsidP="00A920C8">
            <w:pPr>
              <w:spacing w:before="120" w:after="120"/>
              <w:jc w:val="both"/>
              <w:rPr>
                <w:rFonts w:ascii="Arial" w:hAnsi="Arial" w:cs="Arial"/>
              </w:rPr>
            </w:pPr>
            <w:r>
              <w:rPr>
                <w:rFonts w:ascii="Arial" w:hAnsi="Arial" w:cs="Arial"/>
              </w:rPr>
              <w:t xml:space="preserve">Přidáno </w:t>
            </w:r>
            <w:r w:rsidRPr="00FA5E07">
              <w:rPr>
                <w:rFonts w:ascii="Arial" w:hAnsi="Arial" w:cs="Arial"/>
              </w:rPr>
              <w:t>Stanovisk</w:t>
            </w:r>
            <w:r>
              <w:rPr>
                <w:rFonts w:ascii="Arial" w:hAnsi="Arial" w:cs="Arial"/>
              </w:rPr>
              <w:t>o</w:t>
            </w:r>
            <w:r w:rsidRPr="00FA5E07">
              <w:rPr>
                <w:rFonts w:ascii="Arial" w:hAnsi="Arial" w:cs="Arial"/>
              </w:rPr>
              <w:t xml:space="preserve"> ŘO OPTP k postupu dle PŽP po nabytí účinnosti zákona č. 134/2016 Sb., o zadávání veřejných zakázek.</w:t>
            </w:r>
          </w:p>
        </w:tc>
      </w:tr>
      <w:tr w:rsidR="00A920C8" w:rsidRPr="00FE76D8" w14:paraId="310FFE2B" w14:textId="77777777" w:rsidTr="00D9770D">
        <w:trPr>
          <w:tblHeader/>
        </w:trPr>
        <w:tc>
          <w:tcPr>
            <w:tcW w:w="2660" w:type="dxa"/>
            <w:vMerge/>
            <w:shd w:val="clear" w:color="auto" w:fill="99CCFF"/>
          </w:tcPr>
          <w:p w14:paraId="6B1AA663" w14:textId="77777777" w:rsidR="00A920C8" w:rsidRPr="00FA5E07" w:rsidRDefault="00A920C8" w:rsidP="00177437">
            <w:pPr>
              <w:jc w:val="both"/>
              <w:rPr>
                <w:rFonts w:ascii="Arial" w:hAnsi="Arial" w:cs="Arial"/>
              </w:rPr>
            </w:pPr>
          </w:p>
        </w:tc>
        <w:tc>
          <w:tcPr>
            <w:tcW w:w="6520" w:type="dxa"/>
            <w:shd w:val="clear" w:color="auto" w:fill="99CCFF"/>
            <w:vAlign w:val="center"/>
          </w:tcPr>
          <w:p w14:paraId="786E0DB0" w14:textId="77777777" w:rsidR="00A920C8" w:rsidRPr="00FA5E07" w:rsidRDefault="00A920C8" w:rsidP="00177437">
            <w:pPr>
              <w:spacing w:before="120" w:after="120"/>
              <w:jc w:val="both"/>
              <w:rPr>
                <w:rFonts w:ascii="Arial" w:hAnsi="Arial" w:cs="Arial"/>
              </w:rPr>
            </w:pPr>
            <w:r w:rsidRPr="00FA5E07">
              <w:rPr>
                <w:rFonts w:ascii="Arial" w:hAnsi="Arial" w:cs="Arial"/>
              </w:rPr>
              <w:t>Celý text v části A dán do souladu se zákonem č. 134/2016</w:t>
            </w:r>
            <w:r>
              <w:rPr>
                <w:rFonts w:ascii="Arial" w:hAnsi="Arial" w:cs="Arial"/>
              </w:rPr>
              <w:t>, o zadávání veřejných zakázek</w:t>
            </w:r>
            <w:r w:rsidRPr="00FA5E07">
              <w:rPr>
                <w:rFonts w:ascii="Arial" w:hAnsi="Arial" w:cs="Arial"/>
              </w:rPr>
              <w:t xml:space="preserve">.  </w:t>
            </w:r>
          </w:p>
        </w:tc>
      </w:tr>
      <w:tr w:rsidR="00A920C8" w:rsidRPr="00FE76D8" w14:paraId="12C37A33" w14:textId="77777777" w:rsidTr="00D9770D">
        <w:trPr>
          <w:tblHeader/>
        </w:trPr>
        <w:tc>
          <w:tcPr>
            <w:tcW w:w="2660" w:type="dxa"/>
            <w:vMerge/>
            <w:shd w:val="clear" w:color="auto" w:fill="99CCFF"/>
          </w:tcPr>
          <w:p w14:paraId="4D967A62" w14:textId="77777777" w:rsidR="00A920C8" w:rsidRPr="00FA5E07" w:rsidRDefault="00A920C8" w:rsidP="00177437">
            <w:pPr>
              <w:jc w:val="both"/>
              <w:rPr>
                <w:rFonts w:ascii="Arial" w:hAnsi="Arial" w:cs="Arial"/>
              </w:rPr>
            </w:pPr>
          </w:p>
        </w:tc>
        <w:tc>
          <w:tcPr>
            <w:tcW w:w="6520" w:type="dxa"/>
            <w:shd w:val="clear" w:color="auto" w:fill="99CCFF"/>
            <w:vAlign w:val="center"/>
          </w:tcPr>
          <w:p w14:paraId="20E1D560" w14:textId="77777777" w:rsidR="00A920C8" w:rsidRPr="00FA5E07" w:rsidRDefault="00A920C8" w:rsidP="00A920C8">
            <w:pPr>
              <w:spacing w:before="120" w:after="120"/>
              <w:jc w:val="both"/>
              <w:rPr>
                <w:rFonts w:ascii="Arial" w:hAnsi="Arial" w:cs="Arial"/>
              </w:rPr>
            </w:pPr>
            <w:r>
              <w:rPr>
                <w:rFonts w:ascii="Arial" w:hAnsi="Arial" w:cs="Arial"/>
              </w:rPr>
              <w:t>Upravena část: A.3.</w:t>
            </w:r>
            <w:r w:rsidRPr="00FA5E07">
              <w:rPr>
                <w:rFonts w:ascii="Arial" w:hAnsi="Arial" w:cs="Arial"/>
              </w:rPr>
              <w:t>nově doplněna část A.4. V návaznosti na to bylo upraveno číslování dalších částí. Upravena lhůta z 10 p. d. na 15 p. d. v části A.1., A.3.</w:t>
            </w:r>
            <w:r>
              <w:rPr>
                <w:rFonts w:ascii="Arial" w:hAnsi="Arial" w:cs="Arial"/>
              </w:rPr>
              <w:t xml:space="preserve"> </w:t>
            </w:r>
            <w:r w:rsidRPr="0022757A">
              <w:rPr>
                <w:rFonts w:ascii="Arial" w:hAnsi="Arial" w:cs="Arial"/>
              </w:rPr>
              <w:t>Dále upraven termín na vyjádření k dokumentaci z ukončení zadávacího řízení v části A.5.</w:t>
            </w:r>
            <w:r w:rsidRPr="00FA5E07">
              <w:rPr>
                <w:rFonts w:ascii="Arial" w:hAnsi="Arial" w:cs="Arial"/>
              </w:rPr>
              <w:t xml:space="preserve"> Upřesněn text v části A.13, A.14, dále doplněn </w:t>
            </w:r>
            <w:r>
              <w:rPr>
                <w:rFonts w:ascii="Arial" w:hAnsi="Arial" w:cs="Arial"/>
              </w:rPr>
              <w:t xml:space="preserve">povinný obsah </w:t>
            </w:r>
            <w:r w:rsidRPr="00FA5E07">
              <w:rPr>
                <w:rFonts w:ascii="Arial" w:hAnsi="Arial" w:cs="Arial"/>
              </w:rPr>
              <w:t xml:space="preserve">interní depeše v části A.17 a A.19., upřesněn postup po vydání finálního stanoviska v části A.18. </w:t>
            </w:r>
          </w:p>
        </w:tc>
      </w:tr>
      <w:tr w:rsidR="00A920C8" w:rsidRPr="00FE76D8" w14:paraId="7DBEC822" w14:textId="77777777" w:rsidTr="00D9770D">
        <w:trPr>
          <w:tblHeader/>
        </w:trPr>
        <w:tc>
          <w:tcPr>
            <w:tcW w:w="2660" w:type="dxa"/>
            <w:vMerge/>
            <w:shd w:val="clear" w:color="auto" w:fill="99CCFF"/>
          </w:tcPr>
          <w:p w14:paraId="7033C473" w14:textId="77777777" w:rsidR="00A920C8" w:rsidRPr="00736962" w:rsidRDefault="00A920C8" w:rsidP="00177437">
            <w:pPr>
              <w:jc w:val="both"/>
              <w:rPr>
                <w:rFonts w:ascii="Arial" w:hAnsi="Arial" w:cs="Arial"/>
                <w:sz w:val="22"/>
                <w:szCs w:val="24"/>
              </w:rPr>
            </w:pPr>
          </w:p>
        </w:tc>
        <w:tc>
          <w:tcPr>
            <w:tcW w:w="6520" w:type="dxa"/>
            <w:shd w:val="clear" w:color="auto" w:fill="99CCFF"/>
            <w:vAlign w:val="center"/>
          </w:tcPr>
          <w:p w14:paraId="0D046C63" w14:textId="77777777" w:rsidR="00A920C8" w:rsidRPr="00736962" w:rsidRDefault="00A920C8" w:rsidP="00177437">
            <w:pPr>
              <w:spacing w:before="120" w:after="120"/>
              <w:jc w:val="both"/>
              <w:rPr>
                <w:rFonts w:ascii="Arial" w:hAnsi="Arial" w:cs="Arial"/>
                <w:sz w:val="22"/>
                <w:szCs w:val="24"/>
              </w:rPr>
            </w:pPr>
            <w:r w:rsidRPr="008D7E78">
              <w:rPr>
                <w:rFonts w:ascii="Arial" w:hAnsi="Arial" w:cs="Arial"/>
              </w:rPr>
              <w:t>V části B upraveny požadavky pro zadávání zakázek dle MP</w:t>
            </w:r>
            <w:r>
              <w:rPr>
                <w:rFonts w:ascii="Arial" w:hAnsi="Arial" w:cs="Arial"/>
              </w:rPr>
              <w:t xml:space="preserve"> zakázky</w:t>
            </w:r>
            <w:r w:rsidRPr="008D7E78">
              <w:rPr>
                <w:rFonts w:ascii="Arial" w:hAnsi="Arial" w:cs="Arial"/>
              </w:rPr>
              <w:t xml:space="preserve">. </w:t>
            </w:r>
            <w:r>
              <w:rPr>
                <w:rFonts w:ascii="Arial" w:hAnsi="Arial" w:cs="Arial"/>
              </w:rPr>
              <w:t>Kapitola 1 -7 přesunuta do</w:t>
            </w:r>
            <w:r w:rsidRPr="008D7E78">
              <w:rPr>
                <w:rFonts w:ascii="Arial" w:hAnsi="Arial" w:cs="Arial"/>
              </w:rPr>
              <w:t xml:space="preserve"> část B.1, B.2., B.3., B.5., B.6., B.7. a B.8. Přesunutí a odstranění některých částí a v</w:t>
            </w:r>
            <w:r w:rsidRPr="00FA5E07">
              <w:rPr>
                <w:rFonts w:ascii="Arial" w:hAnsi="Arial" w:cs="Arial"/>
              </w:rPr>
              <w:t> návaznosti na to bylo upraveno číslování dalších částí</w:t>
            </w:r>
            <w:r>
              <w:rPr>
                <w:rFonts w:ascii="Arial" w:hAnsi="Arial" w:cs="Arial"/>
              </w:rPr>
              <w:t>.</w:t>
            </w:r>
            <w:r w:rsidRPr="00FA5E07">
              <w:rPr>
                <w:rFonts w:ascii="Arial" w:hAnsi="Arial" w:cs="Arial"/>
              </w:rPr>
              <w:t xml:space="preserve"> Upravena lhůta z 10 p. d. na 15 p. d. v části </w:t>
            </w:r>
            <w:r>
              <w:rPr>
                <w:rFonts w:ascii="Arial" w:hAnsi="Arial" w:cs="Arial"/>
              </w:rPr>
              <w:t>B</w:t>
            </w:r>
            <w:r w:rsidRPr="00FA5E07">
              <w:rPr>
                <w:rFonts w:ascii="Arial" w:hAnsi="Arial" w:cs="Arial"/>
              </w:rPr>
              <w:t>.1</w:t>
            </w:r>
            <w:r>
              <w:rPr>
                <w:rFonts w:ascii="Arial" w:hAnsi="Arial" w:cs="Arial"/>
              </w:rPr>
              <w:t>9</w:t>
            </w:r>
            <w:r w:rsidRPr="00FA5E07">
              <w:rPr>
                <w:rFonts w:ascii="Arial" w:hAnsi="Arial" w:cs="Arial"/>
              </w:rPr>
              <w:t xml:space="preserve">., </w:t>
            </w:r>
            <w:r>
              <w:rPr>
                <w:rFonts w:ascii="Arial" w:hAnsi="Arial" w:cs="Arial"/>
              </w:rPr>
              <w:t>B</w:t>
            </w:r>
            <w:r w:rsidRPr="00FA5E07">
              <w:rPr>
                <w:rFonts w:ascii="Arial" w:hAnsi="Arial" w:cs="Arial"/>
              </w:rPr>
              <w:t>.</w:t>
            </w:r>
            <w:r>
              <w:rPr>
                <w:rFonts w:ascii="Arial" w:hAnsi="Arial" w:cs="Arial"/>
              </w:rPr>
              <w:t>21. Upřesněn text v části B.21. Nově vložená část B.22. Úprava části B.31. A B.33. Doplněn povinný obsah interní depeše v části B.35. a B.36. Upraven postup v části B.39.</w:t>
            </w:r>
          </w:p>
        </w:tc>
      </w:tr>
      <w:tr w:rsidR="00A920C8" w:rsidRPr="00FE76D8" w14:paraId="544F142A" w14:textId="77777777" w:rsidTr="00D9770D">
        <w:trPr>
          <w:trHeight w:val="1280"/>
          <w:tblHeader/>
        </w:trPr>
        <w:tc>
          <w:tcPr>
            <w:tcW w:w="2660" w:type="dxa"/>
            <w:shd w:val="clear" w:color="auto" w:fill="99CCFF"/>
            <w:vAlign w:val="center"/>
          </w:tcPr>
          <w:p w14:paraId="1B10CD12" w14:textId="77777777" w:rsidR="00A920C8" w:rsidRPr="00736962" w:rsidRDefault="00A920C8" w:rsidP="005A2458">
            <w:pPr>
              <w:jc w:val="center"/>
              <w:rPr>
                <w:rFonts w:ascii="Arial" w:hAnsi="Arial" w:cs="Arial"/>
                <w:sz w:val="22"/>
                <w:szCs w:val="24"/>
              </w:rPr>
            </w:pPr>
            <w:r w:rsidRPr="00B7598F">
              <w:rPr>
                <w:rFonts w:ascii="Arial" w:hAnsi="Arial" w:cs="Arial"/>
              </w:rPr>
              <w:t>vydání 2/1</w:t>
            </w:r>
          </w:p>
        </w:tc>
        <w:tc>
          <w:tcPr>
            <w:tcW w:w="6520" w:type="dxa"/>
            <w:shd w:val="clear" w:color="auto" w:fill="99CCFF"/>
            <w:vAlign w:val="center"/>
          </w:tcPr>
          <w:p w14:paraId="6E97E3CF"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Úprava definic:  </w:t>
            </w:r>
            <w:r>
              <w:rPr>
                <w:rFonts w:ascii="Arial" w:hAnsi="Arial" w:cs="Arial"/>
              </w:rPr>
              <w:t xml:space="preserve">Písemně, </w:t>
            </w:r>
            <w:r w:rsidRPr="00A252C6">
              <w:rPr>
                <w:rFonts w:ascii="Arial" w:hAnsi="Arial" w:cs="Arial"/>
              </w:rPr>
              <w:t>Účastník výběrového nebo zadávacího řízení</w:t>
            </w:r>
            <w:r>
              <w:rPr>
                <w:rFonts w:ascii="Arial" w:hAnsi="Arial" w:cs="Arial"/>
              </w:rPr>
              <w:t xml:space="preserve">, </w:t>
            </w:r>
            <w:r w:rsidRPr="00FA5E07">
              <w:rPr>
                <w:rFonts w:ascii="Arial" w:hAnsi="Arial" w:cs="Arial"/>
              </w:rPr>
              <w:t>Výběrové řízení</w:t>
            </w:r>
            <w:r>
              <w:rPr>
                <w:rFonts w:ascii="Arial" w:hAnsi="Arial" w:cs="Arial"/>
              </w:rPr>
              <w:t xml:space="preserve"> </w:t>
            </w:r>
            <w:r w:rsidRPr="00FA5E07">
              <w:rPr>
                <w:rFonts w:ascii="Arial" w:hAnsi="Arial" w:cs="Arial"/>
              </w:rPr>
              <w:t>v části Definice požadovaných pojmů nad rámec pojmů uvedených v PŽP.</w:t>
            </w:r>
          </w:p>
          <w:p w14:paraId="540B65D9" w14:textId="77777777" w:rsidR="00A920C8" w:rsidRPr="008D7E78" w:rsidRDefault="00A920C8" w:rsidP="00177437">
            <w:pPr>
              <w:spacing w:before="120" w:after="120"/>
              <w:jc w:val="both"/>
              <w:rPr>
                <w:rFonts w:ascii="Arial" w:hAnsi="Arial" w:cs="Arial"/>
              </w:rPr>
            </w:pPr>
            <w:r w:rsidRPr="00FA5E07">
              <w:rPr>
                <w:rFonts w:ascii="Arial" w:hAnsi="Arial" w:cs="Arial"/>
              </w:rPr>
              <w:t xml:space="preserve">Celý text v části </w:t>
            </w:r>
            <w:r>
              <w:rPr>
                <w:rFonts w:ascii="Arial" w:hAnsi="Arial" w:cs="Arial"/>
              </w:rPr>
              <w:t>B</w:t>
            </w:r>
            <w:r w:rsidRPr="00FA5E07">
              <w:rPr>
                <w:rFonts w:ascii="Arial" w:hAnsi="Arial" w:cs="Arial"/>
              </w:rPr>
              <w:t xml:space="preserve"> dán do souladu s</w:t>
            </w:r>
            <w:r>
              <w:rPr>
                <w:rFonts w:ascii="Arial" w:hAnsi="Arial" w:cs="Arial"/>
              </w:rPr>
              <w:t> MP zakázky.</w:t>
            </w:r>
          </w:p>
        </w:tc>
      </w:tr>
      <w:tr w:rsidR="00683EE7" w:rsidRPr="00FE76D8" w14:paraId="009DB634" w14:textId="77777777" w:rsidTr="00D9770D">
        <w:trPr>
          <w:trHeight w:val="1280"/>
          <w:tblHeader/>
        </w:trPr>
        <w:tc>
          <w:tcPr>
            <w:tcW w:w="2660" w:type="dxa"/>
            <w:shd w:val="clear" w:color="auto" w:fill="99CCFF"/>
            <w:vAlign w:val="center"/>
          </w:tcPr>
          <w:p w14:paraId="78C58365" w14:textId="77777777" w:rsidR="00683EE7" w:rsidRPr="00B7598F" w:rsidRDefault="00683EE7" w:rsidP="005A2458">
            <w:pPr>
              <w:jc w:val="center"/>
              <w:rPr>
                <w:rFonts w:ascii="Arial" w:hAnsi="Arial" w:cs="Arial"/>
              </w:rPr>
            </w:pPr>
            <w:r>
              <w:rPr>
                <w:rFonts w:ascii="Arial" w:hAnsi="Arial" w:cs="Arial"/>
              </w:rPr>
              <w:t>vydání 2/2</w:t>
            </w:r>
          </w:p>
        </w:tc>
        <w:tc>
          <w:tcPr>
            <w:tcW w:w="6520" w:type="dxa"/>
            <w:shd w:val="clear" w:color="auto" w:fill="99CCFF"/>
            <w:vAlign w:val="center"/>
          </w:tcPr>
          <w:p w14:paraId="4C4EA85C" w14:textId="77777777" w:rsidR="00683EE7" w:rsidRPr="00FA5E07" w:rsidRDefault="00080B10" w:rsidP="00080B10">
            <w:pPr>
              <w:spacing w:before="120" w:after="120"/>
              <w:jc w:val="both"/>
              <w:rPr>
                <w:rFonts w:ascii="Arial" w:hAnsi="Arial" w:cs="Arial"/>
              </w:rPr>
            </w:pPr>
            <w:r>
              <w:rPr>
                <w:rFonts w:ascii="Arial" w:hAnsi="Arial" w:cs="Arial"/>
              </w:rPr>
              <w:t>Doplnění informace o Registru smluv do bodu A5 a B21. Doplněno doporučené ustanovení do smluv v bodě A7 a B23.</w:t>
            </w:r>
          </w:p>
        </w:tc>
      </w:tr>
      <w:tr w:rsidR="00AF280B" w:rsidRPr="00FE76D8" w14:paraId="34CCB4FA" w14:textId="77777777" w:rsidTr="00D9770D">
        <w:trPr>
          <w:trHeight w:val="1280"/>
          <w:tblHeader/>
        </w:trPr>
        <w:tc>
          <w:tcPr>
            <w:tcW w:w="2660" w:type="dxa"/>
            <w:shd w:val="clear" w:color="auto" w:fill="99CCFF"/>
            <w:vAlign w:val="center"/>
          </w:tcPr>
          <w:p w14:paraId="3D63A821" w14:textId="77777777" w:rsidR="00AF280B" w:rsidRDefault="00AF280B" w:rsidP="005A2458">
            <w:pPr>
              <w:jc w:val="center"/>
              <w:rPr>
                <w:rFonts w:ascii="Arial" w:hAnsi="Arial" w:cs="Arial"/>
              </w:rPr>
            </w:pPr>
            <w:r>
              <w:rPr>
                <w:rFonts w:ascii="Arial" w:hAnsi="Arial" w:cs="Arial"/>
              </w:rPr>
              <w:t>vydání 2/4</w:t>
            </w:r>
          </w:p>
        </w:tc>
        <w:tc>
          <w:tcPr>
            <w:tcW w:w="6520" w:type="dxa"/>
            <w:shd w:val="clear" w:color="auto" w:fill="99CCFF"/>
            <w:vAlign w:val="center"/>
          </w:tcPr>
          <w:p w14:paraId="3335DF85" w14:textId="77777777" w:rsidR="00AF280B" w:rsidRDefault="00D37933" w:rsidP="00D37933">
            <w:pPr>
              <w:spacing w:before="120" w:after="120"/>
              <w:jc w:val="both"/>
              <w:rPr>
                <w:rFonts w:ascii="Arial" w:hAnsi="Arial" w:cs="Arial"/>
              </w:rPr>
            </w:pPr>
            <w:r>
              <w:rPr>
                <w:rFonts w:ascii="Arial" w:hAnsi="Arial" w:cs="Arial"/>
              </w:rPr>
              <w:t>Doplněna definice Zákon o registru smluv. V celém textu doplněn postup administrace VZ s ohledem na Modul veřejných zakázek v IS KP14+.</w:t>
            </w:r>
          </w:p>
        </w:tc>
      </w:tr>
      <w:tr w:rsidR="00BA6836" w:rsidRPr="00FE76D8" w14:paraId="4822A744" w14:textId="77777777" w:rsidTr="00D9770D">
        <w:trPr>
          <w:trHeight w:val="1280"/>
          <w:tblHeader/>
        </w:trPr>
        <w:tc>
          <w:tcPr>
            <w:tcW w:w="2660" w:type="dxa"/>
            <w:shd w:val="clear" w:color="auto" w:fill="99CCFF"/>
            <w:vAlign w:val="center"/>
          </w:tcPr>
          <w:p w14:paraId="4C916D06" w14:textId="7B816955" w:rsidR="00BA6836" w:rsidRDefault="00BA6836" w:rsidP="005A2458">
            <w:pPr>
              <w:jc w:val="center"/>
              <w:rPr>
                <w:rFonts w:ascii="Arial" w:hAnsi="Arial" w:cs="Arial"/>
              </w:rPr>
            </w:pPr>
            <w:r>
              <w:rPr>
                <w:rFonts w:ascii="Arial" w:hAnsi="Arial" w:cs="Arial"/>
              </w:rPr>
              <w:t>Vydání 2/9</w:t>
            </w:r>
          </w:p>
        </w:tc>
        <w:tc>
          <w:tcPr>
            <w:tcW w:w="6520" w:type="dxa"/>
            <w:shd w:val="clear" w:color="auto" w:fill="99CCFF"/>
            <w:vAlign w:val="center"/>
          </w:tcPr>
          <w:p w14:paraId="02105893" w14:textId="1DD76353" w:rsidR="00BA6836" w:rsidRDefault="00B20335" w:rsidP="00D37933">
            <w:pPr>
              <w:spacing w:before="120" w:after="120"/>
              <w:jc w:val="both"/>
              <w:rPr>
                <w:rFonts w:ascii="Arial" w:hAnsi="Arial" w:cs="Arial"/>
              </w:rPr>
            </w:pPr>
            <w:r>
              <w:rPr>
                <w:rFonts w:ascii="Arial" w:hAnsi="Arial" w:cs="Arial"/>
              </w:rPr>
              <w:t>V části A14 doplněn pod písmenem e) předmět posouzení v rámci III. fáze administrativního ověření. Doplněn text A31 a B47, dále vytvořena část C v návaznosti na vydání nového COCOF a úpravu Podmínek realizace projektu. V rámci dokumentu aktualizována čísla a písmena dokazující na jiné části v texu.</w:t>
            </w:r>
          </w:p>
        </w:tc>
      </w:tr>
      <w:tr w:rsidR="000D379F" w:rsidRPr="00FE76D8" w14:paraId="01346E72" w14:textId="77777777" w:rsidTr="00D9770D">
        <w:trPr>
          <w:trHeight w:val="1280"/>
          <w:tblHeader/>
        </w:trPr>
        <w:tc>
          <w:tcPr>
            <w:tcW w:w="2660" w:type="dxa"/>
            <w:shd w:val="clear" w:color="auto" w:fill="99CCFF"/>
            <w:vAlign w:val="center"/>
          </w:tcPr>
          <w:p w14:paraId="03D2AED7" w14:textId="1A390412" w:rsidR="000D379F" w:rsidRDefault="00E82C68" w:rsidP="005A2458">
            <w:pPr>
              <w:jc w:val="center"/>
              <w:rPr>
                <w:rFonts w:ascii="Arial" w:hAnsi="Arial" w:cs="Arial"/>
              </w:rPr>
            </w:pPr>
            <w:r>
              <w:rPr>
                <w:rFonts w:ascii="Arial" w:hAnsi="Arial" w:cs="Arial"/>
              </w:rPr>
              <w:lastRenderedPageBreak/>
              <w:t>Vydání 3/0</w:t>
            </w:r>
          </w:p>
        </w:tc>
        <w:tc>
          <w:tcPr>
            <w:tcW w:w="6520" w:type="dxa"/>
            <w:shd w:val="clear" w:color="auto" w:fill="99CCFF"/>
            <w:vAlign w:val="center"/>
          </w:tcPr>
          <w:p w14:paraId="6E950F3A" w14:textId="68B159CD" w:rsidR="000D379F" w:rsidRDefault="000D379F" w:rsidP="00913832">
            <w:pPr>
              <w:spacing w:before="120" w:after="120"/>
              <w:jc w:val="both"/>
              <w:rPr>
                <w:rFonts w:ascii="Arial" w:hAnsi="Arial" w:cs="Arial"/>
              </w:rPr>
            </w:pPr>
            <w:r>
              <w:rPr>
                <w:rFonts w:ascii="Arial" w:hAnsi="Arial" w:cs="Arial"/>
              </w:rPr>
              <w:t xml:space="preserve">V části B.1.2 a B.48. zvýšen limit u VZMR z 400 000,- Kč bez DPH na 500 000,- Kč bez DPH v souladu s aktualizovaným </w:t>
            </w:r>
            <w:r w:rsidR="00913832">
              <w:rPr>
                <w:rFonts w:ascii="Arial" w:hAnsi="Arial" w:cs="Arial"/>
              </w:rPr>
              <w:t>Metodickým stanoviskem č. 2 k MP pro oblast zadávání</w:t>
            </w:r>
            <w:r>
              <w:rPr>
                <w:rFonts w:ascii="Arial" w:hAnsi="Arial" w:cs="Arial"/>
              </w:rPr>
              <w:t xml:space="preserve"> </w:t>
            </w:r>
            <w:r w:rsidR="00913832">
              <w:rPr>
                <w:rFonts w:ascii="Arial" w:hAnsi="Arial" w:cs="Arial"/>
              </w:rPr>
              <w:t>zakázek v programovém období 2014-2020</w:t>
            </w:r>
            <w:r>
              <w:rPr>
                <w:rFonts w:ascii="Arial" w:hAnsi="Arial" w:cs="Arial"/>
              </w:rPr>
              <w:t xml:space="preserve">. </w:t>
            </w:r>
          </w:p>
          <w:p w14:paraId="448A1AD6" w14:textId="21B238E2" w:rsidR="00A20D0F" w:rsidRDefault="00A20D0F" w:rsidP="00913832">
            <w:pPr>
              <w:spacing w:before="120" w:after="120"/>
              <w:jc w:val="both"/>
              <w:rPr>
                <w:rFonts w:ascii="Arial" w:hAnsi="Arial" w:cs="Arial"/>
              </w:rPr>
            </w:pPr>
            <w:r>
              <w:rPr>
                <w:rFonts w:ascii="Arial" w:hAnsi="Arial" w:cs="Arial"/>
              </w:rPr>
              <w:t>V části B</w:t>
            </w:r>
            <w:r w:rsidR="00F34E8A">
              <w:rPr>
                <w:rFonts w:ascii="Arial" w:hAnsi="Arial" w:cs="Arial"/>
              </w:rPr>
              <w:t>.</w:t>
            </w:r>
            <w:r>
              <w:rPr>
                <w:rFonts w:ascii="Arial" w:hAnsi="Arial" w:cs="Arial"/>
              </w:rPr>
              <w:t>24</w:t>
            </w:r>
            <w:r w:rsidR="00F34E8A">
              <w:rPr>
                <w:rFonts w:ascii="Arial" w:hAnsi="Arial" w:cs="Arial"/>
              </w:rPr>
              <w:t>.</w:t>
            </w:r>
            <w:r>
              <w:rPr>
                <w:rFonts w:ascii="Arial" w:hAnsi="Arial" w:cs="Arial"/>
              </w:rPr>
              <w:t xml:space="preserve"> doplněno písmeno i).</w:t>
            </w:r>
          </w:p>
        </w:tc>
      </w:tr>
    </w:tbl>
    <w:p w14:paraId="2C47B57C" w14:textId="77777777" w:rsidR="00A920C8" w:rsidRPr="008D7E78" w:rsidRDefault="00A920C8" w:rsidP="00687B62">
      <w:pPr>
        <w:tabs>
          <w:tab w:val="left" w:pos="5387"/>
        </w:tabs>
        <w:rPr>
          <w:rFonts w:ascii="Arial" w:hAnsi="Arial" w:cs="Arial"/>
          <w:b/>
          <w:sz w:val="24"/>
          <w:szCs w:val="22"/>
        </w:rPr>
      </w:pPr>
    </w:p>
    <w:p w14:paraId="560A27A5" w14:textId="77777777" w:rsidR="00FA5E07" w:rsidRDefault="00FA5E07" w:rsidP="00687B62">
      <w:pPr>
        <w:tabs>
          <w:tab w:val="left" w:pos="5387"/>
        </w:tabs>
        <w:rPr>
          <w:rFonts w:ascii="Arial" w:hAnsi="Arial" w:cs="Arial"/>
          <w:b/>
          <w:sz w:val="22"/>
          <w:szCs w:val="22"/>
        </w:rPr>
      </w:pPr>
    </w:p>
    <w:p w14:paraId="2B180CBB" w14:textId="77777777" w:rsidR="000900F3" w:rsidRPr="009177C0" w:rsidRDefault="000900F3" w:rsidP="006B1984">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8BD8" w14:textId="77777777" w:rsidR="00EF49F4" w:rsidRDefault="00EF49F4">
      <w:r>
        <w:separator/>
      </w:r>
    </w:p>
  </w:endnote>
  <w:endnote w:type="continuationSeparator" w:id="0">
    <w:p w14:paraId="6D4FC633" w14:textId="77777777"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13250"/>
      <w:docPartObj>
        <w:docPartGallery w:val="Page Numbers (Bottom of Page)"/>
        <w:docPartUnique/>
      </w:docPartObj>
    </w:sdtPr>
    <w:sdtEndPr/>
    <w:sdtContent>
      <w:p w14:paraId="0F3F1FD3" w14:textId="5E60C45A" w:rsidR="00EF49F4" w:rsidRDefault="00EF49F4">
        <w:pPr>
          <w:pStyle w:val="Zpat"/>
          <w:jc w:val="right"/>
        </w:pPr>
        <w:r>
          <w:fldChar w:fldCharType="begin"/>
        </w:r>
        <w:r>
          <w:instrText>PAGE   \* MERGEFORMAT</w:instrText>
        </w:r>
        <w:r>
          <w:fldChar w:fldCharType="separate"/>
        </w:r>
        <w:r w:rsidR="005F4629">
          <w:rPr>
            <w:noProof/>
          </w:rPr>
          <w:t>2</w:t>
        </w:r>
        <w:r>
          <w:fldChar w:fldCharType="end"/>
        </w:r>
      </w:p>
    </w:sdtContent>
  </w:sdt>
  <w:p w14:paraId="03B4882B" w14:textId="77777777" w:rsidR="00EF49F4" w:rsidRPr="0028752E" w:rsidRDefault="00EF49F4"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71B2" w14:textId="2577C54C" w:rsidR="00EF49F4" w:rsidRDefault="00EF49F4"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F4629">
      <w:rPr>
        <w:rStyle w:val="slostrnky"/>
        <w:noProof/>
      </w:rPr>
      <w:t>21</w:t>
    </w:r>
    <w:r>
      <w:rPr>
        <w:rStyle w:val="slostrnky"/>
      </w:rPr>
      <w:fldChar w:fldCharType="end"/>
    </w:r>
  </w:p>
  <w:p w14:paraId="38D6BA2B" w14:textId="77777777" w:rsidR="00EF49F4" w:rsidRDefault="00EF49F4"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AC6D" w14:textId="77777777" w:rsidR="00EF49F4" w:rsidRDefault="00EF49F4">
      <w:r>
        <w:separator/>
      </w:r>
    </w:p>
  </w:footnote>
  <w:footnote w:type="continuationSeparator" w:id="0">
    <w:p w14:paraId="2DFD2945" w14:textId="77777777" w:rsidR="00EF49F4" w:rsidRDefault="00EF49F4">
      <w:r>
        <w:continuationSeparator/>
      </w:r>
    </w:p>
  </w:footnote>
  <w:footnote w:id="1">
    <w:p w14:paraId="6628FDC6" w14:textId="77777777" w:rsidR="00EF49F4" w:rsidRDefault="00EF49F4"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EF49F4" w:rsidRPr="003F1DF3" w:rsidRDefault="00EF49F4"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EF49F4" w:rsidRPr="00CE589D" w:rsidRDefault="00EF49F4"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EF49F4" w:rsidRPr="0028752E" w:rsidRDefault="00EF49F4"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EF49F4" w:rsidRPr="00420B94" w:rsidRDefault="00EF49F4"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6E13" w14:textId="1C7678F1" w:rsidR="00EF49F4" w:rsidRDefault="00EF49F4">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B833" w14:textId="77777777" w:rsidR="00EF49F4" w:rsidRDefault="00EF49F4">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E99D" w14:textId="77777777" w:rsidR="00EF49F4" w:rsidRDefault="00EF49F4">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0"/>
  </w:num>
  <w:num w:numId="7">
    <w:abstractNumId w:val="74"/>
  </w:num>
  <w:num w:numId="8">
    <w:abstractNumId w:val="1"/>
  </w:num>
  <w:num w:numId="9">
    <w:abstractNumId w:val="64"/>
  </w:num>
  <w:num w:numId="10">
    <w:abstractNumId w:val="72"/>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6"/>
  </w:num>
  <w:num w:numId="19">
    <w:abstractNumId w:val="17"/>
  </w:num>
  <w:num w:numId="20">
    <w:abstractNumId w:val="15"/>
  </w:num>
  <w:num w:numId="21">
    <w:abstractNumId w:val="16"/>
  </w:num>
  <w:num w:numId="22">
    <w:abstractNumId w:val="56"/>
  </w:num>
  <w:num w:numId="23">
    <w:abstractNumId w:val="46"/>
  </w:num>
  <w:num w:numId="24">
    <w:abstractNumId w:val="61"/>
  </w:num>
  <w:num w:numId="25">
    <w:abstractNumId w:val="59"/>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8"/>
  </w:num>
  <w:num w:numId="30">
    <w:abstractNumId w:val="27"/>
  </w:num>
  <w:num w:numId="31">
    <w:abstractNumId w:val="54"/>
  </w:num>
  <w:num w:numId="32">
    <w:abstractNumId w:val="42"/>
  </w:num>
  <w:num w:numId="33">
    <w:abstractNumId w:val="71"/>
  </w:num>
  <w:num w:numId="34">
    <w:abstractNumId w:val="21"/>
  </w:num>
  <w:num w:numId="35">
    <w:abstractNumId w:val="30"/>
  </w:num>
  <w:num w:numId="36">
    <w:abstractNumId w:val="43"/>
  </w:num>
  <w:num w:numId="37">
    <w:abstractNumId w:val="65"/>
  </w:num>
  <w:num w:numId="38">
    <w:abstractNumId w:val="19"/>
  </w:num>
  <w:num w:numId="39">
    <w:abstractNumId w:val="48"/>
  </w:num>
  <w:num w:numId="40">
    <w:abstractNumId w:val="4"/>
  </w:num>
  <w:num w:numId="41">
    <w:abstractNumId w:val="75"/>
  </w:num>
  <w:num w:numId="42">
    <w:abstractNumId w:val="63"/>
  </w:num>
  <w:num w:numId="43">
    <w:abstractNumId w:val="62"/>
  </w:num>
  <w:num w:numId="44">
    <w:abstractNumId w:val="7"/>
  </w:num>
  <w:num w:numId="45">
    <w:abstractNumId w:val="44"/>
  </w:num>
  <w:num w:numId="46">
    <w:abstractNumId w:val="52"/>
  </w:num>
  <w:num w:numId="47">
    <w:abstractNumId w:val="49"/>
  </w:num>
  <w:num w:numId="48">
    <w:abstractNumId w:val="73"/>
  </w:num>
  <w:num w:numId="49">
    <w:abstractNumId w:val="29"/>
  </w:num>
  <w:num w:numId="50">
    <w:abstractNumId w:val="5"/>
  </w:num>
  <w:num w:numId="51">
    <w:abstractNumId w:val="47"/>
  </w:num>
  <w:num w:numId="52">
    <w:abstractNumId w:val="38"/>
  </w:num>
  <w:num w:numId="53">
    <w:abstractNumId w:val="12"/>
  </w:num>
  <w:num w:numId="54">
    <w:abstractNumId w:val="45"/>
  </w:num>
  <w:num w:numId="55">
    <w:abstractNumId w:val="11"/>
  </w:num>
  <w:num w:numId="56">
    <w:abstractNumId w:val="35"/>
  </w:num>
  <w:num w:numId="57">
    <w:abstractNumId w:val="25"/>
  </w:num>
  <w:num w:numId="58">
    <w:abstractNumId w:val="70"/>
  </w:num>
  <w:num w:numId="59">
    <w:abstractNumId w:val="76"/>
  </w:num>
  <w:num w:numId="60">
    <w:abstractNumId w:val="31"/>
  </w:num>
  <w:num w:numId="61">
    <w:abstractNumId w:val="10"/>
  </w:num>
  <w:num w:numId="62">
    <w:abstractNumId w:val="28"/>
  </w:num>
  <w:num w:numId="63">
    <w:abstractNumId w:val="37"/>
  </w:num>
  <w:num w:numId="64">
    <w:abstractNumId w:val="34"/>
  </w:num>
  <w:num w:numId="65">
    <w:abstractNumId w:val="67"/>
  </w:num>
  <w:num w:numId="66">
    <w:abstractNumId w:val="36"/>
  </w:num>
  <w:num w:numId="67">
    <w:abstractNumId w:val="57"/>
  </w:num>
  <w:num w:numId="68">
    <w:abstractNumId w:val="53"/>
  </w:num>
  <w:num w:numId="69">
    <w:abstractNumId w:val="24"/>
  </w:num>
  <w:num w:numId="70">
    <w:abstractNumId w:val="51"/>
  </w:num>
  <w:num w:numId="71">
    <w:abstractNumId w:val="60"/>
  </w:num>
  <w:num w:numId="72">
    <w:abstractNumId w:val="26"/>
  </w:num>
  <w:num w:numId="73">
    <w:abstractNumId w:val="58"/>
  </w:num>
  <w:num w:numId="74">
    <w:abstractNumId w:val="69"/>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5"/>
  </w:num>
  <w:num w:numId="79">
    <w:abstractNumId w:val="48"/>
  </w:num>
  <w:num w:numId="80">
    <w:abstractNumId w:val="48"/>
  </w:num>
  <w:num w:numId="8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631"/>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CC0"/>
    <w:rsid w:val="00047780"/>
    <w:rsid w:val="00050CB7"/>
    <w:rsid w:val="000531BC"/>
    <w:rsid w:val="00053624"/>
    <w:rsid w:val="000559B1"/>
    <w:rsid w:val="00060749"/>
    <w:rsid w:val="00061222"/>
    <w:rsid w:val="0006434D"/>
    <w:rsid w:val="00064C7B"/>
    <w:rsid w:val="00070C1A"/>
    <w:rsid w:val="0007195E"/>
    <w:rsid w:val="00076E93"/>
    <w:rsid w:val="00080B10"/>
    <w:rsid w:val="0008165A"/>
    <w:rsid w:val="00082832"/>
    <w:rsid w:val="00085409"/>
    <w:rsid w:val="000900F3"/>
    <w:rsid w:val="00090363"/>
    <w:rsid w:val="00097E1C"/>
    <w:rsid w:val="000A28C3"/>
    <w:rsid w:val="000A3A00"/>
    <w:rsid w:val="000A3BF3"/>
    <w:rsid w:val="000A5969"/>
    <w:rsid w:val="000A6733"/>
    <w:rsid w:val="000C3E96"/>
    <w:rsid w:val="000C45A5"/>
    <w:rsid w:val="000C62AC"/>
    <w:rsid w:val="000D379F"/>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6070"/>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32C1"/>
    <w:rsid w:val="00343403"/>
    <w:rsid w:val="00351BF3"/>
    <w:rsid w:val="00353A42"/>
    <w:rsid w:val="00360D70"/>
    <w:rsid w:val="0037050F"/>
    <w:rsid w:val="00371886"/>
    <w:rsid w:val="00380066"/>
    <w:rsid w:val="0038149C"/>
    <w:rsid w:val="00383B9F"/>
    <w:rsid w:val="00384BEC"/>
    <w:rsid w:val="00384D1E"/>
    <w:rsid w:val="00386219"/>
    <w:rsid w:val="003865D0"/>
    <w:rsid w:val="00390363"/>
    <w:rsid w:val="0039661E"/>
    <w:rsid w:val="00397E00"/>
    <w:rsid w:val="003A1959"/>
    <w:rsid w:val="003A19FC"/>
    <w:rsid w:val="003A40F0"/>
    <w:rsid w:val="003A4671"/>
    <w:rsid w:val="003A4981"/>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4629"/>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832"/>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F84"/>
    <w:rsid w:val="00964DC5"/>
    <w:rsid w:val="00970D81"/>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0D0F"/>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D43"/>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3580"/>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31A"/>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49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4E8A"/>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B710B"/>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A3F2-22DC-4F3E-9918-C7E41F25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39</Pages>
  <Words>13374</Words>
  <Characters>78909</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Mikanová Helena</cp:lastModifiedBy>
  <cp:revision>1380</cp:revision>
  <cp:lastPrinted>2016-06-07T08:45:00Z</cp:lastPrinted>
  <dcterms:created xsi:type="dcterms:W3CDTF">2016-02-02T17:51:00Z</dcterms:created>
  <dcterms:modified xsi:type="dcterms:W3CDTF">2019-09-26T08:05:00Z</dcterms:modified>
</cp:coreProperties>
</file>