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49B95610"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Pr="000655B2">
        <w:rPr>
          <w:rFonts w:ascii="Arial" w:eastAsia="Arial" w:hAnsi="Arial" w:cs="Arial"/>
          <w:b/>
          <w:bCs/>
          <w:sz w:val="32"/>
          <w:szCs w:val="32"/>
          <w:lang w:eastAsia="cs-CZ"/>
        </w:rPr>
        <w:t>ministerského rady</w:t>
      </w:r>
      <w:r w:rsidR="007416E2">
        <w:rPr>
          <w:rFonts w:ascii="Arial" w:eastAsia="Arial" w:hAnsi="Arial" w:cs="Arial"/>
          <w:b/>
          <w:bCs/>
          <w:sz w:val="32"/>
          <w:szCs w:val="32"/>
          <w:lang w:eastAsia="cs-CZ"/>
        </w:rPr>
        <w:t xml:space="preserve"> </w:t>
      </w:r>
      <w:r w:rsidR="00023CED">
        <w:rPr>
          <w:rFonts w:ascii="Arial" w:eastAsia="Arial" w:hAnsi="Arial" w:cs="Arial"/>
          <w:b/>
          <w:bCs/>
          <w:sz w:val="32"/>
          <w:szCs w:val="32"/>
          <w:lang w:eastAsia="cs-CZ"/>
        </w:rPr>
        <w:t xml:space="preserve">v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023CED">
        <w:rPr>
          <w:rFonts w:ascii="Arial" w:eastAsia="Arial" w:hAnsi="Arial" w:cs="Arial"/>
          <w:b/>
          <w:bCs/>
          <w:sz w:val="32"/>
          <w:szCs w:val="32"/>
          <w:lang w:eastAsia="cs-CZ"/>
        </w:rPr>
        <w:t>evropského a mezinárodního práva</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hyperlink r:id="rId8" w:history="1">
        <w:r w:rsidR="00A90FB8" w:rsidRPr="00A90FB8">
          <w:rPr>
            <w:rFonts w:ascii="Arial" w:eastAsia="Arial" w:hAnsi="Arial" w:cs="Arial"/>
            <w:b/>
            <w:bCs/>
            <w:sz w:val="32"/>
            <w:szCs w:val="32"/>
            <w:lang w:eastAsia="cs-CZ"/>
          </w:rPr>
          <w:t xml:space="preserve">odbor </w:t>
        </w:r>
        <w:r w:rsidR="00023CED">
          <w:rPr>
            <w:rFonts w:ascii="Arial" w:eastAsia="Arial" w:hAnsi="Arial" w:cs="Arial"/>
            <w:b/>
            <w:bCs/>
            <w:sz w:val="32"/>
            <w:szCs w:val="32"/>
            <w:lang w:eastAsia="cs-CZ"/>
          </w:rPr>
          <w:t>mezinárodní</w:t>
        </w:r>
        <w:r w:rsidR="005F73A1">
          <w:rPr>
            <w:rFonts w:ascii="Arial" w:eastAsia="Arial" w:hAnsi="Arial" w:cs="Arial"/>
            <w:b/>
            <w:bCs/>
            <w:sz w:val="32"/>
            <w:szCs w:val="32"/>
            <w:lang w:eastAsia="cs-CZ"/>
          </w:rPr>
          <w:t>ch</w:t>
        </w:r>
      </w:hyperlink>
      <w:r w:rsidR="00023CED">
        <w:rPr>
          <w:rFonts w:ascii="Arial" w:eastAsia="Arial" w:hAnsi="Arial" w:cs="Arial"/>
          <w:b/>
          <w:bCs/>
          <w:sz w:val="32"/>
          <w:szCs w:val="32"/>
          <w:lang w:eastAsia="cs-CZ"/>
        </w:rPr>
        <w:t xml:space="preserve"> </w:t>
      </w:r>
      <w:r w:rsidR="00A53614">
        <w:rPr>
          <w:rFonts w:ascii="Arial" w:eastAsia="Arial" w:hAnsi="Arial" w:cs="Arial"/>
          <w:b/>
          <w:bCs/>
          <w:sz w:val="32"/>
          <w:szCs w:val="32"/>
          <w:lang w:eastAsia="cs-CZ"/>
        </w:rPr>
        <w:t>vztahů</w:t>
      </w:r>
      <w:r w:rsidR="00023CED">
        <w:rPr>
          <w:rFonts w:ascii="Arial" w:eastAsia="Arial" w:hAnsi="Arial" w:cs="Arial"/>
          <w:b/>
          <w:bCs/>
          <w:sz w:val="32"/>
          <w:szCs w:val="32"/>
          <w:lang w:eastAsia="cs-CZ"/>
        </w:rPr>
        <w:t>,</w:t>
      </w:r>
      <w:r w:rsidR="00E90D97" w:rsidRPr="00E90D97">
        <w:rPr>
          <w:rFonts w:ascii="Arial" w:eastAsia="Arial" w:hAnsi="Arial" w:cs="Arial"/>
          <w:b/>
          <w:bCs/>
          <w:sz w:val="32"/>
          <w:szCs w:val="32"/>
          <w:lang w:eastAsia="cs-CZ"/>
        </w:rPr>
        <w:t xml:space="preserve"> MMR_</w:t>
      </w:r>
      <w:r w:rsidR="00023CED">
        <w:rPr>
          <w:rFonts w:ascii="Arial" w:eastAsia="Arial" w:hAnsi="Arial" w:cs="Arial"/>
          <w:b/>
          <w:bCs/>
          <w:sz w:val="32"/>
          <w:szCs w:val="32"/>
          <w:lang w:eastAsia="cs-CZ"/>
        </w:rPr>
        <w:t>17</w:t>
      </w:r>
      <w:r w:rsidR="0017448E">
        <w:rPr>
          <w:rFonts w:ascii="Arial" w:eastAsia="Arial" w:hAnsi="Arial" w:cs="Arial"/>
          <w:b/>
          <w:bCs/>
          <w:sz w:val="32"/>
          <w:szCs w:val="32"/>
          <w:lang w:eastAsia="cs-CZ"/>
        </w:rPr>
        <w:t>6</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26204720" w:rsidR="00B865FF" w:rsidRPr="006B09AC" w:rsidRDefault="00660F1A" w:rsidP="00B865FF">
      <w:pPr>
        <w:spacing w:after="0" w:line="240" w:lineRule="auto"/>
        <w:ind w:left="4956" w:firstLine="708"/>
        <w:rPr>
          <w:rFonts w:ascii="Arial" w:hAnsi="Arial" w:cs="Arial"/>
        </w:rPr>
      </w:pPr>
      <w:r w:rsidRPr="006B09AC">
        <w:rPr>
          <w:rFonts w:ascii="Arial" w:hAnsi="Arial" w:cs="Arial"/>
        </w:rPr>
        <w:t xml:space="preserve">Č. j.: </w:t>
      </w:r>
      <w:r w:rsidR="00AE5840" w:rsidRPr="006B09AC">
        <w:rPr>
          <w:rFonts w:ascii="Arial" w:hAnsi="Arial" w:cs="Arial"/>
        </w:rPr>
        <w:t>MMR-</w:t>
      </w:r>
      <w:r w:rsidR="00023CED">
        <w:rPr>
          <w:rFonts w:ascii="Arial" w:hAnsi="Arial" w:cs="Arial"/>
        </w:rPr>
        <w:t>17285</w:t>
      </w:r>
      <w:r w:rsidR="00DD540E" w:rsidRPr="006B09AC">
        <w:rPr>
          <w:rFonts w:ascii="Arial" w:hAnsi="Arial" w:cs="Arial"/>
        </w:rPr>
        <w:t>/202</w:t>
      </w:r>
      <w:r w:rsidR="006B09AC">
        <w:rPr>
          <w:rFonts w:ascii="Arial" w:hAnsi="Arial" w:cs="Arial"/>
        </w:rPr>
        <w:t>5</w:t>
      </w:r>
      <w:r w:rsidR="00DD540E" w:rsidRPr="006B09AC">
        <w:rPr>
          <w:rFonts w:ascii="Arial" w:hAnsi="Arial" w:cs="Arial"/>
        </w:rPr>
        <w:t>-94</w:t>
      </w:r>
    </w:p>
    <w:p w14:paraId="33290785" w14:textId="7274A443" w:rsidR="00B649B4" w:rsidRDefault="00B649B4" w:rsidP="00B649B4">
      <w:pPr>
        <w:spacing w:after="0" w:line="240" w:lineRule="auto"/>
        <w:ind w:left="4956" w:firstLine="708"/>
        <w:rPr>
          <w:rFonts w:ascii="Arial" w:eastAsia="Arial" w:hAnsi="Arial" w:cs="Arial"/>
          <w:lang w:eastAsia="cs-CZ"/>
        </w:rPr>
      </w:pPr>
      <w:r w:rsidRPr="006B09AC">
        <w:rPr>
          <w:rFonts w:ascii="Arial" w:eastAsia="Arial" w:hAnsi="Arial" w:cs="Arial"/>
          <w:lang w:eastAsia="cs-CZ"/>
        </w:rPr>
        <w:t xml:space="preserve">V Praze dne </w:t>
      </w:r>
      <w:r w:rsidR="00023CED">
        <w:rPr>
          <w:rFonts w:ascii="Arial" w:eastAsia="Arial" w:hAnsi="Arial" w:cs="Arial"/>
          <w:lang w:eastAsia="cs-CZ"/>
        </w:rPr>
        <w:t>2</w:t>
      </w:r>
      <w:r w:rsidR="00A53614">
        <w:rPr>
          <w:rFonts w:ascii="Arial" w:eastAsia="Arial" w:hAnsi="Arial" w:cs="Arial"/>
          <w:lang w:eastAsia="cs-CZ"/>
        </w:rPr>
        <w:t>8</w:t>
      </w:r>
      <w:r w:rsidRPr="006B09AC">
        <w:rPr>
          <w:rFonts w:ascii="Arial" w:eastAsia="Arial" w:hAnsi="Arial" w:cs="Arial"/>
          <w:lang w:eastAsia="cs-CZ"/>
        </w:rPr>
        <w:t xml:space="preserve">. </w:t>
      </w:r>
      <w:r w:rsidR="006B09AC">
        <w:rPr>
          <w:rFonts w:ascii="Arial" w:eastAsia="Arial" w:hAnsi="Arial" w:cs="Arial"/>
          <w:lang w:eastAsia="cs-CZ"/>
        </w:rPr>
        <w:t>února</w:t>
      </w:r>
      <w:r w:rsidRPr="006B09AC">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BD29340"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023CED">
        <w:rPr>
          <w:rFonts w:ascii="Arial" w:hAnsi="Arial" w:cs="Arial"/>
        </w:rPr>
        <w:t>17</w:t>
      </w:r>
      <w:r w:rsidR="0017448E">
        <w:rPr>
          <w:rFonts w:ascii="Arial" w:hAnsi="Arial" w:cs="Arial"/>
        </w:rPr>
        <w:t>6</w:t>
      </w:r>
      <w:r w:rsidR="00EC7B36">
        <w:rPr>
          <w:rFonts w:ascii="Arial" w:hAnsi="Arial" w:cs="Arial"/>
        </w:rPr>
        <w:t xml:space="preserve">, </w:t>
      </w:r>
      <w:r w:rsidR="00AE5840" w:rsidRPr="00AE5840">
        <w:rPr>
          <w:rFonts w:ascii="Arial" w:hAnsi="Arial" w:cs="Arial"/>
          <w:b/>
          <w:bCs/>
        </w:rPr>
        <w:t>ministerského rady</w:t>
      </w:r>
      <w:r w:rsidR="00C03BF7">
        <w:rPr>
          <w:rFonts w:ascii="Arial" w:hAnsi="Arial" w:cs="Arial"/>
          <w:b/>
          <w:bCs/>
        </w:rPr>
        <w:t xml:space="preserve"> </w:t>
      </w:r>
      <w:r w:rsidR="00023CED" w:rsidRPr="00023CED">
        <w:rPr>
          <w:rFonts w:ascii="Arial" w:hAnsi="Arial" w:cs="Arial"/>
          <w:b/>
          <w:bCs/>
        </w:rPr>
        <w:t>v oddělení</w:t>
      </w:r>
      <w:r w:rsidR="004E55AD" w:rsidRPr="00023CED">
        <w:rPr>
          <w:rFonts w:ascii="Arial" w:hAnsi="Arial" w:cs="Arial"/>
          <w:b/>
          <w:bCs/>
        </w:rPr>
        <w:t xml:space="preserve"> </w:t>
      </w:r>
      <w:r w:rsidR="00023CED" w:rsidRPr="00023CED">
        <w:rPr>
          <w:rFonts w:ascii="Arial" w:hAnsi="Arial" w:cs="Arial"/>
          <w:b/>
          <w:bCs/>
        </w:rPr>
        <w:t>evropského a mezinárodního práva</w:t>
      </w:r>
      <w:r w:rsidR="00DC6EBE" w:rsidRPr="00C03BF7">
        <w:rPr>
          <w:rFonts w:ascii="Arial" w:hAnsi="Arial" w:cs="Arial"/>
        </w:rPr>
        <w:t>,</w:t>
      </w:r>
      <w:r w:rsidR="00DC6EBE">
        <w:rPr>
          <w:rFonts w:ascii="Arial" w:hAnsi="Arial" w:cs="Arial"/>
        </w:rPr>
        <w:t xml:space="preserve"> </w:t>
      </w:r>
      <w:hyperlink r:id="rId9" w:history="1">
        <w:r w:rsidR="00023CED" w:rsidRPr="00023CED">
          <w:rPr>
            <w:rFonts w:ascii="Arial" w:hAnsi="Arial" w:cs="Arial"/>
          </w:rPr>
          <w:t>odbor mezinárodní</w:t>
        </w:r>
        <w:r w:rsidR="00A53614">
          <w:rPr>
            <w:rFonts w:ascii="Arial" w:hAnsi="Arial" w:cs="Arial"/>
          </w:rPr>
          <w:t>ch</w:t>
        </w:r>
      </w:hyperlink>
      <w:r w:rsidR="00A53614">
        <w:rPr>
          <w:rFonts w:ascii="Arial" w:hAnsi="Arial" w:cs="Arial"/>
        </w:rPr>
        <w:t xml:space="preserve"> vztahů</w:t>
      </w:r>
      <w:r w:rsidR="00E51ABA">
        <w:rPr>
          <w:rFonts w:ascii="Arial" w:hAnsi="Arial" w:cs="Arial"/>
        </w:rPr>
        <w:t xml:space="preserve">, </w:t>
      </w:r>
      <w:r w:rsidR="00912D20" w:rsidRPr="00A90FB8">
        <w:rPr>
          <w:rFonts w:ascii="Arial" w:eastAsia="Arial" w:hAnsi="Arial" w:cs="Arial"/>
          <w:lang w:eastAsia="cs-CZ"/>
        </w:rPr>
        <w:t>sekce</w:t>
      </w:r>
      <w:hyperlink r:id="rId10" w:history="1">
        <w:r w:rsidR="00023CED" w:rsidRPr="00023CED">
          <w:rPr>
            <w:rFonts w:ascii="Arial" w:hAnsi="Arial" w:cs="Arial"/>
          </w:rPr>
          <w:t xml:space="preserve"> koordinace evropských fondů mezinárodních vztahů a cestovního ruchu</w:t>
        </w:r>
      </w:hyperlink>
      <w:r w:rsidR="00912D20" w:rsidRPr="00023CED">
        <w:rPr>
          <w:rFonts w:ascii="Arial" w:hAnsi="Arial" w:cs="Arial"/>
        </w:rPr>
        <w:t xml:space="preserve"> </w:t>
      </w:r>
      <w:r w:rsidRPr="00023CED">
        <w:rPr>
          <w:rFonts w:ascii="Arial" w:hAnsi="Arial" w:cs="Arial"/>
        </w:rPr>
        <w:t>v</w:t>
      </w:r>
      <w:r w:rsidR="00B865FF" w:rsidRPr="00023CED">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424F6724" w:rsidR="00463335" w:rsidRDefault="00463335" w:rsidP="000B2EB5">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023CED">
        <w:rPr>
          <w:rFonts w:ascii="Arial" w:eastAsia="Arial" w:hAnsi="Arial" w:cs="Arial"/>
          <w:b/>
          <w:bCs/>
          <w:lang w:eastAsia="cs-CZ"/>
        </w:rPr>
        <w:t>ech</w:t>
      </w:r>
      <w:r w:rsidRPr="00A75D37">
        <w:rPr>
          <w:rFonts w:ascii="Arial" w:eastAsia="Arial" w:hAnsi="Arial" w:cs="Arial"/>
          <w:b/>
          <w:bCs/>
          <w:lang w:eastAsia="cs-CZ"/>
        </w:rPr>
        <w:t xml:space="preserve"> služby </w:t>
      </w:r>
    </w:p>
    <w:p w14:paraId="2E2830E4" w14:textId="7FFCB659" w:rsidR="00023CED" w:rsidRPr="00023CED" w:rsidRDefault="00023CED" w:rsidP="000B2EB5">
      <w:pPr>
        <w:autoSpaceDE w:val="0"/>
        <w:autoSpaceDN w:val="0"/>
        <w:adjustRightInd w:val="0"/>
        <w:spacing w:after="120" w:line="240" w:lineRule="auto"/>
        <w:rPr>
          <w:rFonts w:ascii="Arial" w:hAnsi="Arial" w:cs="Arial"/>
        </w:rPr>
      </w:pPr>
      <w:r w:rsidRPr="00023CED">
        <w:rPr>
          <w:rFonts w:ascii="Arial" w:hAnsi="Arial" w:cs="Arial"/>
        </w:rPr>
        <w:t>22 - Legislativa a právní činnost</w:t>
      </w:r>
    </w:p>
    <w:p w14:paraId="77BB35EC" w14:textId="785103F3" w:rsidR="00DB7908" w:rsidRDefault="00A90FB8" w:rsidP="0000141D">
      <w:pPr>
        <w:spacing w:after="0" w:line="240" w:lineRule="auto"/>
        <w:jc w:val="both"/>
        <w:rPr>
          <w:rFonts w:ascii="Arial" w:hAnsi="Arial" w:cs="Arial"/>
        </w:rPr>
      </w:pPr>
      <w:r>
        <w:rPr>
          <w:rFonts w:ascii="Arial" w:hAnsi="Arial" w:cs="Arial"/>
        </w:rPr>
        <w:t>3</w:t>
      </w:r>
      <w:r w:rsidR="00627A0D">
        <w:rPr>
          <w:rFonts w:ascii="Arial" w:hAnsi="Arial" w:cs="Arial"/>
        </w:rPr>
        <w:t>8</w:t>
      </w:r>
      <w:r w:rsidR="0000141D" w:rsidRPr="00E87F8B">
        <w:rPr>
          <w:rFonts w:ascii="Arial" w:hAnsi="Arial" w:cs="Arial"/>
        </w:rPr>
        <w:t xml:space="preserve"> – </w:t>
      </w:r>
      <w:r>
        <w:rPr>
          <w:rFonts w:ascii="Arial" w:hAnsi="Arial" w:cs="Arial"/>
        </w:rPr>
        <w:t>Společné evropské politiky podpory a pomoci a evropské strukturální, investiční a 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555C2089" w14:textId="337F69EF" w:rsidR="00A90FB8" w:rsidRPr="005B7328" w:rsidRDefault="00463335" w:rsidP="005B7328">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3C65DF53" w14:textId="2A586907" w:rsidR="00023CED" w:rsidRPr="00023CED" w:rsidRDefault="00023CED"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vypracovává stanoviska pro ministra k bodům vládní agendy týkající se agendy spojené s implementací Dohody o partnerství, EU fondů a evropského a mezinárodního práva a stanoviska ministerstva v rámci meziresortního připomínkového řízení v této oblasti;</w:t>
      </w:r>
    </w:p>
    <w:p w14:paraId="519C4554" w14:textId="6619FEFE" w:rsidR="00023CED" w:rsidRPr="00023CED" w:rsidRDefault="00023CED"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připravuje a vypracovává odborné a věcné podklady pro přípravu návrhů právních předpisů v působnost ministerstva z hlediska slučitelnosti s právem EU, mezinárodními smlouvami, kterými je ČR vázána a mezinárodními smlouvami v oblasti lidských práv. V této souvislosti rovněž poskytuje právní poradenství ostatním útvarům ministerstva;</w:t>
      </w:r>
    </w:p>
    <w:p w14:paraId="73A45693" w14:textId="339D95CE" w:rsidR="00023CED" w:rsidRPr="00023CED" w:rsidRDefault="00023CED"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odborně spolupracuje s věcnými útvary při vypracování překladů návrhů právních předpisů v gesci MMR a překladů relevantních právních předpisů ES pro potřeby MMR, zejména pokud jde o použití odborné a právní terminologie;</w:t>
      </w:r>
    </w:p>
    <w:p w14:paraId="79D2039D" w14:textId="02714EF7" w:rsidR="00023CED" w:rsidRPr="00023CED" w:rsidRDefault="00023CED"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spolupracuje s věcně příslušnými útvary na řešení právních a legislativních problémů souvisejících s čerpáním zdrojů z fondů EU. Podílí se na činnosti Národního orgánu pro koordinaci (NOK), koordinačního a metodického orgánu odpovědného vládě ČR za koordinaci řízení politiky hospodářské a sociální soudržnosti;</w:t>
      </w:r>
    </w:p>
    <w:p w14:paraId="5F86F285" w14:textId="1E3165F4" w:rsidR="00023CED" w:rsidRPr="00023CED" w:rsidRDefault="00023CED"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spolupracuje na přípravě strategických dokumentů v oblasti politiky soudržnosti a podílí se na implementaci Dohody o partnerství;</w:t>
      </w:r>
    </w:p>
    <w:p w14:paraId="00764F6B" w14:textId="5F01DFF2" w:rsidR="00023CED" w:rsidRPr="00023CED" w:rsidRDefault="00023CED"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 xml:space="preserve">poskytuje právní podporu a spolupracuje s dalšími útvary MMR při zajištění jednotného metodického prostředí a rámce pro všechna programová období, a to </w:t>
      </w:r>
      <w:r w:rsidRPr="005B7328">
        <w:rPr>
          <w:rFonts w:ascii="Arial" w:hAnsi="Arial" w:cs="Arial"/>
        </w:rPr>
        <w:lastRenderedPageBreak/>
        <w:t>zejména v oblasti legislativy, navrhuje vhodná doporučení a poskytuje metodickou podporu pro řídicí orgány v oblasti práva;</w:t>
      </w:r>
    </w:p>
    <w:p w14:paraId="0AAAE35B" w14:textId="5C089F59" w:rsidR="00023CED" w:rsidRPr="00023CED" w:rsidRDefault="00023CED"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identifikuje rizikové faktory v legislativní oblasti ovlivňující implementaci Dohody o partnerství a čerpání z fondů EU, navrhuje nápravná opatření a doporučení pro zefektivnění implementačního systému;</w:t>
      </w:r>
    </w:p>
    <w:p w14:paraId="71DD3F69" w14:textId="746D69BB" w:rsidR="00023CED" w:rsidRPr="005B7328" w:rsidRDefault="00023CED"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 xml:space="preserve">podílí se na zajištění obsahové náplně některých pracovních skupin a platforem MMR NOK, zejména zodpovídá za organizaci a přípravu platformy PS </w:t>
      </w:r>
      <w:proofErr w:type="spellStart"/>
      <w:r w:rsidRPr="005B7328">
        <w:rPr>
          <w:rFonts w:ascii="Arial" w:hAnsi="Arial" w:cs="Arial"/>
        </w:rPr>
        <w:t>Legal</w:t>
      </w:r>
      <w:proofErr w:type="spellEnd"/>
      <w:r w:rsidRPr="005B7328">
        <w:rPr>
          <w:rFonts w:ascii="Arial" w:hAnsi="Arial" w:cs="Arial"/>
        </w:rPr>
        <w:t>, a účastní se příslušných jednání;</w:t>
      </w:r>
    </w:p>
    <w:p w14:paraId="6BED26E7" w14:textId="4BDE927E" w:rsidR="005B7328" w:rsidRPr="005B7328" w:rsidRDefault="005B7328"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 xml:space="preserve">podílí se na přípravě podkladů a prezentací pro jednání MMR-NOK, </w:t>
      </w:r>
      <w:proofErr w:type="gramStart"/>
      <w:r w:rsidRPr="005B7328">
        <w:rPr>
          <w:rFonts w:ascii="Arial" w:hAnsi="Arial" w:cs="Arial"/>
        </w:rPr>
        <w:t>tvoří</w:t>
      </w:r>
      <w:proofErr w:type="gramEnd"/>
      <w:r w:rsidRPr="005B7328">
        <w:rPr>
          <w:rFonts w:ascii="Arial" w:hAnsi="Arial" w:cs="Arial"/>
        </w:rPr>
        <w:t xml:space="preserve"> podklady pro materiály a dokumenty připravované na úrovni MMR-NOK;</w:t>
      </w:r>
    </w:p>
    <w:p w14:paraId="25D8917B" w14:textId="7362FA6F" w:rsidR="005B7328" w:rsidRPr="005B7328" w:rsidRDefault="005B7328"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poskytuje právní stanoviska, konzultace a poradenství v oblasti právního rámce fondů EU;</w:t>
      </w:r>
    </w:p>
    <w:p w14:paraId="46002280" w14:textId="629881E7" w:rsidR="005B7328" w:rsidRPr="005B7328" w:rsidRDefault="005B7328"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podílí se na zabezpečení funkce resortního koordinátora pro notifikace technických předpisů podle nařízení vlády č. 339/2002 Sb., o postupech při poskytování informací v oblasti technických předpisů, technických dokumentů a technických norem;</w:t>
      </w:r>
    </w:p>
    <w:p w14:paraId="79BEF0A0" w14:textId="1E7421E6" w:rsidR="005B7328" w:rsidRPr="005B7328" w:rsidRDefault="005B7328" w:rsidP="00AE5840">
      <w:pPr>
        <w:pStyle w:val="Odstavecseseznamem"/>
        <w:numPr>
          <w:ilvl w:val="0"/>
          <w:numId w:val="46"/>
        </w:numPr>
        <w:spacing w:after="0" w:line="240" w:lineRule="auto"/>
        <w:ind w:left="567"/>
        <w:jc w:val="both"/>
        <w:rPr>
          <w:rFonts w:ascii="Arial" w:hAnsi="Arial" w:cs="Arial"/>
        </w:rPr>
      </w:pPr>
      <w:r w:rsidRPr="005B7328">
        <w:rPr>
          <w:rFonts w:ascii="Arial" w:hAnsi="Arial" w:cs="Arial"/>
        </w:rPr>
        <w:t>spolupracuje s koordinačním pracovištěm na úseku technické normalizace v působnosti MMR zřízeném OSŘ;</w:t>
      </w:r>
    </w:p>
    <w:p w14:paraId="272B20CA" w14:textId="0F4A2FFC" w:rsidR="008F6678" w:rsidRPr="005B7328" w:rsidRDefault="005B7328" w:rsidP="008F6678">
      <w:pPr>
        <w:pStyle w:val="Odstavecseseznamem"/>
        <w:numPr>
          <w:ilvl w:val="0"/>
          <w:numId w:val="46"/>
        </w:numPr>
        <w:spacing w:after="0" w:line="240" w:lineRule="auto"/>
        <w:ind w:left="567"/>
        <w:jc w:val="both"/>
        <w:rPr>
          <w:rFonts w:ascii="Arial" w:hAnsi="Arial" w:cs="Arial"/>
        </w:rPr>
      </w:pPr>
      <w:r w:rsidRPr="005B7328">
        <w:rPr>
          <w:rFonts w:ascii="Arial" w:hAnsi="Arial" w:cs="Arial"/>
        </w:rPr>
        <w:t>zastupuje MMR v Resortní koordinační skupině pro mezinárodní obchod zřízené MPO a ve Výboru pro vládní zakázky světové obchodní organizace (GPA WTO).</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0C64D582"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5B7328">
        <w:rPr>
          <w:rFonts w:ascii="Arial" w:eastAsia="Arial" w:hAnsi="Arial" w:cs="Arial"/>
          <w:b/>
          <w:bCs/>
          <w:lang w:eastAsia="cs-CZ"/>
        </w:rPr>
        <w:t>5</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2A5A4DD1"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5B7328">
        <w:rPr>
          <w:rFonts w:ascii="Arial" w:eastAsia="Arial" w:hAnsi="Arial" w:cs="Arial"/>
          <w:b/>
          <w:bCs/>
          <w:lang w:eastAsia="cs-CZ"/>
        </w:rPr>
        <w:t>41.220</w:t>
      </w:r>
      <w:r w:rsidRPr="0004573A">
        <w:rPr>
          <w:rFonts w:ascii="Arial" w:eastAsia="Arial" w:hAnsi="Arial" w:cs="Arial"/>
          <w:b/>
          <w:bCs/>
          <w:lang w:eastAsia="cs-CZ"/>
        </w:rPr>
        <w:t xml:space="preserve"> Kč do </w:t>
      </w:r>
      <w:r w:rsidR="005B7328">
        <w:rPr>
          <w:rFonts w:ascii="Arial" w:eastAsia="Arial" w:hAnsi="Arial" w:cs="Arial"/>
          <w:b/>
          <w:bCs/>
          <w:lang w:eastAsia="cs-CZ"/>
        </w:rPr>
        <w:t>60.420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w:t>
      </w:r>
      <w:r w:rsidRPr="00633C5C">
        <w:rPr>
          <w:rFonts w:ascii="Arial" w:eastAsia="Arial" w:hAnsi="Arial" w:cs="Arial"/>
          <w:lang w:eastAsia="cs-CZ"/>
        </w:rPr>
        <w:lastRenderedPageBreak/>
        <w:t>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739DB03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w:t>
      </w:r>
      <w:r w:rsidR="000C2B89">
        <w:rPr>
          <w:rFonts w:ascii="Arial" w:eastAsia="Arial" w:hAnsi="Arial" w:cs="Arial"/>
          <w:lang w:eastAsia="cs-CZ"/>
        </w:rPr>
        <w:t xml:space="preserve"> </w:t>
      </w:r>
      <w:r w:rsidRPr="004E55AD">
        <w:rPr>
          <w:rFonts w:ascii="Arial" w:eastAsia="Arial" w:hAnsi="Arial" w:cs="Arial"/>
          <w:b/>
          <w:bCs/>
          <w:lang w:eastAsia="cs-CZ"/>
        </w:rPr>
        <w:t>nástup</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E53A63">
        <w:rPr>
          <w:rFonts w:ascii="Arial" w:eastAsia="Arial" w:hAnsi="Arial" w:cs="Arial"/>
          <w:b/>
          <w:bCs/>
          <w:lang w:eastAsia="cs-CZ"/>
        </w:rPr>
        <w:t xml:space="preserve"> v</w:t>
      </w:r>
      <w:r w:rsidR="004E55AD">
        <w:rPr>
          <w:rFonts w:ascii="Arial" w:eastAsia="Arial" w:hAnsi="Arial" w:cs="Arial"/>
          <w:b/>
          <w:bCs/>
          <w:lang w:eastAsia="cs-CZ"/>
        </w:rPr>
        <w:t xml:space="preserve"> </w:t>
      </w:r>
      <w:r w:rsidR="005B7328">
        <w:rPr>
          <w:rFonts w:ascii="Arial" w:eastAsia="Arial" w:hAnsi="Arial" w:cs="Arial"/>
          <w:b/>
          <w:bCs/>
          <w:lang w:eastAsia="cs-CZ"/>
        </w:rPr>
        <w:t>dub</w:t>
      </w:r>
      <w:r w:rsidR="00E53A63">
        <w:rPr>
          <w:rFonts w:ascii="Arial" w:eastAsia="Arial" w:hAnsi="Arial" w:cs="Arial"/>
          <w:b/>
          <w:bCs/>
          <w:lang w:eastAsia="cs-CZ"/>
        </w:rPr>
        <w:t>nu</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11"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037E29C4"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2"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73A9B255"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3360497D"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5B7328">
        <w:rPr>
          <w:rFonts w:ascii="Arial" w:eastAsia="Arial" w:hAnsi="Arial" w:cs="Arial"/>
          <w:b/>
          <w:bCs/>
          <w:color w:val="000000"/>
          <w:lang w:eastAsia="cs-CZ"/>
        </w:rPr>
        <w:t>1</w:t>
      </w:r>
      <w:r w:rsidR="00A53614">
        <w:rPr>
          <w:rFonts w:ascii="Arial" w:eastAsia="Arial" w:hAnsi="Arial" w:cs="Arial"/>
          <w:b/>
          <w:bCs/>
          <w:color w:val="000000"/>
          <w:lang w:eastAsia="cs-CZ"/>
        </w:rPr>
        <w:t>7</w:t>
      </w:r>
      <w:r w:rsidR="00DF6A7C">
        <w:rPr>
          <w:rFonts w:ascii="Arial" w:eastAsia="Arial" w:hAnsi="Arial" w:cs="Arial"/>
          <w:b/>
          <w:bCs/>
          <w:color w:val="000000"/>
          <w:lang w:eastAsia="cs-CZ"/>
        </w:rPr>
        <w:t xml:space="preserve">. </w:t>
      </w:r>
      <w:r w:rsidR="005B7328">
        <w:rPr>
          <w:rFonts w:ascii="Arial" w:eastAsia="Arial" w:hAnsi="Arial" w:cs="Arial"/>
          <w:b/>
          <w:bCs/>
          <w:color w:val="000000"/>
          <w:lang w:eastAsia="cs-CZ"/>
        </w:rPr>
        <w:t>března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188F531E"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5B7328" w:rsidRPr="00AE5840">
        <w:rPr>
          <w:rFonts w:ascii="Arial" w:hAnsi="Arial" w:cs="Arial"/>
          <w:b/>
          <w:bCs/>
        </w:rPr>
        <w:t>ministerského rady</w:t>
      </w:r>
      <w:r w:rsidR="005B7328">
        <w:rPr>
          <w:rFonts w:ascii="Arial" w:hAnsi="Arial" w:cs="Arial"/>
          <w:b/>
          <w:bCs/>
        </w:rPr>
        <w:t xml:space="preserve"> </w:t>
      </w:r>
      <w:r w:rsidR="005B7328" w:rsidRPr="00023CED">
        <w:rPr>
          <w:rFonts w:ascii="Arial" w:hAnsi="Arial" w:cs="Arial"/>
          <w:b/>
          <w:bCs/>
        </w:rPr>
        <w:t>v oddělení evropského a mezinárodního práva</w:t>
      </w:r>
      <w:r w:rsidRPr="003A66D2">
        <w:rPr>
          <w:rFonts w:ascii="Arial" w:hAnsi="Arial" w:cs="Arial"/>
          <w:b/>
          <w:bCs/>
        </w:rPr>
        <w:t>,</w:t>
      </w:r>
      <w:r w:rsidR="00A43FCC" w:rsidRPr="003A66D2">
        <w:rPr>
          <w:rFonts w:ascii="Arial" w:hAnsi="Arial" w:cs="Arial"/>
          <w:b/>
          <w:bCs/>
        </w:rPr>
        <w:t xml:space="preserve"> </w:t>
      </w:r>
      <w:r w:rsidRPr="006B09AC">
        <w:rPr>
          <w:rFonts w:ascii="Arial" w:hAnsi="Arial" w:cs="Arial"/>
          <w:b/>
          <w:bCs/>
        </w:rPr>
        <w:t>č.j.:</w:t>
      </w:r>
      <w:r w:rsidR="00ED452C" w:rsidRPr="006B09AC">
        <w:rPr>
          <w:rFonts w:ascii="Arial" w:hAnsi="Arial" w:cs="Arial"/>
          <w:b/>
          <w:bCs/>
        </w:rPr>
        <w:t xml:space="preserve"> </w:t>
      </w:r>
      <w:r w:rsidR="003A66D2" w:rsidRPr="006B09AC">
        <w:rPr>
          <w:rFonts w:ascii="Arial" w:hAnsi="Arial" w:cs="Arial"/>
          <w:b/>
          <w:bCs/>
        </w:rPr>
        <w:t>MMR-</w:t>
      </w:r>
      <w:r w:rsidR="005B7328">
        <w:rPr>
          <w:rFonts w:ascii="Arial" w:hAnsi="Arial" w:cs="Arial"/>
          <w:b/>
          <w:bCs/>
        </w:rPr>
        <w:t>17285</w:t>
      </w:r>
      <w:r w:rsidR="003A66D2" w:rsidRPr="006B09AC">
        <w:rPr>
          <w:rFonts w:ascii="Arial" w:hAnsi="Arial" w:cs="Arial"/>
          <w:b/>
          <w:bCs/>
        </w:rPr>
        <w:t>/202</w:t>
      </w:r>
      <w:r w:rsidR="008F6678" w:rsidRPr="006B09AC">
        <w:rPr>
          <w:rFonts w:ascii="Arial" w:hAnsi="Arial" w:cs="Arial"/>
          <w:b/>
          <w:bCs/>
        </w:rPr>
        <w:t>5</w:t>
      </w:r>
      <w:r w:rsidR="003A66D2" w:rsidRPr="006B09AC">
        <w:rPr>
          <w:rFonts w:ascii="Arial" w:hAnsi="Arial" w:cs="Arial"/>
          <w:b/>
          <w:bCs/>
        </w:rPr>
        <w:t>-94</w:t>
      </w:r>
      <w:r w:rsidR="00A43FCC" w:rsidRPr="006B09AC">
        <w:rPr>
          <w:rFonts w:ascii="Arial" w:hAnsi="Arial" w:cs="Arial"/>
          <w:b/>
          <w:bCs/>
        </w:rPr>
        <w:t>/</w:t>
      </w:r>
      <w:r w:rsidR="008F6678" w:rsidRPr="006B09AC">
        <w:rPr>
          <w:rFonts w:ascii="Arial" w:hAnsi="Arial" w:cs="Arial"/>
          <w:b/>
          <w:bCs/>
        </w:rPr>
        <w:t>IČ</w:t>
      </w:r>
      <w:r w:rsidRPr="006B09AC">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lastRenderedPageBreak/>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157007C4" w14:textId="5464F601" w:rsidR="00773107" w:rsidRPr="00773107" w:rsidRDefault="00773107" w:rsidP="00773107">
      <w:pPr>
        <w:pStyle w:val="Odstavecseseznamem"/>
        <w:numPr>
          <w:ilvl w:val="0"/>
          <w:numId w:val="39"/>
        </w:numPr>
        <w:tabs>
          <w:tab w:val="left" w:pos="1276"/>
        </w:tabs>
        <w:spacing w:after="0" w:line="240" w:lineRule="auto"/>
        <w:ind w:left="643"/>
        <w:contextualSpacing/>
        <w:jc w:val="both"/>
        <w:rPr>
          <w:rFonts w:ascii="Arial" w:hAnsi="Arial" w:cs="Arial"/>
        </w:rPr>
      </w:pPr>
      <w:r>
        <w:rPr>
          <w:rFonts w:ascii="Arial" w:hAnsi="Arial" w:cs="Arial"/>
        </w:rPr>
        <w:t xml:space="preserve">dosáhl </w:t>
      </w:r>
      <w:r w:rsidRPr="007416B2">
        <w:rPr>
          <w:rFonts w:ascii="Arial" w:hAnsi="Arial" w:cs="Arial"/>
        </w:rPr>
        <w:t>odborného zaměření vzdělání</w:t>
      </w:r>
      <w:r>
        <w:rPr>
          <w:rFonts w:ascii="Arial" w:hAnsi="Arial" w:cs="Arial"/>
        </w:rPr>
        <w:t xml:space="preserve"> </w:t>
      </w:r>
      <w:r w:rsidRPr="00A561AB">
        <w:rPr>
          <w:rFonts w:ascii="Arial" w:hAnsi="Arial" w:cs="Arial"/>
        </w:rPr>
        <w:t>stanovené</w:t>
      </w:r>
      <w:r>
        <w:rPr>
          <w:rFonts w:ascii="Arial" w:hAnsi="Arial" w:cs="Arial"/>
        </w:rPr>
        <w:t>ho</w:t>
      </w:r>
      <w:r w:rsidRPr="00A561AB">
        <w:rPr>
          <w:rFonts w:ascii="Arial" w:hAnsi="Arial" w:cs="Arial"/>
        </w:rPr>
        <w:t xml:space="preserve"> </w:t>
      </w:r>
      <w:r w:rsidRPr="005176B8">
        <w:rPr>
          <w:rFonts w:ascii="Arial" w:hAnsi="Arial" w:cs="Arial"/>
        </w:rPr>
        <w:t xml:space="preserve">služebním předpisem státní tajemnice č. </w:t>
      </w:r>
      <w:r>
        <w:rPr>
          <w:rFonts w:ascii="Arial" w:hAnsi="Arial" w:cs="Arial"/>
        </w:rPr>
        <w:t>5</w:t>
      </w:r>
      <w:r w:rsidRPr="005176B8">
        <w:rPr>
          <w:rFonts w:ascii="Arial" w:hAnsi="Arial" w:cs="Arial"/>
        </w:rPr>
        <w:t>/202</w:t>
      </w:r>
      <w:r>
        <w:rPr>
          <w:rFonts w:ascii="Arial" w:hAnsi="Arial" w:cs="Arial"/>
        </w:rPr>
        <w:t>5</w:t>
      </w:r>
      <w:r w:rsidRPr="005176B8">
        <w:rPr>
          <w:rFonts w:ascii="Arial" w:hAnsi="Arial" w:cs="Arial"/>
        </w:rPr>
        <w:t xml:space="preserve">, č.j. </w:t>
      </w:r>
      <w:r w:rsidRPr="00E13DFF">
        <w:rPr>
          <w:rFonts w:ascii="Arial" w:hAnsi="Arial" w:cs="Arial"/>
        </w:rPr>
        <w:t>MMR-</w:t>
      </w:r>
      <w:r>
        <w:rPr>
          <w:rFonts w:ascii="Arial" w:hAnsi="Arial" w:cs="Arial"/>
        </w:rPr>
        <w:t>11083</w:t>
      </w:r>
      <w:r w:rsidRPr="00E13DFF">
        <w:rPr>
          <w:rFonts w:ascii="Arial" w:hAnsi="Arial" w:cs="Arial"/>
        </w:rPr>
        <w:t>/2025-94</w:t>
      </w:r>
      <w:r>
        <w:rPr>
          <w:rFonts w:ascii="Arial" w:hAnsi="Arial" w:cs="Arial"/>
        </w:rPr>
        <w:t xml:space="preserve"> </w:t>
      </w:r>
      <w:r w:rsidRPr="00A561AB">
        <w:rPr>
          <w:rFonts w:ascii="Arial" w:hAnsi="Arial" w:cs="Arial"/>
        </w:rPr>
        <w:t xml:space="preserve">pro toto služební místo, </w:t>
      </w:r>
      <w:r w:rsidRPr="007416B2">
        <w:rPr>
          <w:rFonts w:ascii="Arial" w:hAnsi="Arial" w:cs="Arial"/>
        </w:rPr>
        <w:t>a to vysokoškolské vzdělání</w:t>
      </w:r>
      <w:r>
        <w:rPr>
          <w:rFonts w:ascii="Arial" w:hAnsi="Arial" w:cs="Arial"/>
        </w:rPr>
        <w:t xml:space="preserve"> v magisterském studijním programu, </w:t>
      </w:r>
      <w:r w:rsidRPr="00015C37">
        <w:rPr>
          <w:rFonts w:ascii="Arial" w:hAnsi="Arial" w:cs="Arial"/>
        </w:rPr>
        <w:t>a to zaměření právní</w:t>
      </w:r>
      <w:r w:rsidRPr="007416B2">
        <w:rPr>
          <w:rFonts w:ascii="Arial" w:hAnsi="Arial" w:cs="Arial"/>
        </w:rPr>
        <w:t>.</w:t>
      </w:r>
      <w:r>
        <w:rPr>
          <w:rFonts w:ascii="Arial" w:hAnsi="Arial" w:cs="Arial"/>
        </w:rPr>
        <w:t xml:space="preserve"> </w:t>
      </w:r>
      <w:r w:rsidRPr="001662C6">
        <w:rPr>
          <w:rFonts w:ascii="Arial" w:hAnsi="Arial" w:cs="Arial"/>
        </w:rPr>
        <w:t>Splnění tohoto požadavku se dokládá originálem nebo úředně ověřenou kopií příslušné listiny (vysokoškolský diplom).</w:t>
      </w:r>
    </w:p>
    <w:p w14:paraId="01812058" w14:textId="40FD701C"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B649B4">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28B5A9CC" w14:textId="1613419D" w:rsidR="005274E2"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t>předloží</w:t>
      </w:r>
      <w:proofErr w:type="gramEnd"/>
      <w:r w:rsidRPr="005274E2">
        <w:rPr>
          <w:rFonts w:ascii="Arial" w:hAnsi="Arial" w:cs="Arial"/>
          <w:color w:val="000000" w:themeColor="text1"/>
        </w:rPr>
        <w:t xml:space="preserve"> nejpozději po výzvě služebního orgánu (§ 28a odst. 1 zákona o státní službě). </w:t>
      </w:r>
    </w:p>
    <w:p w14:paraId="72CCB222" w14:textId="77777777" w:rsidR="008F6678" w:rsidRDefault="008F6678" w:rsidP="005274E2">
      <w:pPr>
        <w:spacing w:after="0" w:line="240" w:lineRule="auto"/>
        <w:ind w:left="567"/>
        <w:jc w:val="both"/>
        <w:rPr>
          <w:rFonts w:ascii="Arial" w:hAnsi="Arial" w:cs="Arial"/>
          <w:color w:val="000000" w:themeColor="text1"/>
        </w:rPr>
      </w:pPr>
    </w:p>
    <w:p w14:paraId="76B33064" w14:textId="44497D84" w:rsidR="006B09AC" w:rsidRDefault="006B09AC" w:rsidP="006B09AC">
      <w:pPr>
        <w:pStyle w:val="Odstavecseseznamem"/>
        <w:numPr>
          <w:ilvl w:val="0"/>
          <w:numId w:val="49"/>
        </w:numPr>
        <w:spacing w:after="0" w:line="240" w:lineRule="auto"/>
        <w:contextualSpacing/>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773107">
        <w:rPr>
          <w:rFonts w:ascii="Arial" w:hAnsi="Arial" w:cs="Arial"/>
          <w:color w:val="000000" w:themeColor="text1"/>
        </w:rPr>
        <w:t>5</w:t>
      </w:r>
      <w:r>
        <w:rPr>
          <w:rFonts w:ascii="Arial" w:hAnsi="Arial" w:cs="Arial"/>
          <w:color w:val="000000" w:themeColor="text1"/>
        </w:rPr>
        <w:t xml:space="preserve">/2025, č.j. </w:t>
      </w:r>
      <w:r w:rsidRPr="00E13DFF">
        <w:rPr>
          <w:rFonts w:ascii="Arial" w:hAnsi="Arial" w:cs="Arial"/>
        </w:rPr>
        <w:t>MMR-</w:t>
      </w:r>
      <w:r w:rsidR="00773107">
        <w:rPr>
          <w:rFonts w:ascii="Arial" w:hAnsi="Arial" w:cs="Arial"/>
        </w:rPr>
        <w:t>11083</w:t>
      </w:r>
      <w:r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53545B4C" w14:textId="77777777" w:rsidR="006B09AC" w:rsidRDefault="006B09AC" w:rsidP="006B09AC">
      <w:pPr>
        <w:pStyle w:val="Odstavecseseznamem"/>
        <w:spacing w:after="0" w:line="240" w:lineRule="auto"/>
        <w:ind w:left="720"/>
        <w:contextualSpacing/>
        <w:jc w:val="both"/>
        <w:rPr>
          <w:rFonts w:ascii="Arial" w:hAnsi="Arial" w:cs="Arial"/>
          <w:color w:val="000000" w:themeColor="text1"/>
        </w:rPr>
      </w:pPr>
    </w:p>
    <w:p w14:paraId="663F4CE5" w14:textId="5CC809B2" w:rsidR="006B09AC" w:rsidRPr="000B61CB" w:rsidRDefault="006B09AC" w:rsidP="006B09AC">
      <w:pPr>
        <w:pStyle w:val="Odstavecseseznamem"/>
        <w:numPr>
          <w:ilvl w:val="0"/>
          <w:numId w:val="48"/>
        </w:numPr>
        <w:spacing w:after="0" w:line="240" w:lineRule="auto"/>
        <w:contextualSpacing/>
        <w:jc w:val="both"/>
        <w:rPr>
          <w:rFonts w:ascii="Arial" w:hAnsi="Arial" w:cs="Arial"/>
        </w:rPr>
      </w:pPr>
      <w:r w:rsidRPr="000B61CB">
        <w:rPr>
          <w:rFonts w:ascii="Arial" w:hAnsi="Arial" w:cs="Arial"/>
        </w:rPr>
        <w:t>úrov</w:t>
      </w:r>
      <w:r>
        <w:rPr>
          <w:rFonts w:ascii="Arial" w:hAnsi="Arial" w:cs="Arial"/>
        </w:rPr>
        <w:t xml:space="preserve">eň </w:t>
      </w:r>
      <w:r w:rsidRPr="000B61CB">
        <w:rPr>
          <w:rFonts w:ascii="Arial" w:hAnsi="Arial" w:cs="Arial"/>
        </w:rPr>
        <w:t xml:space="preserve">znalosti anglického </w:t>
      </w:r>
      <w:r w:rsidR="00773107">
        <w:rPr>
          <w:rFonts w:ascii="Arial" w:hAnsi="Arial" w:cs="Arial"/>
        </w:rPr>
        <w:t xml:space="preserve">nebo francouzského </w:t>
      </w:r>
      <w:r w:rsidRPr="000B61CB">
        <w:rPr>
          <w:rFonts w:ascii="Arial" w:hAnsi="Arial" w:cs="Arial"/>
        </w:rPr>
        <w:t xml:space="preserve">jazyka, a to odpovídající alespoň </w:t>
      </w:r>
      <w:r w:rsidR="00773107">
        <w:rPr>
          <w:rFonts w:ascii="Arial" w:hAnsi="Arial" w:cs="Arial"/>
        </w:rPr>
        <w:t>2</w:t>
      </w:r>
      <w:r w:rsidRPr="000B61CB">
        <w:rPr>
          <w:rFonts w:ascii="Arial" w:hAnsi="Arial" w:cs="Arial"/>
        </w:rPr>
        <w:t>. stupni znalosti</w:t>
      </w:r>
      <w:r>
        <w:rPr>
          <w:rFonts w:ascii="Arial" w:hAnsi="Arial" w:cs="Arial"/>
        </w:rPr>
        <w:t xml:space="preserve"> </w:t>
      </w:r>
      <w:r w:rsidRPr="000B61CB">
        <w:rPr>
          <w:rFonts w:ascii="Arial" w:hAnsi="Arial" w:cs="Arial"/>
        </w:rPr>
        <w:t>cizího jazyka pro standardizované jazykové zkoušky stanovené rozhodnutím Ministerstva školství, mládeže a tělovýchovy.</w:t>
      </w:r>
    </w:p>
    <w:p w14:paraId="2575E8AD" w14:textId="77777777" w:rsidR="006B09AC" w:rsidRPr="000B61CB" w:rsidRDefault="006B09AC" w:rsidP="006B09AC">
      <w:pPr>
        <w:spacing w:after="0" w:line="240" w:lineRule="auto"/>
        <w:jc w:val="both"/>
        <w:rPr>
          <w:rFonts w:ascii="Arial" w:hAnsi="Arial" w:cs="Arial"/>
        </w:rPr>
      </w:pPr>
    </w:p>
    <w:p w14:paraId="376BF583" w14:textId="77777777" w:rsidR="006B09AC" w:rsidRDefault="006B09AC" w:rsidP="006B09AC">
      <w:pPr>
        <w:pStyle w:val="Odstavecseseznamem"/>
        <w:spacing w:after="0" w:line="240" w:lineRule="auto"/>
        <w:ind w:left="1080"/>
        <w:contextualSpacing/>
        <w:jc w:val="both"/>
        <w:rPr>
          <w:rFonts w:ascii="Arial" w:hAnsi="Arial" w:cs="Arial"/>
        </w:rPr>
      </w:pPr>
      <w:r w:rsidRPr="000B61CB">
        <w:rPr>
          <w:rFonts w:ascii="Arial" w:hAnsi="Arial" w:cs="Arial"/>
        </w:rPr>
        <w:t xml:space="preserve">Splnění tohoto požadavku se dokládá originálem nebo úředně ověřenou </w:t>
      </w:r>
      <w:r>
        <w:rPr>
          <w:rFonts w:ascii="Arial" w:hAnsi="Arial" w:cs="Arial"/>
        </w:rPr>
        <w:t xml:space="preserve">   </w:t>
      </w:r>
      <w:r w:rsidRPr="000B61CB">
        <w:rPr>
          <w:rFonts w:ascii="Arial" w:hAnsi="Arial" w:cs="Arial"/>
        </w:rPr>
        <w:t>kopií vysvědčení/osvědčení</w:t>
      </w:r>
      <w:r>
        <w:rPr>
          <w:rFonts w:ascii="Arial" w:hAnsi="Arial" w:cs="Arial"/>
        </w:rPr>
        <w:t xml:space="preserve"> </w:t>
      </w:r>
      <w:r w:rsidRPr="000B61CB">
        <w:rPr>
          <w:rFonts w:ascii="Arial" w:hAnsi="Arial" w:cs="Arial"/>
        </w:rPr>
        <w:t>nebo jiného dokladu prokazující úroveň znalosti cizího jazyka přiloženého k žádosti.</w:t>
      </w:r>
    </w:p>
    <w:p w14:paraId="78B54293" w14:textId="77777777" w:rsidR="00773107" w:rsidRDefault="00773107" w:rsidP="006B09AC">
      <w:pPr>
        <w:pStyle w:val="Odstavecseseznamem"/>
        <w:spacing w:after="0" w:line="240" w:lineRule="auto"/>
        <w:ind w:left="1080"/>
        <w:contextualSpacing/>
        <w:jc w:val="both"/>
        <w:rPr>
          <w:rFonts w:ascii="Arial" w:hAnsi="Arial" w:cs="Arial"/>
          <w:color w:val="000000" w:themeColor="text1"/>
        </w:rPr>
      </w:pPr>
    </w:p>
    <w:p w14:paraId="075B5574" w14:textId="77777777" w:rsidR="00E351A7" w:rsidRDefault="00E351A7" w:rsidP="006B09AC">
      <w:pPr>
        <w:pStyle w:val="Odstavecseseznamem"/>
        <w:spacing w:after="0" w:line="240" w:lineRule="auto"/>
        <w:ind w:left="1080"/>
        <w:contextualSpacing/>
        <w:jc w:val="both"/>
        <w:rPr>
          <w:rFonts w:ascii="Arial" w:hAnsi="Arial" w:cs="Arial"/>
          <w:color w:val="000000" w:themeColor="text1"/>
        </w:rPr>
      </w:pPr>
    </w:p>
    <w:p w14:paraId="0D6D08A4" w14:textId="77777777" w:rsidR="00E351A7" w:rsidRDefault="00E351A7" w:rsidP="006B09AC">
      <w:pPr>
        <w:pStyle w:val="Odstavecseseznamem"/>
        <w:spacing w:after="0" w:line="240" w:lineRule="auto"/>
        <w:ind w:left="1080"/>
        <w:contextualSpacing/>
        <w:jc w:val="both"/>
        <w:rPr>
          <w:rFonts w:ascii="Arial" w:hAnsi="Arial" w:cs="Arial"/>
          <w:color w:val="000000" w:themeColor="text1"/>
        </w:rPr>
      </w:pPr>
    </w:p>
    <w:p w14:paraId="01BDFCBA" w14:textId="77777777" w:rsidR="00E351A7" w:rsidRDefault="00E351A7" w:rsidP="006B09AC">
      <w:pPr>
        <w:pStyle w:val="Odstavecseseznamem"/>
        <w:spacing w:after="0" w:line="240" w:lineRule="auto"/>
        <w:ind w:left="1080"/>
        <w:contextualSpacing/>
        <w:jc w:val="both"/>
        <w:rPr>
          <w:rFonts w:ascii="Arial" w:hAnsi="Arial" w:cs="Arial"/>
          <w:color w:val="000000" w:themeColor="text1"/>
        </w:rPr>
      </w:pPr>
    </w:p>
    <w:p w14:paraId="24929880" w14:textId="77777777" w:rsidR="00E351A7" w:rsidRDefault="00E351A7" w:rsidP="006B09AC">
      <w:pPr>
        <w:pStyle w:val="Odstavecseseznamem"/>
        <w:spacing w:after="0" w:line="240" w:lineRule="auto"/>
        <w:ind w:left="1080"/>
        <w:contextualSpacing/>
        <w:jc w:val="both"/>
        <w:rPr>
          <w:rFonts w:ascii="Arial" w:hAnsi="Arial" w:cs="Arial"/>
          <w:color w:val="000000" w:themeColor="text1"/>
        </w:rPr>
      </w:pPr>
    </w:p>
    <w:p w14:paraId="63B1B398" w14:textId="77777777" w:rsidR="00E53A63" w:rsidRPr="00A125B9" w:rsidRDefault="00E53A63" w:rsidP="006B09AC">
      <w:pPr>
        <w:pStyle w:val="Odstavecseseznamem"/>
        <w:spacing w:after="0" w:line="240" w:lineRule="auto"/>
        <w:ind w:left="1080"/>
        <w:contextualSpacing/>
        <w:jc w:val="both"/>
        <w:rPr>
          <w:rFonts w:ascii="Arial" w:hAnsi="Arial" w:cs="Arial"/>
          <w:color w:val="000000" w:themeColor="text1"/>
        </w:rPr>
      </w:pP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B649B4">
      <w:pPr>
        <w:numPr>
          <w:ilvl w:val="0"/>
          <w:numId w:val="13"/>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B649B4">
      <w:pPr>
        <w:numPr>
          <w:ilvl w:val="0"/>
          <w:numId w:val="13"/>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72DBB8DA" w14:textId="77777777" w:rsidR="00B649B4" w:rsidRPr="00386F19"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724F8245" w14:textId="77777777" w:rsidR="00B649B4"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79FAB149" w14:textId="2384AC6E" w:rsidR="00BA2539" w:rsidRDefault="00BA2539" w:rsidP="00B649B4">
      <w:pPr>
        <w:numPr>
          <w:ilvl w:val="0"/>
          <w:numId w:val="13"/>
        </w:numPr>
        <w:spacing w:after="0"/>
        <w:ind w:left="284" w:hanging="284"/>
        <w:contextualSpacing/>
        <w:jc w:val="both"/>
        <w:rPr>
          <w:rFonts w:ascii="Arial" w:hAnsi="Arial" w:cs="Arial"/>
        </w:rPr>
      </w:pPr>
      <w:r>
        <w:rPr>
          <w:rFonts w:ascii="Arial" w:hAnsi="Arial" w:cs="Arial"/>
        </w:rPr>
        <w:t xml:space="preserve">doklad o znalosti anglického </w:t>
      </w:r>
      <w:r w:rsidR="00773107">
        <w:rPr>
          <w:rFonts w:ascii="Arial" w:hAnsi="Arial" w:cs="Arial"/>
        </w:rPr>
        <w:t xml:space="preserve">nebo francouzského </w:t>
      </w:r>
      <w:r>
        <w:rPr>
          <w:rFonts w:ascii="Arial" w:hAnsi="Arial" w:cs="Arial"/>
        </w:rPr>
        <w:t>jazyka</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57C1A28" w14:textId="77777777" w:rsidR="00E53A63" w:rsidRDefault="00E53A63" w:rsidP="000A4827">
      <w:pPr>
        <w:spacing w:after="120" w:line="240" w:lineRule="auto"/>
        <w:rPr>
          <w:rFonts w:ascii="Arial" w:hAnsi="Arial" w:cs="Arial"/>
          <w:highlight w:val="yellow"/>
        </w:rPr>
      </w:pPr>
    </w:p>
    <w:p w14:paraId="4FC5BA45" w14:textId="77777777" w:rsidR="00E53A63" w:rsidRDefault="00E53A63"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78FA7542" w14:textId="77777777" w:rsidR="00773107" w:rsidRDefault="00773107" w:rsidP="00BF1EA5">
      <w:pPr>
        <w:spacing w:after="0"/>
        <w:ind w:left="2832"/>
        <w:rPr>
          <w:rFonts w:ascii="Arial" w:hAnsi="Arial" w:cs="Arial"/>
        </w:rPr>
      </w:pPr>
    </w:p>
    <w:p w14:paraId="064F3DF7" w14:textId="77777777" w:rsidR="00773107" w:rsidRDefault="00773107" w:rsidP="00BF1EA5">
      <w:pPr>
        <w:spacing w:after="0"/>
        <w:ind w:left="2832"/>
        <w:rPr>
          <w:rFonts w:ascii="Arial" w:hAnsi="Arial" w:cs="Arial"/>
        </w:rPr>
      </w:pPr>
    </w:p>
    <w:p w14:paraId="53C20C1B" w14:textId="77777777" w:rsidR="00773107" w:rsidRDefault="00773107" w:rsidP="00BF1EA5">
      <w:pPr>
        <w:spacing w:after="0"/>
        <w:ind w:left="2832"/>
        <w:rPr>
          <w:rFonts w:ascii="Arial" w:hAnsi="Arial" w:cs="Arial"/>
        </w:rPr>
      </w:pPr>
    </w:p>
    <w:p w14:paraId="7007C63C" w14:textId="77777777" w:rsidR="00773107" w:rsidRDefault="00773107" w:rsidP="00BF1EA5">
      <w:pPr>
        <w:spacing w:after="0"/>
        <w:ind w:left="2832"/>
        <w:rPr>
          <w:rFonts w:ascii="Arial" w:hAnsi="Arial" w:cs="Arial"/>
        </w:rPr>
      </w:pPr>
    </w:p>
    <w:p w14:paraId="23E3E3B7" w14:textId="77777777" w:rsidR="00773107" w:rsidRDefault="00773107" w:rsidP="00BF1EA5">
      <w:pPr>
        <w:spacing w:after="0"/>
        <w:ind w:left="2832"/>
        <w:rPr>
          <w:rFonts w:ascii="Arial" w:hAnsi="Arial" w:cs="Arial"/>
        </w:rPr>
      </w:pPr>
    </w:p>
    <w:p w14:paraId="3B04D716" w14:textId="77777777" w:rsidR="00773107" w:rsidRDefault="00773107" w:rsidP="00BF1EA5">
      <w:pPr>
        <w:spacing w:after="0"/>
        <w:ind w:left="2832"/>
        <w:rPr>
          <w:rFonts w:ascii="Arial" w:hAnsi="Arial" w:cs="Arial"/>
        </w:rPr>
      </w:pPr>
    </w:p>
    <w:p w14:paraId="24F6A0BF" w14:textId="77777777" w:rsidR="00773107" w:rsidRDefault="00773107" w:rsidP="00BF1EA5">
      <w:pPr>
        <w:spacing w:after="0"/>
        <w:ind w:left="2832"/>
        <w:rPr>
          <w:rFonts w:ascii="Arial" w:hAnsi="Arial" w:cs="Arial"/>
        </w:rPr>
      </w:pPr>
    </w:p>
    <w:p w14:paraId="18C96FCD" w14:textId="77777777" w:rsidR="00773107" w:rsidRDefault="00773107" w:rsidP="00BF1EA5">
      <w:pPr>
        <w:spacing w:after="0"/>
        <w:ind w:left="2832"/>
        <w:rPr>
          <w:rFonts w:ascii="Arial" w:hAnsi="Arial" w:cs="Arial"/>
        </w:rPr>
      </w:pPr>
    </w:p>
    <w:p w14:paraId="69C64404" w14:textId="77777777" w:rsidR="00773107" w:rsidRDefault="00773107" w:rsidP="00BF1EA5">
      <w:pPr>
        <w:spacing w:after="0"/>
        <w:ind w:left="2832"/>
        <w:rPr>
          <w:rFonts w:ascii="Arial" w:hAnsi="Arial" w:cs="Arial"/>
        </w:rPr>
      </w:pPr>
    </w:p>
    <w:p w14:paraId="1AFCE21C" w14:textId="77777777" w:rsidR="00773107" w:rsidRDefault="00773107" w:rsidP="00BF1EA5">
      <w:pPr>
        <w:spacing w:after="0"/>
        <w:ind w:left="2832"/>
        <w:rPr>
          <w:rFonts w:ascii="Arial" w:hAnsi="Arial" w:cs="Arial"/>
        </w:rPr>
      </w:pPr>
    </w:p>
    <w:p w14:paraId="72EADDC5" w14:textId="77777777" w:rsidR="00773107" w:rsidRDefault="00773107" w:rsidP="00BF1EA5">
      <w:pPr>
        <w:spacing w:after="0"/>
        <w:ind w:left="2832"/>
        <w:rPr>
          <w:rFonts w:ascii="Arial" w:hAnsi="Arial" w:cs="Arial"/>
        </w:rPr>
      </w:pPr>
    </w:p>
    <w:p w14:paraId="47E05BDF" w14:textId="77777777" w:rsidR="00773107" w:rsidRDefault="00773107" w:rsidP="00BF1EA5">
      <w:pPr>
        <w:spacing w:after="0"/>
        <w:ind w:left="2832"/>
        <w:rPr>
          <w:rFonts w:ascii="Arial" w:hAnsi="Arial" w:cs="Arial"/>
        </w:rPr>
      </w:pPr>
    </w:p>
    <w:p w14:paraId="7BC4B63E" w14:textId="77777777" w:rsidR="006B09AC" w:rsidRDefault="006B09AC"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3"/>
      <w:footerReference w:type="default" r:id="rId14"/>
      <w:headerReference w:type="first" r:id="rId15"/>
      <w:footerReference w:type="first" r:id="rId16"/>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D52FD8"/>
    <w:multiLevelType w:val="hybridMultilevel"/>
    <w:tmpl w:val="DD48D6BE"/>
    <w:lvl w:ilvl="0" w:tplc="28A00CAE">
      <w:start w:val="1"/>
      <w:numFmt w:val="lowerLetter"/>
      <w:lvlText w:val="%1)"/>
      <w:lvlJc w:val="left"/>
      <w:pPr>
        <w:ind w:left="1080" w:hanging="360"/>
      </w:pPr>
      <w:rPr>
        <w:rFonts w:ascii="Calibri" w:hAnsi="Calibri"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3"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3"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9"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4"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6"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9"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1"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7"/>
  </w:num>
  <w:num w:numId="2" w16cid:durableId="1889536599">
    <w:abstractNumId w:val="3"/>
  </w:num>
  <w:num w:numId="3" w16cid:durableId="1931968125">
    <w:abstractNumId w:val="14"/>
  </w:num>
  <w:num w:numId="4" w16cid:durableId="2006739069">
    <w:abstractNumId w:val="39"/>
  </w:num>
  <w:num w:numId="5" w16cid:durableId="580867343">
    <w:abstractNumId w:val="37"/>
  </w:num>
  <w:num w:numId="6" w16cid:durableId="446588662">
    <w:abstractNumId w:val="16"/>
  </w:num>
  <w:num w:numId="7" w16cid:durableId="1335184515">
    <w:abstractNumId w:val="11"/>
  </w:num>
  <w:num w:numId="8" w16cid:durableId="1554144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40"/>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6"/>
    <w:lvlOverride w:ilvl="0">
      <w:startOverride w:val="1"/>
    </w:lvlOverride>
    <w:lvlOverride w:ilvl="1"/>
    <w:lvlOverride w:ilvl="2"/>
    <w:lvlOverride w:ilvl="3"/>
    <w:lvlOverride w:ilvl="4"/>
    <w:lvlOverride w:ilvl="5"/>
    <w:lvlOverride w:ilvl="6"/>
    <w:lvlOverride w:ilvl="7"/>
    <w:lvlOverride w:ilvl="8"/>
  </w:num>
  <w:num w:numId="14" w16cid:durableId="1039009391">
    <w:abstractNumId w:val="9"/>
  </w:num>
  <w:num w:numId="15" w16cid:durableId="1475176324">
    <w:abstractNumId w:val="4"/>
  </w:num>
  <w:num w:numId="16" w16cid:durableId="1795564789">
    <w:abstractNumId w:val="40"/>
    <w:lvlOverride w:ilvl="0">
      <w:startOverride w:val="1"/>
    </w:lvlOverride>
    <w:lvlOverride w:ilvl="1"/>
    <w:lvlOverride w:ilvl="2"/>
    <w:lvlOverride w:ilvl="3"/>
    <w:lvlOverride w:ilvl="4"/>
    <w:lvlOverride w:ilvl="5"/>
    <w:lvlOverride w:ilvl="6"/>
    <w:lvlOverride w:ilvl="7"/>
    <w:lvlOverride w:ilvl="8"/>
  </w:num>
  <w:num w:numId="17" w16cid:durableId="67465673">
    <w:abstractNumId w:val="9"/>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6"/>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20"/>
  </w:num>
  <w:num w:numId="23" w16cid:durableId="2019387955">
    <w:abstractNumId w:val="10"/>
  </w:num>
  <w:num w:numId="24" w16cid:durableId="1764640402">
    <w:abstractNumId w:val="24"/>
  </w:num>
  <w:num w:numId="25" w16cid:durableId="965504340">
    <w:abstractNumId w:val="41"/>
  </w:num>
  <w:num w:numId="26" w16cid:durableId="1932854085">
    <w:abstractNumId w:val="25"/>
  </w:num>
  <w:num w:numId="27" w16cid:durableId="1564949879">
    <w:abstractNumId w:val="32"/>
  </w:num>
  <w:num w:numId="28" w16cid:durableId="712074994">
    <w:abstractNumId w:val="8"/>
  </w:num>
  <w:num w:numId="29" w16cid:durableId="1471554871">
    <w:abstractNumId w:val="40"/>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8"/>
  </w:num>
  <w:num w:numId="32" w16cid:durableId="3891135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5"/>
  </w:num>
  <w:num w:numId="34" w16cid:durableId="1058015513">
    <w:abstractNumId w:val="19"/>
  </w:num>
  <w:num w:numId="35" w16cid:durableId="1472559947">
    <w:abstractNumId w:val="21"/>
  </w:num>
  <w:num w:numId="36" w16cid:durableId="121003927">
    <w:abstractNumId w:val="34"/>
  </w:num>
  <w:num w:numId="37" w16cid:durableId="787622789">
    <w:abstractNumId w:val="17"/>
  </w:num>
  <w:num w:numId="38" w16cid:durableId="57166385">
    <w:abstractNumId w:val="23"/>
  </w:num>
  <w:num w:numId="39" w16cid:durableId="1349216002">
    <w:abstractNumId w:val="33"/>
  </w:num>
  <w:num w:numId="40" w16cid:durableId="943808669">
    <w:abstractNumId w:val="31"/>
  </w:num>
  <w:num w:numId="41" w16cid:durableId="1333216210">
    <w:abstractNumId w:val="29"/>
  </w:num>
  <w:num w:numId="42" w16cid:durableId="227155114">
    <w:abstractNumId w:val="38"/>
  </w:num>
  <w:num w:numId="43" w16cid:durableId="647439173">
    <w:abstractNumId w:val="13"/>
  </w:num>
  <w:num w:numId="44" w16cid:durableId="322512585">
    <w:abstractNumId w:val="22"/>
  </w:num>
  <w:num w:numId="45" w16cid:durableId="1150513892">
    <w:abstractNumId w:val="27"/>
  </w:num>
  <w:num w:numId="46" w16cid:durableId="1523131293">
    <w:abstractNumId w:val="35"/>
  </w:num>
  <w:num w:numId="47" w16cid:durableId="1187326526">
    <w:abstractNumId w:val="30"/>
  </w:num>
  <w:num w:numId="48" w16cid:durableId="695888813">
    <w:abstractNumId w:val="18"/>
  </w:num>
  <w:num w:numId="49" w16cid:durableId="1623461834">
    <w:abstractNumId w:val="26"/>
  </w:num>
  <w:num w:numId="50" w16cid:durableId="12777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863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3CE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2B89"/>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448E"/>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37604"/>
    <w:rsid w:val="00541F41"/>
    <w:rsid w:val="005542B7"/>
    <w:rsid w:val="00554A91"/>
    <w:rsid w:val="00554EFE"/>
    <w:rsid w:val="00562BE9"/>
    <w:rsid w:val="00570199"/>
    <w:rsid w:val="00571472"/>
    <w:rsid w:val="0058218B"/>
    <w:rsid w:val="00592873"/>
    <w:rsid w:val="005A0360"/>
    <w:rsid w:val="005A0DE3"/>
    <w:rsid w:val="005B3C58"/>
    <w:rsid w:val="005B7328"/>
    <w:rsid w:val="005C009E"/>
    <w:rsid w:val="005C4DFD"/>
    <w:rsid w:val="005C5D73"/>
    <w:rsid w:val="005C7511"/>
    <w:rsid w:val="005C7BA7"/>
    <w:rsid w:val="005D7B9D"/>
    <w:rsid w:val="005E699B"/>
    <w:rsid w:val="005F0376"/>
    <w:rsid w:val="005F650B"/>
    <w:rsid w:val="005F72CA"/>
    <w:rsid w:val="005F73A1"/>
    <w:rsid w:val="00607E43"/>
    <w:rsid w:val="00607E9B"/>
    <w:rsid w:val="00610AA2"/>
    <w:rsid w:val="00612819"/>
    <w:rsid w:val="00612EEB"/>
    <w:rsid w:val="00612F02"/>
    <w:rsid w:val="006168AF"/>
    <w:rsid w:val="006176CF"/>
    <w:rsid w:val="0062172B"/>
    <w:rsid w:val="00625343"/>
    <w:rsid w:val="00627A0D"/>
    <w:rsid w:val="006438C5"/>
    <w:rsid w:val="00654434"/>
    <w:rsid w:val="006607EF"/>
    <w:rsid w:val="00660F1A"/>
    <w:rsid w:val="0066599E"/>
    <w:rsid w:val="0067182B"/>
    <w:rsid w:val="006817A3"/>
    <w:rsid w:val="00682E81"/>
    <w:rsid w:val="00696C75"/>
    <w:rsid w:val="006A136F"/>
    <w:rsid w:val="006A3645"/>
    <w:rsid w:val="006B09AC"/>
    <w:rsid w:val="006B4B2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3107"/>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53614"/>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351A7"/>
    <w:rsid w:val="00E43B60"/>
    <w:rsid w:val="00E4524C"/>
    <w:rsid w:val="00E518D5"/>
    <w:rsid w:val="00E51ABA"/>
    <w:rsid w:val="00E53A63"/>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27"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mr.gov.cz/cs/kariera/benefit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vcr.cz/sluzba/soubor/ssp-c-3-2022-priloha-c-3b-podminky-vykonu-sluzby-text.asp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raha.mmr.cz/Seznam-zamestnancu?department=2" TargetMode="External"/><Relationship Id="rId4" Type="http://schemas.openxmlformats.org/officeDocument/2006/relationships/settings" Target="settings.xml"/><Relationship Id="rId9" Type="http://schemas.openxmlformats.org/officeDocument/2006/relationships/hyperlink" Target="http://www.praha.mmr.cz/Seznam-zamestnancu?department=27"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1818</TotalTime>
  <Pages>6</Pages>
  <Words>1722</Words>
  <Characters>10163</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226</cp:revision>
  <cp:lastPrinted>2025-02-28T13:59:00Z</cp:lastPrinted>
  <dcterms:created xsi:type="dcterms:W3CDTF">2017-07-31T11:28:00Z</dcterms:created>
  <dcterms:modified xsi:type="dcterms:W3CDTF">2025-02-28T14:04:00Z</dcterms:modified>
</cp:coreProperties>
</file>