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2E52DE86"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C03BF7">
        <w:rPr>
          <w:rFonts w:ascii="Arial" w:eastAsia="Arial" w:hAnsi="Arial" w:cs="Arial"/>
          <w:b/>
          <w:bCs/>
          <w:sz w:val="32"/>
          <w:szCs w:val="32"/>
          <w:lang w:eastAsia="cs-CZ"/>
        </w:rPr>
        <w:t>– koordinátora</w:t>
      </w:r>
      <w:r w:rsidR="00C32BA7">
        <w:rPr>
          <w:rFonts w:ascii="Arial" w:eastAsia="Arial" w:hAnsi="Arial" w:cs="Arial"/>
          <w:b/>
          <w:bCs/>
          <w:sz w:val="32"/>
          <w:szCs w:val="32"/>
          <w:lang w:eastAsia="cs-CZ"/>
        </w:rPr>
        <w:t>/koordinátorky, analytika/analytičky</w:t>
      </w:r>
      <w:r w:rsidR="00C03BF7">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C32BA7">
        <w:rPr>
          <w:rFonts w:ascii="Arial" w:eastAsia="Arial" w:hAnsi="Arial" w:cs="Arial"/>
          <w:b/>
          <w:bCs/>
          <w:sz w:val="32"/>
          <w:szCs w:val="32"/>
          <w:lang w:eastAsia="cs-CZ"/>
        </w:rPr>
        <w:t>regulatorního rámce fondů EU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 xml:space="preserve">odbor </w:t>
        </w:r>
        <w:r w:rsidR="00C32BA7">
          <w:rPr>
            <w:rFonts w:ascii="Arial" w:eastAsia="Arial" w:hAnsi="Arial" w:cs="Arial"/>
            <w:b/>
            <w:bCs/>
            <w:sz w:val="32"/>
            <w:szCs w:val="32"/>
            <w:lang w:eastAsia="cs-CZ"/>
          </w:rPr>
          <w:t>strategického</w:t>
        </w:r>
      </w:hyperlink>
      <w:r w:rsidR="00C32BA7">
        <w:rPr>
          <w:rFonts w:ascii="Arial" w:eastAsia="Arial" w:hAnsi="Arial" w:cs="Arial"/>
          <w:b/>
          <w:bCs/>
          <w:sz w:val="32"/>
          <w:szCs w:val="32"/>
          <w:lang w:eastAsia="cs-CZ"/>
        </w:rPr>
        <w:t xml:space="preserve"> rámce fondů EU</w:t>
      </w:r>
      <w:r w:rsidR="00E90D97" w:rsidRPr="00E90D97">
        <w:rPr>
          <w:rFonts w:ascii="Arial" w:eastAsia="Arial" w:hAnsi="Arial" w:cs="Arial"/>
          <w:b/>
          <w:bCs/>
          <w:sz w:val="32"/>
          <w:szCs w:val="32"/>
          <w:lang w:eastAsia="cs-CZ"/>
        </w:rPr>
        <w:t>, MMR_</w:t>
      </w:r>
      <w:r w:rsidR="00C32BA7">
        <w:rPr>
          <w:rFonts w:ascii="Arial" w:eastAsia="Arial" w:hAnsi="Arial" w:cs="Arial"/>
          <w:b/>
          <w:bCs/>
          <w:sz w:val="32"/>
          <w:szCs w:val="32"/>
          <w:lang w:eastAsia="cs-CZ"/>
        </w:rPr>
        <w:t>84</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0E45B60F" w:rsidR="00B865FF" w:rsidRPr="00A125B9" w:rsidRDefault="00660F1A" w:rsidP="00B865FF">
      <w:pPr>
        <w:spacing w:after="0" w:line="240" w:lineRule="auto"/>
        <w:ind w:left="4956" w:firstLine="708"/>
        <w:rPr>
          <w:rFonts w:ascii="Arial" w:hAnsi="Arial" w:cs="Arial"/>
        </w:rPr>
      </w:pPr>
      <w:r w:rsidRPr="00A125B9">
        <w:rPr>
          <w:rFonts w:ascii="Arial" w:hAnsi="Arial" w:cs="Arial"/>
        </w:rPr>
        <w:t xml:space="preserve">Č. j.: </w:t>
      </w:r>
      <w:r w:rsidR="00AE5840" w:rsidRPr="00A125B9">
        <w:rPr>
          <w:rFonts w:ascii="Arial" w:hAnsi="Arial" w:cs="Arial"/>
        </w:rPr>
        <w:t>MMR-</w:t>
      </w:r>
      <w:r w:rsidR="00C32BA7">
        <w:rPr>
          <w:rFonts w:ascii="Arial" w:hAnsi="Arial" w:cs="Arial"/>
        </w:rPr>
        <w:t>18499</w:t>
      </w:r>
      <w:r w:rsidR="00DD540E" w:rsidRPr="00A125B9">
        <w:rPr>
          <w:rFonts w:ascii="Arial" w:hAnsi="Arial" w:cs="Arial"/>
        </w:rPr>
        <w:t>/202</w:t>
      </w:r>
      <w:r w:rsidR="00A125B9">
        <w:rPr>
          <w:rFonts w:ascii="Arial" w:hAnsi="Arial" w:cs="Arial"/>
        </w:rPr>
        <w:t>5</w:t>
      </w:r>
      <w:r w:rsidR="00DD540E" w:rsidRPr="00A125B9">
        <w:rPr>
          <w:rFonts w:ascii="Arial" w:hAnsi="Arial" w:cs="Arial"/>
        </w:rPr>
        <w:t>-94</w:t>
      </w:r>
    </w:p>
    <w:p w14:paraId="33290785" w14:textId="23508B48" w:rsidR="00B649B4" w:rsidRDefault="00B649B4" w:rsidP="00B649B4">
      <w:pPr>
        <w:spacing w:after="0" w:line="240" w:lineRule="auto"/>
        <w:ind w:left="4956" w:firstLine="708"/>
        <w:rPr>
          <w:rFonts w:ascii="Arial" w:eastAsia="Arial" w:hAnsi="Arial" w:cs="Arial"/>
          <w:lang w:eastAsia="cs-CZ"/>
        </w:rPr>
      </w:pPr>
      <w:r w:rsidRPr="00A125B9">
        <w:rPr>
          <w:rFonts w:ascii="Arial" w:eastAsia="Arial" w:hAnsi="Arial" w:cs="Arial"/>
          <w:lang w:eastAsia="cs-CZ"/>
        </w:rPr>
        <w:t>V Praze dne</w:t>
      </w:r>
      <w:r w:rsidR="00A125B9">
        <w:rPr>
          <w:rFonts w:ascii="Arial" w:eastAsia="Arial" w:hAnsi="Arial" w:cs="Arial"/>
          <w:lang w:eastAsia="cs-CZ"/>
        </w:rPr>
        <w:t xml:space="preserve"> </w:t>
      </w:r>
      <w:r w:rsidR="00816E44">
        <w:rPr>
          <w:rFonts w:ascii="Arial" w:eastAsia="Arial" w:hAnsi="Arial" w:cs="Arial"/>
          <w:lang w:eastAsia="cs-CZ"/>
        </w:rPr>
        <w:t>3</w:t>
      </w:r>
      <w:r w:rsidRPr="00A125B9">
        <w:rPr>
          <w:rFonts w:ascii="Arial" w:eastAsia="Arial" w:hAnsi="Arial" w:cs="Arial"/>
          <w:lang w:eastAsia="cs-CZ"/>
        </w:rPr>
        <w:t xml:space="preserve">. </w:t>
      </w:r>
      <w:r w:rsidR="00816E44">
        <w:rPr>
          <w:rFonts w:ascii="Arial" w:eastAsia="Arial" w:hAnsi="Arial" w:cs="Arial"/>
          <w:lang w:eastAsia="cs-CZ"/>
        </w:rPr>
        <w:t>března</w:t>
      </w:r>
      <w:r w:rsidRPr="00A125B9">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E99C9BA"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C32BA7">
        <w:rPr>
          <w:rFonts w:ascii="Arial" w:hAnsi="Arial" w:cs="Arial"/>
        </w:rPr>
        <w:t>84</w:t>
      </w:r>
      <w:r w:rsidR="00EC7B36">
        <w:rPr>
          <w:rFonts w:ascii="Arial" w:hAnsi="Arial" w:cs="Arial"/>
        </w:rPr>
        <w:t xml:space="preserve">, </w:t>
      </w:r>
      <w:r w:rsidR="00AE5840" w:rsidRPr="00AE5840">
        <w:rPr>
          <w:rFonts w:ascii="Arial" w:hAnsi="Arial" w:cs="Arial"/>
          <w:b/>
          <w:bCs/>
        </w:rPr>
        <w:t>ministerského rady</w:t>
      </w:r>
      <w:r w:rsidR="00C32BA7">
        <w:rPr>
          <w:rFonts w:ascii="Arial" w:hAnsi="Arial" w:cs="Arial"/>
          <w:b/>
          <w:bCs/>
        </w:rPr>
        <w:t xml:space="preserve"> -</w:t>
      </w:r>
      <w:r w:rsidR="00C03BF7">
        <w:rPr>
          <w:rFonts w:ascii="Arial" w:hAnsi="Arial" w:cs="Arial"/>
          <w:b/>
          <w:bCs/>
        </w:rPr>
        <w:t xml:space="preserve"> </w:t>
      </w:r>
      <w:r w:rsidR="00C32BA7" w:rsidRPr="00C32BA7">
        <w:rPr>
          <w:rFonts w:ascii="Arial" w:hAnsi="Arial" w:cs="Arial"/>
          <w:b/>
          <w:bCs/>
        </w:rPr>
        <w:t>koordinátora/koordinátorky, analytika/analytičky</w:t>
      </w:r>
      <w:r w:rsidR="00C03BF7" w:rsidRPr="00334FBC">
        <w:rPr>
          <w:rFonts w:ascii="Arial" w:hAnsi="Arial" w:cs="Arial"/>
        </w:rPr>
        <w:t xml:space="preserve">, </w:t>
      </w:r>
      <w:r w:rsidR="00334FBC" w:rsidRPr="00334FBC">
        <w:rPr>
          <w:rFonts w:ascii="Arial" w:hAnsi="Arial" w:cs="Arial"/>
        </w:rPr>
        <w:t>oddělení</w:t>
      </w:r>
      <w:r w:rsidR="00334FBC">
        <w:rPr>
          <w:rFonts w:ascii="Arial" w:hAnsi="Arial" w:cs="Arial"/>
          <w:b/>
          <w:bCs/>
        </w:rPr>
        <w:t xml:space="preserve"> </w:t>
      </w:r>
      <w:r w:rsidR="00C32BA7" w:rsidRPr="00C32BA7">
        <w:rPr>
          <w:rFonts w:ascii="Arial" w:eastAsia="Arial" w:hAnsi="Arial" w:cs="Arial"/>
          <w:lang w:eastAsia="cs-CZ"/>
        </w:rPr>
        <w:t>regulatorního rámce fondů EU, </w:t>
      </w:r>
      <w:hyperlink r:id="rId9" w:history="1">
        <w:r w:rsidR="00C32BA7" w:rsidRPr="00C32BA7">
          <w:rPr>
            <w:rFonts w:ascii="Arial" w:eastAsia="Arial" w:hAnsi="Arial" w:cs="Arial"/>
            <w:lang w:eastAsia="cs-CZ"/>
          </w:rPr>
          <w:t>odbor strategického</w:t>
        </w:r>
      </w:hyperlink>
      <w:r w:rsidR="00C32BA7" w:rsidRPr="00C32BA7">
        <w:rPr>
          <w:rFonts w:ascii="Arial" w:eastAsia="Arial" w:hAnsi="Arial" w:cs="Arial"/>
          <w:lang w:eastAsia="cs-CZ"/>
        </w:rPr>
        <w:t xml:space="preserve"> rámce fondů EU,</w:t>
      </w:r>
      <w:r w:rsidR="00E51ABA">
        <w:rPr>
          <w:rFonts w:ascii="Arial" w:hAnsi="Arial" w:cs="Arial"/>
        </w:rPr>
        <w:t xml:space="preserve"> </w:t>
      </w:r>
      <w:r w:rsidR="00912D20" w:rsidRPr="00A90FB8">
        <w:rPr>
          <w:rFonts w:ascii="Arial" w:eastAsia="Arial" w:hAnsi="Arial" w:cs="Arial"/>
          <w:lang w:eastAsia="cs-CZ"/>
        </w:rPr>
        <w:t>sekce</w:t>
      </w:r>
      <w:hyperlink r:id="rId10" w:history="1">
        <w:r w:rsidR="00A90FB8" w:rsidRPr="00A90FB8">
          <w:rPr>
            <w:rFonts w:ascii="Arial" w:eastAsia="Arial" w:hAnsi="Arial" w:cs="Arial"/>
            <w:lang w:eastAsia="cs-CZ"/>
          </w:rPr>
          <w:t xml:space="preserve"> koordinace evropských fondů mezinárodních vztahů a cestovního ruchu</w:t>
        </w:r>
      </w:hyperlink>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468E950"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90FB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785103F3" w:rsidR="00DB7908" w:rsidRDefault="00A90FB8" w:rsidP="0000141D">
      <w:pPr>
        <w:spacing w:after="0" w:line="240" w:lineRule="auto"/>
        <w:jc w:val="both"/>
        <w:rPr>
          <w:rFonts w:ascii="Arial" w:hAnsi="Arial" w:cs="Arial"/>
        </w:rPr>
      </w:pPr>
      <w:r>
        <w:rPr>
          <w:rFonts w:ascii="Arial" w:hAnsi="Arial" w:cs="Arial"/>
        </w:rPr>
        <w:t>3</w:t>
      </w:r>
      <w:r w:rsidR="00627A0D">
        <w:rPr>
          <w:rFonts w:ascii="Arial" w:hAnsi="Arial" w:cs="Arial"/>
        </w:rPr>
        <w:t>8</w:t>
      </w:r>
      <w:r w:rsidR="0000141D" w:rsidRPr="00E87F8B">
        <w:rPr>
          <w:rFonts w:ascii="Arial" w:hAnsi="Arial" w:cs="Arial"/>
        </w:rPr>
        <w:t xml:space="preserve"> – </w:t>
      </w:r>
      <w:r>
        <w:rPr>
          <w:rFonts w:ascii="Arial" w:hAnsi="Arial" w:cs="Arial"/>
        </w:rPr>
        <w:t>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3F3F804" w14:textId="3899A676"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koordinuje a metodicky usměrňuje realizaci politiky hospodářské a sociální soudržnosti v České republice v rámci národních rozvojových dokumentů (Národního strategického referenčního rámce, Dohody o Partnerství pro programové období 2014-2020, případně jiných dokumentů obdobného významu);</w:t>
      </w:r>
    </w:p>
    <w:p w14:paraId="37F6EB8C" w14:textId="4717FAAB"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spolupracuje na tvorbě celostátní koncepce hospodářské a sociální soudržnosti, zejména s ohledem na přípravu programového období 2021+ v oblasti základních podmínek. Podílí se na stanovování rozvojových oblastí a cílů politiky hospodářské a sociální soudržnosti realizovaných z prostředků Evropské unie;</w:t>
      </w:r>
    </w:p>
    <w:p w14:paraId="38DD55AC" w14:textId="4CF69C7C"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spolupracuje na koordinaci tvorby národních rozvojových a pozičních dokumentů s orgány Evropské unie, na koncepci systému čerpání prostředků z Evropské unie včetně jeho harmonizace a koordinace s mezinárodními a nadnárodními systémy, včetně komunitárních programů;</w:t>
      </w:r>
    </w:p>
    <w:p w14:paraId="033302B6" w14:textId="3BA3EDD5"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spolupracuje na realizaci Dohody o partnerství a programů fondů EU (předběžné/základní podmínky, regulatorní rámec fondů EU, horizontální principy). Spolupracuje na realizaci Dohody o partnerství a programů fondů EU (předběžné/základní podmínky, regulatorní rámec fondů EU, horizontální principy);</w:t>
      </w:r>
    </w:p>
    <w:p w14:paraId="49F1D6C9" w14:textId="1D7BCC9F" w:rsidR="00C32BA7" w:rsidRPr="00A90FB8"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lastRenderedPageBreak/>
        <w:t>připravuje podklady a vypracovává analýzy v oblasti regulatorního rámce fondů EU, včetně doporučení a návrhů opatření v oblasti předběžných/základních podmínek;</w:t>
      </w:r>
    </w:p>
    <w:p w14:paraId="24567FC6" w14:textId="51ADAFA3"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zabezpečuje posuzování, jakým způsobem je v návrzích dokumentů promítnut obsah a účel regulatorního rámce fondů EU, průřezových právních témat majících dopad na řízení a koordinaci Dohody o partnerství, a ve spolupráci s dalšími věcnými odbory vypracovává stanoviska pro ministryni k bodům vládní agendy a stanoviska ministerstva v rámci meziresortního připomínkového řízení v těchto oblastech;</w:t>
      </w:r>
    </w:p>
    <w:p w14:paraId="6F4D1EE2" w14:textId="410FB100"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spolupracuje v rámci své působnosti stanovené výše uvedenými pracovními úkoly s věcně příslušnými útvary ministerstva na činnostech souvisejících s realizací Dohody o partnerství, naplňováním předběžných/základních podmínek, regulatorního rámce fondů EU a zajištěním horizontálních témat nediskriminace a rovných příležitostí;</w:t>
      </w:r>
    </w:p>
    <w:p w14:paraId="0DC85D6A" w14:textId="2856B463"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zaměstnanec zastupuje jiného zaměstnance dle určení příslušného přímého představeného;</w:t>
      </w:r>
    </w:p>
    <w:p w14:paraId="272B20CA" w14:textId="0E85A1F0" w:rsidR="008F6678" w:rsidRPr="00C32BA7" w:rsidRDefault="00C32BA7" w:rsidP="008F6678">
      <w:pPr>
        <w:pStyle w:val="Odstavecseseznamem"/>
        <w:numPr>
          <w:ilvl w:val="0"/>
          <w:numId w:val="46"/>
        </w:numPr>
        <w:spacing w:after="0" w:line="240" w:lineRule="auto"/>
        <w:ind w:left="567"/>
        <w:jc w:val="both"/>
        <w:rPr>
          <w:rFonts w:ascii="Arial" w:hAnsi="Arial" w:cs="Arial"/>
        </w:rPr>
      </w:pPr>
      <w:r w:rsidRPr="00C32BA7">
        <w:rPr>
          <w:rFonts w:ascii="Arial" w:hAnsi="Arial" w:cs="Arial"/>
        </w:rPr>
        <w:t>plní další úkoly dle pokynu příslušného přímého představeného, které vyplývají z výše uvedených příkladů vykonávaných správních činností.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w:t>
      </w:r>
      <w:r w:rsidRPr="00633C5C">
        <w:rPr>
          <w:rFonts w:ascii="Arial" w:eastAsia="Arial" w:hAnsi="Arial" w:cs="Arial"/>
          <w:lang w:eastAsia="cs-CZ"/>
        </w:rPr>
        <w:lastRenderedPageBreak/>
        <w:t>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553AEA3"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816E44" w:rsidRPr="00816E44">
        <w:rPr>
          <w:rFonts w:ascii="Arial" w:eastAsia="Arial" w:hAnsi="Arial" w:cs="Arial"/>
          <w:b/>
          <w:bCs/>
          <w:lang w:eastAsia="cs-CZ"/>
        </w:rPr>
        <w:t>dnem</w:t>
      </w:r>
      <w:r w:rsidR="00816E44">
        <w:rPr>
          <w:rFonts w:ascii="Arial" w:eastAsia="Arial" w:hAnsi="Arial" w:cs="Arial"/>
          <w:lang w:eastAsia="cs-CZ"/>
        </w:rPr>
        <w:t xml:space="preserve"> </w:t>
      </w:r>
      <w:r w:rsidRPr="004E55AD">
        <w:rPr>
          <w:rFonts w:ascii="Arial" w:eastAsia="Arial" w:hAnsi="Arial" w:cs="Arial"/>
          <w:b/>
          <w:bCs/>
          <w:lang w:eastAsia="cs-CZ"/>
        </w:rPr>
        <w:t>nástup</w:t>
      </w:r>
      <w:r w:rsidR="00816E44">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816E44">
        <w:rPr>
          <w:rFonts w:ascii="Arial" w:eastAsia="Arial" w:hAnsi="Arial" w:cs="Arial"/>
          <w:b/>
          <w:bCs/>
          <w:lang w:eastAsia="cs-CZ"/>
        </w:rPr>
        <w:t xml:space="preserve"> 15.</w:t>
      </w:r>
      <w:r w:rsidR="004E55AD">
        <w:rPr>
          <w:rFonts w:ascii="Arial" w:eastAsia="Arial" w:hAnsi="Arial" w:cs="Arial"/>
          <w:b/>
          <w:bCs/>
          <w:lang w:eastAsia="cs-CZ"/>
        </w:rPr>
        <w:t xml:space="preserve"> </w:t>
      </w:r>
      <w:r w:rsidR="00E830A3">
        <w:rPr>
          <w:rFonts w:ascii="Arial" w:eastAsia="Arial" w:hAnsi="Arial" w:cs="Arial"/>
          <w:b/>
          <w:bCs/>
          <w:lang w:eastAsia="cs-CZ"/>
        </w:rPr>
        <w:t>dub</w:t>
      </w:r>
      <w:r w:rsidR="00816E44">
        <w:rPr>
          <w:rFonts w:ascii="Arial" w:eastAsia="Arial" w:hAnsi="Arial" w:cs="Arial"/>
          <w:b/>
          <w:bCs/>
          <w:lang w:eastAsia="cs-CZ"/>
        </w:rPr>
        <w:t>na</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1"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0AAEE9D4"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2"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19A0A60D"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E123C34"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816E44">
        <w:rPr>
          <w:rFonts w:ascii="Arial" w:eastAsia="Arial" w:hAnsi="Arial" w:cs="Arial"/>
          <w:b/>
          <w:bCs/>
          <w:color w:val="000000"/>
          <w:lang w:eastAsia="cs-CZ"/>
        </w:rPr>
        <w:t>13</w:t>
      </w:r>
      <w:r w:rsidR="00DF6A7C">
        <w:rPr>
          <w:rFonts w:ascii="Arial" w:eastAsia="Arial" w:hAnsi="Arial" w:cs="Arial"/>
          <w:b/>
          <w:bCs/>
          <w:color w:val="000000"/>
          <w:lang w:eastAsia="cs-CZ"/>
        </w:rPr>
        <w:t xml:space="preserve">. </w:t>
      </w:r>
      <w:r w:rsidR="00E830A3">
        <w:rPr>
          <w:rFonts w:ascii="Arial" w:eastAsia="Arial" w:hAnsi="Arial" w:cs="Arial"/>
          <w:b/>
          <w:bCs/>
          <w:color w:val="000000"/>
          <w:lang w:eastAsia="cs-CZ"/>
        </w:rPr>
        <w:t>března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33D7AFC"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3A66D2" w:rsidRPr="003A66D2">
        <w:rPr>
          <w:rFonts w:ascii="Arial" w:hAnsi="Arial" w:cs="Arial"/>
          <w:b/>
          <w:bCs/>
        </w:rPr>
        <w:t xml:space="preserve">ministerského rady </w:t>
      </w:r>
      <w:r w:rsidR="00C03BF7">
        <w:rPr>
          <w:rFonts w:ascii="Arial" w:hAnsi="Arial" w:cs="Arial"/>
          <w:b/>
          <w:bCs/>
        </w:rPr>
        <w:t>– koordinátora/koordinátorky</w:t>
      </w:r>
      <w:r w:rsidR="00E830A3">
        <w:rPr>
          <w:rFonts w:ascii="Arial" w:hAnsi="Arial" w:cs="Arial"/>
          <w:b/>
          <w:bCs/>
        </w:rPr>
        <w:t>, analytika/analytičky</w:t>
      </w:r>
      <w:r w:rsidRPr="003A66D2">
        <w:rPr>
          <w:rFonts w:ascii="Arial" w:hAnsi="Arial" w:cs="Arial"/>
          <w:b/>
          <w:bCs/>
        </w:rPr>
        <w:t>,</w:t>
      </w:r>
      <w:r w:rsidR="00A43FCC" w:rsidRPr="003A66D2">
        <w:rPr>
          <w:rFonts w:ascii="Arial" w:hAnsi="Arial" w:cs="Arial"/>
          <w:b/>
          <w:bCs/>
        </w:rPr>
        <w:t xml:space="preserve"> </w:t>
      </w:r>
      <w:r w:rsidRPr="00A125B9">
        <w:rPr>
          <w:rFonts w:ascii="Arial" w:hAnsi="Arial" w:cs="Arial"/>
          <w:b/>
          <w:bCs/>
        </w:rPr>
        <w:t>č.j.:</w:t>
      </w:r>
      <w:r w:rsidR="00A125B9">
        <w:rPr>
          <w:rFonts w:ascii="Arial" w:hAnsi="Arial" w:cs="Arial"/>
          <w:b/>
          <w:bCs/>
        </w:rPr>
        <w:t xml:space="preserve"> </w:t>
      </w:r>
      <w:r w:rsidR="003A66D2" w:rsidRPr="00A125B9">
        <w:rPr>
          <w:rFonts w:ascii="Arial" w:hAnsi="Arial" w:cs="Arial"/>
          <w:b/>
          <w:bCs/>
        </w:rPr>
        <w:t>MMR-</w:t>
      </w:r>
      <w:r w:rsidR="00E830A3">
        <w:rPr>
          <w:rFonts w:ascii="Arial" w:hAnsi="Arial" w:cs="Arial"/>
          <w:b/>
          <w:bCs/>
        </w:rPr>
        <w:t>18499</w:t>
      </w:r>
      <w:r w:rsidR="003A66D2" w:rsidRPr="00A125B9">
        <w:rPr>
          <w:rFonts w:ascii="Arial" w:hAnsi="Arial" w:cs="Arial"/>
          <w:b/>
          <w:bCs/>
        </w:rPr>
        <w:t>/202</w:t>
      </w:r>
      <w:r w:rsidR="008F6678" w:rsidRPr="00A125B9">
        <w:rPr>
          <w:rFonts w:ascii="Arial" w:hAnsi="Arial" w:cs="Arial"/>
          <w:b/>
          <w:bCs/>
        </w:rPr>
        <w:t>5</w:t>
      </w:r>
      <w:r w:rsidR="003A66D2" w:rsidRPr="00A125B9">
        <w:rPr>
          <w:rFonts w:ascii="Arial" w:hAnsi="Arial" w:cs="Arial"/>
          <w:b/>
          <w:bCs/>
        </w:rPr>
        <w:t>-94</w:t>
      </w:r>
      <w:r w:rsidR="00A43FCC" w:rsidRPr="00A125B9">
        <w:rPr>
          <w:rFonts w:ascii="Arial" w:hAnsi="Arial" w:cs="Arial"/>
          <w:b/>
          <w:bCs/>
        </w:rPr>
        <w:t>/</w:t>
      </w:r>
      <w:r w:rsidR="008F6678" w:rsidRPr="00A125B9">
        <w:rPr>
          <w:rFonts w:ascii="Arial" w:hAnsi="Arial" w:cs="Arial"/>
          <w:b/>
          <w:bCs/>
        </w:rPr>
        <w:t>IČ</w:t>
      </w:r>
      <w:r w:rsidRPr="00A125B9">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t>předloží</w:t>
      </w:r>
      <w:proofErr w:type="gramEnd"/>
      <w:r w:rsidRPr="005274E2">
        <w:rPr>
          <w:rFonts w:ascii="Arial" w:hAnsi="Arial" w:cs="Arial"/>
          <w:color w:val="000000" w:themeColor="text1"/>
        </w:rPr>
        <w:t xml:space="preserve"> nejpozději po výzvě služebního orgánu (§ 28a odst. 1 zákona o státní službě). </w:t>
      </w:r>
    </w:p>
    <w:p w14:paraId="72CCB222" w14:textId="77777777" w:rsidR="008F6678" w:rsidRDefault="008F6678" w:rsidP="005274E2">
      <w:pPr>
        <w:spacing w:after="0" w:line="240" w:lineRule="auto"/>
        <w:ind w:left="567"/>
        <w:jc w:val="both"/>
        <w:rPr>
          <w:rFonts w:ascii="Arial" w:hAnsi="Arial" w:cs="Arial"/>
          <w:color w:val="000000" w:themeColor="text1"/>
        </w:rPr>
      </w:pPr>
    </w:p>
    <w:p w14:paraId="02A4F242" w14:textId="67B5E841" w:rsidR="00A125B9" w:rsidRDefault="00A125B9" w:rsidP="00A125B9">
      <w:pPr>
        <w:pStyle w:val="Odstavecseseznamem"/>
        <w:numPr>
          <w:ilvl w:val="0"/>
          <w:numId w:val="49"/>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E830A3">
        <w:rPr>
          <w:rFonts w:ascii="Arial" w:hAnsi="Arial" w:cs="Arial"/>
          <w:color w:val="000000" w:themeColor="text1"/>
        </w:rPr>
        <w:t>5</w:t>
      </w:r>
      <w:r>
        <w:rPr>
          <w:rFonts w:ascii="Arial" w:hAnsi="Arial" w:cs="Arial"/>
          <w:color w:val="000000" w:themeColor="text1"/>
        </w:rPr>
        <w:t xml:space="preserve">/2025, č.j. </w:t>
      </w:r>
      <w:r w:rsidRPr="00E13DFF">
        <w:rPr>
          <w:rFonts w:ascii="Arial" w:hAnsi="Arial" w:cs="Arial"/>
        </w:rPr>
        <w:t>MMR-</w:t>
      </w:r>
      <w:r w:rsidR="00E830A3">
        <w:rPr>
          <w:rFonts w:ascii="Arial" w:hAnsi="Arial" w:cs="Arial"/>
        </w:rPr>
        <w:t>11083</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593DDE53" w14:textId="77777777" w:rsidR="00A125B9" w:rsidRDefault="00A125B9" w:rsidP="00A125B9">
      <w:pPr>
        <w:pStyle w:val="Odstavecseseznamem"/>
        <w:spacing w:after="0" w:line="240" w:lineRule="auto"/>
        <w:ind w:left="720"/>
        <w:contextualSpacing/>
        <w:jc w:val="both"/>
        <w:rPr>
          <w:rFonts w:ascii="Arial" w:hAnsi="Arial" w:cs="Arial"/>
          <w:color w:val="000000" w:themeColor="text1"/>
        </w:rPr>
      </w:pPr>
    </w:p>
    <w:p w14:paraId="19CCA7AC" w14:textId="1517E44C" w:rsidR="00A125B9" w:rsidRPr="000B61CB" w:rsidRDefault="00A125B9" w:rsidP="00A125B9">
      <w:pPr>
        <w:pStyle w:val="Odstavecseseznamem"/>
        <w:numPr>
          <w:ilvl w:val="0"/>
          <w:numId w:val="48"/>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Pr="000B61CB">
        <w:rPr>
          <w:rFonts w:ascii="Arial" w:hAnsi="Arial" w:cs="Arial"/>
        </w:rPr>
        <w:t>znalosti anglického jazyka, a to odpovídající alespoň 1. stupni znalosti</w:t>
      </w:r>
      <w:r>
        <w:rPr>
          <w:rFonts w:ascii="Arial" w:hAnsi="Arial" w:cs="Arial"/>
        </w:rPr>
        <w:t xml:space="preserve"> </w:t>
      </w:r>
      <w:r w:rsidRPr="000B61CB">
        <w:rPr>
          <w:rFonts w:ascii="Arial" w:hAnsi="Arial" w:cs="Arial"/>
        </w:rPr>
        <w:t>cizího jazyka pro standardizované jazykové zkoušky stanovené rozhodnutím Ministerstva školství, mládeže a tělovýchovy.</w:t>
      </w:r>
    </w:p>
    <w:p w14:paraId="5B49288E" w14:textId="77777777" w:rsidR="00A125B9" w:rsidRPr="000B61CB" w:rsidRDefault="00A125B9" w:rsidP="00A125B9">
      <w:pPr>
        <w:spacing w:after="0" w:line="240" w:lineRule="auto"/>
        <w:jc w:val="both"/>
        <w:rPr>
          <w:rFonts w:ascii="Arial" w:hAnsi="Arial" w:cs="Arial"/>
        </w:rPr>
      </w:pPr>
    </w:p>
    <w:p w14:paraId="26D0FD2E" w14:textId="26F4D6B1" w:rsidR="00C03BF7" w:rsidRDefault="00A125B9" w:rsidP="00A125B9">
      <w:pPr>
        <w:pStyle w:val="Odstavecseseznamem"/>
        <w:spacing w:after="0" w:line="240" w:lineRule="auto"/>
        <w:ind w:left="1080"/>
        <w:contextualSpacing/>
        <w:jc w:val="both"/>
        <w:rPr>
          <w:rFonts w:ascii="Arial" w:hAnsi="Arial" w:cs="Arial"/>
        </w:rPr>
      </w:pPr>
      <w:r w:rsidRPr="000B61CB">
        <w:rPr>
          <w:rFonts w:ascii="Arial" w:hAnsi="Arial" w:cs="Arial"/>
        </w:rPr>
        <w:t xml:space="preserve">Splnění tohoto požadavku se dokládá originálem nebo úředně ověřenou </w:t>
      </w:r>
      <w:r>
        <w:rPr>
          <w:rFonts w:ascii="Arial" w:hAnsi="Arial" w:cs="Arial"/>
        </w:rPr>
        <w:t xml:space="preserve">   </w:t>
      </w:r>
      <w:r w:rsidRPr="000B61CB">
        <w:rPr>
          <w:rFonts w:ascii="Arial" w:hAnsi="Arial" w:cs="Arial"/>
        </w:rPr>
        <w:t>kopií vysvědčení/osvědčení</w:t>
      </w:r>
      <w:r>
        <w:rPr>
          <w:rFonts w:ascii="Arial" w:hAnsi="Arial" w:cs="Arial"/>
        </w:rPr>
        <w:t xml:space="preserve"> </w:t>
      </w:r>
      <w:r w:rsidRPr="000B61CB">
        <w:rPr>
          <w:rFonts w:ascii="Arial" w:hAnsi="Arial" w:cs="Arial"/>
        </w:rPr>
        <w:t>nebo jiného dokladu prokazující úroveň znalosti cizího jazyka přiloženého k žádosti.</w:t>
      </w:r>
    </w:p>
    <w:p w14:paraId="1FC3EC36" w14:textId="77777777" w:rsidR="00E830A3" w:rsidRDefault="00E830A3" w:rsidP="00A125B9">
      <w:pPr>
        <w:pStyle w:val="Odstavecseseznamem"/>
        <w:spacing w:after="0" w:line="240" w:lineRule="auto"/>
        <w:ind w:left="1080"/>
        <w:contextualSpacing/>
        <w:jc w:val="both"/>
        <w:rPr>
          <w:rFonts w:ascii="Arial" w:hAnsi="Arial" w:cs="Arial"/>
        </w:rPr>
      </w:pPr>
    </w:p>
    <w:p w14:paraId="32D8E97E" w14:textId="77777777" w:rsidR="00E830A3" w:rsidRDefault="00E830A3" w:rsidP="00A125B9">
      <w:pPr>
        <w:pStyle w:val="Odstavecseseznamem"/>
        <w:spacing w:after="0" w:line="240" w:lineRule="auto"/>
        <w:ind w:left="1080"/>
        <w:contextualSpacing/>
        <w:jc w:val="both"/>
        <w:rPr>
          <w:rFonts w:ascii="Arial" w:hAnsi="Arial" w:cs="Arial"/>
        </w:rPr>
      </w:pPr>
    </w:p>
    <w:p w14:paraId="135C71BA" w14:textId="77777777" w:rsidR="00E830A3" w:rsidRDefault="00E830A3" w:rsidP="00A125B9">
      <w:pPr>
        <w:pStyle w:val="Odstavecseseznamem"/>
        <w:spacing w:after="0" w:line="240" w:lineRule="auto"/>
        <w:ind w:left="1080"/>
        <w:contextualSpacing/>
        <w:jc w:val="both"/>
        <w:rPr>
          <w:rFonts w:ascii="Arial" w:hAnsi="Arial" w:cs="Arial"/>
        </w:rPr>
      </w:pPr>
    </w:p>
    <w:p w14:paraId="41B3B19E" w14:textId="77777777" w:rsidR="00E830A3" w:rsidRDefault="00E830A3" w:rsidP="00A125B9">
      <w:pPr>
        <w:pStyle w:val="Odstavecseseznamem"/>
        <w:spacing w:after="0" w:line="240" w:lineRule="auto"/>
        <w:ind w:left="1080"/>
        <w:contextualSpacing/>
        <w:jc w:val="both"/>
        <w:rPr>
          <w:rFonts w:ascii="Arial" w:hAnsi="Arial" w:cs="Arial"/>
        </w:rPr>
      </w:pPr>
    </w:p>
    <w:p w14:paraId="304ACF4D" w14:textId="77777777" w:rsidR="00E830A3" w:rsidRDefault="00E830A3" w:rsidP="00A125B9">
      <w:pPr>
        <w:pStyle w:val="Odstavecseseznamem"/>
        <w:spacing w:after="0" w:line="240" w:lineRule="auto"/>
        <w:ind w:left="1080"/>
        <w:contextualSpacing/>
        <w:jc w:val="both"/>
        <w:rPr>
          <w:rFonts w:ascii="Arial" w:hAnsi="Arial" w:cs="Arial"/>
        </w:rPr>
      </w:pPr>
    </w:p>
    <w:p w14:paraId="27410722" w14:textId="77777777" w:rsidR="00E830A3" w:rsidRDefault="00E830A3" w:rsidP="00A125B9">
      <w:pPr>
        <w:pStyle w:val="Odstavecseseznamem"/>
        <w:spacing w:after="0" w:line="240" w:lineRule="auto"/>
        <w:ind w:left="1080"/>
        <w:contextualSpacing/>
        <w:jc w:val="both"/>
        <w:rPr>
          <w:rFonts w:ascii="Arial" w:hAnsi="Arial" w:cs="Arial"/>
        </w:rPr>
      </w:pPr>
    </w:p>
    <w:p w14:paraId="2700DB03" w14:textId="77777777" w:rsidR="00E830A3" w:rsidRDefault="00E830A3" w:rsidP="00A125B9">
      <w:pPr>
        <w:pStyle w:val="Odstavecseseznamem"/>
        <w:spacing w:after="0" w:line="240" w:lineRule="auto"/>
        <w:ind w:left="1080"/>
        <w:contextualSpacing/>
        <w:jc w:val="both"/>
        <w:rPr>
          <w:rFonts w:ascii="Arial" w:hAnsi="Arial" w:cs="Arial"/>
        </w:rPr>
      </w:pPr>
    </w:p>
    <w:p w14:paraId="095B482E" w14:textId="77777777" w:rsidR="00E830A3" w:rsidRDefault="00E830A3" w:rsidP="00A125B9">
      <w:pPr>
        <w:pStyle w:val="Odstavecseseznamem"/>
        <w:spacing w:after="0" w:line="240" w:lineRule="auto"/>
        <w:ind w:left="1080"/>
        <w:contextualSpacing/>
        <w:jc w:val="both"/>
        <w:rPr>
          <w:rFonts w:ascii="Arial" w:hAnsi="Arial" w:cs="Arial"/>
        </w:rPr>
      </w:pPr>
    </w:p>
    <w:p w14:paraId="4CCF978B" w14:textId="77777777" w:rsidR="00E830A3" w:rsidRDefault="00E830A3" w:rsidP="00A125B9">
      <w:pPr>
        <w:pStyle w:val="Odstavecseseznamem"/>
        <w:spacing w:after="0" w:line="240" w:lineRule="auto"/>
        <w:ind w:left="1080"/>
        <w:contextualSpacing/>
        <w:jc w:val="both"/>
        <w:rPr>
          <w:rFonts w:ascii="Arial" w:hAnsi="Arial" w:cs="Arial"/>
        </w:rPr>
      </w:pPr>
    </w:p>
    <w:p w14:paraId="3068FC80" w14:textId="77777777" w:rsidR="00E830A3" w:rsidRPr="00A125B9" w:rsidRDefault="00E830A3" w:rsidP="00A125B9">
      <w:pPr>
        <w:pStyle w:val="Odstavecseseznamem"/>
        <w:spacing w:after="0" w:line="240" w:lineRule="auto"/>
        <w:ind w:left="1080"/>
        <w:contextualSpacing/>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79FAB149" w14:textId="434BE650" w:rsidR="00BA2539" w:rsidRDefault="00BA2539" w:rsidP="00B649B4">
      <w:pPr>
        <w:numPr>
          <w:ilvl w:val="0"/>
          <w:numId w:val="13"/>
        </w:numPr>
        <w:spacing w:after="0"/>
        <w:ind w:left="284" w:hanging="284"/>
        <w:contextualSpacing/>
        <w:jc w:val="both"/>
        <w:rPr>
          <w:rFonts w:ascii="Arial" w:hAnsi="Arial" w:cs="Arial"/>
        </w:rPr>
      </w:pPr>
      <w:r>
        <w:rPr>
          <w:rFonts w:ascii="Arial" w:hAnsi="Arial" w:cs="Arial"/>
        </w:rPr>
        <w:t>doklad o znalosti anglického jazyka</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089EF34B" w14:textId="77777777" w:rsidR="00E830A3" w:rsidRDefault="00E830A3"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402FD63A" w14:textId="77777777" w:rsidR="00E830A3" w:rsidRDefault="00E830A3" w:rsidP="00BF1EA5">
      <w:pPr>
        <w:spacing w:after="0"/>
        <w:ind w:left="2832"/>
        <w:rPr>
          <w:rFonts w:ascii="Arial" w:hAnsi="Arial" w:cs="Arial"/>
        </w:rPr>
      </w:pPr>
    </w:p>
    <w:p w14:paraId="01FE077F" w14:textId="77777777" w:rsidR="00E830A3" w:rsidRDefault="00E830A3" w:rsidP="00BF1EA5">
      <w:pPr>
        <w:spacing w:after="0"/>
        <w:ind w:left="2832"/>
        <w:rPr>
          <w:rFonts w:ascii="Arial" w:hAnsi="Arial" w:cs="Arial"/>
        </w:rPr>
      </w:pPr>
    </w:p>
    <w:p w14:paraId="013C7901" w14:textId="77777777" w:rsidR="00E830A3" w:rsidRDefault="00E830A3" w:rsidP="00BF1EA5">
      <w:pPr>
        <w:spacing w:after="0"/>
        <w:ind w:left="2832"/>
        <w:rPr>
          <w:rFonts w:ascii="Arial" w:hAnsi="Arial" w:cs="Arial"/>
        </w:rPr>
      </w:pPr>
    </w:p>
    <w:p w14:paraId="3D059679" w14:textId="77777777" w:rsidR="00E830A3" w:rsidRDefault="00E830A3" w:rsidP="00BF1EA5">
      <w:pPr>
        <w:spacing w:after="0"/>
        <w:ind w:left="2832"/>
        <w:rPr>
          <w:rFonts w:ascii="Arial" w:hAnsi="Arial" w:cs="Arial"/>
        </w:rPr>
      </w:pPr>
    </w:p>
    <w:p w14:paraId="03E434D2" w14:textId="77777777" w:rsidR="00E830A3" w:rsidRDefault="00E830A3" w:rsidP="00BF1EA5">
      <w:pPr>
        <w:spacing w:after="0"/>
        <w:ind w:left="2832"/>
        <w:rPr>
          <w:rFonts w:ascii="Arial" w:hAnsi="Arial" w:cs="Arial"/>
        </w:rPr>
      </w:pPr>
    </w:p>
    <w:p w14:paraId="5DB85D68" w14:textId="77777777" w:rsidR="00E830A3" w:rsidRDefault="00E830A3" w:rsidP="00BF1EA5">
      <w:pPr>
        <w:spacing w:after="0"/>
        <w:ind w:left="2832"/>
        <w:rPr>
          <w:rFonts w:ascii="Arial" w:hAnsi="Arial" w:cs="Arial"/>
        </w:rPr>
      </w:pPr>
    </w:p>
    <w:p w14:paraId="45E95491" w14:textId="77777777" w:rsidR="00E830A3" w:rsidRDefault="00E830A3" w:rsidP="00BF1EA5">
      <w:pPr>
        <w:spacing w:after="0"/>
        <w:ind w:left="2832"/>
        <w:rPr>
          <w:rFonts w:ascii="Arial" w:hAnsi="Arial" w:cs="Arial"/>
        </w:rPr>
      </w:pPr>
    </w:p>
    <w:p w14:paraId="6C1E8EC7" w14:textId="77777777" w:rsidR="00E830A3" w:rsidRDefault="00E830A3" w:rsidP="00BF1EA5">
      <w:pPr>
        <w:spacing w:after="0"/>
        <w:ind w:left="2832"/>
        <w:rPr>
          <w:rFonts w:ascii="Arial" w:hAnsi="Arial" w:cs="Arial"/>
        </w:rPr>
      </w:pPr>
    </w:p>
    <w:p w14:paraId="3785BAB7" w14:textId="77777777" w:rsidR="00E830A3" w:rsidRDefault="00E830A3" w:rsidP="00BF1EA5">
      <w:pPr>
        <w:spacing w:after="0"/>
        <w:ind w:left="2832"/>
        <w:rPr>
          <w:rFonts w:ascii="Arial" w:hAnsi="Arial" w:cs="Arial"/>
        </w:rPr>
      </w:pPr>
    </w:p>
    <w:p w14:paraId="0A44A0EA" w14:textId="77777777" w:rsidR="00E830A3" w:rsidRDefault="00E830A3" w:rsidP="00BF1EA5">
      <w:pPr>
        <w:spacing w:after="0"/>
        <w:ind w:left="2832"/>
        <w:rPr>
          <w:rFonts w:ascii="Arial" w:hAnsi="Arial" w:cs="Arial"/>
        </w:rPr>
      </w:pPr>
    </w:p>
    <w:p w14:paraId="2D7EF01E" w14:textId="77777777" w:rsidR="00E830A3" w:rsidRDefault="00E830A3" w:rsidP="00BF1EA5">
      <w:pPr>
        <w:spacing w:after="0"/>
        <w:ind w:left="2832"/>
        <w:rPr>
          <w:rFonts w:ascii="Arial" w:hAnsi="Arial" w:cs="Arial"/>
        </w:rPr>
      </w:pPr>
    </w:p>
    <w:p w14:paraId="7EA942A5" w14:textId="77777777" w:rsidR="00E830A3" w:rsidRDefault="00E830A3" w:rsidP="00BF1EA5">
      <w:pPr>
        <w:spacing w:after="0"/>
        <w:ind w:left="2832"/>
        <w:rPr>
          <w:rFonts w:ascii="Arial" w:hAnsi="Arial" w:cs="Arial"/>
        </w:rPr>
      </w:pPr>
    </w:p>
    <w:p w14:paraId="688A9D91" w14:textId="77777777" w:rsidR="00E830A3" w:rsidRDefault="00E830A3" w:rsidP="00BF1EA5">
      <w:pPr>
        <w:spacing w:after="0"/>
        <w:ind w:left="2832"/>
        <w:rPr>
          <w:rFonts w:ascii="Arial" w:hAnsi="Arial" w:cs="Arial"/>
        </w:rPr>
      </w:pPr>
    </w:p>
    <w:p w14:paraId="305AFA47" w14:textId="77777777" w:rsidR="00B740AE" w:rsidRDefault="00B740AE"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3"/>
      <w:footerReference w:type="default" r:id="rId14"/>
      <w:headerReference w:type="first" r:id="rId15"/>
      <w:footerReference w:type="first" r:id="rId16"/>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D52FD8"/>
    <w:multiLevelType w:val="hybridMultilevel"/>
    <w:tmpl w:val="DD48D6BE"/>
    <w:lvl w:ilvl="0" w:tplc="28A00CAE">
      <w:start w:val="1"/>
      <w:numFmt w:val="lowerLetter"/>
      <w:lvlText w:val="%1)"/>
      <w:lvlJc w:val="left"/>
      <w:pPr>
        <w:ind w:left="1080" w:hanging="360"/>
      </w:pPr>
      <w:rPr>
        <w:rFonts w:ascii="Calibri" w:hAnsi="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1"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9"/>
  </w:num>
  <w:num w:numId="5" w16cid:durableId="580867343">
    <w:abstractNumId w:val="37"/>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0"/>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6"/>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4"/>
  </w:num>
  <w:num w:numId="16" w16cid:durableId="1795564789">
    <w:abstractNumId w:val="40"/>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6"/>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0"/>
  </w:num>
  <w:num w:numId="23" w16cid:durableId="2019387955">
    <w:abstractNumId w:val="10"/>
  </w:num>
  <w:num w:numId="24" w16cid:durableId="1764640402">
    <w:abstractNumId w:val="24"/>
  </w:num>
  <w:num w:numId="25" w16cid:durableId="965504340">
    <w:abstractNumId w:val="41"/>
  </w:num>
  <w:num w:numId="26" w16cid:durableId="1932854085">
    <w:abstractNumId w:val="25"/>
  </w:num>
  <w:num w:numId="27" w16cid:durableId="1564949879">
    <w:abstractNumId w:val="32"/>
  </w:num>
  <w:num w:numId="28" w16cid:durableId="712074994">
    <w:abstractNumId w:val="8"/>
  </w:num>
  <w:num w:numId="29" w16cid:durableId="1471554871">
    <w:abstractNumId w:val="40"/>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9"/>
  </w:num>
  <w:num w:numId="35" w16cid:durableId="1472559947">
    <w:abstractNumId w:val="21"/>
  </w:num>
  <w:num w:numId="36" w16cid:durableId="121003927">
    <w:abstractNumId w:val="34"/>
  </w:num>
  <w:num w:numId="37" w16cid:durableId="787622789">
    <w:abstractNumId w:val="17"/>
  </w:num>
  <w:num w:numId="38" w16cid:durableId="57166385">
    <w:abstractNumId w:val="23"/>
  </w:num>
  <w:num w:numId="39" w16cid:durableId="1349216002">
    <w:abstractNumId w:val="33"/>
  </w:num>
  <w:num w:numId="40" w16cid:durableId="943808669">
    <w:abstractNumId w:val="31"/>
  </w:num>
  <w:num w:numId="41" w16cid:durableId="1333216210">
    <w:abstractNumId w:val="29"/>
  </w:num>
  <w:num w:numId="42" w16cid:durableId="227155114">
    <w:abstractNumId w:val="38"/>
  </w:num>
  <w:num w:numId="43" w16cid:durableId="647439173">
    <w:abstractNumId w:val="13"/>
  </w:num>
  <w:num w:numId="44" w16cid:durableId="322512585">
    <w:abstractNumId w:val="22"/>
  </w:num>
  <w:num w:numId="45" w16cid:durableId="1150513892">
    <w:abstractNumId w:val="27"/>
  </w:num>
  <w:num w:numId="46" w16cid:durableId="1523131293">
    <w:abstractNumId w:val="35"/>
  </w:num>
  <w:num w:numId="47" w16cid:durableId="1187326526">
    <w:abstractNumId w:val="30"/>
  </w:num>
  <w:num w:numId="48" w16cid:durableId="695888813">
    <w:abstractNumId w:val="18"/>
  </w:num>
  <w:num w:numId="49" w16cid:durableId="1623461834">
    <w:abstractNumId w:val="26"/>
  </w:num>
  <w:num w:numId="50" w16cid:durableId="12777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34FBC"/>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C0AF7"/>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16E4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3005"/>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25B9"/>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40AE"/>
    <w:rsid w:val="00B75E01"/>
    <w:rsid w:val="00B81865"/>
    <w:rsid w:val="00B865FF"/>
    <w:rsid w:val="00B936D3"/>
    <w:rsid w:val="00BA2539"/>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2BA7"/>
    <w:rsid w:val="00C3513D"/>
    <w:rsid w:val="00C435C2"/>
    <w:rsid w:val="00C53FC6"/>
    <w:rsid w:val="00C63181"/>
    <w:rsid w:val="00C651D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0A3"/>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mr.gov.cz/cs/kariera/benefi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vcr.cz/sluzba/soubor/ssp-c-3-2022-priloha-c-3b-podminky-vykonu-sluzby-text.asp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raha.mmr.cz/Seznam-zamestnancu?department=2" TargetMode="External"/><Relationship Id="rId4" Type="http://schemas.openxmlformats.org/officeDocument/2006/relationships/settings" Target="settings.xml"/><Relationship Id="rId9" Type="http://schemas.openxmlformats.org/officeDocument/2006/relationships/hyperlink" Target="http://www.praha.mmr.cz/Seznam-zamestnancu?department=27"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1779</TotalTime>
  <Pages>6</Pages>
  <Words>1644</Words>
  <Characters>9703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225</cp:revision>
  <cp:lastPrinted>2025-02-27T12:53:00Z</cp:lastPrinted>
  <dcterms:created xsi:type="dcterms:W3CDTF">2017-07-31T11:28:00Z</dcterms:created>
  <dcterms:modified xsi:type="dcterms:W3CDTF">2025-03-03T08:40:00Z</dcterms:modified>
</cp:coreProperties>
</file>