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1F2E124C" w14:textId="77777777" w:rsidR="007A6530" w:rsidRDefault="007A6530" w:rsidP="00A733CE">
      <w:pPr>
        <w:rPr>
          <w:rFonts w:ascii="Arial" w:hAnsi="Arial" w:cs="Arial"/>
          <w:b/>
          <w:sz w:val="28"/>
          <w:szCs w:val="28"/>
        </w:rPr>
      </w:pPr>
    </w:p>
    <w:p w14:paraId="755CBBE2" w14:textId="77777777" w:rsidR="007A6530" w:rsidRDefault="007A6530"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49E33E12" w14:textId="4340B37C" w:rsidR="00784BE2" w:rsidRDefault="002C22C3" w:rsidP="124BF840">
      <w:pPr>
        <w:rPr>
          <w:rFonts w:ascii="Arial" w:hAnsi="Arial" w:cs="Arial"/>
          <w:b/>
          <w:bCs/>
          <w:sz w:val="28"/>
          <w:szCs w:val="28"/>
        </w:rPr>
      </w:pPr>
      <w:r w:rsidRPr="124BF840">
        <w:rPr>
          <w:rFonts w:ascii="Arial" w:hAnsi="Arial" w:cs="Arial"/>
          <w:b/>
          <w:bCs/>
          <w:sz w:val="28"/>
          <w:szCs w:val="28"/>
        </w:rPr>
        <w:t xml:space="preserve">Vydání </w:t>
      </w:r>
      <w:r w:rsidR="00427F79" w:rsidRPr="124BF840">
        <w:rPr>
          <w:rFonts w:ascii="Arial" w:hAnsi="Arial" w:cs="Arial"/>
          <w:b/>
          <w:bCs/>
          <w:sz w:val="28"/>
          <w:szCs w:val="28"/>
        </w:rPr>
        <w:t>1</w:t>
      </w:r>
      <w:r w:rsidRPr="124BF840">
        <w:rPr>
          <w:rFonts w:ascii="Arial" w:hAnsi="Arial" w:cs="Arial"/>
          <w:b/>
          <w:bCs/>
          <w:sz w:val="28"/>
          <w:szCs w:val="28"/>
        </w:rPr>
        <w:t>/</w:t>
      </w:r>
      <w:r w:rsidR="00464A23">
        <w:rPr>
          <w:rFonts w:ascii="Arial" w:hAnsi="Arial" w:cs="Arial"/>
          <w:b/>
          <w:bCs/>
          <w:sz w:val="28"/>
          <w:szCs w:val="28"/>
        </w:rPr>
        <w:t>2</w:t>
      </w:r>
    </w:p>
    <w:p w14:paraId="655EC245" w14:textId="6BAC7C67" w:rsidR="00784BE2" w:rsidRDefault="00784BE2" w:rsidP="124BF840">
      <w:pPr>
        <w:rPr>
          <w:rFonts w:ascii="Arial" w:hAnsi="Arial" w:cs="Arial"/>
          <w:b/>
          <w:bCs/>
          <w:sz w:val="28"/>
          <w:szCs w:val="28"/>
        </w:rPr>
      </w:pPr>
      <w:r w:rsidRPr="124BF840">
        <w:rPr>
          <w:rFonts w:ascii="Arial" w:hAnsi="Arial" w:cs="Arial"/>
          <w:b/>
          <w:bCs/>
          <w:sz w:val="28"/>
          <w:szCs w:val="28"/>
        </w:rPr>
        <w:t>P</w:t>
      </w:r>
      <w:r w:rsidR="002C22C3" w:rsidRPr="124BF840">
        <w:rPr>
          <w:rFonts w:ascii="Arial" w:hAnsi="Arial" w:cs="Arial"/>
          <w:b/>
          <w:bCs/>
          <w:sz w:val="28"/>
          <w:szCs w:val="28"/>
        </w:rPr>
        <w:t>latnost</w:t>
      </w:r>
      <w:r w:rsidR="00703A01" w:rsidRPr="124BF840">
        <w:rPr>
          <w:rFonts w:ascii="Arial" w:hAnsi="Arial" w:cs="Arial"/>
          <w:b/>
          <w:bCs/>
          <w:sz w:val="28"/>
          <w:szCs w:val="28"/>
        </w:rPr>
        <w:t xml:space="preserve"> </w:t>
      </w:r>
      <w:r w:rsidR="007A6530" w:rsidRPr="124BF840">
        <w:rPr>
          <w:rFonts w:ascii="Arial" w:hAnsi="Arial" w:cs="Arial"/>
          <w:b/>
          <w:bCs/>
          <w:sz w:val="28"/>
          <w:szCs w:val="28"/>
        </w:rPr>
        <w:t xml:space="preserve">od </w:t>
      </w:r>
      <w:r w:rsidR="00613E4E">
        <w:rPr>
          <w:rFonts w:ascii="Arial" w:hAnsi="Arial" w:cs="Arial"/>
          <w:b/>
          <w:bCs/>
          <w:sz w:val="28"/>
          <w:szCs w:val="28"/>
        </w:rPr>
        <w:t>10</w:t>
      </w:r>
      <w:r w:rsidRPr="124BF840">
        <w:rPr>
          <w:rFonts w:ascii="Arial" w:hAnsi="Arial" w:cs="Arial"/>
          <w:b/>
          <w:bCs/>
          <w:sz w:val="28"/>
          <w:szCs w:val="28"/>
        </w:rPr>
        <w:t xml:space="preserve">. </w:t>
      </w:r>
      <w:r w:rsidR="00613E4E">
        <w:rPr>
          <w:rFonts w:ascii="Arial" w:hAnsi="Arial" w:cs="Arial"/>
          <w:b/>
          <w:bCs/>
          <w:sz w:val="28"/>
          <w:szCs w:val="28"/>
        </w:rPr>
        <w:t>3</w:t>
      </w:r>
      <w:r w:rsidRPr="124BF840">
        <w:rPr>
          <w:rFonts w:ascii="Arial" w:hAnsi="Arial" w:cs="Arial"/>
          <w:b/>
          <w:bCs/>
          <w:sz w:val="28"/>
          <w:szCs w:val="28"/>
        </w:rPr>
        <w:t>.</w:t>
      </w:r>
      <w:r w:rsidR="007A6530" w:rsidRPr="124BF840">
        <w:rPr>
          <w:rFonts w:ascii="Arial" w:hAnsi="Arial" w:cs="Arial"/>
          <w:b/>
          <w:bCs/>
          <w:sz w:val="28"/>
          <w:szCs w:val="28"/>
        </w:rPr>
        <w:t xml:space="preserve"> 202</w:t>
      </w:r>
      <w:r w:rsidR="00464A23">
        <w:rPr>
          <w:rFonts w:ascii="Arial" w:hAnsi="Arial" w:cs="Arial"/>
          <w:b/>
          <w:bCs/>
          <w:sz w:val="28"/>
          <w:szCs w:val="28"/>
        </w:rPr>
        <w:t>3</w:t>
      </w:r>
    </w:p>
    <w:p w14:paraId="2DA26F02" w14:textId="5B1FE901" w:rsidR="00E74D9F" w:rsidRDefault="00FA15FF" w:rsidP="124BF840">
      <w:pPr>
        <w:rPr>
          <w:b/>
          <w:bCs/>
          <w:sz w:val="24"/>
          <w:szCs w:val="24"/>
        </w:rPr>
      </w:pPr>
      <w:r w:rsidRPr="124BF840">
        <w:rPr>
          <w:rFonts w:ascii="Arial" w:hAnsi="Arial" w:cs="Arial"/>
          <w:b/>
          <w:bCs/>
          <w:sz w:val="28"/>
          <w:szCs w:val="28"/>
        </w:rPr>
        <w:t>Ú</w:t>
      </w:r>
      <w:r w:rsidR="005F4629" w:rsidRPr="124BF840">
        <w:rPr>
          <w:rFonts w:ascii="Arial" w:hAnsi="Arial" w:cs="Arial"/>
          <w:b/>
          <w:bCs/>
          <w:sz w:val="28"/>
          <w:szCs w:val="28"/>
        </w:rPr>
        <w:t xml:space="preserve">činnost </w:t>
      </w:r>
      <w:r w:rsidR="00703A01" w:rsidRPr="124BF840">
        <w:rPr>
          <w:rFonts w:ascii="Arial" w:hAnsi="Arial" w:cs="Arial"/>
          <w:b/>
          <w:bCs/>
          <w:sz w:val="28"/>
          <w:szCs w:val="28"/>
        </w:rPr>
        <w:t xml:space="preserve">od </w:t>
      </w:r>
      <w:r w:rsidR="00613E4E">
        <w:rPr>
          <w:rFonts w:ascii="Arial" w:hAnsi="Arial" w:cs="Arial"/>
          <w:b/>
          <w:bCs/>
          <w:sz w:val="28"/>
          <w:szCs w:val="28"/>
        </w:rPr>
        <w:t>15</w:t>
      </w:r>
      <w:r w:rsidRPr="124BF840">
        <w:rPr>
          <w:rFonts w:ascii="Arial" w:hAnsi="Arial" w:cs="Arial"/>
          <w:b/>
          <w:bCs/>
          <w:sz w:val="28"/>
          <w:szCs w:val="28"/>
        </w:rPr>
        <w:t xml:space="preserve">. </w:t>
      </w:r>
      <w:r w:rsidR="00613E4E">
        <w:rPr>
          <w:rFonts w:ascii="Arial" w:hAnsi="Arial" w:cs="Arial"/>
          <w:b/>
          <w:bCs/>
          <w:sz w:val="28"/>
          <w:szCs w:val="28"/>
        </w:rPr>
        <w:t>3</w:t>
      </w:r>
      <w:r w:rsidRPr="124BF840">
        <w:rPr>
          <w:rFonts w:ascii="Arial" w:hAnsi="Arial" w:cs="Arial"/>
          <w:b/>
          <w:bCs/>
          <w:sz w:val="28"/>
          <w:szCs w:val="28"/>
        </w:rPr>
        <w:t>.</w:t>
      </w:r>
      <w:r w:rsidR="007A6530" w:rsidRPr="124BF840">
        <w:rPr>
          <w:rFonts w:ascii="Arial" w:hAnsi="Arial" w:cs="Arial"/>
          <w:b/>
          <w:bCs/>
          <w:sz w:val="28"/>
          <w:szCs w:val="28"/>
        </w:rPr>
        <w:t xml:space="preserve"> 202</w:t>
      </w:r>
      <w:r w:rsidR="00464A23">
        <w:rPr>
          <w:rFonts w:ascii="Arial" w:hAnsi="Arial" w:cs="Arial"/>
          <w:b/>
          <w:bCs/>
          <w:sz w:val="28"/>
          <w:szCs w:val="28"/>
        </w:rPr>
        <w:t>3</w:t>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124BF840">
      <w:pPr>
        <w:autoSpaceDE w:val="0"/>
        <w:autoSpaceDN w:val="0"/>
        <w:adjustRightInd w:val="0"/>
        <w:spacing w:before="240" w:after="240"/>
        <w:jc w:val="both"/>
        <w:rPr>
          <w:rFonts w:ascii="Arial" w:hAnsi="Arial" w:cs="Arial"/>
          <w:color w:val="000000"/>
          <w:sz w:val="22"/>
          <w:szCs w:val="22"/>
        </w:rPr>
      </w:pPr>
    </w:p>
    <w:p w14:paraId="7D7078B5" w14:textId="40112347" w:rsidR="124BF840" w:rsidRDefault="124BF840" w:rsidP="124BF840">
      <w:pPr>
        <w:spacing w:before="240" w:after="240"/>
        <w:jc w:val="both"/>
        <w:rPr>
          <w:rFonts w:ascii="Arial" w:hAnsi="Arial" w:cs="Arial"/>
          <w:color w:val="000000" w:themeColor="text1"/>
          <w:sz w:val="22"/>
          <w:szCs w:val="22"/>
        </w:rPr>
      </w:pPr>
    </w:p>
    <w:p w14:paraId="63EE0F44" w14:textId="3D666EBE" w:rsidR="124BF840" w:rsidRDefault="124BF840" w:rsidP="124BF840">
      <w:pPr>
        <w:spacing w:before="240" w:after="240"/>
        <w:jc w:val="both"/>
        <w:rPr>
          <w:rFonts w:ascii="Arial" w:hAnsi="Arial" w:cs="Arial"/>
          <w:color w:val="000000" w:themeColor="text1"/>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w:t>
      </w:r>
      <w:proofErr w:type="gramStart"/>
      <w:r w:rsidRPr="285A8EE4">
        <w:rPr>
          <w:rFonts w:ascii="Arial" w:hAnsi="Arial" w:cs="Arial"/>
          <w:sz w:val="22"/>
          <w:szCs w:val="22"/>
        </w:rPr>
        <w:t>založí</w:t>
      </w:r>
      <w:proofErr w:type="gramEnd"/>
      <w:r w:rsidRPr="285A8EE4">
        <w:rPr>
          <w:rFonts w:ascii="Arial" w:hAnsi="Arial" w:cs="Arial"/>
          <w:sz w:val="22"/>
          <w:szCs w:val="22"/>
        </w:rPr>
        <w:t xml:space="preserve">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 xml:space="preserve">nistrativního ověření) </w:t>
      </w:r>
      <w:proofErr w:type="gramStart"/>
      <w:r w:rsidR="0044516C" w:rsidRPr="285A8EE4">
        <w:rPr>
          <w:rFonts w:ascii="Arial" w:hAnsi="Arial" w:cs="Arial"/>
          <w:sz w:val="22"/>
          <w:szCs w:val="22"/>
        </w:rPr>
        <w:t>předloží</w:t>
      </w:r>
      <w:proofErr w:type="gramEnd"/>
      <w:r w:rsidR="0044516C" w:rsidRPr="285A8EE4">
        <w:rPr>
          <w:rFonts w:ascii="Arial" w:hAnsi="Arial" w:cs="Arial"/>
          <w:sz w:val="22"/>
          <w:szCs w:val="22"/>
        </w:rPr>
        <w:t xml:space="preserve">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w:t>
      </w:r>
      <w:r w:rsidR="0044516C" w:rsidRPr="00FC6050">
        <w:rPr>
          <w:rFonts w:ascii="Arial" w:hAnsi="Arial" w:cs="Arial"/>
          <w:sz w:val="22"/>
          <w:szCs w:val="22"/>
        </w:rPr>
        <w:lastRenderedPageBreak/>
        <w:t xml:space="preserve">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proofErr w:type="gramStart"/>
      <w:r w:rsidRPr="285A8EE4">
        <w:rPr>
          <w:rFonts w:ascii="Arial" w:hAnsi="Arial" w:cs="Arial"/>
          <w:sz w:val="22"/>
          <w:szCs w:val="22"/>
        </w:rPr>
        <w:t>předlož</w:t>
      </w:r>
      <w:r w:rsidR="002328A4" w:rsidRPr="285A8EE4">
        <w:rPr>
          <w:rFonts w:ascii="Arial" w:hAnsi="Arial" w:cs="Arial"/>
          <w:sz w:val="22"/>
          <w:szCs w:val="22"/>
        </w:rPr>
        <w:t>í</w:t>
      </w:r>
      <w:proofErr w:type="gramEnd"/>
      <w:r w:rsidR="002328A4" w:rsidRPr="285A8EE4">
        <w:rPr>
          <w:rFonts w:ascii="Arial" w:hAnsi="Arial" w:cs="Arial"/>
          <w:sz w:val="22"/>
          <w:szCs w:val="22"/>
        </w:rPr>
        <w:t xml:space="preserve">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 xml:space="preserve">V případě podání námitek zadavatel </w:t>
      </w:r>
      <w:proofErr w:type="gramStart"/>
      <w:r w:rsidRPr="009177C0">
        <w:rPr>
          <w:rFonts w:ascii="Arial" w:hAnsi="Arial" w:cs="Arial"/>
          <w:i/>
          <w:sz w:val="22"/>
          <w:szCs w:val="22"/>
        </w:rPr>
        <w:t>doloží</w:t>
      </w:r>
      <w:proofErr w:type="gramEnd"/>
      <w:r w:rsidRPr="009177C0">
        <w:rPr>
          <w:rFonts w:ascii="Arial" w:hAnsi="Arial" w:cs="Arial"/>
          <w:i/>
          <w:sz w:val="22"/>
          <w:szCs w:val="22"/>
        </w:rPr>
        <w:t xml:space="preserve">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77777777" w:rsid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lastRenderedPageBreak/>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w:t>
      </w:r>
      <w:proofErr w:type="gramStart"/>
      <w:r w:rsidR="00C4782F" w:rsidRPr="285A8EE4">
        <w:rPr>
          <w:rFonts w:ascii="Arial" w:hAnsi="Arial" w:cs="Arial"/>
          <w:sz w:val="22"/>
          <w:szCs w:val="22"/>
        </w:rPr>
        <w:t>předloží</w:t>
      </w:r>
      <w:proofErr w:type="gramEnd"/>
      <w:r w:rsidR="00C4782F" w:rsidRPr="285A8EE4">
        <w:rPr>
          <w:rFonts w:ascii="Arial" w:hAnsi="Arial" w:cs="Arial"/>
          <w:sz w:val="22"/>
          <w:szCs w:val="22"/>
        </w:rPr>
        <w:t xml:space="preserve">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lastRenderedPageBreak/>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w:t>
      </w:r>
      <w:proofErr w:type="gramStart"/>
      <w:r w:rsidRPr="009177C0">
        <w:rPr>
          <w:rFonts w:ascii="Arial" w:hAnsi="Arial" w:cs="Arial"/>
          <w:sz w:val="22"/>
          <w:szCs w:val="22"/>
        </w:rPr>
        <w:t>předlož</w:t>
      </w:r>
      <w:r w:rsidR="00BE7BDE">
        <w:rPr>
          <w:rFonts w:ascii="Arial" w:hAnsi="Arial" w:cs="Arial"/>
          <w:sz w:val="22"/>
          <w:szCs w:val="22"/>
        </w:rPr>
        <w:t>í</w:t>
      </w:r>
      <w:proofErr w:type="gramEnd"/>
      <w:r w:rsidR="00BE7BDE">
        <w:rPr>
          <w:rFonts w:ascii="Arial" w:hAnsi="Arial" w:cs="Arial"/>
          <w:sz w:val="22"/>
          <w:szCs w:val="22"/>
        </w:rPr>
        <w:t xml:space="preserve">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w:t>
      </w:r>
      <w:proofErr w:type="spellStart"/>
      <w:r w:rsidRPr="285A8EE4">
        <w:rPr>
          <w:rFonts w:ascii="Arial" w:hAnsi="Arial" w:cs="Arial"/>
          <w:sz w:val="22"/>
          <w:szCs w:val="22"/>
        </w:rPr>
        <w:t>minitendr</w:t>
      </w:r>
      <w:proofErr w:type="spellEnd"/>
      <w:r w:rsidRPr="285A8EE4">
        <w:rPr>
          <w:rFonts w:ascii="Arial" w:hAnsi="Arial" w:cs="Arial"/>
          <w:sz w:val="22"/>
          <w:szCs w:val="22"/>
        </w:rPr>
        <w:t>)</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w:t>
      </w:r>
      <w:proofErr w:type="gramStart"/>
      <w:r w:rsidR="000076D6" w:rsidRPr="285A8EE4">
        <w:rPr>
          <w:rFonts w:ascii="Arial" w:hAnsi="Arial" w:cs="Arial"/>
          <w:sz w:val="22"/>
          <w:szCs w:val="22"/>
        </w:rPr>
        <w:t>založí</w:t>
      </w:r>
      <w:proofErr w:type="gramEnd"/>
      <w:r w:rsidR="000076D6" w:rsidRPr="285A8EE4">
        <w:rPr>
          <w:rFonts w:ascii="Arial" w:hAnsi="Arial" w:cs="Arial"/>
          <w:sz w:val="22"/>
          <w:szCs w:val="22"/>
        </w:rPr>
        <w:t xml:space="preserve">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w:t>
      </w:r>
      <w:proofErr w:type="spellStart"/>
      <w:r w:rsidRPr="003E49DF">
        <w:rPr>
          <w:rFonts w:ascii="Arial" w:hAnsi="Arial" w:cs="Arial"/>
          <w:i/>
          <w:sz w:val="22"/>
          <w:szCs w:val="22"/>
        </w:rPr>
        <w:t>minitendrů</w:t>
      </w:r>
      <w:proofErr w:type="spellEnd"/>
      <w:r w:rsidRPr="003E49DF">
        <w:rPr>
          <w:rFonts w:ascii="Arial" w:hAnsi="Arial" w:cs="Arial"/>
          <w:i/>
          <w:sz w:val="22"/>
          <w:szCs w:val="22"/>
        </w:rPr>
        <w:t xml:space="preserve">, </w:t>
      </w:r>
      <w:proofErr w:type="gramStart"/>
      <w:r w:rsidRPr="003E49DF">
        <w:rPr>
          <w:rFonts w:ascii="Arial" w:hAnsi="Arial" w:cs="Arial"/>
          <w:i/>
          <w:sz w:val="22"/>
          <w:szCs w:val="22"/>
        </w:rPr>
        <w:t>předloží</w:t>
      </w:r>
      <w:proofErr w:type="gramEnd"/>
      <w:r w:rsidRPr="003E49DF">
        <w:rPr>
          <w:rFonts w:ascii="Arial" w:hAnsi="Arial" w:cs="Arial"/>
          <w:i/>
          <w:sz w:val="22"/>
          <w:szCs w:val="22"/>
        </w:rPr>
        <w:t xml:space="preserve">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lastRenderedPageBreak/>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postupovat analogicky 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48F09C5B"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lastRenderedPageBreak/>
        <w:t>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3371D80D" w14:textId="77777777" w:rsidR="009A5AC0" w:rsidRDefault="00D44D89" w:rsidP="3D977B56">
      <w:pPr>
        <w:pStyle w:val="Mjstyl3"/>
        <w:numPr>
          <w:ilvl w:val="3"/>
          <w:numId w:val="40"/>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6F3EA33" w:rsidR="00D44D89" w:rsidRDefault="00D44D89" w:rsidP="00B568E4">
      <w:pPr>
        <w:pStyle w:val="Mjstyl3"/>
        <w:numPr>
          <w:ilvl w:val="0"/>
          <w:numId w:val="0"/>
        </w:numPr>
        <w:spacing w:before="240" w:after="240"/>
        <w:ind w:left="1276" w:hanging="425"/>
        <w:rPr>
          <w:b/>
          <w:bCs/>
        </w:rPr>
      </w:pPr>
      <w:r w:rsidRPr="094B348C">
        <w:rPr>
          <w:b/>
          <w:bCs/>
        </w:rPr>
        <w:t xml:space="preserve">a) </w:t>
      </w:r>
      <w:r w:rsidR="00C61581" w:rsidRPr="094B348C">
        <w:rPr>
          <w:b/>
          <w:bCs/>
        </w:rPr>
        <w:t>5</w:t>
      </w:r>
      <w:r w:rsidRPr="094B348C">
        <w:rPr>
          <w:b/>
          <w:bCs/>
        </w:rPr>
        <w:t xml:space="preserve">00 000,- Kč bez </w:t>
      </w:r>
      <w:proofErr w:type="spellStart"/>
      <w:r w:rsidRPr="094B348C">
        <w:rPr>
          <w:b/>
          <w:bCs/>
        </w:rPr>
        <w:t>DPHnebo</w:t>
      </w:r>
      <w:proofErr w:type="spellEnd"/>
      <w:r w:rsidRPr="094B348C">
        <w:rPr>
          <w:b/>
          <w:bCs/>
        </w:rPr>
        <w:t xml:space="preserve"> </w:t>
      </w:r>
    </w:p>
    <w:p w14:paraId="34BE5510" w14:textId="0CF809F1" w:rsidR="00D44D89" w:rsidRPr="00263522" w:rsidRDefault="00D44D89" w:rsidP="00263522">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0BB651B5" w:rsidR="00D44D89" w:rsidRDefault="00263522" w:rsidP="00263522">
      <w:pPr>
        <w:pStyle w:val="Mjstyl3"/>
        <w:numPr>
          <w:ilvl w:val="1"/>
          <w:numId w:val="0"/>
        </w:numPr>
        <w:spacing w:before="0" w:after="0"/>
        <w:ind w:left="1276" w:hanging="142"/>
      </w:pPr>
      <w:r>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rsidP="3D977B56">
      <w:pPr>
        <w:pStyle w:val="Mjstyl3"/>
        <w:numPr>
          <w:ilvl w:val="3"/>
          <w:numId w:val="40"/>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rsidP="00B36345">
      <w:pPr>
        <w:pStyle w:val="Mjstyl3"/>
        <w:numPr>
          <w:ilvl w:val="3"/>
          <w:numId w:val="40"/>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5ED92C4F" w:rsidR="00A15644" w:rsidRPr="00516BC5" w:rsidRDefault="00A15644" w:rsidP="00B36345">
      <w:pPr>
        <w:pStyle w:val="Mjstyl3"/>
        <w:numPr>
          <w:ilvl w:val="3"/>
          <w:numId w:val="40"/>
        </w:numPr>
        <w:spacing w:before="240" w:after="240"/>
      </w:pPr>
      <w:r>
        <w:lastRenderedPageBreak/>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rsidP="00B36345">
      <w:pPr>
        <w:pStyle w:val="Mjstyl3"/>
        <w:numPr>
          <w:ilvl w:val="3"/>
          <w:numId w:val="40"/>
        </w:numPr>
        <w:spacing w:before="240" w:after="240"/>
      </w:pPr>
      <w:r w:rsidRPr="00516BC5">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rsidP="00B36345">
      <w:pPr>
        <w:pStyle w:val="Mjstyl3"/>
        <w:numPr>
          <w:ilvl w:val="3"/>
          <w:numId w:val="40"/>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rsidP="00B36345">
      <w:pPr>
        <w:pStyle w:val="Mjstyl3"/>
        <w:numPr>
          <w:ilvl w:val="3"/>
          <w:numId w:val="40"/>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w:t>
      </w:r>
      <w:proofErr w:type="gramStart"/>
      <w:r w:rsidRPr="00516BC5">
        <w:t>určí</w:t>
      </w:r>
      <w:proofErr w:type="gramEnd"/>
      <w:r w:rsidRPr="00516BC5">
        <w:t xml:space="preserve"> se hlavní předmět podle části předmětu zakázky </w:t>
      </w:r>
      <w:r w:rsidR="00175481">
        <w:br/>
      </w:r>
      <w:r w:rsidRPr="00516BC5">
        <w:t>s vyšší předpokládanou hodnotou</w:t>
      </w:r>
      <w:r>
        <w:t xml:space="preserve">. V ostatních případech se hlavní předmět </w:t>
      </w:r>
      <w:proofErr w:type="gramStart"/>
      <w:r>
        <w:t>určí</w:t>
      </w:r>
      <w:proofErr w:type="gramEnd"/>
      <w:r>
        <w:t xml:space="preserve">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25766093"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za plnění zakázky. Do předpokládané hodnoty zakázky se nezahrnuje daň </w:t>
      </w:r>
      <w:r w:rsidR="00175481">
        <w:br/>
      </w:r>
      <w:r>
        <w:t xml:space="preserve">z přidané hodnoty. </w:t>
      </w:r>
    </w:p>
    <w:p w14:paraId="7649E811" w14:textId="5A95CDC3" w:rsidR="00A15644" w:rsidRDefault="00A15644" w:rsidP="00B36345">
      <w:pPr>
        <w:pStyle w:val="Mjstyl3"/>
        <w:numPr>
          <w:ilvl w:val="3"/>
          <w:numId w:val="40"/>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 xml:space="preserve">musí zahrnovat předpokládanou hodnotu všech plnění, která </w:t>
      </w:r>
      <w:proofErr w:type="gramStart"/>
      <w:r>
        <w:t>tvoří</w:t>
      </w:r>
      <w:proofErr w:type="gramEnd"/>
      <w:r>
        <w:t xml:space="preserve">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lastRenderedPageBreak/>
        <w:t xml:space="preserve">Předpokládaná hodnota zakázky, jejímž předmětem jsou pravidelně pořizované nebo trvající dodávky nebo služby, se stanoví jako </w:t>
      </w:r>
    </w:p>
    <w:p w14:paraId="1E1BB2BC" w14:textId="0E0C3101" w:rsidR="00A15644" w:rsidRPr="003B1926"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3C546C6C" w:rsidR="00A15644" w:rsidRPr="00856D24"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26B1ECB1" w:rsidR="00A15644" w:rsidRPr="00856D24"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Default="00151B93" w:rsidP="00151B93">
      <w:pPr>
        <w:pStyle w:val="Odstavecseseznamem"/>
        <w:tabs>
          <w:tab w:val="left" w:pos="1134"/>
        </w:tabs>
        <w:spacing w:line="240" w:lineRule="atLeast"/>
        <w:ind w:left="851"/>
        <w:jc w:val="both"/>
      </w:pPr>
    </w:p>
    <w:p w14:paraId="4C1F0B8E" w14:textId="428392F4" w:rsidR="00EE621D" w:rsidRPr="0028370B" w:rsidRDefault="0028370B" w:rsidP="0028370B">
      <w:pPr>
        <w:pStyle w:val="Mjstyl3"/>
        <w:numPr>
          <w:ilvl w:val="3"/>
          <w:numId w:val="40"/>
        </w:numPr>
        <w:spacing w:before="240" w:after="240"/>
      </w:pPr>
      <w:r>
        <w:t>Do předpokládané hodnoty zakázky se zahrne předpokládaná hodnota změn závazků ze smlouvy, jejichž možnost byla vyhrazena v zadávací dokumentaci</w:t>
      </w:r>
      <w:r w:rsidR="00D86222">
        <w:t xml:space="preserve"> podle odstavce B</w:t>
      </w:r>
      <w:r w:rsidR="00184044">
        <w:t>.13.</w:t>
      </w:r>
      <w:r w:rsidR="007C6258">
        <w:t>7</w:t>
      </w:r>
      <w:r w:rsidR="00620932">
        <w:t>.</w:t>
      </w:r>
    </w:p>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lastRenderedPageBreak/>
        <w:t xml:space="preserve">Za střet zájmů se považuje situace, kdy zájmy osob, které: </w:t>
      </w:r>
    </w:p>
    <w:p w14:paraId="4F179252" w14:textId="7D075AA3" w:rsidR="00A15644" w:rsidRPr="009C3481"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05F01E28" w:rsidR="00A15644"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2D33509C" w:rsidR="00A15644" w:rsidRPr="00EC1C3A" w:rsidRDefault="00A15644" w:rsidP="00B36345">
      <w:pPr>
        <w:pStyle w:val="Mjstyl3"/>
        <w:numPr>
          <w:ilvl w:val="3"/>
          <w:numId w:val="40"/>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rsidP="0061668F">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48BD8274" w14:textId="174F5A43" w:rsidR="002A4CF4" w:rsidRDefault="002A4CF4" w:rsidP="00B36345">
      <w:pPr>
        <w:pStyle w:val="Mjstyl3"/>
        <w:numPr>
          <w:ilvl w:val="3"/>
          <w:numId w:val="40"/>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rsidP="00B36345">
      <w:pPr>
        <w:pStyle w:val="Mjstyl3"/>
        <w:numPr>
          <w:ilvl w:val="3"/>
          <w:numId w:val="40"/>
        </w:numPr>
        <w:spacing w:before="240" w:after="240"/>
      </w:pPr>
      <w:r w:rsidRPr="00410DE2">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726E4D" w:rsidR="00A15644"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060CC22A" w14:textId="77777777" w:rsidR="003D4C86" w:rsidRDefault="002A4CF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elektronický nástroj pro podání nabídek, pokud jsou nabídky přijímány elektronicky</w:t>
      </w:r>
      <w:r w:rsidR="003D4C86" w:rsidRPr="124BF840">
        <w:rPr>
          <w:rFonts w:ascii="Arial" w:hAnsi="Arial" w:cs="Arial"/>
          <w:sz w:val="22"/>
          <w:szCs w:val="22"/>
        </w:rPr>
        <w:t>;</w:t>
      </w:r>
    </w:p>
    <w:p w14:paraId="32816661" w14:textId="77777777" w:rsidR="003D4C86" w:rsidRPr="00B05E74" w:rsidRDefault="003D4C86" w:rsidP="00B05E74">
      <w:pPr>
        <w:pStyle w:val="Odstavecseseznamem"/>
        <w:rPr>
          <w:rFonts w:ascii="Arial" w:hAnsi="Arial" w:cs="Arial"/>
          <w:sz w:val="22"/>
          <w:szCs w:val="22"/>
        </w:rPr>
      </w:pPr>
    </w:p>
    <w:p w14:paraId="6FE178D3" w14:textId="1A156C5D" w:rsidR="002A4CF4" w:rsidRPr="000258AE" w:rsidRDefault="003D4C86"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 xml:space="preserve">výhrada změny </w:t>
      </w:r>
      <w:r w:rsidR="00B05E74" w:rsidRPr="124BF840">
        <w:rPr>
          <w:rFonts w:ascii="Arial" w:hAnsi="Arial" w:cs="Arial"/>
          <w:sz w:val="22"/>
          <w:szCs w:val="22"/>
        </w:rPr>
        <w:t>závazku ze smlouvy podle odstavce B.13.</w:t>
      </w:r>
      <w:r w:rsidR="007C6258" w:rsidRPr="124BF840">
        <w:rPr>
          <w:rFonts w:ascii="Arial" w:hAnsi="Arial" w:cs="Arial"/>
          <w:sz w:val="22"/>
          <w:szCs w:val="22"/>
        </w:rPr>
        <w:t>7</w:t>
      </w:r>
      <w:r w:rsidR="00B05E74" w:rsidRPr="124BF840">
        <w:rPr>
          <w:rFonts w:ascii="Arial" w:hAnsi="Arial" w:cs="Arial"/>
          <w:sz w:val="22"/>
          <w:szCs w:val="22"/>
        </w:rPr>
        <w:t>, bude-li tato výhrada využita</w:t>
      </w:r>
      <w:r w:rsidR="002A4CF4" w:rsidRPr="124BF840">
        <w:rPr>
          <w:rFonts w:ascii="Arial" w:hAnsi="Arial" w:cs="Arial"/>
          <w:sz w:val="22"/>
          <w:szCs w:val="22"/>
        </w:rPr>
        <w:t>.</w:t>
      </w: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5E3458D7" w14:textId="586F632A" w:rsidR="00153B8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rsidP="00153B84">
      <w:pPr>
        <w:pStyle w:val="Odstavecseseznamem"/>
        <w:numPr>
          <w:ilvl w:val="0"/>
          <w:numId w:val="82"/>
        </w:numPr>
        <w:tabs>
          <w:tab w:val="left" w:pos="1134"/>
        </w:tabs>
        <w:spacing w:line="240" w:lineRule="atLeast"/>
        <w:jc w:val="both"/>
        <w:rPr>
          <w:rFonts w:ascii="Arial" w:hAnsi="Arial" w:cs="Arial"/>
          <w:sz w:val="22"/>
          <w:szCs w:val="22"/>
        </w:rPr>
      </w:pPr>
      <w:r>
        <w:rPr>
          <w:rFonts w:ascii="Arial" w:hAnsi="Arial" w:cs="Arial"/>
          <w:sz w:val="22"/>
          <w:szCs w:val="22"/>
        </w:rPr>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lastRenderedPageBreak/>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rsidP="00B36345">
      <w:pPr>
        <w:pStyle w:val="Mjstyl3"/>
        <w:numPr>
          <w:ilvl w:val="3"/>
          <w:numId w:val="40"/>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rsidP="00B36345">
      <w:pPr>
        <w:pStyle w:val="Mjstyl3"/>
        <w:numPr>
          <w:ilvl w:val="3"/>
          <w:numId w:val="40"/>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rsidP="00B36345">
      <w:pPr>
        <w:pStyle w:val="Mjstyl3"/>
        <w:numPr>
          <w:ilvl w:val="3"/>
          <w:numId w:val="40"/>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rsidP="00B36345">
      <w:pPr>
        <w:pStyle w:val="Mjstyl3"/>
        <w:numPr>
          <w:ilvl w:val="3"/>
          <w:numId w:val="40"/>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rsidP="00B36345">
      <w:pPr>
        <w:pStyle w:val="Mjstyl3"/>
        <w:numPr>
          <w:ilvl w:val="3"/>
          <w:numId w:val="40"/>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w:t>
      </w:r>
      <w:proofErr w:type="gramStart"/>
      <w:r w:rsidR="00307B9A">
        <w:t>prodlouží</w:t>
      </w:r>
      <w:proofErr w:type="gramEnd"/>
      <w:r w:rsidR="00307B9A">
        <w:t xml:space="preserve">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rsidP="00B36345">
      <w:pPr>
        <w:pStyle w:val="Mjstyl3"/>
        <w:numPr>
          <w:ilvl w:val="3"/>
          <w:numId w:val="40"/>
        </w:numPr>
        <w:spacing w:before="240" w:after="240"/>
      </w:pPr>
      <w:r w:rsidRPr="00371C27">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rsidP="00B36345">
      <w:pPr>
        <w:pStyle w:val="Mjstyl3"/>
        <w:numPr>
          <w:ilvl w:val="3"/>
          <w:numId w:val="40"/>
        </w:numPr>
        <w:spacing w:before="240" w:after="240"/>
      </w:pPr>
      <w:r w:rsidRPr="007258F5">
        <w:lastRenderedPageBreak/>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w:t>
      </w:r>
      <w:proofErr w:type="gramStart"/>
      <w:r w:rsidR="00A15644" w:rsidRPr="00FC6050">
        <w:rPr>
          <w:rFonts w:ascii="Arial" w:hAnsi="Arial" w:cs="Arial"/>
          <w:sz w:val="22"/>
          <w:szCs w:val="22"/>
        </w:rPr>
        <w:t>prodlouží</w:t>
      </w:r>
      <w:proofErr w:type="gramEnd"/>
      <w:r w:rsidR="00A15644" w:rsidRPr="00FC6050">
        <w:rPr>
          <w:rFonts w:ascii="Arial" w:hAnsi="Arial" w:cs="Arial"/>
          <w:sz w:val="22"/>
          <w:szCs w:val="22"/>
        </w:rPr>
        <w:t xml:space="preserve">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w:t>
      </w:r>
      <w:proofErr w:type="gramStart"/>
      <w:r w:rsidR="00A15644" w:rsidRPr="00FC6050">
        <w:rPr>
          <w:rFonts w:ascii="Arial" w:hAnsi="Arial" w:cs="Arial"/>
          <w:sz w:val="22"/>
          <w:szCs w:val="22"/>
        </w:rPr>
        <w:t>prodlouží</w:t>
      </w:r>
      <w:proofErr w:type="gramEnd"/>
      <w:r w:rsidR="00A15644" w:rsidRPr="00FC6050">
        <w:rPr>
          <w:rFonts w:ascii="Arial" w:hAnsi="Arial" w:cs="Arial"/>
          <w:sz w:val="22"/>
          <w:szCs w:val="22"/>
        </w:rPr>
        <w:t xml:space="preserve">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rsidP="00B36345">
      <w:pPr>
        <w:pStyle w:val="Mjstyl3"/>
        <w:numPr>
          <w:ilvl w:val="1"/>
          <w:numId w:val="40"/>
        </w:numPr>
        <w:spacing w:before="240" w:after="240"/>
        <w:rPr>
          <w:b/>
        </w:rPr>
      </w:pPr>
      <w:r w:rsidRPr="002010CA">
        <w:rPr>
          <w:b/>
        </w:rPr>
        <w:t>Jednání o nabídkách</w:t>
      </w:r>
    </w:p>
    <w:p w14:paraId="339D8CFB" w14:textId="611AA81D" w:rsidR="00A15644" w:rsidRPr="003F1DF3" w:rsidRDefault="00A15644">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zadavatel postupuje obdobně podle § 61 odst. 7 a 9</w:t>
      </w:r>
      <w:r w:rsidR="00A82270">
        <w:t xml:space="preserve"> </w:t>
      </w:r>
      <w:r w:rsidR="00062EE4">
        <w:t>až 11 ZZVZ.</w:t>
      </w:r>
    </w:p>
    <w:p w14:paraId="3E364C94" w14:textId="77777777" w:rsidR="00A15644" w:rsidRPr="002010CA" w:rsidRDefault="00A15644" w:rsidP="00B36345">
      <w:pPr>
        <w:pStyle w:val="Mjstyl3"/>
        <w:numPr>
          <w:ilvl w:val="1"/>
          <w:numId w:val="40"/>
        </w:numPr>
        <w:spacing w:before="240" w:after="240"/>
        <w:rPr>
          <w:b/>
        </w:rPr>
      </w:pPr>
      <w:r w:rsidRPr="002010CA">
        <w:rPr>
          <w:b/>
        </w:rPr>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0AEB63BD" w:rsidR="00A15644"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6EB6A08" w:rsidR="00922356" w:rsidRDefault="00A15644" w:rsidP="00B36345">
      <w:pPr>
        <w:pStyle w:val="Mjstyl3"/>
        <w:numPr>
          <w:ilvl w:val="3"/>
          <w:numId w:val="40"/>
        </w:numPr>
        <w:spacing w:before="240" w:after="240"/>
      </w:pPr>
      <w:r w:rsidRPr="002010CA">
        <w:lastRenderedPageBreak/>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t>Zadavatel může vyloučit účastníka pro nezpůsobilost, pokud prokáže, že</w:t>
      </w:r>
    </w:p>
    <w:p w14:paraId="7DB77E32" w14:textId="40874906"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plnění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2DBB9CE2"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lastRenderedPageBreak/>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proofErr w:type="gramStart"/>
      <w:r w:rsidRPr="005A2458">
        <w:rPr>
          <w:b/>
        </w:rPr>
        <w:t>vyloučí</w:t>
      </w:r>
      <w:proofErr w:type="gramEnd"/>
      <w:r w:rsidRPr="005A2458">
        <w:rPr>
          <w:b/>
        </w:rPr>
        <w:t xml:space="preserve">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rsidP="00B36345">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0947584B"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lastRenderedPageBreak/>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rsidP="00B36345">
      <w:pPr>
        <w:pStyle w:val="Mjstyl3"/>
        <w:numPr>
          <w:ilvl w:val="1"/>
          <w:numId w:val="40"/>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97DE98A"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rsidP="0020332F">
      <w:pPr>
        <w:pStyle w:val="Mjstyl3"/>
        <w:numPr>
          <w:ilvl w:val="3"/>
          <w:numId w:val="40"/>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516BC5">
        <w:rPr>
          <w:rFonts w:ascii="Arial" w:hAnsi="Arial" w:cs="Arial"/>
          <w:i/>
          <w:iCs/>
          <w:sz w:val="22"/>
          <w:szCs w:val="22"/>
        </w:rPr>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lastRenderedPageBreak/>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2C42AB96" w:rsidR="00A15644"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2282302B" w14:textId="12FDFA0E"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služeb nebo dodávek </w:t>
      </w:r>
      <w:proofErr w:type="gramStart"/>
      <w:r w:rsidRPr="00C105F5">
        <w:rPr>
          <w:rFonts w:ascii="Arial" w:hAnsi="Arial" w:cs="Arial"/>
          <w:sz w:val="22"/>
          <w:szCs w:val="22"/>
        </w:rPr>
        <w:t>nepřekročí</w:t>
      </w:r>
      <w:proofErr w:type="gramEnd"/>
      <w:r w:rsidRPr="00C105F5">
        <w:rPr>
          <w:rFonts w:ascii="Arial" w:hAnsi="Arial" w:cs="Arial"/>
          <w:sz w:val="22"/>
          <w:szCs w:val="22"/>
        </w:rPr>
        <w:t xml:space="preserve">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32B884B"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14:paraId="68188BAC"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75DCC819" w14:textId="10B32B04"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4485F0A6"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31F56CE8" w14:textId="79D96F22"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w:t>
      </w:r>
      <w:proofErr w:type="gramStart"/>
      <w:r w:rsidRPr="00C105F5">
        <w:rPr>
          <w:rFonts w:ascii="Arial" w:hAnsi="Arial" w:cs="Arial"/>
          <w:sz w:val="22"/>
          <w:szCs w:val="22"/>
        </w:rPr>
        <w:t>nepřekročí</w:t>
      </w:r>
      <w:proofErr w:type="gramEnd"/>
      <w:r w:rsidRPr="00C105F5">
        <w:rPr>
          <w:rFonts w:ascii="Arial" w:hAnsi="Arial" w:cs="Arial"/>
          <w:sz w:val="22"/>
          <w:szCs w:val="22"/>
        </w:rPr>
        <w:t xml:space="preserve"> 50 % původní hodnoty závazku; pokud bude provedeno více změn, je rozhodný součet hodnoty všech změn podle tohoto odstavce. </w:t>
      </w:r>
    </w:p>
    <w:p w14:paraId="6245A759" w14:textId="77777777" w:rsidR="00A45036" w:rsidRPr="00516BC5" w:rsidRDefault="00A45036" w:rsidP="00516BC5">
      <w:pPr>
        <w:tabs>
          <w:tab w:val="left" w:pos="1134"/>
        </w:tabs>
        <w:spacing w:line="240" w:lineRule="atLeast"/>
        <w:ind w:left="851"/>
        <w:jc w:val="both"/>
        <w:rPr>
          <w:rFonts w:ascii="Arial" w:hAnsi="Arial" w:cs="Arial"/>
          <w:sz w:val="22"/>
          <w:szCs w:val="22"/>
        </w:rPr>
      </w:pPr>
    </w:p>
    <w:p w14:paraId="42B6AE43" w14:textId="31FB2976" w:rsidR="00A45036" w:rsidRDefault="00A45036" w:rsidP="00473205">
      <w:pPr>
        <w:pStyle w:val="Mjstyl3"/>
        <w:numPr>
          <w:ilvl w:val="3"/>
          <w:numId w:val="40"/>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82"/>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rsidP="00516BC5">
      <w:pPr>
        <w:pStyle w:val="Odstavecseseznamem"/>
        <w:numPr>
          <w:ilvl w:val="0"/>
          <w:numId w:val="82"/>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59E3B239" w14:textId="70DC5E92" w:rsidR="007C6258" w:rsidRDefault="0088248B" w:rsidP="00B36345">
      <w:pPr>
        <w:pStyle w:val="Mjstyl3"/>
        <w:numPr>
          <w:ilvl w:val="3"/>
          <w:numId w:val="40"/>
        </w:numPr>
        <w:spacing w:before="240" w:after="240"/>
      </w:pPr>
      <w:r>
        <w:t>Za podstatnou změnu závazku ze smlouvy na zakázku se nepovažuje uplatnění vyhrazených změn závazku ze smlouvy na zakázku, pokud jsou podmínky pro tuto změnu a její obsah jednoznačně</w:t>
      </w:r>
      <w:r w:rsidR="00EC043F">
        <w:t xml:space="preserve"> vymezeny a změna nemění celkovou povahu zakázky. Taková změna se může týkat rozsahu dodávek a služeb, </w:t>
      </w:r>
      <w:r w:rsidR="00DF0CA9">
        <w:t>ceny nebo jiných obchodních nebo technických podmínek (může jít např. o inflační doložku).</w:t>
      </w:r>
    </w:p>
    <w:p w14:paraId="2F5FC3A5" w14:textId="18F3BE99" w:rsidR="00A15644" w:rsidRDefault="00A15644" w:rsidP="00B36345">
      <w:pPr>
        <w:pStyle w:val="Mjstyl3"/>
        <w:numPr>
          <w:ilvl w:val="3"/>
          <w:numId w:val="40"/>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791B366E" w14:textId="7D64E5AA" w:rsidR="00822E99" w:rsidRPr="00822E99" w:rsidRDefault="00822E99" w:rsidP="00516BC5">
      <w:pPr>
        <w:jc w:val="both"/>
      </w:pPr>
      <w:r w:rsidRPr="00822E99">
        <w:rPr>
          <w:rFonts w:ascii="Arial" w:hAnsi="Arial" w:cs="Arial"/>
          <w:sz w:val="22"/>
          <w:szCs w:val="22"/>
        </w:rPr>
        <w:t>Bud</w:t>
      </w:r>
      <w:r>
        <w:rPr>
          <w:rFonts w:ascii="Arial" w:hAnsi="Arial" w:cs="Arial"/>
          <w:sz w:val="22"/>
          <w:szCs w:val="22"/>
        </w:rPr>
        <w:t>e</w:t>
      </w:r>
      <w:r w:rsidRPr="00822E99">
        <w:rPr>
          <w:rFonts w:ascii="Arial" w:hAnsi="Arial" w:cs="Arial"/>
          <w:sz w:val="22"/>
          <w:szCs w:val="22"/>
        </w:rPr>
        <w:t xml:space="preserve">-li po </w:t>
      </w:r>
      <w:r>
        <w:rPr>
          <w:rFonts w:ascii="Arial" w:hAnsi="Arial" w:cs="Arial"/>
          <w:sz w:val="22"/>
          <w:szCs w:val="22"/>
        </w:rPr>
        <w:t xml:space="preserve">provedení změn </w:t>
      </w:r>
      <w:r w:rsidR="003746C5">
        <w:rPr>
          <w:rFonts w:ascii="Arial" w:hAnsi="Arial" w:cs="Arial"/>
          <w:sz w:val="22"/>
          <w:szCs w:val="22"/>
        </w:rPr>
        <w:t>závazku ze smlouvy překročen limit předpokládané hodnoty zakázky, který je rov</w:t>
      </w:r>
      <w:r w:rsidR="000F3EAA">
        <w:rPr>
          <w:rFonts w:ascii="Arial" w:hAnsi="Arial" w:cs="Arial"/>
          <w:sz w:val="22"/>
          <w:szCs w:val="22"/>
        </w:rPr>
        <w:t>e</w:t>
      </w:r>
      <w:r w:rsidR="003746C5">
        <w:rPr>
          <w:rFonts w:ascii="Arial" w:hAnsi="Arial" w:cs="Arial"/>
          <w:sz w:val="22"/>
          <w:szCs w:val="22"/>
        </w:rPr>
        <w:t xml:space="preserve">n nebo nižší než 2 000 000 Kč bez DPH je zadavatel povinen dodržet </w:t>
      </w:r>
      <w:r w:rsidR="004E4AE9">
        <w:rPr>
          <w:rFonts w:ascii="Arial" w:hAnsi="Arial" w:cs="Arial"/>
          <w:sz w:val="22"/>
          <w:szCs w:val="22"/>
        </w:rPr>
        <w:br/>
      </w:r>
      <w:r w:rsidR="003746C5">
        <w:rPr>
          <w:rFonts w:ascii="Arial" w:hAnsi="Arial" w:cs="Arial"/>
          <w:sz w:val="22"/>
          <w:szCs w:val="22"/>
        </w:rPr>
        <w:t xml:space="preserve">§ 222 ZZVZ. To neplatí pro příjemce, který není zadavatelem podle § 4 odst. 1 až 3 ZZVZ a zároveň dotace poskytované na danou zakázku není vyšší než 50 % peněžních prostředků. </w:t>
      </w:r>
    </w:p>
    <w:p w14:paraId="07E14FBC" w14:textId="6C860AC8" w:rsidR="00A15644" w:rsidRPr="00EC1C3A" w:rsidRDefault="00A15644" w:rsidP="00B36345">
      <w:pPr>
        <w:pStyle w:val="Mjstyl3"/>
        <w:numPr>
          <w:ilvl w:val="1"/>
          <w:numId w:val="40"/>
        </w:numPr>
        <w:spacing w:before="240" w:after="240"/>
        <w:rPr>
          <w:b/>
        </w:rPr>
      </w:pPr>
      <w:r w:rsidRPr="002010CA">
        <w:rPr>
          <w:b/>
        </w:rPr>
        <w:t>Zrušení výběrového řízení</w:t>
      </w:r>
    </w:p>
    <w:p w14:paraId="01DC91FE" w14:textId="1C51CF00" w:rsidR="004B5B20" w:rsidRDefault="004B5B20" w:rsidP="00B36345">
      <w:pPr>
        <w:pStyle w:val="Mjstyl3"/>
        <w:numPr>
          <w:ilvl w:val="3"/>
          <w:numId w:val="40"/>
        </w:numPr>
        <w:spacing w:before="240" w:after="240"/>
      </w:pPr>
      <w:r>
        <w:t xml:space="preserve">Zadavatel </w:t>
      </w:r>
      <w:proofErr w:type="gramStart"/>
      <w:r>
        <w:t>zruší</w:t>
      </w:r>
      <w:proofErr w:type="gramEnd"/>
      <w:r>
        <w:t xml:space="preserve"> výběrové řízení, pokud po uplynutí lhůty pro podání nabídky ve výběrovém řízení není žádný účastník.</w:t>
      </w:r>
    </w:p>
    <w:p w14:paraId="69BC9B03" w14:textId="00FCEB53" w:rsidR="00A15644" w:rsidRPr="00EC1C3A" w:rsidRDefault="00A15644" w:rsidP="00B36345">
      <w:pPr>
        <w:pStyle w:val="Mjstyl3"/>
        <w:numPr>
          <w:ilvl w:val="3"/>
          <w:numId w:val="40"/>
        </w:numPr>
        <w:spacing w:before="240" w:after="240"/>
      </w:pPr>
      <w:r w:rsidRPr="00EC1C3A">
        <w:lastRenderedPageBreak/>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14:paraId="613DFE04" w14:textId="0EA68BFB"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rsidP="00B36345">
      <w:pPr>
        <w:pStyle w:val="Mjstyl3"/>
        <w:numPr>
          <w:ilvl w:val="1"/>
          <w:numId w:val="40"/>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proofErr w:type="gramStart"/>
      <w:r>
        <w:t>předlož</w:t>
      </w:r>
      <w:r w:rsidR="00D328E3">
        <w:t>í</w:t>
      </w:r>
      <w:proofErr w:type="gramEnd"/>
      <w:r w:rsidR="00D328E3">
        <w:t xml:space="preserve">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rsidP="00D328E3">
      <w:pPr>
        <w:pStyle w:val="Odstavecseseznamem"/>
        <w:numPr>
          <w:ilvl w:val="1"/>
          <w:numId w:val="40"/>
        </w:numPr>
        <w:spacing w:line="240" w:lineRule="atLeast"/>
        <w:jc w:val="both"/>
        <w:rPr>
          <w:rFonts w:ascii="Arial" w:hAnsi="Arial" w:cs="Arial"/>
          <w:b/>
          <w:bCs/>
          <w:sz w:val="22"/>
          <w:szCs w:val="22"/>
        </w:rPr>
      </w:pPr>
      <w:r w:rsidRPr="0044516C">
        <w:rPr>
          <w:rFonts w:ascii="Arial" w:hAnsi="Arial" w:cs="Arial"/>
          <w:sz w:val="22"/>
          <w:szCs w:val="22"/>
        </w:rPr>
        <w:t xml:space="preserve">Příjemce před zasláním podkladů k posouzení </w:t>
      </w:r>
      <w:proofErr w:type="gramStart"/>
      <w:r w:rsidRPr="0044516C">
        <w:rPr>
          <w:rFonts w:ascii="Arial" w:hAnsi="Arial" w:cs="Arial"/>
          <w:sz w:val="22"/>
          <w:szCs w:val="22"/>
        </w:rPr>
        <w:t>založí</w:t>
      </w:r>
      <w:proofErr w:type="gramEnd"/>
      <w:r w:rsidRPr="0044516C">
        <w:rPr>
          <w:rFonts w:ascii="Arial" w:hAnsi="Arial" w:cs="Arial"/>
          <w:sz w:val="22"/>
          <w:szCs w:val="22"/>
        </w:rPr>
        <w:t xml:space="preserve">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Bez založení a podání zakázky 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lastRenderedPageBreak/>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 xml:space="preserve">nistrativního ověření) </w:t>
      </w:r>
      <w:proofErr w:type="gramStart"/>
      <w:r>
        <w:rPr>
          <w:rFonts w:ascii="Arial" w:hAnsi="Arial" w:cs="Arial"/>
          <w:sz w:val="22"/>
          <w:szCs w:val="22"/>
        </w:rPr>
        <w:t>předloží</w:t>
      </w:r>
      <w:proofErr w:type="gramEnd"/>
      <w:r>
        <w:rPr>
          <w:rFonts w:ascii="Arial" w:hAnsi="Arial" w:cs="Arial"/>
          <w:sz w:val="22"/>
          <w:szCs w:val="22"/>
        </w:rPr>
        <w:t xml:space="preserve">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rsidP="00155A63">
      <w:pPr>
        <w:pStyle w:val="Odstavecseseznamem"/>
        <w:numPr>
          <w:ilvl w:val="1"/>
          <w:numId w:val="40"/>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rsidP="285A8EE4">
      <w:pPr>
        <w:pStyle w:val="Mjstyl3"/>
        <w:numPr>
          <w:ilvl w:val="1"/>
          <w:numId w:val="40"/>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proofErr w:type="gramStart"/>
      <w:r w:rsidRPr="009177C0">
        <w:t>předlož</w:t>
      </w:r>
      <w:r w:rsidR="00871A7F">
        <w:t>í</w:t>
      </w:r>
      <w:proofErr w:type="gramEnd"/>
      <w:r w:rsidR="00871A7F">
        <w:t xml:space="preserve">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lastRenderedPageBreak/>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rsidP="00592940">
      <w:pPr>
        <w:pStyle w:val="Odstavecseseznamem"/>
        <w:numPr>
          <w:ilvl w:val="1"/>
          <w:numId w:val="40"/>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rsidP="00B36345">
      <w:pPr>
        <w:pStyle w:val="Mjstyl3"/>
        <w:numPr>
          <w:ilvl w:val="1"/>
          <w:numId w:val="40"/>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w:t>
      </w:r>
      <w:proofErr w:type="gramStart"/>
      <w:r w:rsidR="00AE13FB">
        <w:t>předloží</w:t>
      </w:r>
      <w:proofErr w:type="gramEnd"/>
      <w:r w:rsidR="00AE13FB">
        <w:t xml:space="preserve">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w:t>
      </w:r>
      <w:r w:rsidRPr="00C91409">
        <w:rPr>
          <w:rFonts w:ascii="Arial" w:hAnsi="Arial" w:cs="Arial"/>
          <w:sz w:val="22"/>
          <w:szCs w:val="22"/>
        </w:rPr>
        <w:lastRenderedPageBreak/>
        <w:t xml:space="preserve">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rsidP="285A8EE4">
      <w:pPr>
        <w:pStyle w:val="Odstavecseseznamem"/>
        <w:widowControl w:val="0"/>
        <w:numPr>
          <w:ilvl w:val="0"/>
          <w:numId w:val="42"/>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rsidP="00B36345">
      <w:pPr>
        <w:pStyle w:val="Mjstyl3"/>
        <w:numPr>
          <w:ilvl w:val="1"/>
          <w:numId w:val="40"/>
        </w:numPr>
        <w:spacing w:before="240" w:after="240"/>
      </w:pPr>
      <w:r w:rsidRPr="00BD4D43">
        <w:lastRenderedPageBreak/>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w:t>
      </w:r>
      <w:proofErr w:type="gramStart"/>
      <w:r w:rsidRPr="009177C0">
        <w:t>předlož</w:t>
      </w:r>
      <w:r w:rsidR="003E7C6A">
        <w:t>í</w:t>
      </w:r>
      <w:proofErr w:type="gramEnd"/>
      <w:r w:rsidR="003E7C6A">
        <w:t xml:space="preserve">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rsidP="00B36345">
      <w:pPr>
        <w:pStyle w:val="Mjstyl3"/>
        <w:numPr>
          <w:ilvl w:val="1"/>
          <w:numId w:val="40"/>
        </w:numPr>
        <w:spacing w:before="240" w:after="240"/>
      </w:pPr>
      <w:r>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w:t>
      </w:r>
      <w:proofErr w:type="spellStart"/>
      <w:r>
        <w:t>minitendr</w:t>
      </w:r>
      <w:proofErr w:type="spellEnd"/>
      <w:r>
        <w:t xml:space="preserve">) </w:t>
      </w:r>
      <w:r w:rsidR="00423E5F">
        <w:t xml:space="preserve">postupuje příjemce analogicky pro každou dílčí zakázku. V Modulu veřejných zakázek </w:t>
      </w:r>
      <w:proofErr w:type="gramStart"/>
      <w:r w:rsidR="00423E5F">
        <w:t>založí</w:t>
      </w:r>
      <w:proofErr w:type="gramEnd"/>
      <w:r w:rsidR="00423E5F">
        <w:t xml:space="preserve">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w:t>
      </w:r>
      <w:proofErr w:type="gramStart"/>
      <w:r w:rsidRPr="009177C0">
        <w:rPr>
          <w:rFonts w:ascii="Arial" w:hAnsi="Arial" w:cs="Arial"/>
          <w:i/>
          <w:sz w:val="22"/>
          <w:szCs w:val="22"/>
        </w:rPr>
        <w:t>předloží</w:t>
      </w:r>
      <w:proofErr w:type="gramEnd"/>
      <w:r w:rsidRPr="009177C0">
        <w:rPr>
          <w:rFonts w:ascii="Arial" w:hAnsi="Arial" w:cs="Arial"/>
          <w:i/>
          <w:sz w:val="22"/>
          <w:szCs w:val="22"/>
        </w:rPr>
        <w:t xml:space="preserve">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rsidP="00155A63">
      <w:pPr>
        <w:pStyle w:val="Odstavecseseznamem"/>
        <w:widowControl w:val="0"/>
        <w:numPr>
          <w:ilvl w:val="1"/>
          <w:numId w:val="40"/>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70AE5E5C" w:rsidR="009177C0" w:rsidRPr="009177C0" w:rsidRDefault="009177C0" w:rsidP="00B36345">
      <w:pPr>
        <w:pStyle w:val="Mjstyl3"/>
        <w:numPr>
          <w:ilvl w:val="1"/>
          <w:numId w:val="40"/>
        </w:numPr>
        <w:spacing w:before="240" w:after="240"/>
      </w:pPr>
      <w:r>
        <w:t xml:space="preserve">U projektů, v nichž výběrové řízení bylo zahájeno či ukončeno </w:t>
      </w:r>
      <w:r w:rsidRPr="124BF840">
        <w:rPr>
          <w:b/>
          <w:bCs/>
        </w:rPr>
        <w:t>před vydáním Rozhodnutí/Stanovení výdajů/Dopisu</w:t>
      </w:r>
      <w:r>
        <w:t xml:space="preserve">, je </w:t>
      </w:r>
      <w:r w:rsidR="005B5099">
        <w:t xml:space="preserve">příjemce </w:t>
      </w:r>
      <w:r>
        <w:t xml:space="preserve">povinen </w:t>
      </w:r>
      <w:r w:rsidR="005B5099">
        <w:t>postupovat analogicky jako pro I.- III. fázi administrativního ověření</w:t>
      </w:r>
      <w:r w:rsidR="00395006">
        <w:t xml:space="preserve">. </w:t>
      </w:r>
      <w:r w:rsidR="005B5099">
        <w:t xml:space="preserve"> a</w:t>
      </w:r>
      <w:r>
        <w:t xml:space="preserve"> předložit </w:t>
      </w:r>
      <w:r w:rsidR="00395006">
        <w:t xml:space="preserve">dokumentaci k zadávacímu řízení v dostatečném časovém předstihu, aby její ověření bylo dokončeno před schválením ŽoP, v níž příjemce žádá o proplacení výdaje spojeného s daným ZŘ. </w:t>
      </w:r>
    </w:p>
    <w:p w14:paraId="6B64613E" w14:textId="3A5774E9" w:rsidR="00C6409C" w:rsidRPr="002E2407" w:rsidRDefault="009177C0" w:rsidP="00155A63">
      <w:pPr>
        <w:pStyle w:val="Mjstyl3"/>
        <w:numPr>
          <w:ilvl w:val="1"/>
          <w:numId w:val="40"/>
        </w:numPr>
        <w:spacing w:before="240" w:after="240"/>
      </w:pPr>
      <w:r>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w:t>
      </w:r>
      <w:proofErr w:type="gramStart"/>
      <w:r w:rsidR="0053780B">
        <w:t>založí</w:t>
      </w:r>
      <w:proofErr w:type="gramEnd"/>
      <w:r w:rsidR="0053780B">
        <w:t xml:space="preserve"> příjemce zakázku postupem dle bodu </w:t>
      </w:r>
      <w:r w:rsidR="00FF45D0">
        <w:t>B.</w:t>
      </w:r>
      <w:r w:rsidR="005C6842">
        <w:t>17</w:t>
      </w:r>
      <w:r w:rsidR="0053780B">
        <w:t xml:space="preserve">. a </w:t>
      </w:r>
      <w:r w:rsidR="00B90890">
        <w:t xml:space="preserve">vloží veškerou dokumentaci k výběrovému řízení </w:t>
      </w:r>
      <w:r w:rsidR="00B90890">
        <w:lastRenderedPageBreak/>
        <w:t xml:space="preserve">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rsidP="00B36345">
      <w:pPr>
        <w:pStyle w:val="Mjstyl3"/>
        <w:numPr>
          <w:ilvl w:val="1"/>
          <w:numId w:val="40"/>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 řízení.</w:t>
      </w:r>
      <w:r w:rsidR="00B80B93">
        <w:t xml:space="preserve"> </w:t>
      </w:r>
    </w:p>
    <w:p w14:paraId="179403B8" w14:textId="296AE6D1" w:rsidR="0022757A" w:rsidRPr="00431CCB" w:rsidRDefault="006D7058" w:rsidP="00B36345">
      <w:pPr>
        <w:pStyle w:val="Mjstyl3"/>
        <w:numPr>
          <w:ilvl w:val="1"/>
          <w:numId w:val="40"/>
        </w:numPr>
        <w:spacing w:before="240" w:after="240"/>
      </w:pPr>
      <w:r w:rsidRPr="124BF840">
        <w:rPr>
          <w:b/>
          <w:bCs/>
        </w:rPr>
        <w:t>U zakáz</w:t>
      </w:r>
      <w:r w:rsidR="00097E1C" w:rsidRPr="124BF840">
        <w:rPr>
          <w:b/>
          <w:bCs/>
        </w:rPr>
        <w:t>ek</w:t>
      </w:r>
      <w:r w:rsidR="005939B9" w:rsidRPr="124BF840">
        <w:rPr>
          <w:b/>
          <w:bCs/>
        </w:rPr>
        <w:t xml:space="preserve">, jejichž předpokládaná hodnota je </w:t>
      </w:r>
      <w:r w:rsidR="00C114A0" w:rsidRPr="124BF840">
        <w:rPr>
          <w:b/>
          <w:bCs/>
        </w:rPr>
        <w:t xml:space="preserve">rovna nebo </w:t>
      </w:r>
      <w:r w:rsidR="005939B9" w:rsidRPr="124BF840">
        <w:rPr>
          <w:b/>
          <w:bCs/>
        </w:rPr>
        <w:t>nižší než</w:t>
      </w:r>
      <w:r w:rsidR="00873596" w:rsidRPr="124BF840">
        <w:rPr>
          <w:b/>
          <w:bCs/>
        </w:rPr>
        <w:t xml:space="preserve"> </w:t>
      </w:r>
      <w:r w:rsidR="00C61581" w:rsidRPr="124BF840">
        <w:rPr>
          <w:b/>
          <w:bCs/>
        </w:rPr>
        <w:t>5</w:t>
      </w:r>
      <w:r w:rsidR="005939B9" w:rsidRPr="124BF840">
        <w:rPr>
          <w:b/>
          <w:bCs/>
        </w:rPr>
        <w:t>00 000,- Kč bez DPH a u zakázek hrazených z paušálních výdajů</w:t>
      </w:r>
      <w:r w:rsidR="00636C1D" w:rsidRPr="124BF840">
        <w:rPr>
          <w:b/>
          <w:bCs/>
        </w:rPr>
        <w:t>,</w:t>
      </w:r>
      <w:r w:rsidR="005939B9" w:rsidRPr="124BF840">
        <w:rPr>
          <w:b/>
          <w:bCs/>
        </w:rPr>
        <w:t xml:space="preserve"> </w:t>
      </w:r>
      <w:r w:rsidRPr="124BF840">
        <w:rPr>
          <w:b/>
          <w:bCs/>
        </w:rPr>
        <w:t>je příjemce povinen</w:t>
      </w:r>
      <w:r w:rsidR="00085409" w:rsidRPr="124BF840">
        <w:rPr>
          <w:b/>
          <w:bCs/>
        </w:rPr>
        <w:t xml:space="preserve"> postupovat dle Přílohy č. </w:t>
      </w:r>
      <w:r w:rsidR="00431CCB" w:rsidRPr="124BF840">
        <w:rPr>
          <w:b/>
          <w:bCs/>
        </w:rPr>
        <w:t>7</w:t>
      </w:r>
      <w:r w:rsidR="00085409" w:rsidRPr="124BF840">
        <w:rPr>
          <w:b/>
          <w:bCs/>
        </w:rPr>
        <w:t xml:space="preserve"> PŽP.</w:t>
      </w:r>
      <w:r w:rsidRPr="124BF840">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7407127D" w:rsidR="00EF7956" w:rsidRPr="00420B94" w:rsidRDefault="00EF7956" w:rsidP="00420B94">
      <w:pPr>
        <w:pStyle w:val="Zkladntext"/>
        <w:jc w:val="both"/>
        <w:rPr>
          <w:rFonts w:ascii="Arial" w:hAnsi="Arial" w:cs="Arial"/>
          <w:sz w:val="22"/>
          <w:szCs w:val="22"/>
        </w:rPr>
      </w:pPr>
      <w:r w:rsidRPr="00516BC5">
        <w:rPr>
          <w:rFonts w:ascii="Arial" w:hAnsi="Arial" w:cs="Arial"/>
          <w:sz w:val="22"/>
          <w:szCs w:val="22"/>
        </w:rPr>
        <w:t xml:space="preserve">Finanční oprava bude stanovena procentuální sazbou </w:t>
      </w:r>
      <w:r w:rsidR="001C1CAD" w:rsidRPr="00516BC5">
        <w:rPr>
          <w:rFonts w:ascii="Arial" w:hAnsi="Arial" w:cs="Arial"/>
          <w:sz w:val="22"/>
          <w:szCs w:val="22"/>
        </w:rPr>
        <w:t>po</w:t>
      </w:r>
      <w:r w:rsidRPr="00516BC5">
        <w:rPr>
          <w:rFonts w:ascii="Arial" w:hAnsi="Arial" w:cs="Arial"/>
          <w:sz w:val="22"/>
          <w:szCs w:val="22"/>
        </w:rPr>
        <w:t>dle této přílohy části C</w:t>
      </w:r>
      <w:proofErr w:type="gramStart"/>
      <w:r w:rsidRPr="00516BC5">
        <w:rPr>
          <w:rFonts w:ascii="Arial" w:hAnsi="Arial" w:cs="Arial"/>
          <w:sz w:val="22"/>
          <w:szCs w:val="22"/>
        </w:rPr>
        <w:t>1</w:t>
      </w:r>
      <w:r w:rsidR="005D0580">
        <w:rPr>
          <w:rFonts w:ascii="Arial" w:hAnsi="Arial" w:cs="Arial"/>
          <w:sz w:val="22"/>
          <w:szCs w:val="22"/>
        </w:rPr>
        <w:t>.</w:t>
      </w:r>
      <w:r w:rsidRPr="00516BC5">
        <w:rPr>
          <w:rFonts w:ascii="Arial" w:hAnsi="Arial" w:cs="Arial"/>
          <w:sz w:val="22"/>
          <w:szCs w:val="22"/>
        </w:rPr>
        <w:t>.</w:t>
      </w:r>
      <w:proofErr w:type="gramEnd"/>
      <w:r w:rsidRPr="00420B94">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6"/>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39F55910" w14:textId="3C600118" w:rsidR="124BF840" w:rsidRDefault="124BF840" w:rsidP="124BF840">
      <w:pPr>
        <w:rPr>
          <w:rFonts w:ascii="Arial" w:hAnsi="Arial" w:cs="Arial"/>
          <w:b/>
          <w:bCs/>
          <w:sz w:val="22"/>
          <w:szCs w:val="22"/>
        </w:rPr>
      </w:pPr>
    </w:p>
    <w:p w14:paraId="77D310E1" w14:textId="72559E12" w:rsidR="124BF840" w:rsidRDefault="124BF840" w:rsidP="124BF840">
      <w:pPr>
        <w:rPr>
          <w:rFonts w:ascii="Arial" w:hAnsi="Arial" w:cs="Arial"/>
          <w:b/>
          <w:bCs/>
          <w:sz w:val="22"/>
          <w:szCs w:val="22"/>
        </w:rPr>
      </w:pPr>
    </w:p>
    <w:p w14:paraId="4AFECD7F" w14:textId="0AE8F547" w:rsidR="3E3B04D9" w:rsidRDefault="3E3B04D9" w:rsidP="00DC49C0">
      <w:pPr>
        <w:tabs>
          <w:tab w:val="left" w:pos="5387"/>
        </w:tabs>
        <w:spacing w:after="120" w:line="259" w:lineRule="auto"/>
        <w:ind w:left="567" w:hanging="567"/>
        <w:jc w:val="both"/>
        <w:rPr>
          <w:rFonts w:ascii="Arial" w:hAnsi="Arial" w:cs="Arial"/>
          <w:b/>
          <w:bCs/>
          <w:sz w:val="22"/>
          <w:szCs w:val="22"/>
        </w:rPr>
      </w:pPr>
      <w:r w:rsidRPr="124BF840">
        <w:rPr>
          <w:rFonts w:ascii="Arial" w:hAnsi="Arial" w:cs="Arial"/>
          <w:b/>
          <w:bCs/>
          <w:sz w:val="22"/>
          <w:szCs w:val="22"/>
        </w:rPr>
        <w:t>C.</w:t>
      </w:r>
      <w:r w:rsidR="003432A2" w:rsidRPr="124BF840">
        <w:rPr>
          <w:rFonts w:ascii="Arial" w:hAnsi="Arial" w:cs="Arial"/>
          <w:b/>
          <w:bCs/>
          <w:sz w:val="22"/>
          <w:szCs w:val="22"/>
        </w:rPr>
        <w:t>2</w:t>
      </w:r>
      <w:r w:rsidRPr="124BF840">
        <w:rPr>
          <w:rFonts w:ascii="Arial" w:hAnsi="Arial" w:cs="Arial"/>
          <w:b/>
          <w:bCs/>
          <w:sz w:val="22"/>
          <w:szCs w:val="22"/>
        </w:rPr>
        <w:t xml:space="preserve"> </w:t>
      </w:r>
      <w:r w:rsidR="004503EB" w:rsidRPr="124BF840">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86B9" w14:textId="77777777" w:rsidR="005452B7" w:rsidRDefault="005452B7">
      <w:r>
        <w:separator/>
      </w:r>
    </w:p>
  </w:endnote>
  <w:endnote w:type="continuationSeparator" w:id="0">
    <w:p w14:paraId="74731698" w14:textId="77777777" w:rsidR="005452B7" w:rsidRDefault="005452B7">
      <w:r>
        <w:continuationSeparator/>
      </w:r>
    </w:p>
  </w:endnote>
  <w:endnote w:type="continuationNotice" w:id="1">
    <w:p w14:paraId="1277DDA4" w14:textId="77777777" w:rsidR="005452B7" w:rsidRDefault="00545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A975" w14:textId="77777777" w:rsidR="00DA3C01" w:rsidRDefault="00DA3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612A" w14:textId="77777777" w:rsidR="005452B7" w:rsidRDefault="005452B7">
      <w:r>
        <w:separator/>
      </w:r>
    </w:p>
  </w:footnote>
  <w:footnote w:type="continuationSeparator" w:id="0">
    <w:p w14:paraId="4F52BBB6" w14:textId="77777777" w:rsidR="005452B7" w:rsidRDefault="005452B7">
      <w:r>
        <w:continuationSeparator/>
      </w:r>
    </w:p>
  </w:footnote>
  <w:footnote w:type="continuationNotice" w:id="1">
    <w:p w14:paraId="4FBB8F28" w14:textId="77777777" w:rsidR="005452B7" w:rsidRDefault="005452B7"/>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08EECC2D" w:rsidR="00980240" w:rsidRDefault="009802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38D93AC8" w:rsidR="00980240" w:rsidRDefault="009802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5"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8"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9"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0"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1"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2"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4"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2"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4"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6"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8"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9"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0"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2"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3"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4"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5"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7"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39"/>
  </w:num>
  <w:num w:numId="3">
    <w:abstractNumId w:val="32"/>
  </w:num>
  <w:num w:numId="4">
    <w:abstractNumId w:val="20"/>
  </w:num>
  <w:num w:numId="5">
    <w:abstractNumId w:val="18"/>
  </w:num>
  <w:num w:numId="6">
    <w:abstractNumId w:val="51"/>
  </w:num>
  <w:num w:numId="7">
    <w:abstractNumId w:val="75"/>
  </w:num>
  <w:num w:numId="8">
    <w:abstractNumId w:val="1"/>
  </w:num>
  <w:num w:numId="9">
    <w:abstractNumId w:val="65"/>
  </w:num>
  <w:num w:numId="10">
    <w:abstractNumId w:val="73"/>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7"/>
  </w:num>
  <w:num w:numId="19">
    <w:abstractNumId w:val="17"/>
  </w:num>
  <w:num w:numId="20">
    <w:abstractNumId w:val="15"/>
  </w:num>
  <w:num w:numId="21">
    <w:abstractNumId w:val="16"/>
  </w:num>
  <w:num w:numId="22">
    <w:abstractNumId w:val="57"/>
  </w:num>
  <w:num w:numId="23">
    <w:abstractNumId w:val="47"/>
  </w:num>
  <w:num w:numId="24">
    <w:abstractNumId w:val="62"/>
  </w:num>
  <w:num w:numId="25">
    <w:abstractNumId w:val="60"/>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9"/>
  </w:num>
  <w:num w:numId="30">
    <w:abstractNumId w:val="27"/>
  </w:num>
  <w:num w:numId="31">
    <w:abstractNumId w:val="55"/>
  </w:num>
  <w:num w:numId="32">
    <w:abstractNumId w:val="42"/>
  </w:num>
  <w:num w:numId="33">
    <w:abstractNumId w:val="72"/>
  </w:num>
  <w:num w:numId="34">
    <w:abstractNumId w:val="21"/>
  </w:num>
  <w:num w:numId="35">
    <w:abstractNumId w:val="30"/>
  </w:num>
  <w:num w:numId="36">
    <w:abstractNumId w:val="43"/>
  </w:num>
  <w:num w:numId="37">
    <w:abstractNumId w:val="66"/>
  </w:num>
  <w:num w:numId="38">
    <w:abstractNumId w:val="19"/>
  </w:num>
  <w:num w:numId="39">
    <w:abstractNumId w:val="49"/>
  </w:num>
  <w:num w:numId="40">
    <w:abstractNumId w:val="4"/>
  </w:num>
  <w:num w:numId="41">
    <w:abstractNumId w:val="76"/>
  </w:num>
  <w:num w:numId="42">
    <w:abstractNumId w:val="64"/>
  </w:num>
  <w:num w:numId="43">
    <w:abstractNumId w:val="63"/>
  </w:num>
  <w:num w:numId="44">
    <w:abstractNumId w:val="7"/>
  </w:num>
  <w:num w:numId="45">
    <w:abstractNumId w:val="45"/>
  </w:num>
  <w:num w:numId="46">
    <w:abstractNumId w:val="53"/>
  </w:num>
  <w:num w:numId="47">
    <w:abstractNumId w:val="50"/>
  </w:num>
  <w:num w:numId="48">
    <w:abstractNumId w:val="74"/>
  </w:num>
  <w:num w:numId="49">
    <w:abstractNumId w:val="29"/>
  </w:num>
  <w:num w:numId="50">
    <w:abstractNumId w:val="5"/>
  </w:num>
  <w:num w:numId="51">
    <w:abstractNumId w:val="48"/>
  </w:num>
  <w:num w:numId="52">
    <w:abstractNumId w:val="38"/>
  </w:num>
  <w:num w:numId="53">
    <w:abstractNumId w:val="12"/>
  </w:num>
  <w:num w:numId="54">
    <w:abstractNumId w:val="46"/>
  </w:num>
  <w:num w:numId="55">
    <w:abstractNumId w:val="11"/>
  </w:num>
  <w:num w:numId="56">
    <w:abstractNumId w:val="35"/>
  </w:num>
  <w:num w:numId="57">
    <w:abstractNumId w:val="25"/>
  </w:num>
  <w:num w:numId="58">
    <w:abstractNumId w:val="71"/>
  </w:num>
  <w:num w:numId="59">
    <w:abstractNumId w:val="77"/>
  </w:num>
  <w:num w:numId="60">
    <w:abstractNumId w:val="31"/>
  </w:num>
  <w:num w:numId="61">
    <w:abstractNumId w:val="10"/>
  </w:num>
  <w:num w:numId="62">
    <w:abstractNumId w:val="28"/>
  </w:num>
  <w:num w:numId="63">
    <w:abstractNumId w:val="37"/>
  </w:num>
  <w:num w:numId="64">
    <w:abstractNumId w:val="34"/>
  </w:num>
  <w:num w:numId="65">
    <w:abstractNumId w:val="68"/>
  </w:num>
  <w:num w:numId="66">
    <w:abstractNumId w:val="36"/>
  </w:num>
  <w:num w:numId="67">
    <w:abstractNumId w:val="58"/>
  </w:num>
  <w:num w:numId="68">
    <w:abstractNumId w:val="54"/>
  </w:num>
  <w:num w:numId="69">
    <w:abstractNumId w:val="24"/>
  </w:num>
  <w:num w:numId="70">
    <w:abstractNumId w:val="52"/>
  </w:num>
  <w:num w:numId="71">
    <w:abstractNumId w:val="61"/>
  </w:num>
  <w:num w:numId="72">
    <w:abstractNumId w:val="26"/>
  </w:num>
  <w:num w:numId="73">
    <w:abstractNumId w:val="59"/>
  </w:num>
  <w:num w:numId="74">
    <w:abstractNumId w:val="70"/>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6"/>
  </w:num>
  <w:num w:numId="79">
    <w:abstractNumId w:val="49"/>
  </w:num>
  <w:num w:numId="80">
    <w:abstractNumId w:val="49"/>
  </w:num>
  <w:num w:numId="81">
    <w:abstractNumId w:val="41"/>
  </w:num>
  <w:num w:numId="82">
    <w:abstractNumId w:val="44"/>
  </w:num>
  <w:num w:numId="83">
    <w:abstractNumId w:val="4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4A29"/>
    <w:rsid w:val="0001519B"/>
    <w:rsid w:val="000175C5"/>
    <w:rsid w:val="00020A81"/>
    <w:rsid w:val="0002409B"/>
    <w:rsid w:val="000252E9"/>
    <w:rsid w:val="000258AE"/>
    <w:rsid w:val="00027CE3"/>
    <w:rsid w:val="00030EEE"/>
    <w:rsid w:val="00032CA2"/>
    <w:rsid w:val="000405FC"/>
    <w:rsid w:val="0004220A"/>
    <w:rsid w:val="00043CC0"/>
    <w:rsid w:val="00047096"/>
    <w:rsid w:val="00047780"/>
    <w:rsid w:val="00050CB7"/>
    <w:rsid w:val="000531BC"/>
    <w:rsid w:val="00053624"/>
    <w:rsid w:val="000559B1"/>
    <w:rsid w:val="00060749"/>
    <w:rsid w:val="00061222"/>
    <w:rsid w:val="00062EE4"/>
    <w:rsid w:val="0006434D"/>
    <w:rsid w:val="00064C7B"/>
    <w:rsid w:val="00070C1A"/>
    <w:rsid w:val="00071451"/>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21D7"/>
    <w:rsid w:val="000F089F"/>
    <w:rsid w:val="000F104D"/>
    <w:rsid w:val="000F12A6"/>
    <w:rsid w:val="000F3375"/>
    <w:rsid w:val="000F34A3"/>
    <w:rsid w:val="000F3EAA"/>
    <w:rsid w:val="000F5A4C"/>
    <w:rsid w:val="000F7CB4"/>
    <w:rsid w:val="00100094"/>
    <w:rsid w:val="00100C0F"/>
    <w:rsid w:val="001010D5"/>
    <w:rsid w:val="00102F54"/>
    <w:rsid w:val="001056DA"/>
    <w:rsid w:val="00106714"/>
    <w:rsid w:val="001071DA"/>
    <w:rsid w:val="00107528"/>
    <w:rsid w:val="00113215"/>
    <w:rsid w:val="001141AB"/>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49AD"/>
    <w:rsid w:val="001E6147"/>
    <w:rsid w:val="001E63CF"/>
    <w:rsid w:val="001E67F8"/>
    <w:rsid w:val="001E752A"/>
    <w:rsid w:val="001F182A"/>
    <w:rsid w:val="001F1878"/>
    <w:rsid w:val="001F2963"/>
    <w:rsid w:val="001F48A5"/>
    <w:rsid w:val="001F6680"/>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D1D"/>
    <w:rsid w:val="00263522"/>
    <w:rsid w:val="002655E5"/>
    <w:rsid w:val="00274489"/>
    <w:rsid w:val="00274E32"/>
    <w:rsid w:val="00280B97"/>
    <w:rsid w:val="00280D66"/>
    <w:rsid w:val="00281DA1"/>
    <w:rsid w:val="00281DB4"/>
    <w:rsid w:val="00282954"/>
    <w:rsid w:val="0028370B"/>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9DF"/>
    <w:rsid w:val="003E5635"/>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2F13"/>
    <w:rsid w:val="0044516C"/>
    <w:rsid w:val="00446D74"/>
    <w:rsid w:val="004477EE"/>
    <w:rsid w:val="004479E8"/>
    <w:rsid w:val="004503EB"/>
    <w:rsid w:val="00451186"/>
    <w:rsid w:val="00452B4E"/>
    <w:rsid w:val="00454231"/>
    <w:rsid w:val="0045744B"/>
    <w:rsid w:val="00457628"/>
    <w:rsid w:val="004612A8"/>
    <w:rsid w:val="00461D6F"/>
    <w:rsid w:val="00464A23"/>
    <w:rsid w:val="00464AE9"/>
    <w:rsid w:val="004702EB"/>
    <w:rsid w:val="00470A98"/>
    <w:rsid w:val="0047169A"/>
    <w:rsid w:val="004726E3"/>
    <w:rsid w:val="00473205"/>
    <w:rsid w:val="004737C1"/>
    <w:rsid w:val="00475431"/>
    <w:rsid w:val="004756EF"/>
    <w:rsid w:val="0048101C"/>
    <w:rsid w:val="00481B25"/>
    <w:rsid w:val="00483FAB"/>
    <w:rsid w:val="00487A77"/>
    <w:rsid w:val="004911BA"/>
    <w:rsid w:val="00492950"/>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531B"/>
    <w:rsid w:val="004D759A"/>
    <w:rsid w:val="004E14DF"/>
    <w:rsid w:val="004E4AE9"/>
    <w:rsid w:val="004E4F94"/>
    <w:rsid w:val="004E5AF7"/>
    <w:rsid w:val="004E7263"/>
    <w:rsid w:val="004F2675"/>
    <w:rsid w:val="004F4E1F"/>
    <w:rsid w:val="004F5342"/>
    <w:rsid w:val="004F69D5"/>
    <w:rsid w:val="00501941"/>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2B7"/>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842"/>
    <w:rsid w:val="005D0580"/>
    <w:rsid w:val="005D06F6"/>
    <w:rsid w:val="005D3DFC"/>
    <w:rsid w:val="005D4F99"/>
    <w:rsid w:val="005D5F7B"/>
    <w:rsid w:val="005E014E"/>
    <w:rsid w:val="005E2BCC"/>
    <w:rsid w:val="005E375C"/>
    <w:rsid w:val="005E3D25"/>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3E4E"/>
    <w:rsid w:val="0061668F"/>
    <w:rsid w:val="006169B7"/>
    <w:rsid w:val="00616AC4"/>
    <w:rsid w:val="00617F33"/>
    <w:rsid w:val="00620932"/>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1EA2"/>
    <w:rsid w:val="007734E7"/>
    <w:rsid w:val="007751C9"/>
    <w:rsid w:val="00776764"/>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2E99"/>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27AD"/>
    <w:rsid w:val="00894F28"/>
    <w:rsid w:val="00896939"/>
    <w:rsid w:val="008A0952"/>
    <w:rsid w:val="008A0EB2"/>
    <w:rsid w:val="008A1C8C"/>
    <w:rsid w:val="008A28A5"/>
    <w:rsid w:val="008A2B60"/>
    <w:rsid w:val="008A2FC2"/>
    <w:rsid w:val="008A3268"/>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753"/>
    <w:rsid w:val="008D19CA"/>
    <w:rsid w:val="008D27E9"/>
    <w:rsid w:val="008D2CEB"/>
    <w:rsid w:val="008D52BA"/>
    <w:rsid w:val="008D7E78"/>
    <w:rsid w:val="008E0051"/>
    <w:rsid w:val="008E42BB"/>
    <w:rsid w:val="008F0012"/>
    <w:rsid w:val="00902092"/>
    <w:rsid w:val="00906AFA"/>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1174"/>
    <w:rsid w:val="00981718"/>
    <w:rsid w:val="00982452"/>
    <w:rsid w:val="00982C62"/>
    <w:rsid w:val="00982D54"/>
    <w:rsid w:val="00984F7A"/>
    <w:rsid w:val="009850F2"/>
    <w:rsid w:val="009904AF"/>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64E7"/>
    <w:rsid w:val="00B20335"/>
    <w:rsid w:val="00B20DD4"/>
    <w:rsid w:val="00B214E8"/>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458F"/>
    <w:rsid w:val="00C04DB7"/>
    <w:rsid w:val="00C105F5"/>
    <w:rsid w:val="00C10790"/>
    <w:rsid w:val="00C114A0"/>
    <w:rsid w:val="00C12353"/>
    <w:rsid w:val="00C14465"/>
    <w:rsid w:val="00C150CD"/>
    <w:rsid w:val="00C16544"/>
    <w:rsid w:val="00C165E4"/>
    <w:rsid w:val="00C23D45"/>
    <w:rsid w:val="00C2488F"/>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0CA9"/>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5F3E"/>
    <w:rsid w:val="00EA6869"/>
    <w:rsid w:val="00EB1B95"/>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2330"/>
    <w:rsid w:val="00F73347"/>
    <w:rsid w:val="00F74D5F"/>
    <w:rsid w:val="00F77461"/>
    <w:rsid w:val="00F812DA"/>
    <w:rsid w:val="00F82202"/>
    <w:rsid w:val="00F83116"/>
    <w:rsid w:val="00F83659"/>
    <w:rsid w:val="00F83B7D"/>
    <w:rsid w:val="00F85B97"/>
    <w:rsid w:val="00F900B3"/>
    <w:rsid w:val="00F94560"/>
    <w:rsid w:val="00F94CF8"/>
    <w:rsid w:val="00F95FCE"/>
    <w:rsid w:val="00FA0390"/>
    <w:rsid w:val="00FA0884"/>
    <w:rsid w:val="00FA0B90"/>
    <w:rsid w:val="00FA136A"/>
    <w:rsid w:val="00FA15FF"/>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6A882B6"/>
    <w:rsid w:val="06E4D65E"/>
    <w:rsid w:val="06FB31F0"/>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302042"/>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639149"/>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531C"/>
  <w15:docId w15:val="{C2C33D04-210B-4B2F-9A88-A7CBE240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5" ma:contentTypeDescription="Vytvoří nový dokument" ma:contentTypeScope="" ma:versionID="e299d32eeee1d9becb682967038be0fb">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4bd9cdbaaff962abf5ff8a18ff52352"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2.xml><?xml version="1.0" encoding="utf-8"?>
<ds:datastoreItem xmlns:ds="http://schemas.openxmlformats.org/officeDocument/2006/customXml" ds:itemID="{E59416A6-2A68-49C8-870E-527F66AF29A1}">
  <ds:schemaRefs>
    <ds:schemaRef ds:uri="http://purl.org/dc/dcmitype/"/>
    <ds:schemaRef ds:uri="http://www.w3.org/XML/1998/namespace"/>
    <ds:schemaRef ds:uri="http://schemas.microsoft.com/office/infopath/2007/PartnerControls"/>
    <ds:schemaRef ds:uri="485ab4be-1c84-4ffe-a376-8eb6bbbe07bd"/>
    <ds:schemaRef ds:uri="http://schemas.openxmlformats.org/package/2006/metadata/core-properties"/>
    <ds:schemaRef ds:uri="http://purl.org/dc/terms/"/>
    <ds:schemaRef ds:uri="http://schemas.microsoft.com/office/2006/documentManagement/types"/>
    <ds:schemaRef ds:uri="d7c3b205-3d44-413b-9182-14c00dd29cd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4.xml><?xml version="1.0" encoding="utf-8"?>
<ds:datastoreItem xmlns:ds="http://schemas.openxmlformats.org/officeDocument/2006/customXml" ds:itemID="{40AB3FAD-2A15-44CD-94ED-3A656B59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11393</Words>
  <Characters>68035</Characters>
  <Application>Microsoft Office Word</Application>
  <DocSecurity>0</DocSecurity>
  <Lines>566</Lines>
  <Paragraphs>158</Paragraphs>
  <ScaleCrop>false</ScaleCrop>
  <Company>MMR</Company>
  <LinksUpToDate>false</LinksUpToDate>
  <CharactersWithSpaces>79270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Binhacková Ilona</cp:lastModifiedBy>
  <cp:revision>138</cp:revision>
  <cp:lastPrinted>2022-03-23T16:08:00Z</cp:lastPrinted>
  <dcterms:created xsi:type="dcterms:W3CDTF">2022-03-28T20:32:00Z</dcterms:created>
  <dcterms:modified xsi:type="dcterms:W3CDTF">2023-03-08T13:42:00Z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