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250F0370"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EA7CC3">
        <w:rPr>
          <w:b/>
          <w:sz w:val="28"/>
          <w:szCs w:val="28"/>
        </w:rPr>
        <w:t>7</w:t>
      </w:r>
      <w:r w:rsidRPr="006A0484">
        <w:rPr>
          <w:b/>
          <w:sz w:val="28"/>
          <w:szCs w:val="28"/>
        </w:rPr>
        <w:t>, platnost</w:t>
      </w:r>
      <w:r w:rsidR="00EE68AF" w:rsidRPr="006A0484">
        <w:rPr>
          <w:b/>
          <w:sz w:val="28"/>
          <w:szCs w:val="28"/>
        </w:rPr>
        <w:t xml:space="preserve"> od </w:t>
      </w:r>
      <w:r w:rsidR="00EA7CC3">
        <w:rPr>
          <w:b/>
          <w:sz w:val="28"/>
          <w:szCs w:val="28"/>
        </w:rPr>
        <w:t>03</w:t>
      </w:r>
      <w:r w:rsidR="00BA3775">
        <w:rPr>
          <w:b/>
          <w:sz w:val="28"/>
          <w:szCs w:val="28"/>
        </w:rPr>
        <w:t>.0</w:t>
      </w:r>
      <w:r w:rsidR="00EA7CC3">
        <w:rPr>
          <w:b/>
          <w:sz w:val="28"/>
          <w:szCs w:val="28"/>
        </w:rPr>
        <w:t>7</w:t>
      </w:r>
      <w:r w:rsidR="00BA3775">
        <w:rPr>
          <w:b/>
          <w:sz w:val="28"/>
          <w:szCs w:val="28"/>
        </w:rPr>
        <w:t>. 2023</w:t>
      </w:r>
      <w:r w:rsidR="003127C1">
        <w:rPr>
          <w:b/>
          <w:sz w:val="28"/>
          <w:szCs w:val="28"/>
        </w:rPr>
        <w:t>,</w:t>
      </w:r>
      <w:r w:rsidRPr="006A0484">
        <w:rPr>
          <w:b/>
          <w:sz w:val="28"/>
          <w:szCs w:val="28"/>
        </w:rPr>
        <w:t xml:space="preserve"> účinnost od </w:t>
      </w:r>
      <w:r w:rsidR="00BA3775">
        <w:rPr>
          <w:b/>
          <w:sz w:val="28"/>
          <w:szCs w:val="28"/>
        </w:rPr>
        <w:t>1</w:t>
      </w:r>
      <w:r w:rsidR="00EA7CC3">
        <w:rPr>
          <w:b/>
          <w:sz w:val="28"/>
          <w:szCs w:val="28"/>
        </w:rPr>
        <w:t>0</w:t>
      </w:r>
      <w:r w:rsidR="00BA3775">
        <w:rPr>
          <w:b/>
          <w:sz w:val="28"/>
          <w:szCs w:val="28"/>
        </w:rPr>
        <w:t>.0</w:t>
      </w:r>
      <w:r w:rsidR="00EA7CC3">
        <w:rPr>
          <w:b/>
          <w:sz w:val="28"/>
          <w:szCs w:val="28"/>
        </w:rPr>
        <w:t>7</w:t>
      </w:r>
      <w:r w:rsidR="00BA3775">
        <w:rPr>
          <w:b/>
          <w:sz w:val="28"/>
          <w:szCs w:val="28"/>
        </w:rPr>
        <w:t>.2023</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2C7CD997"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1B067D">
          <w:rPr>
            <w:noProof/>
            <w:webHidden/>
          </w:rPr>
          <w:t>3</w:t>
        </w:r>
        <w:r>
          <w:rPr>
            <w:noProof/>
            <w:webHidden/>
          </w:rPr>
          <w:fldChar w:fldCharType="end"/>
        </w:r>
      </w:hyperlink>
    </w:p>
    <w:p w14:paraId="2AAA6E1F" w14:textId="30012459" w:rsidR="004A13D8" w:rsidRDefault="007F17F6">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sidR="001B067D">
          <w:rPr>
            <w:noProof/>
            <w:webHidden/>
          </w:rPr>
          <w:t>3</w:t>
        </w:r>
        <w:r w:rsidR="00823B36">
          <w:rPr>
            <w:noProof/>
            <w:webHidden/>
          </w:rPr>
          <w:fldChar w:fldCharType="end"/>
        </w:r>
      </w:hyperlink>
    </w:p>
    <w:p w14:paraId="674F5960" w14:textId="3913B5F8" w:rsidR="004A13D8" w:rsidRDefault="007F17F6">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6A24A7F7" w14:textId="51F60A57" w:rsidR="004A13D8" w:rsidRDefault="007F17F6">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1B4CA4BF" w14:textId="40263F54" w:rsidR="004A13D8" w:rsidRDefault="007F17F6">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6658EA15" w14:textId="55885B79" w:rsidR="004A13D8" w:rsidRDefault="007F17F6">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7C191865" w14:textId="459F94C8"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sidR="001B067D">
          <w:rPr>
            <w:noProof/>
            <w:webHidden/>
          </w:rPr>
          <w:t>7</w:t>
        </w:r>
        <w:r w:rsidR="00823B36">
          <w:rPr>
            <w:noProof/>
            <w:webHidden/>
          </w:rPr>
          <w:fldChar w:fldCharType="end"/>
        </w:r>
      </w:hyperlink>
    </w:p>
    <w:p w14:paraId="69C9C2B1" w14:textId="3E0439CE"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sidR="001B067D">
          <w:rPr>
            <w:noProof/>
            <w:webHidden/>
          </w:rPr>
          <w:t>9</w:t>
        </w:r>
        <w:r w:rsidR="00823B36">
          <w:rPr>
            <w:noProof/>
            <w:webHidden/>
          </w:rPr>
          <w:fldChar w:fldCharType="end"/>
        </w:r>
      </w:hyperlink>
    </w:p>
    <w:p w14:paraId="7C3EDEA2" w14:textId="4E20131F" w:rsidR="004A13D8" w:rsidRDefault="007F17F6">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2EFE0FE" w14:textId="3D6A2EE0"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79738BB" w14:textId="4A596CFC"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F682A37" w14:textId="77D886FB"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sidR="001B067D">
          <w:rPr>
            <w:noProof/>
            <w:webHidden/>
          </w:rPr>
          <w:t>13</w:t>
        </w:r>
        <w:r w:rsidR="00823B36">
          <w:rPr>
            <w:noProof/>
            <w:webHidden/>
          </w:rPr>
          <w:fldChar w:fldCharType="end"/>
        </w:r>
      </w:hyperlink>
    </w:p>
    <w:p w14:paraId="7A283002" w14:textId="6B54C263" w:rsidR="004A13D8" w:rsidRDefault="007F17F6">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sidR="001B067D">
          <w:rPr>
            <w:noProof/>
            <w:webHidden/>
          </w:rPr>
          <w:t>14</w:t>
        </w:r>
        <w:r w:rsidR="00823B36">
          <w:rPr>
            <w:noProof/>
            <w:webHidden/>
          </w:rPr>
          <w:fldChar w:fldCharType="end"/>
        </w:r>
      </w:hyperlink>
    </w:p>
    <w:p w14:paraId="72C6A71F" w14:textId="27E36B09" w:rsidR="004A13D8" w:rsidRDefault="007F17F6">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sidR="001B067D">
          <w:rPr>
            <w:noProof/>
            <w:webHidden/>
          </w:rPr>
          <w:t>16</w:t>
        </w:r>
        <w:r w:rsidR="00823B36">
          <w:rPr>
            <w:noProof/>
            <w:webHidden/>
          </w:rPr>
          <w:fldChar w:fldCharType="end"/>
        </w:r>
      </w:hyperlink>
    </w:p>
    <w:p w14:paraId="4A064DC4" w14:textId="13405D0D" w:rsidR="004A13D8" w:rsidRDefault="007F17F6">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sidR="001B067D">
          <w:rPr>
            <w:noProof/>
            <w:webHidden/>
          </w:rPr>
          <w:t>17</w:t>
        </w:r>
        <w:r w:rsidR="00823B36">
          <w:rPr>
            <w:noProof/>
            <w:webHidden/>
          </w:rPr>
          <w:fldChar w:fldCharType="end"/>
        </w:r>
      </w:hyperlink>
    </w:p>
    <w:p w14:paraId="6EE23BA1" w14:textId="225F1C24" w:rsidR="004A13D8" w:rsidRDefault="007F17F6">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823B36">
          <w:rPr>
            <w:noProof/>
            <w:webHidden/>
          </w:rPr>
          <w:fldChar w:fldCharType="begin"/>
        </w:r>
        <w:r w:rsidR="004A13D8">
          <w:rPr>
            <w:noProof/>
            <w:webHidden/>
          </w:rPr>
          <w:instrText xml:space="preserve"> PAGEREF _Toc15472090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7816911C" w14:textId="3969E414"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14C9E8AB" w14:textId="4441F310"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20EFA796" w14:textId="33F423D4" w:rsidR="004A13D8" w:rsidRDefault="007F17F6">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4FCF990" w14:textId="3C836514"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17FEDB83" w14:textId="31168C33"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37EE08" w14:textId="490D3CC5" w:rsidR="004A13D8" w:rsidRDefault="007F17F6">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B380A6" w14:textId="26FEE284" w:rsidR="004A13D8" w:rsidRDefault="007F17F6">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1B067D">
          <w:rPr>
            <w:noProof/>
            <w:webHidden/>
          </w:rPr>
          <w:t>21</w:t>
        </w:r>
        <w:r w:rsidR="00823B36">
          <w:rPr>
            <w:noProof/>
            <w:webHidden/>
          </w:rPr>
          <w:fldChar w:fldCharType="end"/>
        </w:r>
      </w:hyperlink>
    </w:p>
    <w:p w14:paraId="2C5B2EAE" w14:textId="35A33AE7" w:rsidR="004A13D8" w:rsidRDefault="007F17F6">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1B067D">
          <w:rPr>
            <w:noProof/>
            <w:webHidden/>
          </w:rPr>
          <w:t>28</w:t>
        </w:r>
        <w:r w:rsidR="00823B36">
          <w:rPr>
            <w:noProof/>
            <w:webHidden/>
          </w:rPr>
          <w:fldChar w:fldCharType="end"/>
        </w:r>
      </w:hyperlink>
    </w:p>
    <w:p w14:paraId="411AA2E6" w14:textId="6C2967DA" w:rsidR="004A13D8" w:rsidRDefault="007F17F6">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1B067D">
          <w:rPr>
            <w:noProof/>
            <w:webHidden/>
          </w:rPr>
          <w:t>29</w:t>
        </w:r>
        <w:r w:rsidR="00823B36">
          <w:rPr>
            <w:noProof/>
            <w:webHidden/>
          </w:rPr>
          <w:fldChar w:fldCharType="end"/>
        </w:r>
      </w:hyperlink>
    </w:p>
    <w:p w14:paraId="35E83BA7" w14:textId="18239E7F" w:rsidR="004A13D8" w:rsidRDefault="007F17F6">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1B067D">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6432F272"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2F416841"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7EC3AF57" w14:textId="77777777" w:rsidR="00D52FCE" w:rsidRDefault="0078390C" w:rsidP="005535AC">
      <w:pPr>
        <w:pStyle w:val="Odstavecseseznamem"/>
        <w:numPr>
          <w:ilvl w:val="0"/>
          <w:numId w:val="8"/>
        </w:numPr>
        <w:ind w:left="714" w:hanging="357"/>
        <w:contextualSpacing w:val="0"/>
        <w:rPr>
          <w:rFonts w:cs="Arial"/>
          <w:szCs w:val="22"/>
        </w:rPr>
      </w:pPr>
      <w:r w:rsidRPr="00FB1DB0">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3C3D12E6"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w:t>
      </w:r>
      <w:r w:rsidR="00230813">
        <w:rPr>
          <w:rStyle w:val="Znakapoznpodarou"/>
          <w:rFonts w:cs="Arial"/>
          <w:szCs w:val="22"/>
        </w:rPr>
        <w:footnoteReference w:id="2"/>
      </w:r>
      <w:r w:rsidRPr="007909EB">
        <w:rPr>
          <w:rFonts w:cs="Arial"/>
          <w:szCs w:val="22"/>
        </w:rPr>
        <w:t xml:space="preserve"> (časová způsobilost může být omezena v rámci konkrétní výzvy),</w:t>
      </w:r>
    </w:p>
    <w:p w14:paraId="79D5B25A" w14:textId="342A98B0"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r w:rsidR="004C19F0">
        <w:rPr>
          <w:rFonts w:cs="Arial"/>
          <w:szCs w:val="22"/>
        </w:rPr>
        <w:t>;</w:t>
      </w:r>
    </w:p>
    <w:p w14:paraId="7DB9903E" w14:textId="0501C078" w:rsidR="004C19F0" w:rsidRPr="001619D1" w:rsidRDefault="004C19F0" w:rsidP="004C19F0">
      <w:pPr>
        <w:pStyle w:val="Odstavecseseznamem"/>
        <w:numPr>
          <w:ilvl w:val="0"/>
          <w:numId w:val="8"/>
        </w:numPr>
        <w:ind w:left="714" w:hanging="357"/>
        <w:contextualSpacing w:val="0"/>
        <w:rPr>
          <w:rFonts w:cs="Arial"/>
          <w:szCs w:val="22"/>
        </w:rPr>
      </w:pPr>
      <w:r>
        <w:rPr>
          <w:szCs w:val="22"/>
        </w:rPr>
        <w:t>v</w:t>
      </w:r>
      <w:r w:rsidRPr="001619D1">
        <w:rPr>
          <w:szCs w:val="22"/>
        </w:rPr>
        <w:t>ýdaje vyplývající ze změn smluv/závazků podle § 222 zákona č. 134/2016 Sb. o zadávání veřejných zakázek, včetně vyhrazených změn závazků podle § 100 odst. 1 (např. změny cen v průběhu veřejné zakázky v důsledku inflace) jsou obecně způsobilé</w:t>
      </w:r>
      <w:r>
        <w:rPr>
          <w:szCs w:val="22"/>
        </w:rPr>
        <w:t xml:space="preserve">, za </w:t>
      </w:r>
      <w:r w:rsidRPr="001619D1">
        <w:rPr>
          <w:szCs w:val="22"/>
        </w:rPr>
        <w:t xml:space="preserve">předpokladu, že předmět změny závazku je obecně podporovaná aktivita (případně jde o podporovanou aktivitu v programu), </w:t>
      </w:r>
      <w:r>
        <w:rPr>
          <w:szCs w:val="22"/>
        </w:rPr>
        <w:t>ŘO OPTP</w:t>
      </w:r>
      <w:r w:rsidRPr="001619D1">
        <w:rPr>
          <w:szCs w:val="22"/>
        </w:rPr>
        <w:t xml:space="preserve"> navýšení dotace podpoří a akceptuje změnou právního aktu o poskytnutí podpory. Zadavatel by měl postupovat v souladu s doporučeními a stanovisky</w:t>
      </w:r>
      <w:r w:rsidR="00FB1DB0">
        <w:rPr>
          <w:szCs w:val="22"/>
        </w:rPr>
        <w:t xml:space="preserve">, </w:t>
      </w:r>
      <w:r w:rsidRPr="001619D1">
        <w:rPr>
          <w:szCs w:val="22"/>
        </w:rPr>
        <w:t>týkajících se změn závazků</w:t>
      </w:r>
      <w:r w:rsidR="00FB1DB0">
        <w:rPr>
          <w:szCs w:val="22"/>
        </w:rPr>
        <w:t xml:space="preserve"> </w:t>
      </w:r>
      <w:r w:rsidRPr="001619D1">
        <w:rPr>
          <w:szCs w:val="22"/>
        </w:rPr>
        <w:t xml:space="preserve">uveřejněných na Portálu k veřejným zakázkám </w:t>
      </w:r>
      <w:r w:rsidR="00FB1DB0">
        <w:rPr>
          <w:szCs w:val="22"/>
        </w:rPr>
        <w:t>(</w:t>
      </w:r>
      <w:r w:rsidRPr="001619D1">
        <w:rPr>
          <w:szCs w:val="22"/>
        </w:rPr>
        <w:t xml:space="preserve">viz </w:t>
      </w:r>
      <w:hyperlink w:history="1">
        <w:r w:rsidR="00FB1DB0" w:rsidRPr="00FB1DB0">
          <w:rPr>
            <w:rStyle w:val="Hypertextovodkaz"/>
            <w:szCs w:val="22"/>
          </w:rPr>
          <w:t>Metodická stanoviska - Portál o veřejných zakázkách www.portal-vz.cz)</w:t>
        </w:r>
      </w:hyperlink>
      <w:r>
        <w:rPr>
          <w:rStyle w:val="Hypertextovodkaz"/>
          <w:szCs w:val="22"/>
        </w:rPr>
        <w:t>.</w:t>
      </w:r>
    </w:p>
    <w:p w14:paraId="4089B38A" w14:textId="77777777" w:rsidR="004C19F0" w:rsidRDefault="004C19F0" w:rsidP="004C19F0">
      <w:pPr>
        <w:pStyle w:val="Odstavecseseznamem"/>
        <w:ind w:left="714"/>
        <w:contextualSpacing w:val="0"/>
        <w:rPr>
          <w:rFonts w:cs="Arial"/>
          <w:szCs w:val="22"/>
        </w:rPr>
      </w:pP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lastRenderedPageBreak/>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lastRenderedPageBreak/>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5" w:name="_Toc15472078"/>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lastRenderedPageBreak/>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28DF77B7" w:rsidR="000A4866" w:rsidRDefault="000A4866" w:rsidP="008F1C4B">
      <w:pPr>
        <w:ind w:left="426"/>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w:t>
      </w:r>
      <w:r w:rsidR="00BA3775">
        <w:rPr>
          <w:rFonts w:cs="Arial"/>
        </w:rPr>
        <w:t>20</w:t>
      </w:r>
      <w:r>
        <w:rPr>
          <w:rFonts w:cs="Arial"/>
        </w:rPr>
        <w:t xml:space="preserve"> Kč/osoba</w:t>
      </w:r>
      <w:r w:rsidR="00BC342D">
        <w:rPr>
          <w:rFonts w:cs="Arial"/>
        </w:rPr>
        <w:t xml:space="preserve"> </w:t>
      </w:r>
    </w:p>
    <w:p w14:paraId="09206057" w14:textId="6B05C2BC"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400</w:t>
      </w:r>
      <w:r>
        <w:rPr>
          <w:rFonts w:cs="Arial"/>
        </w:rPr>
        <w:t xml:space="preserve"> Kč/osoba (vč. 1 </w:t>
      </w:r>
      <w:r w:rsidR="00964605">
        <w:rPr>
          <w:rFonts w:cs="Arial"/>
        </w:rPr>
        <w:t>ks nealko</w:t>
      </w:r>
      <w:r>
        <w:rPr>
          <w:rFonts w:cs="Arial"/>
        </w:rPr>
        <w:t>)</w:t>
      </w:r>
    </w:p>
    <w:p w14:paraId="3A1CA446" w14:textId="59BDD34B"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500</w:t>
      </w:r>
      <w:r>
        <w:rPr>
          <w:rFonts w:cs="Arial"/>
        </w:rPr>
        <w:t xml:space="preserve">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4"/>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5"/>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5" w:name="_Toc15472081"/>
      <w:r w:rsidRPr="004A48A4">
        <w:t>Způsobilost osobních nákladů</w:t>
      </w:r>
      <w:bookmarkEnd w:id="75"/>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6"/>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7"/>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8"/>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9"/>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10"/>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154720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1"/>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2"/>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3"/>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4"/>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7" w:name="_Toc444778126"/>
      <w:bookmarkStart w:id="108" w:name="_Toc444779754"/>
      <w:bookmarkStart w:id="109" w:name="_Toc444779843"/>
      <w:bookmarkStart w:id="110" w:name="_Toc15472083"/>
      <w:bookmarkEnd w:id="107"/>
      <w:bookmarkEnd w:id="108"/>
      <w:bookmarkEnd w:id="109"/>
      <w:r w:rsidRPr="00B3540D">
        <w:lastRenderedPageBreak/>
        <w:t>Cestovné</w:t>
      </w:r>
      <w:bookmarkEnd w:id="110"/>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1" w:name="_Toc15472084"/>
      <w:r w:rsidRPr="00CA4BD9">
        <w:t>Způsobilost cestovních náhrad</w:t>
      </w:r>
      <w:bookmarkEnd w:id="111"/>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2" w:name="_Toc15472085"/>
      <w:r>
        <w:t>Dokladování cestovních náhrad</w:t>
      </w:r>
      <w:bookmarkEnd w:id="112"/>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3" w:name="_Toc444778130"/>
      <w:bookmarkStart w:id="114" w:name="_Toc444779758"/>
      <w:bookmarkStart w:id="115" w:name="_Toc444779847"/>
      <w:bookmarkStart w:id="116" w:name="_Toc15472086"/>
      <w:bookmarkEnd w:id="113"/>
      <w:bookmarkEnd w:id="114"/>
      <w:bookmarkEnd w:id="115"/>
      <w:r w:rsidRPr="00E13992">
        <w:t xml:space="preserve">Cestovní náhrady „per </w:t>
      </w:r>
      <w:proofErr w:type="spellStart"/>
      <w:r w:rsidRPr="00E13992">
        <w:t>diems</w:t>
      </w:r>
      <w:proofErr w:type="spellEnd"/>
      <w:r w:rsidRPr="00E13992">
        <w:t>“ pro zahraniční experty</w:t>
      </w:r>
      <w:bookmarkEnd w:id="116"/>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15472087"/>
      <w:bookmarkEnd w:id="117"/>
      <w:bookmarkEnd w:id="118"/>
      <w:bookmarkEnd w:id="119"/>
      <w:bookmarkEnd w:id="120"/>
      <w:bookmarkEnd w:id="121"/>
      <w:bookmarkEnd w:id="122"/>
      <w:bookmarkEnd w:id="123"/>
      <w:bookmarkEnd w:id="124"/>
      <w:bookmarkEnd w:id="125"/>
      <w:r>
        <w:t>Nákup služeb</w:t>
      </w:r>
      <w:bookmarkEnd w:id="126"/>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60FD99F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xml:space="preserve">, za vzdělávání pro žadatele a příjemce (vč. občerstvení), za </w:t>
      </w:r>
      <w:r w:rsidRPr="000E3B84">
        <w:rPr>
          <w:rFonts w:cs="Arial"/>
          <w:szCs w:val="22"/>
        </w:rPr>
        <w:lastRenderedPageBreak/>
        <w:t>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5"/>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lastRenderedPageBreak/>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6"/>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7"/>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7" w:name="_Toc447539194"/>
      <w:bookmarkStart w:id="128" w:name="_Toc447546365"/>
      <w:bookmarkStart w:id="129" w:name="_Toc15472088"/>
      <w:bookmarkEnd w:id="127"/>
      <w:bookmarkEnd w:id="128"/>
      <w:r w:rsidRPr="000F6C24">
        <w:t>Pořízení majetku</w:t>
      </w:r>
      <w:r w:rsidR="00E32740">
        <w:t xml:space="preserve"> a spotřebního materiálu</w:t>
      </w:r>
      <w:bookmarkEnd w:id="129"/>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8"/>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9"/>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w:t>
      </w:r>
      <w:r>
        <w:rPr>
          <w:rFonts w:cs="Arial"/>
          <w:szCs w:val="22"/>
        </w:rPr>
        <w:lastRenderedPageBreak/>
        <w:t xml:space="preserve">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20"/>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1"/>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15472089"/>
      <w:bookmarkEnd w:id="130"/>
      <w:bookmarkEnd w:id="131"/>
      <w:bookmarkEnd w:id="132"/>
      <w:bookmarkEnd w:id="133"/>
      <w:bookmarkEnd w:id="134"/>
      <w:bookmarkEnd w:id="135"/>
      <w:bookmarkEnd w:id="136"/>
      <w:bookmarkEnd w:id="137"/>
      <w:bookmarkEnd w:id="138"/>
      <w:bookmarkEnd w:id="139"/>
      <w:r w:rsidRPr="007909EB">
        <w:t>Leasing</w:t>
      </w:r>
      <w:bookmarkEnd w:id="140"/>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lastRenderedPageBreak/>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1547209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6" w:name="_Toc15472091"/>
      <w:r>
        <w:t>Způsobilost režijních nákladů</w:t>
      </w:r>
      <w:bookmarkEnd w:id="176"/>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7" w:name="_Toc15472092"/>
      <w:r>
        <w:t>Dokladování režijních nákladů</w:t>
      </w:r>
      <w:bookmarkEnd w:id="177"/>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lastRenderedPageBreak/>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15472093"/>
      <w:bookmarkEnd w:id="178"/>
      <w:bookmarkEnd w:id="179"/>
      <w:bookmarkEnd w:id="180"/>
      <w:bookmarkEnd w:id="181"/>
      <w:r>
        <w:t>Jiné výdaje a jejich způsobilost</w:t>
      </w:r>
      <w:bookmarkEnd w:id="182"/>
    </w:p>
    <w:p w14:paraId="47FE7331" w14:textId="77777777" w:rsidR="006B7925" w:rsidRPr="007909EB" w:rsidRDefault="006B7925" w:rsidP="00436827">
      <w:pPr>
        <w:pStyle w:val="Nadpis3"/>
        <w:keepNext w:val="0"/>
        <w:keepLines w:val="0"/>
        <w:rPr>
          <w:b w:val="0"/>
          <w:bCs w:val="0"/>
        </w:rPr>
      </w:pPr>
      <w:bookmarkStart w:id="183" w:name="_Toc15472094"/>
      <w:r w:rsidRPr="007909EB">
        <w:t>Finanční výdaje, správní a jiné poplatky</w:t>
      </w:r>
      <w:bookmarkEnd w:id="183"/>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4" w:name="_Toc444779779"/>
      <w:bookmarkStart w:id="185" w:name="_Toc444779868"/>
      <w:bookmarkStart w:id="186" w:name="_Toc15472095"/>
      <w:bookmarkEnd w:id="184"/>
      <w:bookmarkEnd w:id="185"/>
      <w:r w:rsidRPr="007909EB">
        <w:t>Odpisy</w:t>
      </w:r>
      <w:bookmarkEnd w:id="186"/>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15472096"/>
      <w:bookmarkEnd w:id="187"/>
      <w:bookmarkEnd w:id="188"/>
      <w:r w:rsidRPr="007909EB">
        <w:t>Daň z přidané hodnoty</w:t>
      </w:r>
      <w:bookmarkEnd w:id="189"/>
      <w:r w:rsidR="008E1B87" w:rsidRPr="007909EB">
        <w:t xml:space="preserve"> </w:t>
      </w:r>
    </w:p>
    <w:p w14:paraId="4D6A9EAD" w14:textId="6E0E1628" w:rsidR="00674B0F" w:rsidRPr="00674B0F" w:rsidRDefault="00EA7CC3" w:rsidP="00904DCC">
      <w:pPr>
        <w:widowControl w:val="0"/>
        <w:autoSpaceDE w:val="0"/>
        <w:autoSpaceDN w:val="0"/>
        <w:adjustRightInd w:val="0"/>
        <w:spacing w:before="120" w:after="120"/>
        <w:rPr>
          <w:rFonts w:eastAsiaTheme="minorHAnsi" w:cs="Arial"/>
          <w:color w:val="000000"/>
          <w:szCs w:val="22"/>
          <w:lang w:eastAsia="en-US"/>
        </w:rPr>
      </w:pPr>
      <w:r w:rsidRPr="00EA7CC3">
        <w:rPr>
          <w:bCs/>
          <w:szCs w:val="22"/>
        </w:rPr>
        <w:t>Daň z přidané hodnoty je obecně jako všechny daně nezpůsobilá, s výjimkou případů, kdy</w:t>
      </w:r>
      <w:r w:rsidRPr="00EA7CC3">
        <w:rPr>
          <w:b/>
          <w:szCs w:val="22"/>
        </w:rPr>
        <w:t xml:space="preserve"> není</w:t>
      </w:r>
      <w:r w:rsidRPr="00EA7CC3">
        <w:rPr>
          <w:bCs/>
          <w:szCs w:val="22"/>
        </w:rPr>
        <w:t xml:space="preserve"> podle vnitrostátních předpisů </w:t>
      </w:r>
      <w:r w:rsidRPr="00EA7CC3">
        <w:rPr>
          <w:b/>
          <w:szCs w:val="22"/>
        </w:rPr>
        <w:t>navratitelná</w:t>
      </w:r>
      <w:r w:rsidRPr="00EA7CC3">
        <w:rPr>
          <w:bCs/>
          <w:szCs w:val="22"/>
        </w:rPr>
        <w:t xml:space="preserve">.  DPH je tak způsobilá pouze pro příjemce, kteří si nemohou nárokovat odpočet daně z přidané hodnoty na vstupu, </w:t>
      </w:r>
      <w:r w:rsidRPr="00EA7CC3">
        <w:rPr>
          <w:b/>
          <w:szCs w:val="22"/>
        </w:rPr>
        <w:t xml:space="preserve">vymezený v § 72 až § 79a zákona č. 235/2004 Sb., o dani z přidané hodnoty, či nemohou využít institut vrácení daně dle § 80, § 80a nebo § 82 až § 86a tohoto </w:t>
      </w:r>
      <w:proofErr w:type="gramStart"/>
      <w:r w:rsidRPr="00EA7CC3">
        <w:rPr>
          <w:b/>
          <w:szCs w:val="22"/>
        </w:rPr>
        <w:t>zákona.</w:t>
      </w:r>
      <w:r w:rsidR="00674B0F" w:rsidRPr="00674B0F">
        <w:rPr>
          <w:rFonts w:eastAsiaTheme="minorHAnsi" w:cs="Arial"/>
          <w:color w:val="000000"/>
          <w:szCs w:val="22"/>
          <w:lang w:eastAsia="en-US"/>
        </w:rPr>
        <w:t>.</w:t>
      </w:r>
      <w:proofErr w:type="gramEnd"/>
      <w:r w:rsidR="00674B0F" w:rsidRPr="00674B0F">
        <w:rPr>
          <w:rFonts w:eastAsiaTheme="minorHAnsi" w:cs="Arial"/>
          <w:color w:val="000000"/>
          <w:szCs w:val="22"/>
          <w:lang w:eastAsia="en-US"/>
        </w:rPr>
        <w:t xml:space="preserve">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 xml:space="preserve">DPH je </w:t>
      </w:r>
      <w:r w:rsidR="00705837" w:rsidRPr="0037626F">
        <w:rPr>
          <w:rFonts w:eastAsiaTheme="minorHAnsi" w:cs="Arial"/>
          <w:color w:val="000000"/>
          <w:szCs w:val="22"/>
          <w:lang w:eastAsia="en-US"/>
        </w:rPr>
        <w:lastRenderedPageBreak/>
        <w:t>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0" w:name="_Toc15472097"/>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2"/>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1" w:name="_Toc15472098"/>
      <w:r w:rsidRPr="005F1B36">
        <w:lastRenderedPageBreak/>
        <w:t>Ta</w:t>
      </w:r>
      <w:r w:rsidR="00C84061" w:rsidRPr="005F1B36">
        <w:t xml:space="preserve">bulka č. 2: Přehled příloh k </w:t>
      </w:r>
      <w:proofErr w:type="spellStart"/>
      <w:r w:rsidR="00C84061" w:rsidRPr="005F1B36">
        <w:t>ZŽoP</w:t>
      </w:r>
      <w:bookmarkEnd w:id="191"/>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2" w:name="_Toc15472099"/>
      <w:r w:rsidRPr="005F1B36">
        <w:lastRenderedPageBreak/>
        <w:t>Přílohy</w:t>
      </w:r>
      <w:bookmarkEnd w:id="192"/>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3" w:name="_Toc15472100"/>
      <w:r w:rsidRPr="008600C2">
        <w:lastRenderedPageBreak/>
        <w:t>Přehled změn v Příloze č. 11 PŽP</w:t>
      </w:r>
      <w:bookmarkEnd w:id="193"/>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 xml:space="preserve">V části 2.2.3 „Cestovní náhrady „per </w:t>
            </w:r>
            <w:proofErr w:type="spellStart"/>
            <w:r w:rsidRPr="00152729">
              <w:rPr>
                <w:rFonts w:cs="Arial"/>
              </w:rPr>
              <w:t>diems</w:t>
            </w:r>
            <w:proofErr w:type="spellEnd"/>
            <w:r w:rsidRPr="00152729">
              <w:rPr>
                <w:rFonts w:cs="Arial"/>
              </w:rPr>
              <w:t>“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 xml:space="preserve">Aktualizována Příloha č. 11j – odstraněno čestné prohlášení, upraven podklad k poskytnutí per </w:t>
            </w:r>
            <w:proofErr w:type="spellStart"/>
            <w:r w:rsidRPr="00152729">
              <w:rPr>
                <w:rFonts w:cs="Arial"/>
              </w:rPr>
              <w:t>diems</w:t>
            </w:r>
            <w:proofErr w:type="spellEnd"/>
            <w:r w:rsidRPr="00152729">
              <w:rPr>
                <w:rFonts w:cs="Arial"/>
              </w:rPr>
              <w:t>/odměny.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w:t>
            </w:r>
            <w:proofErr w:type="spellStart"/>
            <w:r w:rsidRPr="00C34B6C">
              <w:rPr>
                <w:rFonts w:cs="Arial"/>
              </w:rPr>
              <w:t>DoP</w:t>
            </w:r>
            <w:proofErr w:type="spellEnd"/>
            <w:r w:rsidRPr="00C34B6C">
              <w:rPr>
                <w:rFonts w:cs="Arial"/>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 xml:space="preserve">nákladů zaměstnance implementujícího </w:t>
            </w:r>
            <w:proofErr w:type="spellStart"/>
            <w:r w:rsidRPr="00C34B6C">
              <w:rPr>
                <w:rFonts w:cs="Arial"/>
              </w:rPr>
              <w:t>DoP</w:t>
            </w:r>
            <w:proofErr w:type="spellEnd"/>
            <w:r w:rsidRPr="00C34B6C">
              <w:rPr>
                <w:rFonts w:cs="Arial"/>
              </w:rPr>
              <w:t xml:space="preserve">/NSRR u subjektů implementace </w:t>
            </w:r>
            <w:proofErr w:type="spellStart"/>
            <w:r w:rsidRPr="00C34B6C">
              <w:rPr>
                <w:rFonts w:cs="Arial"/>
              </w:rPr>
              <w:t>DoP</w:t>
            </w:r>
            <w:proofErr w:type="spellEnd"/>
            <w:r w:rsidRPr="00C34B6C">
              <w:rPr>
                <w:rFonts w:cs="Arial"/>
              </w:rPr>
              <w:t>/NSRR,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w:t>
            </w:r>
            <w:proofErr w:type="gramStart"/>
            <w:r w:rsidRPr="004B4050">
              <w:rPr>
                <w:rFonts w:cs="Arial"/>
                <w:szCs w:val="22"/>
              </w:rPr>
              <w:t xml:space="preserve">odstavci </w:t>
            </w:r>
            <w:r w:rsidR="009C0169" w:rsidRPr="004B4050">
              <w:rPr>
                <w:rFonts w:cs="Arial"/>
                <w:szCs w:val="22"/>
              </w:rPr>
              <w:t>-uvádění</w:t>
            </w:r>
            <w:proofErr w:type="gramEnd"/>
            <w:r w:rsidR="009C0169" w:rsidRPr="004B4050">
              <w:rPr>
                <w:rFonts w:cs="Arial"/>
                <w:szCs w:val="22"/>
              </w:rPr>
              <w:t xml:space="preserve">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 xml:space="preserve">V části 2.2.3 Cestovní náhrady “per </w:t>
            </w:r>
            <w:proofErr w:type="spellStart"/>
            <w:r w:rsidRPr="007E27B4">
              <w:rPr>
                <w:sz w:val="22"/>
                <w:szCs w:val="22"/>
              </w:rPr>
              <w:t>diems</w:t>
            </w:r>
            <w:proofErr w:type="spellEnd"/>
            <w:r w:rsidRPr="007E27B4">
              <w:rPr>
                <w:sz w:val="22"/>
                <w:szCs w:val="22"/>
              </w:rPr>
              <w:t>“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tr>
      <w:tr w:rsidR="00563BAC" w14:paraId="4C0B7C46" w14:textId="77777777" w:rsidTr="00563BAC">
        <w:trPr>
          <w:trHeight w:val="484"/>
        </w:trPr>
        <w:tc>
          <w:tcPr>
            <w:tcW w:w="1902" w:type="dxa"/>
            <w:shd w:val="clear" w:color="auto" w:fill="99CCFF"/>
            <w:vAlign w:val="center"/>
          </w:tcPr>
          <w:p w14:paraId="03AA00DC" w14:textId="38836F44" w:rsidR="00563BAC" w:rsidRDefault="00563BAC" w:rsidP="00563BAC">
            <w:pPr>
              <w:spacing w:before="120" w:after="120"/>
              <w:jc w:val="center"/>
              <w:rPr>
                <w:rFonts w:cs="Arial"/>
              </w:rPr>
            </w:pPr>
            <w:r>
              <w:rPr>
                <w:rFonts w:cs="Arial"/>
              </w:rPr>
              <w:lastRenderedPageBreak/>
              <w:t>Vydání 3/4</w:t>
            </w:r>
          </w:p>
        </w:tc>
        <w:tc>
          <w:tcPr>
            <w:tcW w:w="7591" w:type="dxa"/>
            <w:shd w:val="clear" w:color="auto" w:fill="99CCFF"/>
          </w:tcPr>
          <w:p w14:paraId="23772641" w14:textId="70743659" w:rsidR="00563BAC" w:rsidRPr="00563BAC" w:rsidRDefault="00563BAC" w:rsidP="00563BAC">
            <w:pPr>
              <w:spacing w:before="240" w:after="120"/>
              <w:rPr>
                <w:rFonts w:eastAsiaTheme="minorHAnsi" w:cs="Arial"/>
                <w:i/>
                <w:iCs/>
                <w:color w:val="000000"/>
                <w:szCs w:val="22"/>
                <w:lang w:eastAsia="en-US"/>
              </w:rPr>
            </w:pPr>
            <w:r>
              <w:t xml:space="preserve">V </w:t>
            </w:r>
            <w:r>
              <w:rPr>
                <w:rFonts w:cs="Arial"/>
              </w:rPr>
              <w:t xml:space="preserve">části 2.3 Nákup služeb a 2.4 Pořízení majetku a spotřebního materiálu </w:t>
            </w:r>
            <w:r>
              <w:t>odstraněna věta:</w:t>
            </w:r>
            <w:r w:rsidRPr="00042B2F">
              <w:rPr>
                <w:rFonts w:eastAsiaTheme="minorHAnsi" w:cs="Arial"/>
                <w:color w:val="000000"/>
                <w:szCs w:val="22"/>
                <w:lang w:eastAsia="en-US"/>
              </w:rPr>
              <w:t xml:space="preserve"> </w:t>
            </w:r>
            <w:r>
              <w:rPr>
                <w:rFonts w:eastAsiaTheme="minorHAnsi" w:cs="Arial"/>
                <w:color w:val="000000"/>
                <w:szCs w:val="22"/>
                <w:lang w:eastAsia="en-US"/>
              </w:rPr>
              <w:t>„</w:t>
            </w:r>
            <w:r w:rsidRPr="00563BAC">
              <w:rPr>
                <w:rFonts w:eastAsiaTheme="minorHAnsi" w:cs="Arial"/>
                <w:i/>
                <w:iCs/>
                <w:color w:val="000000"/>
                <w:szCs w:val="22"/>
                <w:lang w:eastAsia="en-US"/>
              </w:rPr>
              <w:t xml:space="preserve">Chybné </w:t>
            </w:r>
            <w:r w:rsidRPr="00563BAC">
              <w:rPr>
                <w:rFonts w:eastAsiaTheme="minorHAnsi" w:cs="Arial"/>
                <w:b/>
                <w:i/>
                <w:iCs/>
                <w:color w:val="000000"/>
                <w:szCs w:val="22"/>
                <w:lang w:eastAsia="en-US"/>
              </w:rPr>
              <w:t>použití investičních prostředků na úhradu neinvestičních výdajů</w:t>
            </w:r>
            <w:r>
              <w:rPr>
                <w:rFonts w:eastAsiaTheme="minorHAnsi" w:cs="Arial"/>
                <w:b/>
                <w:i/>
                <w:iCs/>
                <w:color w:val="000000"/>
                <w:szCs w:val="22"/>
                <w:lang w:eastAsia="en-US"/>
              </w:rPr>
              <w:t>,</w:t>
            </w:r>
            <w:r w:rsidRPr="00563BAC">
              <w:rPr>
                <w:rFonts w:eastAsiaTheme="minorHAnsi" w:cs="Arial"/>
                <w:b/>
                <w:i/>
                <w:iCs/>
                <w:color w:val="000000"/>
                <w:szCs w:val="22"/>
                <w:lang w:eastAsia="en-US"/>
              </w:rPr>
              <w:t xml:space="preserve"> a naopak</w:t>
            </w:r>
            <w:r w:rsidRPr="00563BAC">
              <w:rPr>
                <w:rFonts w:eastAsiaTheme="minorHAnsi" w:cs="Arial"/>
                <w:i/>
                <w:iCs/>
                <w:color w:val="000000"/>
                <w:szCs w:val="22"/>
                <w:lang w:eastAsia="en-US"/>
              </w:rPr>
              <w:t xml:space="preserve"> a jejich následné chybné zaúčtování nemá dopad na způsobilost výdajů v OPTP. Chybný výdaj nebude krácen a nebude za něj udělena finanční oprava</w:t>
            </w:r>
            <w:r>
              <w:rPr>
                <w:rFonts w:eastAsiaTheme="minorHAnsi" w:cs="Arial"/>
                <w:i/>
                <w:iCs/>
                <w:color w:val="000000"/>
                <w:szCs w:val="22"/>
                <w:lang w:eastAsia="en-US"/>
              </w:rPr>
              <w:t>“</w:t>
            </w:r>
            <w:r w:rsidRPr="00563BAC">
              <w:rPr>
                <w:rFonts w:eastAsiaTheme="minorHAnsi" w:cs="Arial"/>
                <w:i/>
                <w:iCs/>
                <w:color w:val="000000"/>
                <w:szCs w:val="22"/>
                <w:lang w:eastAsia="en-US"/>
              </w:rPr>
              <w:t>.</w:t>
            </w:r>
          </w:p>
          <w:p w14:paraId="7A73EB01" w14:textId="44E36E51" w:rsidR="00563BAC" w:rsidRDefault="00563BAC" w:rsidP="00563BAC">
            <w:pPr>
              <w:pStyle w:val="Default"/>
              <w:jc w:val="both"/>
            </w:pPr>
          </w:p>
        </w:tc>
      </w:tr>
      <w:tr w:rsidR="00D149F3" w14:paraId="1D737FA4" w14:textId="77777777" w:rsidTr="00563BAC">
        <w:trPr>
          <w:trHeight w:val="484"/>
        </w:trPr>
        <w:tc>
          <w:tcPr>
            <w:tcW w:w="1902" w:type="dxa"/>
            <w:shd w:val="clear" w:color="auto" w:fill="99CCFF"/>
            <w:vAlign w:val="center"/>
          </w:tcPr>
          <w:p w14:paraId="0F397749" w14:textId="2FF0548B" w:rsidR="00D149F3" w:rsidRDefault="00D149F3" w:rsidP="00563BAC">
            <w:pPr>
              <w:spacing w:before="120" w:after="120"/>
              <w:jc w:val="center"/>
              <w:rPr>
                <w:rFonts w:cs="Arial"/>
              </w:rPr>
            </w:pPr>
            <w:r>
              <w:rPr>
                <w:rFonts w:cs="Arial"/>
              </w:rPr>
              <w:t>Vydání 3/5</w:t>
            </w:r>
          </w:p>
        </w:tc>
        <w:tc>
          <w:tcPr>
            <w:tcW w:w="7591" w:type="dxa"/>
            <w:shd w:val="clear" w:color="auto" w:fill="99CCFF"/>
          </w:tcPr>
          <w:p w14:paraId="2DA47E5E" w14:textId="77777777" w:rsidR="00D149F3" w:rsidRPr="007909EB" w:rsidRDefault="00D149F3" w:rsidP="00D149F3">
            <w:pPr>
              <w:spacing w:before="120" w:after="120"/>
              <w:rPr>
                <w:rFonts w:cs="Arial"/>
                <w:b/>
                <w:szCs w:val="22"/>
              </w:rPr>
            </w:pPr>
            <w:r w:rsidRPr="00D149F3">
              <w:rPr>
                <w:rFonts w:cs="Arial"/>
                <w:szCs w:val="28"/>
              </w:rPr>
              <w:t>Text v bodě 1.1.</w:t>
            </w:r>
            <w:r w:rsidRPr="00D149F3">
              <w:rPr>
                <w:rFonts w:cs="Arial"/>
                <w:b/>
                <w:bCs/>
                <w:szCs w:val="28"/>
              </w:rPr>
              <w:t>Způsobilost výdajů</w:t>
            </w:r>
            <w:r w:rsidRPr="00D149F3">
              <w:rPr>
                <w:rFonts w:cs="Arial"/>
                <w:szCs w:val="28"/>
              </w:rPr>
              <w:t xml:space="preserve"> </w:t>
            </w:r>
            <w:r>
              <w:rPr>
                <w:rFonts w:cs="Arial"/>
                <w:szCs w:val="28"/>
              </w:rPr>
              <w:t xml:space="preserve">za větou </w:t>
            </w:r>
            <w:r w:rsidRPr="007909EB">
              <w:rPr>
                <w:rFonts w:cs="Arial"/>
                <w:b/>
                <w:szCs w:val="22"/>
              </w:rPr>
              <w:t>Za způsobilý výdaj lze považovat takový výdaj, který splňuje následující podmínky:</w:t>
            </w:r>
          </w:p>
          <w:p w14:paraId="75939BDE" w14:textId="1A90B7B7" w:rsidR="00D149F3" w:rsidRPr="00D149F3" w:rsidRDefault="00D149F3" w:rsidP="00D149F3">
            <w:pPr>
              <w:rPr>
                <w:rFonts w:cs="Arial"/>
                <w:i/>
                <w:iCs/>
                <w:szCs w:val="28"/>
              </w:rPr>
            </w:pPr>
            <w:r w:rsidRPr="00D149F3">
              <w:rPr>
                <w:rFonts w:cs="Arial"/>
                <w:szCs w:val="28"/>
              </w:rPr>
              <w:t xml:space="preserve">doplněn o další odrážku ve znění: </w:t>
            </w:r>
          </w:p>
          <w:p w14:paraId="3ACF81DE" w14:textId="77777777" w:rsidR="00D149F3" w:rsidRPr="00D149F3" w:rsidRDefault="00D149F3" w:rsidP="00D149F3">
            <w:pPr>
              <w:pStyle w:val="Odstavecseseznamem"/>
              <w:numPr>
                <w:ilvl w:val="0"/>
                <w:numId w:val="8"/>
              </w:numPr>
              <w:ind w:left="714" w:hanging="357"/>
              <w:contextualSpacing w:val="0"/>
              <w:rPr>
                <w:rFonts w:cs="Arial"/>
                <w:i/>
                <w:iCs/>
                <w:szCs w:val="22"/>
              </w:rPr>
            </w:pPr>
            <w:r w:rsidRPr="00D149F3">
              <w:rPr>
                <w:sz w:val="24"/>
              </w:rPr>
              <w:t xml:space="preserve"> „</w:t>
            </w:r>
            <w:r w:rsidRPr="00D149F3">
              <w:rPr>
                <w:i/>
                <w:iCs/>
                <w:szCs w:val="22"/>
              </w:rPr>
              <w:t xml:space="preserve">výdaje vyplývající ze změn smluv/závazků podle § 222 zákona č. 134/2016 Sb. o zadávání veřejných zakázek, včetně vyhrazených změn závazků podle § 100 odst. 1 (např. změny cen v průběhu veřejné zakázky v důsledku inflace) jsou obecně způsobilé, za předpokladu, že předmět změny závazku je obecně podporovaná aktivita (případně jde o podporovanou aktivitu v programu), ŘO OPTP navýšení dotace podpoří a akceptuje změnou právního aktu o poskytnutí podpory. Zadavatel by měl postupovat v souladu s doporučeními a stanovisky, týkajících se změn závazků uveřejněných na Portálu k veřejným zakázkám (viz </w:t>
            </w:r>
            <w:hyperlink w:history="1">
              <w:r w:rsidRPr="00D149F3">
                <w:rPr>
                  <w:rStyle w:val="Hypertextovodkaz"/>
                  <w:i/>
                  <w:iCs/>
                  <w:szCs w:val="22"/>
                </w:rPr>
                <w:t>Metodická stanoviska - Portál o veřejných zakázkách www.portal-vz.cz)</w:t>
              </w:r>
            </w:hyperlink>
            <w:r w:rsidRPr="00D149F3">
              <w:rPr>
                <w:rStyle w:val="Hypertextovodkaz"/>
                <w:i/>
                <w:iCs/>
                <w:szCs w:val="22"/>
              </w:rPr>
              <w:t>.</w:t>
            </w:r>
            <w:r w:rsidRPr="00D149F3">
              <w:rPr>
                <w:rStyle w:val="Hypertextovodkaz"/>
                <w:i/>
                <w:iCs/>
                <w:szCs w:val="28"/>
              </w:rPr>
              <w:t>”</w:t>
            </w:r>
          </w:p>
          <w:p w14:paraId="2AA1D4F5" w14:textId="77777777" w:rsidR="00D149F3" w:rsidRDefault="00D149F3" w:rsidP="00563BAC">
            <w:pPr>
              <w:spacing w:before="240" w:after="120"/>
            </w:pPr>
          </w:p>
        </w:tc>
      </w:tr>
      <w:tr w:rsidR="00BA3775" w14:paraId="61EAC87F" w14:textId="77777777" w:rsidTr="00563BAC">
        <w:trPr>
          <w:trHeight w:val="484"/>
        </w:trPr>
        <w:tc>
          <w:tcPr>
            <w:tcW w:w="1902" w:type="dxa"/>
            <w:shd w:val="clear" w:color="auto" w:fill="99CCFF"/>
            <w:vAlign w:val="center"/>
          </w:tcPr>
          <w:p w14:paraId="642C6F22" w14:textId="54116845" w:rsidR="00BA3775" w:rsidRDefault="00BA3775" w:rsidP="00563BAC">
            <w:pPr>
              <w:spacing w:before="120" w:after="120"/>
              <w:jc w:val="center"/>
              <w:rPr>
                <w:rFonts w:cs="Arial"/>
              </w:rPr>
            </w:pPr>
            <w:r>
              <w:rPr>
                <w:rFonts w:cs="Arial"/>
              </w:rPr>
              <w:t>Vydání 3/6</w:t>
            </w:r>
          </w:p>
        </w:tc>
        <w:tc>
          <w:tcPr>
            <w:tcW w:w="7591" w:type="dxa"/>
            <w:shd w:val="clear" w:color="auto" w:fill="99CCFF"/>
          </w:tcPr>
          <w:p w14:paraId="49AA4821" w14:textId="77777777" w:rsidR="00E671A1" w:rsidRDefault="00BA3775" w:rsidP="00E671A1">
            <w:pPr>
              <w:spacing w:after="120"/>
              <w:rPr>
                <w:rFonts w:cs="Arial"/>
                <w:bCs/>
              </w:rPr>
            </w:pPr>
            <w:r>
              <w:rPr>
                <w:rFonts w:cs="Arial"/>
                <w:szCs w:val="28"/>
              </w:rPr>
              <w:t xml:space="preserve">V bodě 1.3 byly změněny </w:t>
            </w:r>
            <w:r w:rsidRPr="00BA3775">
              <w:rPr>
                <w:rFonts w:cs="Arial"/>
                <w:bCs/>
              </w:rPr>
              <w:t>Limity stanovené pro příjemce na akce hrazené z</w:t>
            </w:r>
            <w:r>
              <w:rPr>
                <w:rFonts w:cs="Arial"/>
                <w:bCs/>
              </w:rPr>
              <w:t> </w:t>
            </w:r>
            <w:r w:rsidRPr="00BA3775">
              <w:rPr>
                <w:rFonts w:cs="Arial"/>
                <w:bCs/>
              </w:rPr>
              <w:t>OPTP</w:t>
            </w:r>
            <w:r>
              <w:rPr>
                <w:rFonts w:cs="Arial"/>
                <w:bCs/>
              </w:rPr>
              <w:t xml:space="preserve"> takto:</w:t>
            </w:r>
          </w:p>
          <w:p w14:paraId="7D602D37" w14:textId="627550D1" w:rsidR="002D7B9C" w:rsidRDefault="002D7B9C" w:rsidP="00E671A1">
            <w:pPr>
              <w:spacing w:after="120"/>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t xml:space="preserve">max. 220 Kč/osoba </w:t>
            </w:r>
          </w:p>
          <w:p w14:paraId="6DB3874C" w14:textId="1390E406" w:rsidR="002D7B9C" w:rsidRDefault="002D7B9C" w:rsidP="00E671A1">
            <w:pPr>
              <w:rPr>
                <w:rFonts w:cs="Arial"/>
              </w:rPr>
            </w:pPr>
            <w:r>
              <w:rPr>
                <w:rFonts w:cs="Arial"/>
              </w:rPr>
              <w:t>Oběd/večeře</w:t>
            </w:r>
            <w:r>
              <w:rPr>
                <w:rFonts w:cs="Arial"/>
              </w:rPr>
              <w:tab/>
            </w:r>
            <w:r>
              <w:rPr>
                <w:rFonts w:cs="Arial"/>
              </w:rPr>
              <w:tab/>
            </w:r>
            <w:r>
              <w:rPr>
                <w:rFonts w:cs="Arial"/>
              </w:rPr>
              <w:tab/>
              <w:t>max. 400 Kč/osoba (vč. 1 ks nealko)</w:t>
            </w:r>
          </w:p>
          <w:p w14:paraId="17B04F9C" w14:textId="66899CB4" w:rsidR="00BA3775" w:rsidRPr="00D149F3" w:rsidRDefault="002D7B9C" w:rsidP="00D149F3">
            <w:pPr>
              <w:spacing w:before="120" w:after="120"/>
              <w:rPr>
                <w:rFonts w:cs="Arial"/>
                <w:szCs w:val="28"/>
              </w:rPr>
            </w:pPr>
            <w:r>
              <w:rPr>
                <w:rFonts w:cs="Arial"/>
              </w:rPr>
              <w:t>Raut/bufet</w:t>
            </w:r>
            <w:r>
              <w:rPr>
                <w:rFonts w:cs="Arial"/>
              </w:rPr>
              <w:tab/>
            </w:r>
            <w:r>
              <w:rPr>
                <w:rFonts w:cs="Arial"/>
              </w:rPr>
              <w:tab/>
            </w:r>
            <w:r>
              <w:rPr>
                <w:rFonts w:cs="Arial"/>
              </w:rPr>
              <w:tab/>
              <w:t>max. 500 Kč/osoba (vč. 1 ks nealko)</w:t>
            </w:r>
          </w:p>
        </w:tc>
      </w:tr>
      <w:tr w:rsidR="00EA7CC3" w14:paraId="6857A8B5" w14:textId="77777777" w:rsidTr="00563BAC">
        <w:trPr>
          <w:trHeight w:val="484"/>
        </w:trPr>
        <w:tc>
          <w:tcPr>
            <w:tcW w:w="1902" w:type="dxa"/>
            <w:shd w:val="clear" w:color="auto" w:fill="99CCFF"/>
            <w:vAlign w:val="center"/>
          </w:tcPr>
          <w:p w14:paraId="6BD0FB52" w14:textId="18C2DADB" w:rsidR="00EA7CC3" w:rsidRDefault="00EA7CC3" w:rsidP="00563BAC">
            <w:pPr>
              <w:spacing w:before="120" w:after="120"/>
              <w:jc w:val="center"/>
              <w:rPr>
                <w:rFonts w:cs="Arial"/>
              </w:rPr>
            </w:pPr>
            <w:r>
              <w:rPr>
                <w:rFonts w:cs="Arial"/>
              </w:rPr>
              <w:lastRenderedPageBreak/>
              <w:t>Vydání 3/7</w:t>
            </w:r>
          </w:p>
        </w:tc>
        <w:tc>
          <w:tcPr>
            <w:tcW w:w="7591" w:type="dxa"/>
            <w:shd w:val="clear" w:color="auto" w:fill="99CCFF"/>
          </w:tcPr>
          <w:p w14:paraId="6EE5503B" w14:textId="77777777" w:rsidR="007F17F6" w:rsidRPr="009520C9" w:rsidRDefault="0004751B" w:rsidP="0004751B">
            <w:pPr>
              <w:pStyle w:val="MPtext"/>
              <w:numPr>
                <w:ilvl w:val="0"/>
                <w:numId w:val="2"/>
              </w:numPr>
            </w:pPr>
            <w:r w:rsidRPr="0004751B">
              <w:rPr>
                <w:rFonts w:cs="Arial"/>
                <w:sz w:val="22"/>
                <w:szCs w:val="32"/>
              </w:rPr>
              <w:t xml:space="preserve">V bodě 1.1. </w:t>
            </w:r>
            <w:r w:rsidRPr="0004751B">
              <w:rPr>
                <w:rFonts w:cs="Arial"/>
                <w:b/>
                <w:bCs/>
                <w:sz w:val="22"/>
                <w:szCs w:val="32"/>
              </w:rPr>
              <w:t>Způsobilost výdajů</w:t>
            </w:r>
            <w:r w:rsidRPr="0004751B">
              <w:rPr>
                <w:rFonts w:cs="Arial"/>
                <w:sz w:val="22"/>
                <w:szCs w:val="32"/>
              </w:rPr>
              <w:t xml:space="preserve"> byla vložena poznámka pod čarou č. 1 ve znění:</w:t>
            </w:r>
            <w:r>
              <w:rPr>
                <w:rFonts w:cs="Arial"/>
                <w:szCs w:val="28"/>
              </w:rPr>
              <w:t xml:space="preserve"> </w:t>
            </w:r>
          </w:p>
          <w:p w14:paraId="01C69139" w14:textId="65FB25C8" w:rsidR="0004751B" w:rsidRDefault="0004751B" w:rsidP="007F17F6">
            <w:pPr>
              <w:pStyle w:val="MPtext"/>
              <w:ind w:left="720"/>
            </w:pPr>
            <w:r>
              <w:rPr>
                <w:rFonts w:cs="Arial"/>
                <w:szCs w:val="28"/>
              </w:rPr>
              <w:t>„</w:t>
            </w:r>
            <w:r w:rsidRPr="005E46CA">
              <w:rPr>
                <w:b/>
                <w:bCs/>
                <w:lang w:eastAsia="cs-CZ"/>
              </w:rPr>
              <w:t>Konečné datum způsobilosti výdajů je stanoveno v</w:t>
            </w:r>
            <w:r>
              <w:rPr>
                <w:b/>
                <w:bCs/>
                <w:lang w:eastAsia="cs-CZ"/>
              </w:rPr>
              <w:t> </w:t>
            </w:r>
            <w:r w:rsidRPr="005E46CA">
              <w:rPr>
                <w:b/>
                <w:bCs/>
                <w:lang w:eastAsia="cs-CZ"/>
              </w:rPr>
              <w:t>čl. 65 odst. 2 obecného nařízení, a to na 31. 12. 2023</w:t>
            </w:r>
            <w:r w:rsidRPr="005E46CA">
              <w:rPr>
                <w:rFonts w:cs="Arial"/>
                <w:b/>
                <w:bCs/>
                <w:lang w:eastAsia="cs-CZ"/>
              </w:rPr>
              <w:t>.</w:t>
            </w:r>
            <w:r w:rsidRPr="00DD617E">
              <w:t xml:space="preserve"> </w:t>
            </w:r>
            <w:r>
              <w:t xml:space="preserve">V případě dohody s ŘO může příjemce využít institut zálohových faktur, např. u mzdových či provozních výdajů (energie, služby, pojištění atp.). Rozhodnutí o využití zálohových faktur v rámci těchto výdajů je plně v kompetenci ŘO, V </w:t>
            </w:r>
            <w:r w:rsidRPr="00BF738F">
              <w:t>souladu s</w:t>
            </w:r>
            <w:r>
              <w:t xml:space="preserve"> </w:t>
            </w:r>
            <w:r w:rsidRPr="00BF738F">
              <w:t xml:space="preserve">podmínkami smlouvy mezi příjemcem </w:t>
            </w:r>
            <w:r>
              <w:br/>
            </w:r>
            <w:r w:rsidRPr="00BF738F">
              <w:t xml:space="preserve">a dodavatelem </w:t>
            </w:r>
            <w:r>
              <w:t>musí dojít k </w:t>
            </w:r>
            <w:r w:rsidRPr="00BF738F">
              <w:rPr>
                <w:b/>
              </w:rPr>
              <w:t>proplacení zálohové faktury ze strany příjemce nejpozději</w:t>
            </w:r>
            <w:r>
              <w:rPr>
                <w:b/>
              </w:rPr>
              <w:t xml:space="preserve"> do</w:t>
            </w:r>
            <w:r w:rsidRPr="00BF738F">
              <w:rPr>
                <w:b/>
              </w:rPr>
              <w:t xml:space="preserve"> 31. 12. 20</w:t>
            </w:r>
            <w:r>
              <w:rPr>
                <w:b/>
              </w:rPr>
              <w:t>23</w:t>
            </w:r>
            <w:r w:rsidRPr="00BF738F">
              <w:t>, přičemž k</w:t>
            </w:r>
            <w:r>
              <w:t> </w:t>
            </w:r>
            <w:r w:rsidRPr="00BF738F">
              <w:t xml:space="preserve">vyúčtování této zálohové platby ze strany dodavatele dojde až po tomto datu, a to na základě dodání předmětu plnění. </w:t>
            </w:r>
            <w:r w:rsidRPr="006C1B62">
              <w:rPr>
                <w:b/>
              </w:rPr>
              <w:t>Plnění ze strany dodavatele tedy může být realizováno i po konci r</w:t>
            </w:r>
            <w:r>
              <w:rPr>
                <w:b/>
              </w:rPr>
              <w:t>oku</w:t>
            </w:r>
            <w:r w:rsidRPr="006C1B62">
              <w:rPr>
                <w:b/>
              </w:rPr>
              <w:t xml:space="preserve"> 20</w:t>
            </w:r>
            <w:r>
              <w:rPr>
                <w:b/>
              </w:rPr>
              <w:t>23</w:t>
            </w:r>
            <w:r w:rsidRPr="006C1B62">
              <w:rPr>
                <w:b/>
              </w:rPr>
              <w:t xml:space="preserve"> za předpokladu, že je v</w:t>
            </w:r>
            <w:r>
              <w:rPr>
                <w:b/>
              </w:rPr>
              <w:t> </w:t>
            </w:r>
            <w:r w:rsidRPr="006C1B62">
              <w:rPr>
                <w:b/>
              </w:rPr>
              <w:t>souladu se schváleným harmonogramem projektu (</w:t>
            </w:r>
            <w:r>
              <w:rPr>
                <w:b/>
              </w:rPr>
              <w:t>plnění</w:t>
            </w:r>
            <w:r w:rsidRPr="006C1B62">
              <w:rPr>
                <w:b/>
              </w:rPr>
              <w:t xml:space="preserve"> musí být dodáno v</w:t>
            </w:r>
            <w:r>
              <w:rPr>
                <w:b/>
              </w:rPr>
              <w:t xml:space="preserve"> </w:t>
            </w:r>
            <w:r w:rsidRPr="006C1B62">
              <w:rPr>
                <w:b/>
              </w:rPr>
              <w:t>průběhu realizace projektu).</w:t>
            </w:r>
            <w:r>
              <w:rPr>
                <w:b/>
              </w:rPr>
              <w:t>“</w:t>
            </w:r>
          </w:p>
          <w:p w14:paraId="0EAF369C" w14:textId="39BDDA53" w:rsidR="0004751B" w:rsidRDefault="0004751B" w:rsidP="007F17F6">
            <w:pPr>
              <w:pStyle w:val="Odstavecseseznamem"/>
              <w:spacing w:after="120"/>
              <w:rPr>
                <w:rFonts w:cs="Arial"/>
                <w:szCs w:val="28"/>
              </w:rPr>
            </w:pPr>
          </w:p>
          <w:p w14:paraId="03792CF3" w14:textId="79A3743D" w:rsidR="00EA7CC3" w:rsidRPr="0004751B" w:rsidRDefault="00EA7CC3" w:rsidP="0004751B">
            <w:pPr>
              <w:pStyle w:val="Odstavecseseznamem"/>
              <w:numPr>
                <w:ilvl w:val="0"/>
                <w:numId w:val="2"/>
              </w:numPr>
              <w:spacing w:after="120"/>
              <w:rPr>
                <w:rFonts w:cs="Arial"/>
                <w:szCs w:val="28"/>
              </w:rPr>
            </w:pPr>
            <w:r w:rsidRPr="0004751B">
              <w:rPr>
                <w:rFonts w:cs="Arial"/>
                <w:szCs w:val="28"/>
              </w:rPr>
              <w:t xml:space="preserve">V bodě 2.7.3. </w:t>
            </w:r>
            <w:r w:rsidRPr="0004751B">
              <w:rPr>
                <w:rFonts w:cs="Arial"/>
                <w:b/>
                <w:bCs/>
                <w:szCs w:val="28"/>
              </w:rPr>
              <w:t>Daň z přidané hodno</w:t>
            </w:r>
            <w:r w:rsidR="0004751B">
              <w:rPr>
                <w:rFonts w:cs="Arial"/>
                <w:b/>
                <w:bCs/>
                <w:szCs w:val="28"/>
              </w:rPr>
              <w:t>ty</w:t>
            </w:r>
          </w:p>
          <w:p w14:paraId="4B467086" w14:textId="1C94A2CF" w:rsidR="00EA7CC3" w:rsidRDefault="00EA7CC3" w:rsidP="00E671A1">
            <w:pPr>
              <w:spacing w:after="120"/>
              <w:rPr>
                <w:rFonts w:cs="Arial"/>
                <w:szCs w:val="28"/>
              </w:rPr>
            </w:pPr>
            <w:r>
              <w:rPr>
                <w:rFonts w:cs="Arial"/>
                <w:szCs w:val="28"/>
              </w:rPr>
              <w:t xml:space="preserve">Text v 1. odstavci </w:t>
            </w:r>
            <w:r w:rsidR="00E47D38">
              <w:rPr>
                <w:rFonts w:cs="Arial"/>
                <w:szCs w:val="28"/>
              </w:rPr>
              <w:t xml:space="preserve">byl </w:t>
            </w:r>
            <w:r>
              <w:rPr>
                <w:rFonts w:cs="Arial"/>
                <w:szCs w:val="28"/>
              </w:rPr>
              <w:t xml:space="preserve">upraven v souladu s MS č.6 k MP </w:t>
            </w:r>
            <w:bookmarkStart w:id="194" w:name="_Hlk125540015"/>
            <w:r w:rsidR="00E47D38" w:rsidRPr="00E47D38">
              <w:rPr>
                <w:bCs/>
                <w:szCs w:val="28"/>
              </w:rPr>
              <w:t>pro způsobilost výdajů a jejich vykazování v programovém období 2014-2020</w:t>
            </w:r>
            <w:bookmarkEnd w:id="194"/>
            <w:r w:rsidRPr="00E47D38">
              <w:rPr>
                <w:rFonts w:cs="Arial"/>
                <w:sz w:val="24"/>
                <w:szCs w:val="32"/>
              </w:rPr>
              <w:t xml:space="preserve"> </w:t>
            </w:r>
          </w:p>
        </w:tc>
      </w:tr>
    </w:tbl>
    <w:p w14:paraId="6FAB6D75" w14:textId="77777777" w:rsidR="00563BAC" w:rsidRDefault="00563BAC" w:rsidP="00563BAC">
      <w:pPr>
        <w:spacing w:before="120" w:after="120"/>
        <w:jc w:val="center"/>
        <w:rPr>
          <w:rFonts w:cs="Arial"/>
          <w:szCs w:val="22"/>
        </w:rPr>
      </w:pPr>
    </w:p>
    <w:p w14:paraId="1E930E27" w14:textId="77777777" w:rsidR="00563BAC" w:rsidRDefault="00563BAC" w:rsidP="00563BAC">
      <w:pPr>
        <w:spacing w:before="120" w:after="120"/>
        <w:jc w:val="center"/>
        <w:rPr>
          <w:rFonts w:cs="Arial"/>
          <w:szCs w:val="22"/>
        </w:rPr>
      </w:pPr>
    </w:p>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C70C"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563BAC" w:rsidRDefault="0056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563BAC" w:rsidRDefault="00563BAC">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563BAC" w:rsidRDefault="00563BAC" w:rsidP="00B071B4">
    <w:pPr>
      <w:pStyle w:val="Zpat"/>
    </w:pPr>
  </w:p>
  <w:p w14:paraId="4C2031D2" w14:textId="77777777" w:rsidR="00563BAC" w:rsidRDefault="0056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22F7"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563BAC" w:rsidRDefault="00563BAC"/>
  </w:footnote>
  <w:footnote w:id="2">
    <w:p w14:paraId="37726B8E" w14:textId="69E8D957" w:rsidR="00DD617E" w:rsidRDefault="00230813" w:rsidP="00DD617E">
      <w:pPr>
        <w:pStyle w:val="MPtext"/>
      </w:pPr>
      <w:r>
        <w:rPr>
          <w:rStyle w:val="Znakapoznpodarou"/>
        </w:rPr>
        <w:footnoteRef/>
      </w:r>
      <w:r>
        <w:t xml:space="preserve"> </w:t>
      </w:r>
      <w:r w:rsidRPr="005E46CA">
        <w:rPr>
          <w:b/>
          <w:bCs/>
          <w:lang w:eastAsia="cs-CZ"/>
        </w:rPr>
        <w:t>Konečné datum způsobilosti výdajů je stanoveno v</w:t>
      </w:r>
      <w:r>
        <w:rPr>
          <w:b/>
          <w:bCs/>
          <w:lang w:eastAsia="cs-CZ"/>
        </w:rPr>
        <w:t> </w:t>
      </w:r>
      <w:r w:rsidRPr="005E46CA">
        <w:rPr>
          <w:b/>
          <w:bCs/>
          <w:lang w:eastAsia="cs-CZ"/>
        </w:rPr>
        <w:t>čl. 65 odst. 2 obecného nařízení, a to na 31. 12. 2023</w:t>
      </w:r>
      <w:r w:rsidRPr="005E46CA">
        <w:rPr>
          <w:rFonts w:cs="Arial"/>
          <w:b/>
          <w:bCs/>
          <w:lang w:eastAsia="cs-CZ"/>
        </w:rPr>
        <w:t>.</w:t>
      </w:r>
      <w:r w:rsidR="00DD617E" w:rsidRPr="00DD617E">
        <w:t xml:space="preserve"> </w:t>
      </w:r>
      <w:r w:rsidR="00DD617E">
        <w:t xml:space="preserve">V případě dohody s ŘO může příjemce využít institut zálohových faktur, např. u mzdových či provozních výdajů (energie, služby, pojištění atp.). Rozhodnutí o využití zálohových faktur v rámci těchto výdajů je plně v kompetenci ŘO, V </w:t>
      </w:r>
      <w:r w:rsidR="00DD617E" w:rsidRPr="00BF738F">
        <w:t>souladu s</w:t>
      </w:r>
      <w:r w:rsidR="00DD617E">
        <w:t xml:space="preserve"> </w:t>
      </w:r>
      <w:r w:rsidR="00DD617E" w:rsidRPr="00BF738F">
        <w:t xml:space="preserve">podmínkami smlouvy mezi příjemcem </w:t>
      </w:r>
      <w:r w:rsidR="00DD617E">
        <w:br/>
      </w:r>
      <w:r w:rsidR="00DD617E" w:rsidRPr="00BF738F">
        <w:t xml:space="preserve">a dodavatelem </w:t>
      </w:r>
      <w:r w:rsidR="00DD617E">
        <w:t>musí dojít k </w:t>
      </w:r>
      <w:r w:rsidR="00DD617E" w:rsidRPr="00BF738F">
        <w:rPr>
          <w:b/>
        </w:rPr>
        <w:t>proplacení zálohové faktury ze strany příjemce nejpozději</w:t>
      </w:r>
      <w:r w:rsidR="00DD617E">
        <w:rPr>
          <w:b/>
        </w:rPr>
        <w:t xml:space="preserve"> do</w:t>
      </w:r>
      <w:r w:rsidR="00DD617E" w:rsidRPr="00BF738F">
        <w:rPr>
          <w:b/>
        </w:rPr>
        <w:t xml:space="preserve"> 31. 12. 20</w:t>
      </w:r>
      <w:r w:rsidR="00DD617E">
        <w:rPr>
          <w:b/>
        </w:rPr>
        <w:t>23</w:t>
      </w:r>
      <w:r w:rsidR="00DD617E" w:rsidRPr="00BF738F">
        <w:t>, přičemž k</w:t>
      </w:r>
      <w:r w:rsidR="00DD617E">
        <w:t> </w:t>
      </w:r>
      <w:r w:rsidR="00DD617E" w:rsidRPr="00BF738F">
        <w:t xml:space="preserve">vyúčtování této zálohové platby ze strany dodavatele dojde až po tomto datu, a to na základě dodání předmětu plnění. </w:t>
      </w:r>
      <w:r w:rsidR="00DD617E" w:rsidRPr="006C1B62">
        <w:rPr>
          <w:b/>
        </w:rPr>
        <w:t>Plnění ze strany dodavatele tedy může být realizováno i po konci r</w:t>
      </w:r>
      <w:r w:rsidR="00DD617E">
        <w:rPr>
          <w:b/>
        </w:rPr>
        <w:t>oku</w:t>
      </w:r>
      <w:r w:rsidR="00DD617E" w:rsidRPr="006C1B62">
        <w:rPr>
          <w:b/>
        </w:rPr>
        <w:t xml:space="preserve"> 20</w:t>
      </w:r>
      <w:r w:rsidR="00DD617E">
        <w:rPr>
          <w:b/>
        </w:rPr>
        <w:t>23</w:t>
      </w:r>
      <w:r w:rsidR="00DD617E" w:rsidRPr="006C1B62">
        <w:rPr>
          <w:b/>
        </w:rPr>
        <w:t xml:space="preserve"> za předpokladu, že je v</w:t>
      </w:r>
      <w:r w:rsidR="00DD617E">
        <w:rPr>
          <w:b/>
        </w:rPr>
        <w:t> </w:t>
      </w:r>
      <w:r w:rsidR="00DD617E" w:rsidRPr="006C1B62">
        <w:rPr>
          <w:b/>
        </w:rPr>
        <w:t>souladu se schváleným harmonogramem projektu (</w:t>
      </w:r>
      <w:r w:rsidR="00DD617E">
        <w:rPr>
          <w:b/>
        </w:rPr>
        <w:t>plnění</w:t>
      </w:r>
      <w:r w:rsidR="00DD617E" w:rsidRPr="006C1B62">
        <w:rPr>
          <w:b/>
        </w:rPr>
        <w:t xml:space="preserve"> musí být dodáno v</w:t>
      </w:r>
      <w:r w:rsidR="00DD617E">
        <w:rPr>
          <w:b/>
        </w:rPr>
        <w:t xml:space="preserve"> </w:t>
      </w:r>
      <w:r w:rsidR="00DD617E" w:rsidRPr="006C1B62">
        <w:rPr>
          <w:b/>
        </w:rPr>
        <w:t>průběhu realizace projektu).</w:t>
      </w:r>
      <w:r w:rsidR="00DD617E">
        <w:t xml:space="preserve"> </w:t>
      </w:r>
    </w:p>
    <w:p w14:paraId="5EFBDEBC" w14:textId="77777777" w:rsidR="00DD617E" w:rsidRPr="00FE7B36" w:rsidRDefault="00DD617E" w:rsidP="00DD617E">
      <w:pPr>
        <w:pStyle w:val="MPtext"/>
      </w:pPr>
      <w:r>
        <w:tab/>
      </w:r>
    </w:p>
    <w:p w14:paraId="0E0AC60B" w14:textId="7F9CA83C" w:rsidR="00230813" w:rsidRDefault="00230813">
      <w:pPr>
        <w:pStyle w:val="Textpoznpodarou"/>
      </w:pPr>
    </w:p>
  </w:footnote>
  <w:footnote w:id="3">
    <w:p w14:paraId="02A02FBC" w14:textId="77777777" w:rsidR="00563BAC" w:rsidRPr="009617DE" w:rsidRDefault="00563BA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5653E9B5" w14:textId="77777777" w:rsidR="00563BAC" w:rsidRDefault="00563BAC">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5">
    <w:p w14:paraId="6C399740" w14:textId="77777777" w:rsidR="00563BAC" w:rsidRPr="00362584" w:rsidRDefault="00563BA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6">
    <w:p w14:paraId="786C6290" w14:textId="77777777" w:rsidR="00563BAC" w:rsidRPr="00362584" w:rsidRDefault="00563BA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7">
    <w:p w14:paraId="710E394D" w14:textId="77777777" w:rsidR="00563BAC" w:rsidRPr="009617DE" w:rsidRDefault="00563BA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8">
    <w:p w14:paraId="49B93D14" w14:textId="77777777" w:rsidR="00563BAC" w:rsidRPr="00E92845"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9">
    <w:p w14:paraId="6268F6B7" w14:textId="77777777" w:rsidR="00563BAC" w:rsidRPr="00394444" w:rsidRDefault="00563BAC"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10">
    <w:p w14:paraId="6FCDAB23" w14:textId="77777777" w:rsidR="00563BAC" w:rsidRPr="009617DE" w:rsidRDefault="00563BA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1">
    <w:p w14:paraId="402B43B1" w14:textId="77777777" w:rsidR="00563BAC" w:rsidRPr="009617DE" w:rsidRDefault="00563BA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2">
    <w:p w14:paraId="56D0BF61" w14:textId="77777777" w:rsidR="00563BAC" w:rsidRPr="007909EB" w:rsidRDefault="00563BA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3">
    <w:p w14:paraId="214AE387" w14:textId="77777777" w:rsidR="00563BAC" w:rsidRPr="007D698B" w:rsidRDefault="00563BA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4">
    <w:p w14:paraId="51076C1D" w14:textId="77777777" w:rsidR="00563BAC" w:rsidRPr="00DD212A" w:rsidRDefault="00563BA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5">
    <w:p w14:paraId="24CB659C" w14:textId="77777777" w:rsidR="00563BAC" w:rsidRPr="009617DE" w:rsidRDefault="00563BA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6">
    <w:p w14:paraId="2A05D9AE" w14:textId="77777777" w:rsidR="00563BAC" w:rsidRPr="007909EB" w:rsidRDefault="00563BA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7">
    <w:p w14:paraId="73A0BBC0" w14:textId="5160585F" w:rsidR="00563BAC" w:rsidRDefault="00563BAC">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8">
    <w:p w14:paraId="784F9CE6" w14:textId="77777777" w:rsidR="00563BAC" w:rsidRPr="009617DE"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9">
    <w:p w14:paraId="21430FFA" w14:textId="77777777" w:rsidR="00563BAC" w:rsidRPr="00452F8E"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20">
    <w:p w14:paraId="24C8BD5E" w14:textId="77777777" w:rsidR="00563BAC" w:rsidRPr="007909EB"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1">
    <w:p w14:paraId="441586EE" w14:textId="77777777" w:rsidR="00563BAC" w:rsidRDefault="00563BAC">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2">
    <w:p w14:paraId="08E632C1" w14:textId="77777777" w:rsidR="00563BAC" w:rsidRPr="007909EB" w:rsidRDefault="00563BA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563BAC" w:rsidRDefault="00563BAC">
    <w:pPr>
      <w:pStyle w:val="Zhlav"/>
    </w:pPr>
  </w:p>
  <w:p w14:paraId="2E68F6AB" w14:textId="77777777" w:rsidR="00563BAC" w:rsidRDefault="00563BAC">
    <w:pPr>
      <w:pStyle w:val="Zhlav"/>
    </w:pPr>
  </w:p>
  <w:p w14:paraId="0BCBD0B2" w14:textId="77777777" w:rsidR="00563BAC" w:rsidRDefault="00563BAC">
    <w:pPr>
      <w:pStyle w:val="Zhlav"/>
    </w:pPr>
  </w:p>
  <w:p w14:paraId="2511F696" w14:textId="77777777" w:rsidR="00563BAC" w:rsidRDefault="00563B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77777777" w:rsidR="00563BAC" w:rsidRDefault="00563BAC"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424F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77003693">
    <w:abstractNumId w:val="26"/>
  </w:num>
  <w:num w:numId="2" w16cid:durableId="634608369">
    <w:abstractNumId w:val="12"/>
  </w:num>
  <w:num w:numId="3" w16cid:durableId="566502038">
    <w:abstractNumId w:val="20"/>
  </w:num>
  <w:num w:numId="4" w16cid:durableId="523131181">
    <w:abstractNumId w:val="23"/>
  </w:num>
  <w:num w:numId="5" w16cid:durableId="416487413">
    <w:abstractNumId w:val="3"/>
  </w:num>
  <w:num w:numId="6" w16cid:durableId="522018453">
    <w:abstractNumId w:val="17"/>
  </w:num>
  <w:num w:numId="7" w16cid:durableId="1413238725">
    <w:abstractNumId w:val="27"/>
  </w:num>
  <w:num w:numId="8" w16cid:durableId="1939679313">
    <w:abstractNumId w:val="7"/>
  </w:num>
  <w:num w:numId="9" w16cid:durableId="1554539903">
    <w:abstractNumId w:val="5"/>
  </w:num>
  <w:num w:numId="10" w16cid:durableId="541065374">
    <w:abstractNumId w:val="11"/>
  </w:num>
  <w:num w:numId="11" w16cid:durableId="1017729707">
    <w:abstractNumId w:val="1"/>
    <w:lvlOverride w:ilvl="0">
      <w:lvl w:ilvl="0">
        <w:start w:val="1"/>
        <w:numFmt w:val="decimal"/>
        <w:lvlText w:val="%1."/>
        <w:lvlJc w:val="left"/>
        <w:pPr>
          <w:ind w:left="432" w:hanging="432"/>
        </w:pPr>
        <w:rPr>
          <w:rFonts w:hint="default"/>
        </w:rPr>
      </w:lvl>
    </w:lvlOverride>
  </w:num>
  <w:num w:numId="12" w16cid:durableId="1489398870">
    <w:abstractNumId w:val="4"/>
  </w:num>
  <w:num w:numId="13" w16cid:durableId="852651087">
    <w:abstractNumId w:val="30"/>
  </w:num>
  <w:num w:numId="14" w16cid:durableId="770975158">
    <w:abstractNumId w:val="24"/>
  </w:num>
  <w:num w:numId="15" w16cid:durableId="1100880699">
    <w:abstractNumId w:val="2"/>
  </w:num>
  <w:num w:numId="16" w16cid:durableId="2090493106">
    <w:abstractNumId w:val="21"/>
  </w:num>
  <w:num w:numId="17" w16cid:durableId="275336383">
    <w:abstractNumId w:val="5"/>
  </w:num>
  <w:num w:numId="18" w16cid:durableId="925647662">
    <w:abstractNumId w:val="29"/>
  </w:num>
  <w:num w:numId="19" w16cid:durableId="1709601612">
    <w:abstractNumId w:val="25"/>
  </w:num>
  <w:num w:numId="20" w16cid:durableId="1539394373">
    <w:abstractNumId w:val="15"/>
  </w:num>
  <w:num w:numId="21" w16cid:durableId="1005481121">
    <w:abstractNumId w:val="13"/>
  </w:num>
  <w:num w:numId="22" w16cid:durableId="847329730">
    <w:abstractNumId w:val="8"/>
  </w:num>
  <w:num w:numId="23" w16cid:durableId="1890533671">
    <w:abstractNumId w:val="8"/>
  </w:num>
  <w:num w:numId="24" w16cid:durableId="1916012893">
    <w:abstractNumId w:val="31"/>
  </w:num>
  <w:num w:numId="25" w16cid:durableId="186988011">
    <w:abstractNumId w:val="9"/>
  </w:num>
  <w:num w:numId="26" w16cid:durableId="1968125048">
    <w:abstractNumId w:val="32"/>
  </w:num>
  <w:num w:numId="27" w16cid:durableId="1734697166">
    <w:abstractNumId w:val="32"/>
  </w:num>
  <w:num w:numId="28" w16cid:durableId="1811246256">
    <w:abstractNumId w:val="32"/>
  </w:num>
  <w:num w:numId="29" w16cid:durableId="1370448125">
    <w:abstractNumId w:val="10"/>
  </w:num>
  <w:num w:numId="30" w16cid:durableId="1585264123">
    <w:abstractNumId w:val="0"/>
  </w:num>
  <w:num w:numId="31" w16cid:durableId="278572">
    <w:abstractNumId w:val="22"/>
  </w:num>
  <w:num w:numId="32" w16cid:durableId="706489096">
    <w:abstractNumId w:val="18"/>
  </w:num>
  <w:num w:numId="33" w16cid:durableId="654456114">
    <w:abstractNumId w:val="19"/>
  </w:num>
  <w:num w:numId="34" w16cid:durableId="2097089296">
    <w:abstractNumId w:val="16"/>
  </w:num>
  <w:num w:numId="35" w16cid:durableId="36516623">
    <w:abstractNumId w:val="16"/>
  </w:num>
  <w:num w:numId="36" w16cid:durableId="815683878">
    <w:abstractNumId w:val="16"/>
  </w:num>
  <w:num w:numId="37" w16cid:durableId="1469860671">
    <w:abstractNumId w:val="16"/>
  </w:num>
  <w:num w:numId="38" w16cid:durableId="752554405">
    <w:abstractNumId w:val="28"/>
  </w:num>
  <w:num w:numId="39" w16cid:durableId="1191069626">
    <w:abstractNumId w:val="14"/>
  </w:num>
  <w:num w:numId="40" w16cid:durableId="696582932">
    <w:abstractNumId w:val="16"/>
  </w:num>
  <w:num w:numId="41" w16cid:durableId="15292180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3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51B"/>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067D"/>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0813"/>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D7B9C"/>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7C1"/>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376"/>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19F0"/>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3BAC"/>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2B9B"/>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7F6"/>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4C88"/>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3775"/>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269"/>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149F3"/>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2FCE"/>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D617E"/>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47D38"/>
    <w:rsid w:val="00E50678"/>
    <w:rsid w:val="00E506A5"/>
    <w:rsid w:val="00E51629"/>
    <w:rsid w:val="00E5206E"/>
    <w:rsid w:val="00E53411"/>
    <w:rsid w:val="00E54BCA"/>
    <w:rsid w:val="00E5581B"/>
    <w:rsid w:val="00E57E31"/>
    <w:rsid w:val="00E607DE"/>
    <w:rsid w:val="00E613CD"/>
    <w:rsid w:val="00E61714"/>
    <w:rsid w:val="00E62E0B"/>
    <w:rsid w:val="00E6317B"/>
    <w:rsid w:val="00E66041"/>
    <w:rsid w:val="00E6663A"/>
    <w:rsid w:val="00E671A1"/>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A7CC3"/>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1DB0"/>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6609"/>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Obrázek"/>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iPriority w:val="99"/>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Sledovanodkaz">
    <w:name w:val="FollowedHyperlink"/>
    <w:basedOn w:val="Standardnpsmoodstavce"/>
    <w:uiPriority w:val="99"/>
    <w:semiHidden/>
    <w:unhideWhenUsed/>
    <w:rsid w:val="00FB1DB0"/>
    <w:rPr>
      <w:color w:val="800080" w:themeColor="followedHyperlink"/>
      <w:u w:val="single"/>
    </w:rPr>
  </w:style>
  <w:style w:type="character" w:styleId="Nevyeenzmnka">
    <w:name w:val="Unresolved Mention"/>
    <w:basedOn w:val="Standardnpsmoodstavce"/>
    <w:uiPriority w:val="99"/>
    <w:semiHidden/>
    <w:unhideWhenUsed/>
    <w:rsid w:val="00FB1DB0"/>
    <w:rPr>
      <w:color w:val="605E5C"/>
      <w:shd w:val="clear" w:color="auto" w:fill="E1DFDD"/>
    </w:rPr>
  </w:style>
  <w:style w:type="paragraph" w:customStyle="1" w:styleId="MPtext">
    <w:name w:val="MP_text"/>
    <w:basedOn w:val="Normln"/>
    <w:link w:val="MPtextChar"/>
    <w:qFormat/>
    <w:rsid w:val="00DD617E"/>
    <w:pPr>
      <w:spacing w:before="60" w:after="120" w:line="264" w:lineRule="auto"/>
    </w:pPr>
    <w:rPr>
      <w:sz w:val="20"/>
      <w:szCs w:val="20"/>
      <w:lang w:eastAsia="en-US" w:bidi="en-US"/>
    </w:rPr>
  </w:style>
  <w:style w:type="character" w:customStyle="1" w:styleId="MPtextChar">
    <w:name w:val="MP_text Char"/>
    <w:basedOn w:val="Standardnpsmoodstavce"/>
    <w:link w:val="MPtext"/>
    <w:rsid w:val="00DD617E"/>
    <w:rPr>
      <w:rFonts w:ascii="Arial" w:eastAsia="Times New Roman" w:hAnsi="Arial"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7839-E923-49F7-B6AD-3298D27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11807</Words>
  <Characters>69667</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Hladíková Ivana</cp:lastModifiedBy>
  <cp:revision>7</cp:revision>
  <cp:lastPrinted>2022-03-16T10:00:00Z</cp:lastPrinted>
  <dcterms:created xsi:type="dcterms:W3CDTF">2023-05-12T11:14:00Z</dcterms:created>
  <dcterms:modified xsi:type="dcterms:W3CDTF">2023-06-28T13:41:00Z</dcterms:modified>
</cp:coreProperties>
</file>