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9D" w:rsidRPr="0057160A" w:rsidRDefault="008A019D" w:rsidP="008A019D">
      <w:pPr>
        <w:rPr>
          <w:rFonts w:cs="Arial"/>
          <w:b/>
          <w:szCs w:val="20"/>
        </w:rPr>
      </w:pPr>
      <w:r w:rsidRPr="0057160A">
        <w:rPr>
          <w:rFonts w:cs="Arial"/>
          <w:b/>
          <w:szCs w:val="20"/>
        </w:rPr>
        <w:t>Východiska pro přípravu Dohody o partnerství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Zdroje z rozpočtu EU na politiku soudržnosti pro období 2021–2027 poklesly (pro ČR o 24 %), přesto se však jedná o poměrně významnou sumu prostředků, která může posunout zaostávající regiony k lepší prosperitě, přispět ke konvergenci členských států a regionů, odstranit disparity a dosáhnout soudržnosti jejich obyvatel</w:t>
      </w:r>
      <w:r>
        <w:rPr>
          <w:rFonts w:cs="Arial"/>
          <w:szCs w:val="20"/>
        </w:rPr>
        <w:t>.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Aby bylo možné s menším objemem finančních prostředků dosáhnout stejného nebo ještě většího efektu než v tomto programovém období, a aby byla zajištěna co největší účinnost při využívání fondů EU, byly stanoveny cíle politiky, jejichž naplnění má zajistit žádoucí změnu a posun EU směrem k vyšší konkurenceschopnosti a kvalitě života jejich občanů. V návrhu Obecného nařízení bylo určeno těchto pět cílů politiky (CP):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CP (1) inteligentnější Evropa díky podpoře inovativní a inteligentní ekonomické transformace;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CP (2) zelenější, nízkouhlíková Evropa díky podpoře přechodu na čistou a spravedlivou energii, zelených a modrých investic, oběhového hospodářství, přizpůsobení se změnám klimatu a prevence a řízení rizik;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CP (3) propojenější Evropa díky zvyšování mobility a regionálního propojení IKT;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CP (4) sociálnější Evropa díky provádění evropského pilíře sociálních práv;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>CP (5) Evropa bližší občanům díky podpoře udržitelného a integrovaného rozvoje městských, venkovských a pobřežních oblastí a místních iniciativ.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V </w:t>
      </w:r>
      <w:proofErr w:type="spellStart"/>
      <w:proofErr w:type="gramStart"/>
      <w:r w:rsidRPr="0057160A">
        <w:rPr>
          <w:rFonts w:cs="Arial"/>
          <w:szCs w:val="20"/>
        </w:rPr>
        <w:t>DoP</w:t>
      </w:r>
      <w:proofErr w:type="spellEnd"/>
      <w:proofErr w:type="gramEnd"/>
      <w:r w:rsidRPr="0057160A">
        <w:rPr>
          <w:rFonts w:cs="Arial"/>
          <w:szCs w:val="20"/>
        </w:rPr>
        <w:t xml:space="preserve"> budou Cíle politiky specifikovány a jejich výběr, jakož i volba fondů EU, které budou využity členským státem k jejich naplňování, musí být řádně zdůvodněn. Vybrané Cíle politiky musí být rovněž v souladu s národními strategickými cíli (ty jsou uvedeny především v</w:t>
      </w:r>
      <w:r>
        <w:rPr>
          <w:rFonts w:cs="Arial"/>
          <w:szCs w:val="20"/>
        </w:rPr>
        <w:t> </w:t>
      </w:r>
      <w:hyperlink r:id="rId4" w:history="1">
        <w:r w:rsidRPr="008A019D">
          <w:rPr>
            <w:rStyle w:val="Hypertextovodkaz"/>
            <w:rFonts w:cs="Arial"/>
            <w:b/>
            <w:bCs/>
            <w:szCs w:val="20"/>
          </w:rPr>
          <w:t>NKR</w:t>
        </w:r>
      </w:hyperlink>
      <w:r w:rsidRPr="0057160A">
        <w:rPr>
          <w:rFonts w:cs="Arial"/>
          <w:szCs w:val="20"/>
        </w:rPr>
        <w:t xml:space="preserve">, ale i dalších národních strategiích). Soulad </w:t>
      </w:r>
      <w:proofErr w:type="spellStart"/>
      <w:r w:rsidRPr="0057160A">
        <w:rPr>
          <w:rFonts w:cs="Arial"/>
          <w:szCs w:val="20"/>
        </w:rPr>
        <w:t>DoP</w:t>
      </w:r>
      <w:proofErr w:type="spellEnd"/>
      <w:r w:rsidRPr="0057160A">
        <w:rPr>
          <w:rFonts w:cs="Arial"/>
          <w:szCs w:val="20"/>
        </w:rPr>
        <w:t xml:space="preserve"> s cíli a pravidly uvedenými v </w:t>
      </w:r>
      <w:proofErr w:type="gramStart"/>
      <w:r w:rsidRPr="0057160A">
        <w:rPr>
          <w:rFonts w:cs="Arial"/>
          <w:szCs w:val="20"/>
        </w:rPr>
        <w:t>ON</w:t>
      </w:r>
      <w:proofErr w:type="gramEnd"/>
      <w:r w:rsidRPr="0057160A">
        <w:rPr>
          <w:rFonts w:cs="Arial"/>
          <w:szCs w:val="20"/>
        </w:rPr>
        <w:t xml:space="preserve"> (a v dalších nařízeních) bude EK posuzovat v procesu schvalování </w:t>
      </w:r>
      <w:proofErr w:type="spellStart"/>
      <w:r w:rsidRPr="0057160A">
        <w:rPr>
          <w:rFonts w:cs="Arial"/>
          <w:szCs w:val="20"/>
        </w:rPr>
        <w:t>DoP.</w:t>
      </w:r>
      <w:proofErr w:type="spellEnd"/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Na hlavní strukturální problémy upozornila i EK v </w:t>
      </w:r>
      <w:r w:rsidRPr="00911539">
        <w:rPr>
          <w:rFonts w:cs="Arial"/>
          <w:szCs w:val="20"/>
        </w:rPr>
        <w:t>doporučeních Rady k</w:t>
      </w:r>
      <w:r w:rsidRPr="00911539">
        <w:rPr>
          <w:rFonts w:cs="Arial"/>
          <w:b/>
          <w:szCs w:val="20"/>
          <w:u w:val="single"/>
        </w:rPr>
        <w:t xml:space="preserve"> </w:t>
      </w:r>
      <w:hyperlink r:id="rId5" w:history="1">
        <w:r w:rsidRPr="008A019D">
          <w:rPr>
            <w:rStyle w:val="Hypertextovodkaz"/>
            <w:rFonts w:cs="Arial"/>
            <w:b/>
            <w:szCs w:val="20"/>
          </w:rPr>
          <w:t>Národnímu programu reforem pro rok 2019</w:t>
        </w:r>
      </w:hyperlink>
      <w:r w:rsidRPr="00911539">
        <w:rPr>
          <w:rFonts w:cs="Arial"/>
          <w:b/>
          <w:szCs w:val="20"/>
          <w:u w:val="single"/>
        </w:rPr>
        <w:t>,</w:t>
      </w:r>
      <w:r w:rsidRPr="0057160A">
        <w:rPr>
          <w:rFonts w:cs="Arial"/>
          <w:szCs w:val="20"/>
        </w:rPr>
        <w:t xml:space="preserve"> který naplňuje a rozpracovává požadavky Evropského semestru. Podrobněji byly tyto nedostatky popsány i ve </w:t>
      </w:r>
      <w:hyperlink r:id="rId6" w:history="1">
        <w:r w:rsidRPr="008A019D">
          <w:rPr>
            <w:rStyle w:val="Hypertextovodkaz"/>
            <w:rFonts w:cs="Arial"/>
            <w:b/>
            <w:bCs/>
            <w:szCs w:val="20"/>
          </w:rPr>
          <w:t>Zprávě o České republice (Country report)</w:t>
        </w:r>
      </w:hyperlink>
      <w:r>
        <w:rPr>
          <w:rFonts w:cs="Arial"/>
          <w:b/>
          <w:bCs/>
          <w:szCs w:val="20"/>
          <w:u w:val="single"/>
        </w:rPr>
        <w:t xml:space="preserve"> </w:t>
      </w:r>
      <w:r w:rsidRPr="0057160A">
        <w:rPr>
          <w:rFonts w:cs="Arial"/>
          <w:szCs w:val="20"/>
        </w:rPr>
        <w:t xml:space="preserve">kde byly uvedeny i </w:t>
      </w:r>
      <w:r w:rsidRPr="0051608C">
        <w:rPr>
          <w:rFonts w:cs="Arial"/>
          <w:szCs w:val="20"/>
        </w:rPr>
        <w:t>investiční pokyny (v příloze D)</w:t>
      </w:r>
      <w:r w:rsidRPr="0057160A">
        <w:rPr>
          <w:rFonts w:cs="Arial"/>
          <w:szCs w:val="20"/>
        </w:rPr>
        <w:t xml:space="preserve"> k financování politiky soudržnosti v období 2021–2027.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Dohoda o partnerství musí reagovat na tyto skutečnosti, bude proto určovat strategické směřování k cílům, kterých chce členský stát s pomocí EU fondů dosáhnout. ČR zahrne do </w:t>
      </w:r>
      <w:proofErr w:type="spellStart"/>
      <w:proofErr w:type="gramStart"/>
      <w:r w:rsidRPr="0057160A">
        <w:rPr>
          <w:rFonts w:cs="Arial"/>
          <w:szCs w:val="20"/>
        </w:rPr>
        <w:t>DoP</w:t>
      </w:r>
      <w:proofErr w:type="spellEnd"/>
      <w:proofErr w:type="gramEnd"/>
      <w:r w:rsidRPr="0057160A">
        <w:rPr>
          <w:rFonts w:cs="Arial"/>
          <w:szCs w:val="20"/>
        </w:rPr>
        <w:t xml:space="preserve"> fondy EFRR, FS, ESF+ a ENRF a nasměruje jejich využití do všech pěti cílů politiky, protože všechny jsou v souladu s národními strategickými záměry. Právě jejich realizací se bude ČR přibližovat cílům EU, naplňovat smysl politiky soudržnosti a přispívat ke zvyšování kvality života občanů.</w:t>
      </w:r>
    </w:p>
    <w:p w:rsidR="008A019D" w:rsidRPr="0057160A" w:rsidRDefault="008A019D" w:rsidP="008A019D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Struktura, obsah i rozsah </w:t>
      </w:r>
      <w:proofErr w:type="spellStart"/>
      <w:r w:rsidRPr="0057160A">
        <w:rPr>
          <w:rFonts w:cs="Arial"/>
          <w:szCs w:val="20"/>
        </w:rPr>
        <w:t>DoP</w:t>
      </w:r>
      <w:proofErr w:type="spellEnd"/>
      <w:r w:rsidRPr="0057160A">
        <w:rPr>
          <w:rFonts w:cs="Arial"/>
          <w:szCs w:val="20"/>
        </w:rPr>
        <w:t xml:space="preserve"> je závazně stanoven v </w:t>
      </w:r>
      <w:proofErr w:type="spellStart"/>
      <w:r w:rsidRPr="0057160A">
        <w:rPr>
          <w:rFonts w:cs="Arial"/>
          <w:b/>
          <w:bCs/>
          <w:szCs w:val="20"/>
          <w:u w:val="single"/>
        </w:rPr>
        <w:t>v</w:t>
      </w:r>
      <w:proofErr w:type="spellEnd"/>
      <w:r w:rsidRPr="0057160A">
        <w:rPr>
          <w:rFonts w:cs="Arial"/>
          <w:b/>
          <w:bCs/>
          <w:szCs w:val="20"/>
          <w:u w:val="single"/>
        </w:rPr>
        <w:t xml:space="preserve"> </w:t>
      </w:r>
      <w:hyperlink r:id="rId7" w:history="1">
        <w:r w:rsidRPr="00F9208C">
          <w:rPr>
            <w:rStyle w:val="Hypertextovodkaz"/>
            <w:rFonts w:cs="Arial"/>
            <w:b/>
            <w:bCs/>
            <w:szCs w:val="20"/>
          </w:rPr>
          <w:t>příloze II ON</w:t>
        </w:r>
      </w:hyperlink>
      <w:r w:rsidRPr="0057160A">
        <w:rPr>
          <w:rFonts w:cs="Arial"/>
          <w:b/>
          <w:bCs/>
          <w:szCs w:val="20"/>
          <w:u w:val="single"/>
        </w:rPr>
        <w:t>.</w:t>
      </w:r>
      <w:r>
        <w:rPr>
          <w:rFonts w:cs="Arial"/>
          <w:b/>
          <w:bCs/>
          <w:szCs w:val="20"/>
          <w:u w:val="single"/>
        </w:rPr>
        <w:t xml:space="preserve"> </w:t>
      </w:r>
      <w:r w:rsidRPr="008C6E57">
        <w:rPr>
          <w:rStyle w:val="Hypertextovodkaz"/>
        </w:rPr>
        <w:t>(</w:t>
      </w:r>
      <w:bookmarkStart w:id="0" w:name="_GoBack"/>
      <w:bookmarkEnd w:id="0"/>
    </w:p>
    <w:p w:rsidR="00B76045" w:rsidRDefault="00B76045"/>
    <w:sectPr w:rsidR="00B7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9D"/>
    <w:rsid w:val="008A019D"/>
    <w:rsid w:val="00B76045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C65"/>
  <w15:chartTrackingRefBased/>
  <w15:docId w15:val="{E9AFA39A-58A6-4144-B2EB-D4E1E44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19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1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taceeu.cz/cs/Evropske-fondy-v-CR/KOHEZNI-POLITIKA-PO-ROCE-2020/Navrhy-legislativniho-narize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aceeu.cz/getmedia/40e7e63f-3371-4e38-a687-7d1330102ea4/Zprava-o-Ceske-republice-2019.pdf.aspx?ext=.pdf" TargetMode="External"/><Relationship Id="rId5" Type="http://schemas.openxmlformats.org/officeDocument/2006/relationships/hyperlink" Target="https://www.databaze-strategie.cz/cz/urad-vlady/strategie/narodni-program-reforem-ceske-republiky-2019" TargetMode="External"/><Relationship Id="rId4" Type="http://schemas.openxmlformats.org/officeDocument/2006/relationships/hyperlink" Target="https://www.dotaceeu.cz/getmedia/2b17829c-0fba-4077-8e3c-faac0689a9dc/NKR-schvalena-verze.pdf.aspx?ext=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Grygarová Šárka</dc:creator>
  <cp:keywords/>
  <dc:description/>
  <cp:lastModifiedBy>Grygarová Šárka</cp:lastModifiedBy>
  <cp:revision>1</cp:revision>
  <dcterms:created xsi:type="dcterms:W3CDTF">2019-11-28T09:26:00Z</dcterms:created>
  <dcterms:modified xsi:type="dcterms:W3CDTF">2019-11-28T09:55:00Z</dcterms:modified>
</cp:coreProperties>
</file>